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828" w:rsidRPr="00854D02" w:rsidRDefault="00C00004" w:rsidP="00225F6F">
      <w:pPr>
        <w:tabs>
          <w:tab w:val="left" w:pos="360"/>
        </w:tabs>
        <w:suppressAutoHyphens/>
        <w:jc w:val="center"/>
        <w:rPr>
          <w:rFonts w:ascii="Cambria" w:hAnsi="Cambria"/>
          <w:sz w:val="20"/>
          <w:szCs w:val="20"/>
          <w:lang w:val="es-ES"/>
        </w:rPr>
      </w:pPr>
      <w:r>
        <w:rPr>
          <w:rFonts w:ascii="Cambria" w:hAnsi="Cambria"/>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7" type="#_x0000_t75" style="position:absolute;left:0;text-align:left;margin-left:0;margin-top:0;width:167.1pt;height:32.5pt;z-index:-7;visibility:visible;mso-position-horizontal:left;mso-position-horizontal-relative:margin;mso-position-vertical:top;mso-position-vertical-relative:margin" wrapcoords="-87 0 -87 21150 21600 21150 21600 0 -87 0">
            <v:imagedata r:id="rId9" o:title="cidh-es"/>
            <w10:wrap type="square" anchorx="margin" anchory="margin"/>
          </v:shape>
        </w:pict>
      </w:r>
      <w:r>
        <w:rPr>
          <w:rFonts w:ascii="Cambria" w:hAnsi="Cambria"/>
          <w:noProof/>
          <w:sz w:val="20"/>
          <w:szCs w:val="20"/>
          <w:lang w:val="en-US"/>
        </w:rPr>
        <w:pict>
          <v:shape id="Picture 2" o:spid="_x0000_s1046" type="#_x0000_t75" style="position:absolute;left:0;text-align:left;margin-left:931.1pt;margin-top:0;width:129.75pt;height:37.65pt;z-index:-8;visibility:visible;mso-position-horizontal:right;mso-position-horizontal-relative:margin;mso-position-vertical:top;mso-position-vertical-relative:margin" wrapcoords="-125 0 -125 21168 21600 21168 21600 0 -125 0">
            <v:imagedata r:id="rId10" o:title="oea-es"/>
            <w10:wrap type="square" anchorx="margin" anchory="margin"/>
          </v:shape>
        </w:pict>
      </w:r>
    </w:p>
    <w:p w:rsidR="006B3828" w:rsidRPr="00854D02" w:rsidRDefault="006B3828" w:rsidP="00225F6F">
      <w:pPr>
        <w:tabs>
          <w:tab w:val="left" w:pos="360"/>
        </w:tabs>
        <w:suppressAutoHyphens/>
        <w:jc w:val="both"/>
        <w:rPr>
          <w:rFonts w:ascii="Cambria" w:hAnsi="Cambria"/>
          <w:sz w:val="20"/>
          <w:szCs w:val="20"/>
          <w:lang w:val="es-ES"/>
        </w:rPr>
      </w:pPr>
    </w:p>
    <w:p w:rsidR="006B3828" w:rsidRPr="00854D02" w:rsidRDefault="006B3828" w:rsidP="00225F6F">
      <w:pPr>
        <w:tabs>
          <w:tab w:val="left" w:pos="360"/>
        </w:tabs>
        <w:suppressAutoHyphens/>
        <w:ind w:left="7290" w:hanging="90"/>
        <w:rPr>
          <w:rFonts w:ascii="Cambria" w:hAnsi="Cambria"/>
          <w:sz w:val="20"/>
          <w:szCs w:val="20"/>
          <w:lang w:val="es-ES"/>
        </w:rPr>
      </w:pPr>
    </w:p>
    <w:p w:rsidR="006B3828" w:rsidRPr="00854D02" w:rsidRDefault="006B3828" w:rsidP="00225F6F">
      <w:pPr>
        <w:tabs>
          <w:tab w:val="left" w:pos="360"/>
        </w:tabs>
        <w:suppressAutoHyphens/>
        <w:ind w:left="7290" w:hanging="90"/>
        <w:rPr>
          <w:rFonts w:ascii="Cambria" w:hAnsi="Cambria"/>
          <w:sz w:val="20"/>
          <w:szCs w:val="20"/>
          <w:lang w:val="es-ES"/>
        </w:rPr>
      </w:pPr>
    </w:p>
    <w:p w:rsidR="006B3828" w:rsidRPr="00854D02" w:rsidRDefault="006B3828" w:rsidP="00600BB6">
      <w:pPr>
        <w:tabs>
          <w:tab w:val="left" w:pos="360"/>
        </w:tabs>
        <w:suppressAutoHyphens/>
        <w:rPr>
          <w:rFonts w:ascii="Cambria" w:hAnsi="Cambria"/>
          <w:sz w:val="20"/>
          <w:szCs w:val="20"/>
          <w:lang w:val="es-ES"/>
        </w:rPr>
      </w:pPr>
    </w:p>
    <w:p w:rsidR="00C95A96" w:rsidRPr="00854D02" w:rsidRDefault="00C95A96" w:rsidP="00600BB6">
      <w:pPr>
        <w:rPr>
          <w:rFonts w:ascii="Cambria" w:hAnsi="Cambria"/>
          <w:b/>
          <w:caps/>
          <w:sz w:val="20"/>
          <w:szCs w:val="20"/>
          <w:lang w:val="es-ES"/>
        </w:rPr>
      </w:pPr>
    </w:p>
    <w:p w:rsidR="00C95A96" w:rsidRPr="00854D02" w:rsidRDefault="00C95A96" w:rsidP="00600BB6">
      <w:pPr>
        <w:tabs>
          <w:tab w:val="left" w:pos="6480"/>
        </w:tabs>
        <w:rPr>
          <w:rFonts w:ascii="Cambria" w:hAnsi="Cambria"/>
          <w:sz w:val="20"/>
          <w:szCs w:val="20"/>
          <w:lang w:val="es-ES"/>
        </w:rPr>
      </w:pPr>
    </w:p>
    <w:p w:rsidR="00C95A96" w:rsidRPr="00B90612" w:rsidRDefault="00C95A96" w:rsidP="000026C9">
      <w:pPr>
        <w:spacing w:line="360" w:lineRule="auto"/>
        <w:ind w:left="5760"/>
        <w:rPr>
          <w:rFonts w:ascii="Cambria" w:hAnsi="Cambria" w:cs="Arial"/>
          <w:sz w:val="20"/>
          <w:szCs w:val="20"/>
          <w:lang w:val="pt-BR"/>
        </w:rPr>
      </w:pPr>
      <w:r w:rsidRPr="00854D02">
        <w:rPr>
          <w:rFonts w:ascii="Cambria" w:hAnsi="Cambria"/>
          <w:sz w:val="20"/>
          <w:szCs w:val="20"/>
          <w:lang w:val="pt-BR"/>
        </w:rPr>
        <w:t>OEA/Ser.L/V/II.152</w:t>
      </w:r>
      <w:r w:rsidRPr="00854D02">
        <w:rPr>
          <w:rFonts w:ascii="Cambria" w:hAnsi="Cambria"/>
          <w:sz w:val="20"/>
          <w:szCs w:val="20"/>
          <w:lang w:val="pt-BR"/>
        </w:rPr>
        <w:br/>
      </w:r>
      <w:r w:rsidRPr="00B90612">
        <w:rPr>
          <w:rFonts w:ascii="Cambria" w:hAnsi="Cambria" w:cs="Arial"/>
          <w:sz w:val="20"/>
          <w:szCs w:val="20"/>
          <w:lang w:val="pt-BR"/>
        </w:rPr>
        <w:t xml:space="preserve">Doc. </w:t>
      </w:r>
      <w:r w:rsidR="006B3828" w:rsidRPr="00B90612">
        <w:rPr>
          <w:rFonts w:ascii="Cambria" w:hAnsi="Cambria" w:cs="Arial"/>
          <w:sz w:val="20"/>
          <w:szCs w:val="20"/>
          <w:lang w:val="pt-BR"/>
        </w:rPr>
        <w:t>21</w:t>
      </w:r>
    </w:p>
    <w:p w:rsidR="00C95A96" w:rsidRPr="00FF743B" w:rsidRDefault="00C95A96" w:rsidP="000026C9">
      <w:pPr>
        <w:tabs>
          <w:tab w:val="left" w:pos="6480"/>
        </w:tabs>
        <w:spacing w:line="360" w:lineRule="auto"/>
        <w:ind w:left="5760"/>
        <w:rPr>
          <w:rFonts w:ascii="Cambria" w:hAnsi="Cambria" w:cs="Arial"/>
          <w:sz w:val="20"/>
          <w:szCs w:val="20"/>
          <w:lang w:val="es-ES"/>
        </w:rPr>
      </w:pPr>
      <w:r w:rsidRPr="00FF743B">
        <w:rPr>
          <w:rFonts w:ascii="Cambria" w:hAnsi="Cambria" w:cs="Arial"/>
          <w:sz w:val="20"/>
          <w:szCs w:val="20"/>
          <w:lang w:val="es-ES"/>
        </w:rPr>
        <w:t>14 agosto 2014</w:t>
      </w:r>
    </w:p>
    <w:p w:rsidR="00C95A96" w:rsidRPr="00FF743B" w:rsidRDefault="00C95A96" w:rsidP="000026C9">
      <w:pPr>
        <w:tabs>
          <w:tab w:val="left" w:pos="6480"/>
        </w:tabs>
        <w:spacing w:line="360" w:lineRule="auto"/>
        <w:ind w:left="5760"/>
        <w:rPr>
          <w:rFonts w:ascii="Cambria" w:hAnsi="Cambria" w:cs="Arial"/>
          <w:sz w:val="20"/>
          <w:szCs w:val="20"/>
          <w:lang w:val="es-ES"/>
        </w:rPr>
      </w:pPr>
      <w:r w:rsidRPr="00FF743B">
        <w:rPr>
          <w:rFonts w:ascii="Cambria" w:hAnsi="Cambria" w:cs="Arial"/>
          <w:sz w:val="20"/>
          <w:szCs w:val="20"/>
          <w:lang w:val="es-ES"/>
        </w:rPr>
        <w:t>Original: Español</w:t>
      </w:r>
    </w:p>
    <w:p w:rsidR="00C95A96" w:rsidRPr="00FF743B" w:rsidRDefault="00C95A96" w:rsidP="00225F6F">
      <w:pPr>
        <w:jc w:val="center"/>
        <w:rPr>
          <w:rFonts w:ascii="Cambria" w:hAnsi="Cambria" w:cs="Arial"/>
          <w:b/>
          <w:bCs/>
          <w:lang w:val="es-ES"/>
        </w:rPr>
      </w:pPr>
    </w:p>
    <w:p w:rsidR="00C95A96" w:rsidRPr="00FF743B" w:rsidRDefault="00C95A96" w:rsidP="00225F6F">
      <w:pPr>
        <w:jc w:val="center"/>
        <w:rPr>
          <w:rFonts w:ascii="Cambria" w:hAnsi="Cambria" w:cs="Arial"/>
          <w:b/>
          <w:bCs/>
          <w:lang w:val="es-ES"/>
        </w:rPr>
      </w:pPr>
    </w:p>
    <w:p w:rsidR="00C95A96" w:rsidRPr="00FF743B" w:rsidRDefault="00C95A96" w:rsidP="00225F6F">
      <w:pPr>
        <w:jc w:val="center"/>
        <w:rPr>
          <w:rFonts w:ascii="Cambria" w:hAnsi="Cambria" w:cs="Arial"/>
          <w:b/>
          <w:bCs/>
          <w:lang w:val="es-ES"/>
        </w:rPr>
      </w:pPr>
    </w:p>
    <w:p w:rsidR="00600BB6" w:rsidRDefault="00600BB6" w:rsidP="00225F6F">
      <w:pPr>
        <w:tabs>
          <w:tab w:val="left" w:pos="360"/>
        </w:tabs>
        <w:suppressAutoHyphens/>
        <w:jc w:val="center"/>
        <w:rPr>
          <w:rFonts w:ascii="Cambria" w:hAnsi="Cambria"/>
          <w:szCs w:val="22"/>
          <w:lang w:val="es-ES"/>
        </w:rPr>
      </w:pPr>
    </w:p>
    <w:p w:rsidR="00600BB6" w:rsidRDefault="00600BB6" w:rsidP="00225F6F">
      <w:pPr>
        <w:tabs>
          <w:tab w:val="left" w:pos="360"/>
        </w:tabs>
        <w:suppressAutoHyphens/>
        <w:jc w:val="center"/>
        <w:rPr>
          <w:rFonts w:ascii="Cambria" w:hAnsi="Cambria"/>
          <w:szCs w:val="22"/>
          <w:lang w:val="es-ES"/>
        </w:rPr>
      </w:pPr>
    </w:p>
    <w:p w:rsidR="00600BB6" w:rsidRDefault="00600BB6" w:rsidP="00225F6F">
      <w:pPr>
        <w:tabs>
          <w:tab w:val="left" w:pos="360"/>
        </w:tabs>
        <w:suppressAutoHyphens/>
        <w:jc w:val="center"/>
        <w:rPr>
          <w:rFonts w:ascii="Cambria" w:hAnsi="Cambria"/>
          <w:szCs w:val="22"/>
          <w:lang w:val="es-ES"/>
        </w:rPr>
      </w:pPr>
    </w:p>
    <w:p w:rsidR="00600BB6" w:rsidRDefault="00600BB6" w:rsidP="00225F6F">
      <w:pPr>
        <w:tabs>
          <w:tab w:val="left" w:pos="360"/>
        </w:tabs>
        <w:suppressAutoHyphens/>
        <w:jc w:val="center"/>
        <w:rPr>
          <w:rFonts w:ascii="Cambria" w:hAnsi="Cambria"/>
          <w:szCs w:val="22"/>
          <w:lang w:val="es-ES"/>
        </w:rPr>
      </w:pPr>
    </w:p>
    <w:p w:rsidR="00C95A96" w:rsidRPr="00FF743B" w:rsidRDefault="00163A41" w:rsidP="00225F6F">
      <w:pPr>
        <w:tabs>
          <w:tab w:val="left" w:pos="360"/>
        </w:tabs>
        <w:suppressAutoHyphens/>
        <w:jc w:val="center"/>
        <w:rPr>
          <w:rFonts w:ascii="Cambria" w:hAnsi="Cambria"/>
          <w:sz w:val="20"/>
          <w:lang w:val="es-ES"/>
        </w:rPr>
      </w:pPr>
      <w:r>
        <w:rPr>
          <w:rFonts w:ascii="Cambria" w:hAnsi="Cambria"/>
          <w:szCs w:val="22"/>
          <w:lang w:val="es-ES"/>
        </w:rPr>
        <w:t>C</w:t>
      </w:r>
      <w:r w:rsidR="00C95A96" w:rsidRPr="00FF743B">
        <w:rPr>
          <w:rFonts w:ascii="Cambria" w:hAnsi="Cambria"/>
          <w:szCs w:val="22"/>
          <w:lang w:val="es-ES"/>
        </w:rPr>
        <w:t>OMISIÓN INTERAMERICANA DE DERECHOS HUMANOS</w:t>
      </w:r>
    </w:p>
    <w:p w:rsidR="00C95A96" w:rsidRPr="00FF743B" w:rsidRDefault="00C95A96" w:rsidP="00225F6F">
      <w:pPr>
        <w:ind w:left="5760" w:hanging="720"/>
        <w:rPr>
          <w:rFonts w:ascii="Cambria" w:hAnsi="Cambria" w:cs="Arial"/>
          <w:b/>
          <w:bCs/>
          <w:sz w:val="20"/>
          <w:szCs w:val="20"/>
          <w:lang w:val="es-ES"/>
        </w:rPr>
      </w:pPr>
    </w:p>
    <w:p w:rsidR="00C95A96" w:rsidRPr="000026C9" w:rsidRDefault="00C95A96" w:rsidP="00225F6F">
      <w:pPr>
        <w:jc w:val="center"/>
        <w:rPr>
          <w:rFonts w:ascii="Cambria" w:hAnsi="Cambria"/>
          <w:sz w:val="44"/>
          <w:szCs w:val="44"/>
          <w:lang w:val="es-ES"/>
        </w:rPr>
      </w:pPr>
      <w:r w:rsidRPr="000026C9">
        <w:rPr>
          <w:rFonts w:ascii="Cambria" w:hAnsi="Cambria"/>
          <w:sz w:val="44"/>
          <w:szCs w:val="44"/>
          <w:lang w:val="es-ES"/>
        </w:rPr>
        <w:t xml:space="preserve">Consideraciones sobre la ratificación universal </w:t>
      </w:r>
      <w:r w:rsidR="006B3828" w:rsidRPr="000026C9">
        <w:rPr>
          <w:rFonts w:ascii="Cambria" w:hAnsi="Cambria"/>
          <w:sz w:val="44"/>
          <w:szCs w:val="44"/>
          <w:lang w:val="es-ES"/>
        </w:rPr>
        <w:t>de la C</w:t>
      </w:r>
      <w:r w:rsidRPr="000026C9">
        <w:rPr>
          <w:rFonts w:ascii="Cambria" w:hAnsi="Cambria"/>
          <w:sz w:val="44"/>
          <w:szCs w:val="44"/>
          <w:lang w:val="es-ES"/>
        </w:rPr>
        <w:t xml:space="preserve">onvención </w:t>
      </w:r>
      <w:r w:rsidR="006B3828" w:rsidRPr="000026C9">
        <w:rPr>
          <w:rFonts w:ascii="Cambria" w:hAnsi="Cambria"/>
          <w:sz w:val="44"/>
          <w:szCs w:val="44"/>
          <w:lang w:val="es-ES"/>
        </w:rPr>
        <w:t>A</w:t>
      </w:r>
      <w:r w:rsidRPr="000026C9">
        <w:rPr>
          <w:rFonts w:ascii="Cambria" w:hAnsi="Cambria"/>
          <w:sz w:val="44"/>
          <w:szCs w:val="44"/>
          <w:lang w:val="es-ES"/>
        </w:rPr>
        <w:t>mericana y otros tratados interamericanos en materia de derechos humanos</w:t>
      </w: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Pr="00FF743B" w:rsidRDefault="00C95A96" w:rsidP="00225F6F">
      <w:pPr>
        <w:jc w:val="center"/>
        <w:rPr>
          <w:rFonts w:ascii="Cambria" w:hAnsi="Cambria" w:cs="Arial"/>
          <w:sz w:val="18"/>
          <w:szCs w:val="18"/>
          <w:lang w:val="es-ES" w:eastAsia="es-ES"/>
        </w:rPr>
      </w:pPr>
    </w:p>
    <w:p w:rsidR="00C95A96" w:rsidRDefault="00C95A96" w:rsidP="00225F6F">
      <w:pPr>
        <w:jc w:val="center"/>
        <w:rPr>
          <w:rFonts w:ascii="Cambria" w:hAnsi="Cambria" w:cs="Arial"/>
          <w:sz w:val="18"/>
          <w:szCs w:val="18"/>
          <w:lang w:val="es-ES" w:eastAsia="es-ES"/>
        </w:rPr>
      </w:pPr>
    </w:p>
    <w:p w:rsidR="000026C9" w:rsidRDefault="000026C9" w:rsidP="00225F6F">
      <w:pPr>
        <w:jc w:val="center"/>
        <w:rPr>
          <w:rFonts w:ascii="Cambria" w:hAnsi="Cambria" w:cs="Arial"/>
          <w:sz w:val="18"/>
          <w:szCs w:val="18"/>
          <w:lang w:val="es-ES" w:eastAsia="es-ES"/>
        </w:rPr>
      </w:pPr>
    </w:p>
    <w:p w:rsidR="000026C9" w:rsidRDefault="000026C9" w:rsidP="00225F6F">
      <w:pPr>
        <w:jc w:val="center"/>
        <w:rPr>
          <w:rFonts w:ascii="Cambria" w:hAnsi="Cambria" w:cs="Arial"/>
          <w:sz w:val="18"/>
          <w:szCs w:val="18"/>
          <w:lang w:val="es-ES" w:eastAsia="es-ES"/>
        </w:rPr>
      </w:pPr>
    </w:p>
    <w:p w:rsidR="000026C9" w:rsidRDefault="000026C9" w:rsidP="00225F6F">
      <w:pPr>
        <w:jc w:val="center"/>
        <w:rPr>
          <w:rFonts w:ascii="Cambria" w:hAnsi="Cambria" w:cs="Arial"/>
          <w:sz w:val="18"/>
          <w:szCs w:val="18"/>
          <w:lang w:val="es-ES" w:eastAsia="es-ES"/>
        </w:rPr>
      </w:pPr>
    </w:p>
    <w:p w:rsidR="000026C9" w:rsidRDefault="000026C9" w:rsidP="00225F6F">
      <w:pPr>
        <w:jc w:val="center"/>
        <w:rPr>
          <w:rFonts w:ascii="Cambria" w:hAnsi="Cambria" w:cs="Arial"/>
          <w:sz w:val="18"/>
          <w:szCs w:val="18"/>
          <w:lang w:val="es-ES" w:eastAsia="es-ES"/>
        </w:rPr>
      </w:pPr>
    </w:p>
    <w:p w:rsidR="000026C9" w:rsidRPr="00FF743B" w:rsidRDefault="000026C9" w:rsidP="00225F6F">
      <w:pPr>
        <w:jc w:val="center"/>
        <w:rPr>
          <w:rFonts w:ascii="Cambria" w:hAnsi="Cambria" w:cs="Arial"/>
          <w:sz w:val="18"/>
          <w:szCs w:val="18"/>
          <w:lang w:val="es-ES" w:eastAsia="es-ES"/>
        </w:rPr>
      </w:pPr>
    </w:p>
    <w:p w:rsidR="006B3828" w:rsidRPr="00FF743B" w:rsidRDefault="006B3828" w:rsidP="00225F6F">
      <w:pPr>
        <w:ind w:left="360" w:right="-425"/>
        <w:jc w:val="center"/>
        <w:rPr>
          <w:rFonts w:ascii="Cambria" w:hAnsi="Cambria" w:cs="Arial"/>
          <w:sz w:val="20"/>
          <w:szCs w:val="20"/>
          <w:lang w:val="es-ES" w:eastAsia="es-ES"/>
        </w:rPr>
      </w:pPr>
    </w:p>
    <w:p w:rsidR="00C95A96" w:rsidRPr="00696BDF" w:rsidRDefault="00C95A96" w:rsidP="00225F6F">
      <w:pPr>
        <w:jc w:val="center"/>
        <w:rPr>
          <w:rFonts w:ascii="Cambria" w:hAnsi="Cambria" w:cs="Arial"/>
          <w:sz w:val="22"/>
          <w:szCs w:val="22"/>
          <w:lang w:val="es-ES" w:eastAsia="es-ES"/>
        </w:rPr>
      </w:pPr>
      <w:r w:rsidRPr="00696BDF">
        <w:rPr>
          <w:rFonts w:ascii="Cambria" w:hAnsi="Cambria" w:cs="Arial"/>
          <w:sz w:val="22"/>
          <w:szCs w:val="22"/>
          <w:lang w:val="es-ES" w:eastAsia="es-ES"/>
        </w:rPr>
        <w:t>2014</w:t>
      </w:r>
    </w:p>
    <w:p w:rsidR="00C95A96" w:rsidRPr="00696BDF" w:rsidRDefault="00C95A96" w:rsidP="00225F6F">
      <w:pPr>
        <w:jc w:val="center"/>
        <w:rPr>
          <w:rFonts w:ascii="Cambria" w:hAnsi="Cambria"/>
          <w:b/>
          <w:color w:val="4A442A"/>
          <w:sz w:val="22"/>
          <w:szCs w:val="22"/>
          <w:lang w:val="es-ES"/>
        </w:rPr>
        <w:sectPr w:rsidR="00C95A96" w:rsidRPr="00696BDF" w:rsidSect="00A024C6">
          <w:headerReference w:type="default" r:id="rId11"/>
          <w:pgSz w:w="10325" w:h="14573" w:code="13"/>
          <w:pgMar w:top="1152" w:right="1152" w:bottom="1152" w:left="1440" w:header="720" w:footer="720" w:gutter="0"/>
          <w:cols w:space="720"/>
          <w:titlePg/>
          <w:docGrid w:linePitch="326"/>
        </w:sectPr>
      </w:pPr>
      <w:r w:rsidRPr="00696BDF">
        <w:rPr>
          <w:rFonts w:ascii="Cambria" w:hAnsi="Cambria" w:cs="Arial"/>
          <w:sz w:val="22"/>
          <w:szCs w:val="22"/>
          <w:lang w:val="es-ES" w:eastAsia="es-ES"/>
        </w:rPr>
        <w:t>www.cidh.org</w:t>
      </w:r>
    </w:p>
    <w:tbl>
      <w:tblPr>
        <w:tblW w:w="6351" w:type="dxa"/>
        <w:jc w:val="center"/>
        <w:shd w:val="clear" w:color="auto" w:fill="DDD9C3"/>
        <w:tblLook w:val="01E0" w:firstRow="1" w:lastRow="1" w:firstColumn="1" w:lastColumn="1" w:noHBand="0" w:noVBand="0"/>
      </w:tblPr>
      <w:tblGrid>
        <w:gridCol w:w="6351"/>
      </w:tblGrid>
      <w:tr w:rsidR="00C95A96" w:rsidRPr="00FF743B" w:rsidTr="00543111">
        <w:trPr>
          <w:trHeight w:val="2687"/>
          <w:jc w:val="center"/>
        </w:trPr>
        <w:tc>
          <w:tcPr>
            <w:tcW w:w="6351" w:type="dxa"/>
            <w:shd w:val="clear" w:color="auto" w:fill="EEECE1"/>
          </w:tcPr>
          <w:p w:rsidR="00C95A96" w:rsidRPr="00F61B5D" w:rsidRDefault="00C95A96" w:rsidP="00225F6F">
            <w:pPr>
              <w:pStyle w:val="Heading6"/>
              <w:spacing w:before="0" w:after="0"/>
              <w:jc w:val="center"/>
              <w:rPr>
                <w:rFonts w:ascii="Cambria" w:eastAsia="MS Mincho" w:hAnsi="Cambria"/>
                <w:sz w:val="18"/>
                <w:szCs w:val="18"/>
                <w:lang w:val="en-US"/>
              </w:rPr>
            </w:pPr>
          </w:p>
          <w:p w:rsidR="00C95A96" w:rsidRPr="000B381F" w:rsidRDefault="00C95A96" w:rsidP="00225F6F">
            <w:pPr>
              <w:pStyle w:val="Heading6"/>
              <w:spacing w:before="0" w:after="0"/>
              <w:jc w:val="center"/>
              <w:rPr>
                <w:rFonts w:ascii="Cambria" w:eastAsia="MS Mincho" w:hAnsi="Cambria"/>
                <w:sz w:val="18"/>
                <w:szCs w:val="18"/>
                <w:lang w:val="en-US"/>
              </w:rPr>
            </w:pPr>
            <w:r w:rsidRPr="000B381F">
              <w:rPr>
                <w:rFonts w:ascii="Cambria" w:eastAsia="MS Mincho" w:hAnsi="Cambria"/>
                <w:sz w:val="18"/>
                <w:szCs w:val="18"/>
                <w:lang w:val="en-US"/>
              </w:rPr>
              <w:t>OAS Cataloging-in-Publication Data</w:t>
            </w:r>
          </w:p>
          <w:p w:rsidR="000B381F" w:rsidRPr="000B381F" w:rsidRDefault="000B381F" w:rsidP="000B381F">
            <w:pPr>
              <w:jc w:val="both"/>
              <w:rPr>
                <w:rFonts w:ascii="Cambria" w:eastAsia="MS Mincho" w:hAnsi="Cambria"/>
                <w:bCs/>
                <w:sz w:val="18"/>
                <w:szCs w:val="18"/>
                <w:lang w:val="en-US"/>
              </w:rPr>
            </w:pPr>
          </w:p>
          <w:p w:rsidR="000B381F" w:rsidRPr="000B381F" w:rsidRDefault="000B381F" w:rsidP="000B381F">
            <w:pPr>
              <w:spacing w:line="360" w:lineRule="auto"/>
              <w:ind w:left="288" w:right="288"/>
              <w:jc w:val="both"/>
              <w:rPr>
                <w:rFonts w:ascii="Cambria" w:eastAsia="MS Mincho" w:hAnsi="Cambria"/>
                <w:bCs/>
                <w:sz w:val="18"/>
                <w:szCs w:val="18"/>
                <w:lang w:val="en-US"/>
              </w:rPr>
            </w:pPr>
            <w:r w:rsidRPr="000B381F">
              <w:rPr>
                <w:rFonts w:ascii="Cambria" w:eastAsia="MS Mincho" w:hAnsi="Cambria"/>
                <w:bCs/>
                <w:sz w:val="18"/>
                <w:szCs w:val="18"/>
                <w:lang w:val="en-US"/>
              </w:rPr>
              <w:t>Inter-American Commission on Human Rights.</w:t>
            </w:r>
          </w:p>
          <w:p w:rsidR="000B381F" w:rsidRPr="000B381F" w:rsidRDefault="00BF60A8" w:rsidP="000B381F">
            <w:pPr>
              <w:spacing w:line="360" w:lineRule="auto"/>
              <w:ind w:left="288" w:right="288"/>
              <w:jc w:val="both"/>
              <w:rPr>
                <w:rFonts w:ascii="Cambria" w:eastAsia="MS Mincho" w:hAnsi="Cambria"/>
                <w:bCs/>
                <w:sz w:val="18"/>
                <w:szCs w:val="18"/>
                <w:lang w:val="es-ES"/>
              </w:rPr>
            </w:pPr>
            <w:r w:rsidRPr="00003FF7">
              <w:rPr>
                <w:rFonts w:ascii="Cambria" w:eastAsia="MS Mincho" w:hAnsi="Cambria"/>
                <w:bCs/>
                <w:sz w:val="18"/>
                <w:szCs w:val="18"/>
                <w:lang w:val="en-US"/>
              </w:rPr>
              <w:t xml:space="preserve">                         </w:t>
            </w:r>
            <w:r w:rsidR="000B381F" w:rsidRPr="000B381F">
              <w:rPr>
                <w:rFonts w:ascii="Cambria" w:eastAsia="MS Mincho" w:hAnsi="Cambria"/>
                <w:bCs/>
                <w:sz w:val="18"/>
                <w:szCs w:val="18"/>
                <w:lang w:val="es-ES"/>
              </w:rPr>
              <w:t xml:space="preserve">Consideraciones sobre la ratificación universal de la Convención Americana y otros tratados interamericanos en materia de derechos humanos / </w:t>
            </w:r>
          </w:p>
          <w:p w:rsidR="000B381F" w:rsidRPr="000B381F" w:rsidRDefault="000B381F" w:rsidP="000B381F">
            <w:pPr>
              <w:spacing w:line="360" w:lineRule="auto"/>
              <w:ind w:left="288" w:right="288"/>
              <w:jc w:val="both"/>
              <w:rPr>
                <w:rFonts w:ascii="Cambria" w:eastAsia="MS Mincho" w:hAnsi="Cambria"/>
                <w:bCs/>
                <w:sz w:val="18"/>
                <w:szCs w:val="18"/>
                <w:lang w:val="es-ES"/>
              </w:rPr>
            </w:pPr>
            <w:r w:rsidRPr="000B381F">
              <w:rPr>
                <w:rFonts w:ascii="Cambria" w:eastAsia="MS Mincho" w:hAnsi="Cambria"/>
                <w:bCs/>
                <w:sz w:val="18"/>
                <w:szCs w:val="18"/>
                <w:lang w:val="es-ES"/>
              </w:rPr>
              <w:t>Comisión Interamericana de Derechos Humanos.</w:t>
            </w:r>
          </w:p>
          <w:p w:rsidR="000B381F" w:rsidRPr="000B381F" w:rsidRDefault="000B381F" w:rsidP="000B381F">
            <w:pPr>
              <w:spacing w:line="360" w:lineRule="auto"/>
              <w:ind w:left="288" w:right="288"/>
              <w:jc w:val="both"/>
              <w:rPr>
                <w:rFonts w:ascii="Cambria" w:eastAsia="MS Mincho" w:hAnsi="Cambria"/>
                <w:bCs/>
                <w:sz w:val="18"/>
                <w:szCs w:val="18"/>
                <w:lang w:val="es-ES"/>
              </w:rPr>
            </w:pPr>
            <w:r w:rsidRPr="000B381F">
              <w:rPr>
                <w:rFonts w:ascii="Cambria" w:eastAsia="MS Mincho" w:hAnsi="Cambria"/>
                <w:bCs/>
                <w:sz w:val="18"/>
                <w:szCs w:val="18"/>
                <w:lang w:val="es-ES"/>
              </w:rPr>
              <w:t xml:space="preserve">    v. ; cm. (OAS. Documentos oficiales ; OEA/Ser.L)</w:t>
            </w:r>
          </w:p>
          <w:p w:rsidR="000B381F" w:rsidRPr="000B381F" w:rsidRDefault="000B381F" w:rsidP="000B381F">
            <w:pPr>
              <w:spacing w:line="360" w:lineRule="auto"/>
              <w:ind w:left="288" w:right="288"/>
              <w:jc w:val="both"/>
              <w:rPr>
                <w:rFonts w:ascii="Cambria" w:eastAsia="MS Mincho" w:hAnsi="Cambria"/>
                <w:bCs/>
                <w:sz w:val="18"/>
                <w:szCs w:val="18"/>
                <w:lang w:val="es-ES"/>
              </w:rPr>
            </w:pPr>
            <w:r w:rsidRPr="000B381F">
              <w:rPr>
                <w:rFonts w:ascii="Cambria" w:eastAsia="MS Mincho" w:hAnsi="Cambria"/>
                <w:bCs/>
                <w:sz w:val="18"/>
                <w:szCs w:val="18"/>
                <w:lang w:val="es-ES"/>
              </w:rPr>
              <w:t xml:space="preserve">                        ISBN 978-0-8270-6357-0</w:t>
            </w:r>
          </w:p>
          <w:p w:rsidR="000B381F" w:rsidRPr="000B381F" w:rsidRDefault="000B381F" w:rsidP="000B381F">
            <w:pPr>
              <w:spacing w:line="360" w:lineRule="auto"/>
              <w:ind w:left="288" w:right="288"/>
              <w:jc w:val="both"/>
              <w:rPr>
                <w:rFonts w:ascii="Cambria" w:eastAsia="MS Mincho" w:hAnsi="Cambria"/>
                <w:bCs/>
                <w:sz w:val="18"/>
                <w:szCs w:val="18"/>
                <w:lang w:val="es-ES"/>
              </w:rPr>
            </w:pPr>
            <w:r w:rsidRPr="00E94226">
              <w:rPr>
                <w:rFonts w:ascii="Cambria" w:eastAsia="MS Mincho" w:hAnsi="Cambria"/>
                <w:bCs/>
                <w:sz w:val="18"/>
                <w:szCs w:val="18"/>
                <w:lang w:val="en-US"/>
              </w:rPr>
              <w:t>1.</w:t>
            </w:r>
            <w:r w:rsidRPr="00E94226">
              <w:rPr>
                <w:rFonts w:ascii="Cambria" w:eastAsia="MS Mincho" w:hAnsi="Cambria"/>
                <w:bCs/>
                <w:sz w:val="18"/>
                <w:szCs w:val="18"/>
                <w:lang w:val="en-US"/>
              </w:rPr>
              <w:tab/>
              <w:t xml:space="preserve">Human rights--America.  2. Civil rights--America.  I. Title. II. Series: OAS. </w:t>
            </w:r>
            <w:r w:rsidRPr="000B381F">
              <w:rPr>
                <w:rFonts w:ascii="Cambria" w:eastAsia="MS Mincho" w:hAnsi="Cambria"/>
                <w:bCs/>
                <w:sz w:val="18"/>
                <w:szCs w:val="18"/>
                <w:lang w:val="es-ES"/>
              </w:rPr>
              <w:t>Documentos oficiales ; OEA/Ser.L.</w:t>
            </w:r>
          </w:p>
          <w:p w:rsidR="00C95A96" w:rsidRPr="00FF743B" w:rsidRDefault="000B381F" w:rsidP="000B381F">
            <w:pPr>
              <w:jc w:val="right"/>
              <w:rPr>
                <w:rFonts w:ascii="Cambria" w:eastAsia="MS Mincho" w:hAnsi="Cambria"/>
                <w:sz w:val="18"/>
                <w:szCs w:val="18"/>
                <w:lang w:val="es-ES"/>
              </w:rPr>
            </w:pPr>
            <w:r w:rsidRPr="000B381F">
              <w:rPr>
                <w:rFonts w:ascii="Cambria" w:eastAsia="MS Mincho" w:hAnsi="Cambria"/>
                <w:bCs/>
                <w:sz w:val="18"/>
                <w:szCs w:val="18"/>
                <w:lang w:val="es-ES"/>
              </w:rPr>
              <w:t xml:space="preserve">                                                                                                                                                            OEA/Ser.L/V/II.152  Doc.21</w:t>
            </w:r>
          </w:p>
          <w:p w:rsidR="00C95A96" w:rsidRPr="00FF743B" w:rsidRDefault="00C95A96" w:rsidP="00225F6F">
            <w:pPr>
              <w:ind w:left="360" w:right="446"/>
              <w:jc w:val="right"/>
              <w:rPr>
                <w:rFonts w:ascii="Cambria" w:eastAsia="MS Mincho" w:hAnsi="Cambria"/>
                <w:b/>
                <w:sz w:val="18"/>
                <w:szCs w:val="18"/>
                <w:lang w:val="es-ES"/>
              </w:rPr>
            </w:pPr>
          </w:p>
        </w:tc>
      </w:tr>
    </w:tbl>
    <w:p w:rsidR="00C95A96" w:rsidRPr="00600BB6" w:rsidRDefault="00C95A96" w:rsidP="00600BB6">
      <w:pPr>
        <w:jc w:val="center"/>
        <w:rPr>
          <w:rFonts w:ascii="Cambria" w:hAnsi="Cambria"/>
          <w:sz w:val="18"/>
          <w:szCs w:val="18"/>
          <w:lang w:val="es-ES"/>
        </w:rPr>
      </w:pPr>
    </w:p>
    <w:p w:rsidR="00C95A96" w:rsidRPr="00B278C9" w:rsidRDefault="00C95A96" w:rsidP="00225F6F">
      <w:pPr>
        <w:jc w:val="center"/>
        <w:rPr>
          <w:rFonts w:ascii="Cambria" w:hAnsi="Cambria"/>
          <w:b/>
          <w:sz w:val="20"/>
          <w:szCs w:val="20"/>
          <w:lang w:val="es-ES"/>
        </w:rPr>
        <w:sectPr w:rsidR="00C95A96" w:rsidRPr="00B278C9" w:rsidSect="00543111">
          <w:headerReference w:type="first" r:id="rId12"/>
          <w:footerReference w:type="first" r:id="rId13"/>
          <w:pgSz w:w="10325" w:h="14573" w:code="13"/>
          <w:pgMar w:top="1152" w:right="1152" w:bottom="1152" w:left="1440" w:header="432" w:footer="432" w:gutter="0"/>
          <w:cols w:space="720"/>
          <w:vAlign w:val="center"/>
          <w:titlePg/>
          <w:docGrid w:linePitch="326"/>
        </w:sectPr>
      </w:pPr>
    </w:p>
    <w:p w:rsidR="00C95A96" w:rsidRPr="00FF743B" w:rsidRDefault="00C95A96" w:rsidP="00E94226">
      <w:pPr>
        <w:rPr>
          <w:rFonts w:ascii="Cambria" w:hAnsi="Cambria"/>
          <w:b/>
          <w:sz w:val="28"/>
          <w:lang w:val="es-ES"/>
        </w:rPr>
      </w:pPr>
      <w:r w:rsidRPr="00FF743B">
        <w:rPr>
          <w:rFonts w:ascii="Cambria" w:hAnsi="Cambria"/>
          <w:b/>
          <w:sz w:val="28"/>
          <w:lang w:val="es-ES"/>
        </w:rPr>
        <w:lastRenderedPageBreak/>
        <w:t>COMISIÓN INTERAMERICANA DE DERECHOS HUMANOS</w:t>
      </w:r>
    </w:p>
    <w:p w:rsidR="00C95A96" w:rsidRPr="00FF743B" w:rsidRDefault="00C95A96" w:rsidP="00225F6F">
      <w:pPr>
        <w:tabs>
          <w:tab w:val="center" w:pos="4680"/>
        </w:tabs>
        <w:rPr>
          <w:rFonts w:ascii="Cambria" w:hAnsi="Cambria"/>
          <w:b/>
          <w:bCs/>
          <w:color w:val="7F7F7F"/>
          <w:lang w:val="es-ES"/>
        </w:rPr>
      </w:pPr>
    </w:p>
    <w:p w:rsidR="00C95A96" w:rsidRDefault="00C95A96" w:rsidP="00225F6F">
      <w:pPr>
        <w:tabs>
          <w:tab w:val="center" w:pos="4680"/>
        </w:tabs>
        <w:rPr>
          <w:rFonts w:ascii="Cambria" w:hAnsi="Cambria"/>
          <w:b/>
          <w:bCs/>
          <w:color w:val="7F7F7F"/>
          <w:lang w:val="es-ES"/>
        </w:rPr>
      </w:pPr>
    </w:p>
    <w:p w:rsidR="00B278C9" w:rsidRDefault="00B278C9" w:rsidP="00225F6F">
      <w:pPr>
        <w:tabs>
          <w:tab w:val="center" w:pos="4680"/>
        </w:tabs>
        <w:rPr>
          <w:rFonts w:ascii="Cambria" w:hAnsi="Cambria"/>
          <w:b/>
          <w:bCs/>
          <w:color w:val="7F7F7F"/>
          <w:lang w:val="es-ES"/>
        </w:rPr>
      </w:pPr>
    </w:p>
    <w:p w:rsidR="00B278C9" w:rsidRPr="00FF743B" w:rsidRDefault="00B278C9" w:rsidP="00225F6F">
      <w:pPr>
        <w:tabs>
          <w:tab w:val="center" w:pos="4680"/>
        </w:tabs>
        <w:rPr>
          <w:rFonts w:ascii="Cambria" w:hAnsi="Cambria"/>
          <w:b/>
          <w:bCs/>
          <w:color w:val="7F7F7F"/>
          <w:lang w:val="es-ES"/>
        </w:rPr>
      </w:pPr>
    </w:p>
    <w:p w:rsidR="00C95A96" w:rsidRPr="00FF743B" w:rsidRDefault="00C95A96" w:rsidP="00225F6F">
      <w:pPr>
        <w:tabs>
          <w:tab w:val="center" w:pos="4680"/>
        </w:tabs>
        <w:rPr>
          <w:rFonts w:ascii="Cambria" w:hAnsi="Cambria"/>
          <w:b/>
          <w:bCs/>
          <w:color w:val="7F7F7F"/>
          <w:lang w:val="es-ES"/>
        </w:rPr>
      </w:pPr>
    </w:p>
    <w:p w:rsidR="00C95A96" w:rsidRPr="00896A5A" w:rsidRDefault="00C95A96" w:rsidP="00CB5601">
      <w:pPr>
        <w:pBdr>
          <w:bottom w:val="single" w:sz="4" w:space="1" w:color="808080"/>
        </w:pBdr>
        <w:tabs>
          <w:tab w:val="center" w:pos="4680"/>
        </w:tabs>
        <w:rPr>
          <w:rFonts w:ascii="Cambria" w:hAnsi="Cambria"/>
          <w:b/>
          <w:bCs/>
          <w:color w:val="808080"/>
          <w:sz w:val="28"/>
          <w:szCs w:val="28"/>
          <w:lang w:val="es-ES"/>
        </w:rPr>
      </w:pPr>
      <w:r w:rsidRPr="00896A5A">
        <w:rPr>
          <w:rFonts w:ascii="Cambria" w:hAnsi="Cambria"/>
          <w:b/>
          <w:bCs/>
          <w:color w:val="808080"/>
          <w:sz w:val="28"/>
          <w:szCs w:val="28"/>
          <w:lang w:val="es-ES"/>
        </w:rPr>
        <w:t>Miembros</w:t>
      </w:r>
    </w:p>
    <w:p w:rsidR="00C95A96" w:rsidRPr="00FF743B" w:rsidRDefault="00C95A96" w:rsidP="00225F6F">
      <w:pPr>
        <w:tabs>
          <w:tab w:val="left" w:pos="0"/>
        </w:tabs>
        <w:rPr>
          <w:rFonts w:ascii="Cambria" w:hAnsi="Cambria"/>
          <w:sz w:val="20"/>
          <w:szCs w:val="20"/>
          <w:lang w:val="es-ES"/>
        </w:rPr>
      </w:pPr>
    </w:p>
    <w:p w:rsidR="00C95A96" w:rsidRPr="00FF743B" w:rsidRDefault="00C95A96" w:rsidP="00225F6F">
      <w:pPr>
        <w:tabs>
          <w:tab w:val="left" w:pos="0"/>
        </w:tabs>
        <w:rPr>
          <w:rFonts w:ascii="Cambria" w:hAnsi="Cambria"/>
          <w:sz w:val="20"/>
          <w:szCs w:val="20"/>
          <w:lang w:val="es-ES"/>
        </w:rPr>
      </w:pPr>
    </w:p>
    <w:p w:rsidR="00C95A96" w:rsidRPr="00543111" w:rsidRDefault="00C95A96" w:rsidP="00225F6F">
      <w:pPr>
        <w:tabs>
          <w:tab w:val="left" w:pos="0"/>
        </w:tabs>
        <w:rPr>
          <w:rFonts w:ascii="Cambria" w:hAnsi="Cambria"/>
          <w:lang w:val="es-ES"/>
        </w:rPr>
      </w:pPr>
      <w:r w:rsidRPr="00543111">
        <w:rPr>
          <w:rFonts w:ascii="Cambria" w:hAnsi="Cambria"/>
          <w:lang w:val="es-ES"/>
        </w:rPr>
        <w:t>Tracy Robinson</w:t>
      </w:r>
    </w:p>
    <w:p w:rsidR="00C95A96" w:rsidRPr="00543111" w:rsidRDefault="00C95A96" w:rsidP="00225F6F">
      <w:pPr>
        <w:tabs>
          <w:tab w:val="left" w:pos="0"/>
        </w:tabs>
        <w:rPr>
          <w:rFonts w:ascii="Cambria" w:hAnsi="Cambria"/>
          <w:lang w:val="es-ES"/>
        </w:rPr>
      </w:pPr>
    </w:p>
    <w:p w:rsidR="00C95A96" w:rsidRPr="00543111" w:rsidRDefault="00C95A96" w:rsidP="00225F6F">
      <w:pPr>
        <w:tabs>
          <w:tab w:val="left" w:pos="0"/>
        </w:tabs>
        <w:rPr>
          <w:rFonts w:ascii="Cambria" w:hAnsi="Cambria"/>
          <w:lang w:val="es-ES"/>
        </w:rPr>
      </w:pPr>
      <w:r w:rsidRPr="00543111">
        <w:rPr>
          <w:rFonts w:ascii="Cambria" w:hAnsi="Cambria"/>
          <w:lang w:val="es-ES"/>
        </w:rPr>
        <w:t>Rose-Marie Belle Antoine</w:t>
      </w:r>
    </w:p>
    <w:p w:rsidR="00C95A96" w:rsidRPr="00543111" w:rsidRDefault="00C95A96" w:rsidP="00225F6F">
      <w:pPr>
        <w:tabs>
          <w:tab w:val="left" w:pos="0"/>
        </w:tabs>
        <w:rPr>
          <w:rFonts w:ascii="Cambria" w:hAnsi="Cambria"/>
          <w:lang w:val="es-ES"/>
        </w:rPr>
      </w:pPr>
    </w:p>
    <w:p w:rsidR="00C95A96" w:rsidRPr="00B278C9" w:rsidRDefault="00C95A96" w:rsidP="00225F6F">
      <w:pPr>
        <w:tabs>
          <w:tab w:val="left" w:pos="0"/>
        </w:tabs>
        <w:rPr>
          <w:rFonts w:ascii="Cambria" w:hAnsi="Cambria"/>
          <w:lang w:val="es-ES"/>
        </w:rPr>
      </w:pPr>
      <w:r w:rsidRPr="00B278C9">
        <w:rPr>
          <w:rFonts w:ascii="Cambria" w:hAnsi="Cambria"/>
          <w:lang w:val="es-ES"/>
        </w:rPr>
        <w:t>Felipe González</w:t>
      </w:r>
    </w:p>
    <w:p w:rsidR="00C95A96" w:rsidRPr="00B278C9" w:rsidRDefault="00C95A96" w:rsidP="00225F6F">
      <w:pPr>
        <w:tabs>
          <w:tab w:val="left" w:pos="0"/>
        </w:tabs>
        <w:rPr>
          <w:rFonts w:ascii="Cambria" w:hAnsi="Cambria"/>
          <w:lang w:val="es-ES"/>
        </w:rPr>
      </w:pPr>
    </w:p>
    <w:p w:rsidR="00C95A96" w:rsidRPr="00B278C9" w:rsidRDefault="00C95A96" w:rsidP="00225F6F">
      <w:pPr>
        <w:tabs>
          <w:tab w:val="left" w:pos="0"/>
        </w:tabs>
        <w:rPr>
          <w:rFonts w:ascii="Cambria" w:hAnsi="Cambria"/>
          <w:lang w:val="es-ES"/>
        </w:rPr>
      </w:pPr>
      <w:r w:rsidRPr="00B278C9">
        <w:rPr>
          <w:rFonts w:ascii="Cambria" w:hAnsi="Cambria"/>
          <w:lang w:val="es-ES"/>
        </w:rPr>
        <w:t>José de Jesús Orozco Henríquez</w:t>
      </w:r>
    </w:p>
    <w:p w:rsidR="00C95A96" w:rsidRPr="00B278C9" w:rsidRDefault="00C95A96" w:rsidP="00225F6F">
      <w:pPr>
        <w:tabs>
          <w:tab w:val="left" w:pos="0"/>
        </w:tabs>
        <w:rPr>
          <w:rFonts w:ascii="Cambria" w:hAnsi="Cambria"/>
          <w:b/>
          <w:lang w:val="es-ES"/>
        </w:rPr>
      </w:pPr>
    </w:p>
    <w:p w:rsidR="00C95A96" w:rsidRPr="00B278C9" w:rsidRDefault="00C95A96" w:rsidP="00225F6F">
      <w:pPr>
        <w:tabs>
          <w:tab w:val="left" w:pos="0"/>
        </w:tabs>
        <w:rPr>
          <w:rFonts w:ascii="Cambria" w:hAnsi="Cambria"/>
          <w:lang w:val="es-ES"/>
        </w:rPr>
      </w:pPr>
      <w:r w:rsidRPr="00B278C9">
        <w:rPr>
          <w:rFonts w:ascii="Cambria" w:hAnsi="Cambria"/>
          <w:lang w:val="es-ES"/>
        </w:rPr>
        <w:t>Rosa María Ortiz</w:t>
      </w:r>
    </w:p>
    <w:p w:rsidR="00C95A96" w:rsidRPr="00B278C9" w:rsidRDefault="00C95A96" w:rsidP="00225F6F">
      <w:pPr>
        <w:tabs>
          <w:tab w:val="left" w:pos="0"/>
        </w:tabs>
        <w:rPr>
          <w:rFonts w:ascii="Cambria" w:hAnsi="Cambria"/>
          <w:lang w:val="es-ES"/>
        </w:rPr>
      </w:pPr>
    </w:p>
    <w:p w:rsidR="00C95A96" w:rsidRPr="00B278C9" w:rsidRDefault="00C95A96" w:rsidP="00225F6F">
      <w:pPr>
        <w:tabs>
          <w:tab w:val="left" w:pos="0"/>
        </w:tabs>
        <w:rPr>
          <w:rFonts w:ascii="Cambria" w:hAnsi="Cambria"/>
          <w:lang w:val="es-ES"/>
        </w:rPr>
      </w:pPr>
      <w:r w:rsidRPr="00B278C9">
        <w:rPr>
          <w:rFonts w:ascii="Cambria" w:hAnsi="Cambria"/>
          <w:lang w:val="es-ES"/>
        </w:rPr>
        <w:t>Paulo Vannuchi</w:t>
      </w:r>
    </w:p>
    <w:p w:rsidR="00C95A96" w:rsidRPr="00B278C9" w:rsidRDefault="00C95A96" w:rsidP="00225F6F">
      <w:pPr>
        <w:tabs>
          <w:tab w:val="left" w:pos="0"/>
        </w:tabs>
        <w:rPr>
          <w:rFonts w:ascii="Cambria" w:hAnsi="Cambria"/>
          <w:lang w:val="es-ES"/>
        </w:rPr>
      </w:pPr>
    </w:p>
    <w:p w:rsidR="00C95A96" w:rsidRPr="00B278C9" w:rsidRDefault="00C95A96" w:rsidP="00225F6F">
      <w:pPr>
        <w:tabs>
          <w:tab w:val="left" w:pos="0"/>
        </w:tabs>
        <w:rPr>
          <w:rFonts w:ascii="Cambria" w:hAnsi="Cambria"/>
          <w:lang w:val="es-ES"/>
        </w:rPr>
      </w:pPr>
      <w:r w:rsidRPr="00B278C9">
        <w:rPr>
          <w:rFonts w:ascii="Cambria" w:hAnsi="Cambria"/>
          <w:lang w:val="es-ES"/>
        </w:rPr>
        <w:t>James L. Cavallaro</w:t>
      </w:r>
    </w:p>
    <w:p w:rsidR="00C95A96" w:rsidRPr="00FF743B" w:rsidRDefault="00C95A96" w:rsidP="00225F6F">
      <w:pPr>
        <w:tabs>
          <w:tab w:val="left" w:pos="0"/>
        </w:tabs>
        <w:rPr>
          <w:rFonts w:ascii="Cambria" w:hAnsi="Cambria"/>
          <w:sz w:val="20"/>
          <w:szCs w:val="20"/>
          <w:lang w:val="es-ES"/>
        </w:rPr>
      </w:pPr>
    </w:p>
    <w:p w:rsidR="00C95A96" w:rsidRPr="00FF743B" w:rsidRDefault="00C95A96" w:rsidP="00225F6F">
      <w:pPr>
        <w:tabs>
          <w:tab w:val="left" w:pos="0"/>
        </w:tabs>
        <w:rPr>
          <w:rFonts w:ascii="Cambria" w:hAnsi="Cambria"/>
          <w:sz w:val="20"/>
          <w:szCs w:val="20"/>
          <w:lang w:val="es-ES"/>
        </w:rPr>
      </w:pPr>
    </w:p>
    <w:p w:rsidR="00C95A96" w:rsidRPr="00896A5A" w:rsidRDefault="00C95A96" w:rsidP="00CB5601">
      <w:pPr>
        <w:pBdr>
          <w:bottom w:val="single" w:sz="4" w:space="1" w:color="808080"/>
        </w:pBdr>
        <w:rPr>
          <w:rFonts w:ascii="Cambria" w:hAnsi="Cambria"/>
          <w:b/>
          <w:bCs/>
          <w:color w:val="808080"/>
          <w:sz w:val="28"/>
          <w:szCs w:val="28"/>
          <w:lang w:val="es-ES"/>
        </w:rPr>
      </w:pPr>
      <w:r w:rsidRPr="00896A5A">
        <w:rPr>
          <w:rFonts w:ascii="Cambria" w:hAnsi="Cambria"/>
          <w:b/>
          <w:bCs/>
          <w:color w:val="808080"/>
          <w:sz w:val="28"/>
          <w:szCs w:val="28"/>
          <w:lang w:val="es-ES"/>
        </w:rPr>
        <w:t>Secretario Ejecutivo</w:t>
      </w:r>
    </w:p>
    <w:p w:rsidR="00C95A96" w:rsidRPr="00FF743B" w:rsidRDefault="00C95A96" w:rsidP="00225F6F">
      <w:pPr>
        <w:rPr>
          <w:rFonts w:ascii="Cambria" w:hAnsi="Cambria"/>
          <w:bCs/>
          <w:sz w:val="20"/>
          <w:szCs w:val="20"/>
          <w:lang w:val="es-ES"/>
        </w:rPr>
      </w:pPr>
    </w:p>
    <w:p w:rsidR="00C95A96" w:rsidRPr="00B278C9" w:rsidRDefault="00B278C9" w:rsidP="00225F6F">
      <w:pPr>
        <w:rPr>
          <w:rFonts w:ascii="Cambria" w:hAnsi="Cambria"/>
          <w:bCs/>
          <w:lang w:val="es-ES"/>
        </w:rPr>
      </w:pPr>
      <w:r>
        <w:rPr>
          <w:rFonts w:ascii="Cambria" w:hAnsi="Cambria"/>
          <w:bCs/>
          <w:lang w:val="es-ES"/>
        </w:rPr>
        <w:t>Emilio Álvarez-Icaza Longoria</w:t>
      </w:r>
    </w:p>
    <w:p w:rsidR="00543111" w:rsidRDefault="00543111" w:rsidP="00225F6F">
      <w:pPr>
        <w:rPr>
          <w:rFonts w:ascii="Cambria" w:hAnsi="Cambria"/>
          <w:bCs/>
          <w:sz w:val="20"/>
          <w:szCs w:val="20"/>
          <w:lang w:val="es-ES"/>
        </w:rPr>
      </w:pPr>
    </w:p>
    <w:p w:rsidR="00543111" w:rsidRPr="00FF743B" w:rsidRDefault="00543111" w:rsidP="00225F6F">
      <w:pPr>
        <w:rPr>
          <w:rFonts w:ascii="Cambria" w:hAnsi="Cambria"/>
          <w:bCs/>
          <w:sz w:val="20"/>
          <w:szCs w:val="20"/>
          <w:lang w:val="es-ES"/>
        </w:rPr>
      </w:pPr>
    </w:p>
    <w:p w:rsidR="00C95A96" w:rsidRPr="00896A5A" w:rsidRDefault="00C95A96" w:rsidP="00CB5601">
      <w:pPr>
        <w:pBdr>
          <w:bottom w:val="single" w:sz="4" w:space="1" w:color="808080"/>
        </w:pBdr>
        <w:rPr>
          <w:rFonts w:ascii="Cambria" w:hAnsi="Cambria"/>
          <w:bCs/>
          <w:color w:val="808080"/>
          <w:sz w:val="28"/>
          <w:szCs w:val="28"/>
          <w:lang w:val="es-ES"/>
        </w:rPr>
      </w:pPr>
      <w:r w:rsidRPr="00896A5A">
        <w:rPr>
          <w:rFonts w:ascii="Cambria" w:hAnsi="Cambria"/>
          <w:b/>
          <w:bCs/>
          <w:color w:val="808080"/>
          <w:sz w:val="28"/>
          <w:szCs w:val="28"/>
          <w:lang w:val="es-ES"/>
        </w:rPr>
        <w:t>Secretaria Ejecutiva Adjunta</w:t>
      </w:r>
    </w:p>
    <w:p w:rsidR="00C95A96" w:rsidRPr="00FF743B" w:rsidRDefault="00C95A96" w:rsidP="00225F6F">
      <w:pPr>
        <w:rPr>
          <w:rFonts w:ascii="Cambria" w:hAnsi="Cambria"/>
          <w:bCs/>
          <w:sz w:val="20"/>
          <w:szCs w:val="20"/>
          <w:lang w:val="es-ES"/>
        </w:rPr>
      </w:pPr>
    </w:p>
    <w:p w:rsidR="00C95A96" w:rsidRDefault="00C95A96" w:rsidP="00225F6F">
      <w:pPr>
        <w:rPr>
          <w:rFonts w:ascii="Cambria" w:hAnsi="Cambria"/>
          <w:bCs/>
          <w:lang w:val="es-ES"/>
        </w:rPr>
      </w:pPr>
      <w:r w:rsidRPr="00B278C9">
        <w:rPr>
          <w:rFonts w:ascii="Cambria" w:hAnsi="Cambria"/>
          <w:bCs/>
          <w:lang w:val="es-ES"/>
        </w:rPr>
        <w:t>Elizabeth Abi-Mershed</w:t>
      </w:r>
    </w:p>
    <w:p w:rsidR="00AB6DD7" w:rsidRDefault="00AB6DD7" w:rsidP="00225F6F">
      <w:pPr>
        <w:rPr>
          <w:rFonts w:ascii="Cambria" w:hAnsi="Cambria"/>
          <w:bCs/>
          <w:lang w:val="es-ES"/>
        </w:rPr>
        <w:sectPr w:rsidR="00AB6DD7" w:rsidSect="00543111">
          <w:headerReference w:type="default" r:id="rId14"/>
          <w:footerReference w:type="default" r:id="rId15"/>
          <w:pgSz w:w="10325" w:h="14573" w:code="13"/>
          <w:pgMar w:top="1152" w:right="1152" w:bottom="1152" w:left="1440" w:header="432" w:footer="432" w:gutter="0"/>
          <w:cols w:space="720"/>
          <w:vAlign w:val="center"/>
          <w:docGrid w:linePitch="326"/>
        </w:sectPr>
      </w:pPr>
    </w:p>
    <w:p w:rsidR="00C95A96" w:rsidRPr="00FF743B" w:rsidRDefault="00AB6DD7" w:rsidP="00225F6F">
      <w:pPr>
        <w:jc w:val="center"/>
        <w:rPr>
          <w:rFonts w:ascii="Cambria" w:hAnsi="Cambria"/>
          <w:b/>
          <w:sz w:val="20"/>
          <w:szCs w:val="20"/>
          <w:lang w:val="es-ES"/>
        </w:rPr>
      </w:pPr>
      <w:r w:rsidRPr="00B278C9">
        <w:rPr>
          <w:rFonts w:ascii="Cambria" w:hAnsi="Cambria"/>
          <w:sz w:val="20"/>
          <w:szCs w:val="20"/>
          <w:lang w:val="es-ES"/>
        </w:rPr>
        <w:lastRenderedPageBreak/>
        <w:t>Aprobado por la Comisión Interamericana de Derechos Humanos el 14 de agosto de 2014</w:t>
      </w:r>
    </w:p>
    <w:p w:rsidR="00D6522F" w:rsidRDefault="00D6522F" w:rsidP="00225F6F">
      <w:pPr>
        <w:rPr>
          <w:rFonts w:ascii="Cambria" w:hAnsi="Cambria"/>
          <w:sz w:val="36"/>
          <w:szCs w:val="36"/>
          <w:lang w:val="es-ES"/>
        </w:rPr>
        <w:sectPr w:rsidR="00D6522F" w:rsidSect="00543111">
          <w:pgSz w:w="10325" w:h="14573" w:code="13"/>
          <w:pgMar w:top="1152" w:right="1152" w:bottom="1152" w:left="1440" w:header="432" w:footer="432" w:gutter="0"/>
          <w:cols w:space="720"/>
          <w:vAlign w:val="center"/>
          <w:docGrid w:linePitch="326"/>
        </w:sectPr>
      </w:pPr>
    </w:p>
    <w:p w:rsidR="00244448" w:rsidRDefault="00244448" w:rsidP="00225F6F">
      <w:pPr>
        <w:rPr>
          <w:rFonts w:ascii="Cambria" w:hAnsi="Cambria"/>
          <w:sz w:val="40"/>
          <w:szCs w:val="40"/>
          <w:lang w:val="es-ES"/>
        </w:rPr>
      </w:pPr>
    </w:p>
    <w:p w:rsidR="00244448" w:rsidRDefault="00244448" w:rsidP="00225F6F">
      <w:pPr>
        <w:rPr>
          <w:rFonts w:ascii="Cambria" w:hAnsi="Cambria"/>
          <w:sz w:val="40"/>
          <w:szCs w:val="40"/>
          <w:lang w:val="es-ES"/>
        </w:rPr>
      </w:pPr>
    </w:p>
    <w:p w:rsidR="00EC0F19" w:rsidRPr="00FB10FE" w:rsidRDefault="00C95A96" w:rsidP="00225F6F">
      <w:pPr>
        <w:rPr>
          <w:rFonts w:ascii="Cambria" w:hAnsi="Cambria"/>
          <w:color w:val="4A442A"/>
          <w:sz w:val="40"/>
          <w:szCs w:val="40"/>
          <w:lang w:val="es-ES"/>
        </w:rPr>
      </w:pPr>
      <w:r w:rsidRPr="00FB10FE">
        <w:rPr>
          <w:rFonts w:ascii="Cambria" w:hAnsi="Cambria"/>
          <w:color w:val="4A442A"/>
          <w:sz w:val="40"/>
          <w:szCs w:val="40"/>
          <w:lang w:val="es-ES"/>
        </w:rPr>
        <w:t>ÍNDICE</w:t>
      </w:r>
    </w:p>
    <w:p w:rsidR="00EC0F19" w:rsidRPr="00FF743B" w:rsidRDefault="00EC0F19" w:rsidP="00E94226">
      <w:pPr>
        <w:rPr>
          <w:rFonts w:ascii="Cambria" w:hAnsi="Cambria"/>
          <w:b/>
          <w:sz w:val="20"/>
          <w:szCs w:val="20"/>
          <w:lang w:val="es-ES"/>
        </w:rPr>
      </w:pPr>
    </w:p>
    <w:p w:rsidR="00EC0F19" w:rsidRPr="00FF743B" w:rsidRDefault="00EC0F19" w:rsidP="00E94226">
      <w:pPr>
        <w:rPr>
          <w:rFonts w:ascii="Cambria" w:hAnsi="Cambria"/>
          <w:b/>
          <w:sz w:val="20"/>
          <w:szCs w:val="20"/>
          <w:lang w:val="es-ES"/>
        </w:rPr>
      </w:pPr>
    </w:p>
    <w:p w:rsidR="00EC0F19" w:rsidRDefault="00EC0F19" w:rsidP="00E94226">
      <w:pPr>
        <w:rPr>
          <w:rFonts w:ascii="Cambria" w:hAnsi="Cambria"/>
          <w:b/>
          <w:sz w:val="20"/>
          <w:szCs w:val="20"/>
          <w:lang w:val="es-ES"/>
        </w:rPr>
      </w:pPr>
    </w:p>
    <w:p w:rsidR="00B278C9" w:rsidRDefault="00B278C9" w:rsidP="00E94226">
      <w:pPr>
        <w:rPr>
          <w:rFonts w:ascii="Cambria" w:hAnsi="Cambria"/>
          <w:b/>
          <w:sz w:val="20"/>
          <w:szCs w:val="20"/>
          <w:lang w:val="es-ES"/>
        </w:rPr>
      </w:pPr>
    </w:p>
    <w:p w:rsidR="00B278C9" w:rsidRDefault="00B278C9" w:rsidP="00E94226">
      <w:pPr>
        <w:rPr>
          <w:rFonts w:ascii="Cambria" w:hAnsi="Cambria"/>
          <w:b/>
          <w:sz w:val="20"/>
          <w:szCs w:val="20"/>
          <w:lang w:val="es-ES"/>
        </w:rPr>
      </w:pPr>
    </w:p>
    <w:p w:rsidR="00F010D6" w:rsidRPr="00FF743B" w:rsidRDefault="00F010D6" w:rsidP="00E94226">
      <w:pPr>
        <w:rPr>
          <w:rFonts w:ascii="Cambria" w:hAnsi="Cambria"/>
          <w:b/>
          <w:sz w:val="20"/>
          <w:szCs w:val="20"/>
          <w:lang w:val="es-ES"/>
        </w:rPr>
      </w:pPr>
    </w:p>
    <w:p w:rsidR="00EC0F19" w:rsidRPr="00FF743B" w:rsidRDefault="00EC0F19" w:rsidP="00E94226">
      <w:pPr>
        <w:pStyle w:val="TOC1"/>
        <w:pBdr>
          <w:bottom w:val="single" w:sz="4" w:space="1" w:color="auto"/>
        </w:pBdr>
        <w:tabs>
          <w:tab w:val="left" w:pos="360"/>
          <w:tab w:val="left" w:pos="720"/>
          <w:tab w:val="right" w:pos="7830"/>
        </w:tabs>
        <w:rPr>
          <w:rFonts w:ascii="Cambria" w:hAnsi="Cambria"/>
          <w:noProof/>
          <w:sz w:val="20"/>
          <w:szCs w:val="20"/>
          <w:lang w:val="es-ES"/>
        </w:rPr>
      </w:pPr>
      <w:r w:rsidRPr="00FF743B">
        <w:rPr>
          <w:rFonts w:ascii="Cambria" w:hAnsi="Cambria"/>
          <w:b/>
          <w:sz w:val="20"/>
          <w:szCs w:val="20"/>
          <w:lang w:val="es-ES"/>
        </w:rPr>
        <w:fldChar w:fldCharType="begin"/>
      </w:r>
      <w:r w:rsidRPr="00FF743B">
        <w:rPr>
          <w:rFonts w:ascii="Cambria" w:hAnsi="Cambria"/>
          <w:b/>
          <w:sz w:val="20"/>
          <w:szCs w:val="20"/>
          <w:lang w:val="es-ES"/>
        </w:rPr>
        <w:instrText xml:space="preserve"> TOC \o "1-3" \h \z \u </w:instrText>
      </w:r>
      <w:r w:rsidRPr="00FF743B">
        <w:rPr>
          <w:rFonts w:ascii="Cambria" w:hAnsi="Cambria"/>
          <w:b/>
          <w:sz w:val="20"/>
          <w:szCs w:val="20"/>
          <w:lang w:val="es-ES"/>
        </w:rPr>
        <w:fldChar w:fldCharType="separate"/>
      </w:r>
      <w:hyperlink w:anchor="_Toc392951570" w:history="1">
        <w:r w:rsidR="00F010D6" w:rsidRPr="00896A5A">
          <w:rPr>
            <w:rStyle w:val="Hyperlink"/>
            <w:rFonts w:ascii="Cambria" w:hAnsi="Cambria"/>
            <w:b/>
            <w:noProof/>
            <w:color w:val="808080"/>
            <w:lang w:val="es-ES"/>
          </w:rPr>
          <w:t xml:space="preserve">CAPÍTULO </w:t>
        </w:r>
        <w:r w:rsidR="000B381F" w:rsidRPr="00896A5A">
          <w:rPr>
            <w:rStyle w:val="Hyperlink"/>
            <w:rFonts w:ascii="Cambria" w:hAnsi="Cambria"/>
            <w:b/>
            <w:noProof/>
            <w:color w:val="808080"/>
            <w:lang w:val="es-ES"/>
          </w:rPr>
          <w:t>1</w:t>
        </w:r>
        <w:r w:rsidR="00F010D6" w:rsidRPr="00896A5A">
          <w:rPr>
            <w:rStyle w:val="Hyperlink"/>
            <w:rFonts w:ascii="Cambria" w:hAnsi="Cambria"/>
            <w:b/>
            <w:noProof/>
            <w:color w:val="808080"/>
            <w:lang w:val="es-ES"/>
          </w:rPr>
          <w:t xml:space="preserve"> </w:t>
        </w:r>
        <w:r w:rsidR="00F010D6" w:rsidRPr="00B278C9">
          <w:rPr>
            <w:rStyle w:val="Hyperlink"/>
            <w:rFonts w:ascii="Cambria" w:hAnsi="Cambria"/>
            <w:noProof/>
            <w:lang w:val="es-ES"/>
          </w:rPr>
          <w:t xml:space="preserve">  |   </w:t>
        </w:r>
        <w:r w:rsidRPr="00FB10FE">
          <w:rPr>
            <w:rStyle w:val="Hyperlink"/>
            <w:rFonts w:ascii="Cambria" w:hAnsi="Cambria"/>
            <w:b/>
            <w:noProof/>
            <w:color w:val="4A442A"/>
            <w:lang w:val="es-ES"/>
          </w:rPr>
          <w:t>INTRO</w:t>
        </w:r>
        <w:r w:rsidRPr="00CB5601">
          <w:rPr>
            <w:rStyle w:val="Hyperlink"/>
            <w:rFonts w:ascii="Cambria" w:hAnsi="Cambria"/>
            <w:b/>
            <w:noProof/>
            <w:color w:val="4A442A"/>
            <w:lang w:val="es-ES"/>
          </w:rPr>
          <w:t>D</w:t>
        </w:r>
        <w:r w:rsidRPr="00FB10FE">
          <w:rPr>
            <w:rStyle w:val="Hyperlink"/>
            <w:rFonts w:ascii="Cambria" w:hAnsi="Cambria"/>
            <w:b/>
            <w:noProof/>
            <w:color w:val="4A442A"/>
            <w:lang w:val="es-ES"/>
          </w:rPr>
          <w:t>UCCIÓN</w:t>
        </w:r>
        <w:r w:rsidRPr="00FF743B">
          <w:rPr>
            <w:rFonts w:ascii="Cambria" w:hAnsi="Cambria"/>
            <w:noProof/>
            <w:webHidden/>
            <w:sz w:val="20"/>
            <w:szCs w:val="20"/>
            <w:lang w:val="es-ES"/>
          </w:rPr>
          <w:tab/>
        </w:r>
        <w:r w:rsidRPr="00FF743B">
          <w:rPr>
            <w:rFonts w:ascii="Cambria" w:hAnsi="Cambria"/>
            <w:noProof/>
            <w:webHidden/>
            <w:sz w:val="20"/>
            <w:szCs w:val="20"/>
            <w:lang w:val="es-ES"/>
          </w:rPr>
          <w:fldChar w:fldCharType="begin"/>
        </w:r>
        <w:r w:rsidRPr="00FF743B">
          <w:rPr>
            <w:rFonts w:ascii="Cambria" w:hAnsi="Cambria"/>
            <w:noProof/>
            <w:webHidden/>
            <w:sz w:val="20"/>
            <w:szCs w:val="20"/>
            <w:lang w:val="es-ES"/>
          </w:rPr>
          <w:instrText xml:space="preserve"> PAGEREF _Toc392951570 \h </w:instrText>
        </w:r>
        <w:r w:rsidRPr="00FF743B">
          <w:rPr>
            <w:rFonts w:ascii="Cambria" w:hAnsi="Cambria"/>
            <w:noProof/>
            <w:webHidden/>
            <w:sz w:val="20"/>
            <w:szCs w:val="20"/>
            <w:lang w:val="es-ES"/>
          </w:rPr>
        </w:r>
        <w:r w:rsidRPr="00FF743B">
          <w:rPr>
            <w:rFonts w:ascii="Cambria" w:hAnsi="Cambria"/>
            <w:noProof/>
            <w:webHidden/>
            <w:sz w:val="20"/>
            <w:szCs w:val="20"/>
            <w:lang w:val="es-ES"/>
          </w:rPr>
          <w:fldChar w:fldCharType="separate"/>
        </w:r>
        <w:r w:rsidR="00985022">
          <w:rPr>
            <w:rFonts w:ascii="Cambria" w:hAnsi="Cambria"/>
            <w:noProof/>
            <w:webHidden/>
            <w:sz w:val="20"/>
            <w:szCs w:val="20"/>
            <w:lang w:val="es-ES"/>
          </w:rPr>
          <w:t>7</w:t>
        </w:r>
        <w:r w:rsidRPr="00FF743B">
          <w:rPr>
            <w:rFonts w:ascii="Cambria" w:hAnsi="Cambria"/>
            <w:noProof/>
            <w:webHidden/>
            <w:sz w:val="20"/>
            <w:szCs w:val="20"/>
            <w:lang w:val="es-ES"/>
          </w:rPr>
          <w:fldChar w:fldCharType="end"/>
        </w:r>
      </w:hyperlink>
    </w:p>
    <w:p w:rsidR="00EC0F19" w:rsidRPr="00FF743B" w:rsidRDefault="00EC0F19" w:rsidP="00543111">
      <w:pPr>
        <w:pStyle w:val="TOC2"/>
        <w:rPr>
          <w:rStyle w:val="Hyperlink"/>
        </w:rPr>
      </w:pPr>
    </w:p>
    <w:p w:rsidR="00EC0F19" w:rsidRPr="00576258" w:rsidRDefault="00C00004" w:rsidP="00543111">
      <w:pPr>
        <w:pStyle w:val="TOC2"/>
      </w:pPr>
      <w:hyperlink w:anchor="_Toc392951571" w:history="1">
        <w:r w:rsidR="00EC0F19" w:rsidRPr="00576258">
          <w:rPr>
            <w:rStyle w:val="Hyperlink"/>
          </w:rPr>
          <w:t>A.</w:t>
        </w:r>
        <w:r w:rsidR="00EC0F19" w:rsidRPr="00576258">
          <w:tab/>
        </w:r>
        <w:r w:rsidR="00EC0F19" w:rsidRPr="00576258">
          <w:rPr>
            <w:rStyle w:val="Hyperlink"/>
          </w:rPr>
          <w:t>Supuestos de la universalidad</w:t>
        </w:r>
        <w:r w:rsidR="00EC0F19" w:rsidRPr="00576258">
          <w:rPr>
            <w:webHidden/>
          </w:rPr>
          <w:tab/>
        </w:r>
        <w:r w:rsidR="00EC0F19" w:rsidRPr="00576258">
          <w:rPr>
            <w:webHidden/>
          </w:rPr>
          <w:fldChar w:fldCharType="begin"/>
        </w:r>
        <w:r w:rsidR="00EC0F19" w:rsidRPr="00576258">
          <w:rPr>
            <w:webHidden/>
          </w:rPr>
          <w:instrText xml:space="preserve"> PAGEREF _Toc392951571 \h </w:instrText>
        </w:r>
        <w:r w:rsidR="00EC0F19" w:rsidRPr="00576258">
          <w:rPr>
            <w:webHidden/>
          </w:rPr>
        </w:r>
        <w:r w:rsidR="00EC0F19" w:rsidRPr="00576258">
          <w:rPr>
            <w:webHidden/>
          </w:rPr>
          <w:fldChar w:fldCharType="separate"/>
        </w:r>
        <w:r w:rsidR="00985022">
          <w:rPr>
            <w:webHidden/>
          </w:rPr>
          <w:t>11</w:t>
        </w:r>
        <w:r w:rsidR="00EC0F19" w:rsidRPr="00576258">
          <w:rPr>
            <w:webHidden/>
          </w:rPr>
          <w:fldChar w:fldCharType="end"/>
        </w:r>
      </w:hyperlink>
    </w:p>
    <w:p w:rsidR="00EC0F19" w:rsidRPr="00576258" w:rsidRDefault="00EC0F19" w:rsidP="00543111">
      <w:pPr>
        <w:pStyle w:val="TOC2"/>
        <w:rPr>
          <w:rStyle w:val="Hyperlink"/>
          <w:i w:val="0"/>
        </w:rPr>
      </w:pPr>
    </w:p>
    <w:p w:rsidR="00EC0F19" w:rsidRPr="00576258" w:rsidRDefault="00C00004" w:rsidP="00543111">
      <w:pPr>
        <w:pStyle w:val="TOC2"/>
      </w:pPr>
      <w:hyperlink w:anchor="_Toc392951572" w:history="1">
        <w:r w:rsidR="00EC0F19" w:rsidRPr="00576258">
          <w:rPr>
            <w:rStyle w:val="Hyperlink"/>
          </w:rPr>
          <w:t>B.</w:t>
        </w:r>
        <w:r w:rsidR="00EC0F19" w:rsidRPr="00576258">
          <w:tab/>
        </w:r>
        <w:r w:rsidR="00EC0F19" w:rsidRPr="00576258">
          <w:rPr>
            <w:rStyle w:val="Hyperlink"/>
          </w:rPr>
          <w:t xml:space="preserve">Desarrollos sobre </w:t>
        </w:r>
        <w:r w:rsidR="00885F36" w:rsidRPr="00576258">
          <w:rPr>
            <w:rStyle w:val="Hyperlink"/>
          </w:rPr>
          <w:t>la universalidad en el sistema i</w:t>
        </w:r>
        <w:r w:rsidR="00EC0F19" w:rsidRPr="00576258">
          <w:rPr>
            <w:rStyle w:val="Hyperlink"/>
          </w:rPr>
          <w:t>nteramericano de derechos humanos</w:t>
        </w:r>
        <w:r w:rsidR="00EC0F19" w:rsidRPr="00576258">
          <w:rPr>
            <w:webHidden/>
          </w:rPr>
          <w:tab/>
        </w:r>
        <w:r w:rsidR="00EC0F19" w:rsidRPr="00576258">
          <w:rPr>
            <w:webHidden/>
          </w:rPr>
          <w:fldChar w:fldCharType="begin"/>
        </w:r>
        <w:r w:rsidR="00EC0F19" w:rsidRPr="00576258">
          <w:rPr>
            <w:webHidden/>
          </w:rPr>
          <w:instrText xml:space="preserve"> PAGEREF _Toc392951572 \h </w:instrText>
        </w:r>
        <w:r w:rsidR="00EC0F19" w:rsidRPr="00576258">
          <w:rPr>
            <w:webHidden/>
          </w:rPr>
        </w:r>
        <w:r w:rsidR="00EC0F19" w:rsidRPr="00576258">
          <w:rPr>
            <w:webHidden/>
          </w:rPr>
          <w:fldChar w:fldCharType="separate"/>
        </w:r>
        <w:r w:rsidR="00985022">
          <w:rPr>
            <w:webHidden/>
          </w:rPr>
          <w:t>15</w:t>
        </w:r>
        <w:r w:rsidR="00EC0F19" w:rsidRPr="00576258">
          <w:rPr>
            <w:webHidden/>
          </w:rPr>
          <w:fldChar w:fldCharType="end"/>
        </w:r>
      </w:hyperlink>
    </w:p>
    <w:p w:rsidR="00EC0F19" w:rsidRDefault="00EC0F19" w:rsidP="00E94226">
      <w:pPr>
        <w:pStyle w:val="TOC1"/>
        <w:tabs>
          <w:tab w:val="left" w:pos="360"/>
          <w:tab w:val="left" w:pos="720"/>
          <w:tab w:val="right" w:pos="7830"/>
        </w:tabs>
        <w:rPr>
          <w:rStyle w:val="Hyperlink"/>
          <w:rFonts w:ascii="Cambria" w:hAnsi="Cambria"/>
          <w:noProof/>
          <w:sz w:val="20"/>
          <w:szCs w:val="20"/>
          <w:lang w:val="es-ES"/>
        </w:rPr>
      </w:pPr>
    </w:p>
    <w:p w:rsidR="00F010D6" w:rsidRPr="00F010D6" w:rsidRDefault="00F010D6" w:rsidP="00E94226">
      <w:pPr>
        <w:tabs>
          <w:tab w:val="right" w:pos="7830"/>
        </w:tabs>
        <w:rPr>
          <w:noProof/>
          <w:lang w:val="es-ES"/>
        </w:rPr>
      </w:pPr>
    </w:p>
    <w:p w:rsidR="00EC0F19" w:rsidRPr="00FF743B" w:rsidRDefault="00C00004" w:rsidP="00E94226">
      <w:pPr>
        <w:pStyle w:val="TOC1"/>
        <w:pBdr>
          <w:bottom w:val="single" w:sz="4" w:space="1" w:color="auto"/>
        </w:pBdr>
        <w:tabs>
          <w:tab w:val="left" w:pos="360"/>
          <w:tab w:val="left" w:pos="720"/>
          <w:tab w:val="right" w:pos="7830"/>
        </w:tabs>
        <w:rPr>
          <w:rFonts w:ascii="Cambria" w:hAnsi="Cambria"/>
          <w:noProof/>
          <w:sz w:val="20"/>
          <w:szCs w:val="20"/>
          <w:lang w:val="es-ES"/>
        </w:rPr>
      </w:pPr>
      <w:hyperlink w:anchor="_Toc392951573" w:history="1">
        <w:r w:rsidR="00F010D6" w:rsidRPr="00B278C9">
          <w:rPr>
            <w:rStyle w:val="Hyperlink"/>
            <w:rFonts w:ascii="Cambria" w:hAnsi="Cambria"/>
            <w:b/>
            <w:noProof/>
            <w:color w:val="808080"/>
            <w:lang w:val="es-ES"/>
          </w:rPr>
          <w:t xml:space="preserve">CAPÍTULO </w:t>
        </w:r>
        <w:r w:rsidR="000B381F" w:rsidRPr="00B278C9">
          <w:rPr>
            <w:rStyle w:val="Hyperlink"/>
            <w:rFonts w:ascii="Cambria" w:hAnsi="Cambria"/>
            <w:b/>
            <w:noProof/>
            <w:color w:val="808080"/>
            <w:lang w:val="es-ES"/>
          </w:rPr>
          <w:t>2</w:t>
        </w:r>
        <w:r w:rsidR="00F010D6" w:rsidRPr="00B278C9">
          <w:rPr>
            <w:rStyle w:val="Hyperlink"/>
            <w:rFonts w:ascii="Cambria" w:hAnsi="Cambria"/>
            <w:noProof/>
            <w:lang w:val="es-ES"/>
          </w:rPr>
          <w:t xml:space="preserve">   |   </w:t>
        </w:r>
        <w:r w:rsidR="00EC0F19" w:rsidRPr="00FB10FE">
          <w:rPr>
            <w:rStyle w:val="Hyperlink"/>
            <w:rFonts w:ascii="Cambria" w:hAnsi="Cambria"/>
            <w:b/>
            <w:noProof/>
            <w:color w:val="4A442A"/>
            <w:lang w:val="es-ES"/>
          </w:rPr>
          <w:t xml:space="preserve">DESAFÍOS EN EL CAMINO HACIA LA UNIVERSALIDAD </w:t>
        </w:r>
        <w:r w:rsidR="00B278C9" w:rsidRPr="00FB10FE">
          <w:rPr>
            <w:rStyle w:val="Hyperlink"/>
            <w:rFonts w:ascii="Cambria" w:hAnsi="Cambria"/>
            <w:b/>
            <w:noProof/>
            <w:color w:val="4A442A"/>
            <w:lang w:val="es-ES"/>
          </w:rPr>
          <w:br/>
          <w:t xml:space="preserve">                             </w:t>
        </w:r>
        <w:r w:rsidR="00AB6DD7" w:rsidRPr="00FB10FE">
          <w:rPr>
            <w:rStyle w:val="Hyperlink"/>
            <w:rFonts w:ascii="Cambria" w:hAnsi="Cambria"/>
            <w:b/>
            <w:noProof/>
            <w:color w:val="4A442A"/>
            <w:lang w:val="es-ES"/>
          </w:rPr>
          <w:t xml:space="preserve"> </w:t>
        </w:r>
        <w:r w:rsidR="00B278C9" w:rsidRPr="00FB10FE">
          <w:rPr>
            <w:rStyle w:val="Hyperlink"/>
            <w:rFonts w:ascii="Cambria" w:hAnsi="Cambria"/>
            <w:b/>
            <w:noProof/>
            <w:color w:val="4A442A"/>
            <w:lang w:val="es-ES"/>
          </w:rPr>
          <w:t xml:space="preserve">   </w:t>
        </w:r>
        <w:r w:rsidR="00EC0F19" w:rsidRPr="00FB10FE">
          <w:rPr>
            <w:rStyle w:val="Hyperlink"/>
            <w:rFonts w:ascii="Cambria" w:hAnsi="Cambria"/>
            <w:b/>
            <w:noProof/>
            <w:color w:val="4A442A"/>
            <w:lang w:val="es-ES"/>
          </w:rPr>
          <w:t xml:space="preserve">EN EL SISTEMA INTERAMERICANO DE DERECHOS </w:t>
        </w:r>
        <w:r w:rsidR="00B278C9" w:rsidRPr="00FB10FE">
          <w:rPr>
            <w:rStyle w:val="Hyperlink"/>
            <w:rFonts w:ascii="Cambria" w:hAnsi="Cambria"/>
            <w:b/>
            <w:noProof/>
            <w:color w:val="4A442A"/>
            <w:lang w:val="es-ES"/>
          </w:rPr>
          <w:br/>
          <w:t xml:space="preserve">                              </w:t>
        </w:r>
        <w:r w:rsidR="00AB6DD7" w:rsidRPr="00FB10FE">
          <w:rPr>
            <w:rStyle w:val="Hyperlink"/>
            <w:rFonts w:ascii="Cambria" w:hAnsi="Cambria"/>
            <w:b/>
            <w:noProof/>
            <w:color w:val="4A442A"/>
            <w:lang w:val="es-ES"/>
          </w:rPr>
          <w:t xml:space="preserve"> </w:t>
        </w:r>
        <w:r w:rsidR="00B278C9" w:rsidRPr="00FB10FE">
          <w:rPr>
            <w:rStyle w:val="Hyperlink"/>
            <w:rFonts w:ascii="Cambria" w:hAnsi="Cambria"/>
            <w:b/>
            <w:noProof/>
            <w:color w:val="4A442A"/>
            <w:lang w:val="es-ES"/>
          </w:rPr>
          <w:t xml:space="preserve">  </w:t>
        </w:r>
        <w:r w:rsidR="00EC0F19" w:rsidRPr="00FB10FE">
          <w:rPr>
            <w:rStyle w:val="Hyperlink"/>
            <w:rFonts w:ascii="Cambria" w:hAnsi="Cambria"/>
            <w:b/>
            <w:noProof/>
            <w:color w:val="4A442A"/>
            <w:lang w:val="es-ES"/>
          </w:rPr>
          <w:t>HUMANOS: RETOS PENDIENTES</w:t>
        </w:r>
        <w:r w:rsidR="00EC0F19" w:rsidRPr="00FF743B">
          <w:rPr>
            <w:rFonts w:ascii="Cambria" w:hAnsi="Cambria"/>
            <w:noProof/>
            <w:webHidden/>
            <w:sz w:val="20"/>
            <w:szCs w:val="20"/>
            <w:lang w:val="es-ES"/>
          </w:rPr>
          <w:tab/>
        </w:r>
        <w:r w:rsidR="00EC0F19" w:rsidRPr="00FF743B">
          <w:rPr>
            <w:rFonts w:ascii="Cambria" w:hAnsi="Cambria"/>
            <w:noProof/>
            <w:webHidden/>
            <w:sz w:val="20"/>
            <w:szCs w:val="20"/>
            <w:lang w:val="es-ES"/>
          </w:rPr>
          <w:fldChar w:fldCharType="begin"/>
        </w:r>
        <w:r w:rsidR="00EC0F19" w:rsidRPr="00FF743B">
          <w:rPr>
            <w:rFonts w:ascii="Cambria" w:hAnsi="Cambria"/>
            <w:noProof/>
            <w:webHidden/>
            <w:sz w:val="20"/>
            <w:szCs w:val="20"/>
            <w:lang w:val="es-ES"/>
          </w:rPr>
          <w:instrText xml:space="preserve"> PAGEREF _Toc392951573 \h </w:instrText>
        </w:r>
        <w:r w:rsidR="00EC0F19" w:rsidRPr="00FF743B">
          <w:rPr>
            <w:rFonts w:ascii="Cambria" w:hAnsi="Cambria"/>
            <w:noProof/>
            <w:webHidden/>
            <w:sz w:val="20"/>
            <w:szCs w:val="20"/>
            <w:lang w:val="es-ES"/>
          </w:rPr>
        </w:r>
        <w:r w:rsidR="00EC0F19" w:rsidRPr="00FF743B">
          <w:rPr>
            <w:rFonts w:ascii="Cambria" w:hAnsi="Cambria"/>
            <w:noProof/>
            <w:webHidden/>
            <w:sz w:val="20"/>
            <w:szCs w:val="20"/>
            <w:lang w:val="es-ES"/>
          </w:rPr>
          <w:fldChar w:fldCharType="separate"/>
        </w:r>
        <w:r w:rsidR="00985022">
          <w:rPr>
            <w:rFonts w:ascii="Cambria" w:hAnsi="Cambria"/>
            <w:noProof/>
            <w:webHidden/>
            <w:sz w:val="20"/>
            <w:szCs w:val="20"/>
            <w:lang w:val="es-ES"/>
          </w:rPr>
          <w:t>21</w:t>
        </w:r>
        <w:r w:rsidR="00EC0F19" w:rsidRPr="00FF743B">
          <w:rPr>
            <w:rFonts w:ascii="Cambria" w:hAnsi="Cambria"/>
            <w:noProof/>
            <w:webHidden/>
            <w:sz w:val="20"/>
            <w:szCs w:val="20"/>
            <w:lang w:val="es-ES"/>
          </w:rPr>
          <w:fldChar w:fldCharType="end"/>
        </w:r>
      </w:hyperlink>
    </w:p>
    <w:p w:rsidR="00EC0F19" w:rsidRPr="00FF743B" w:rsidRDefault="00EC0F19" w:rsidP="00543111">
      <w:pPr>
        <w:pStyle w:val="TOC2"/>
        <w:rPr>
          <w:rStyle w:val="Hyperlink"/>
        </w:rPr>
      </w:pPr>
    </w:p>
    <w:p w:rsidR="00EC0F19" w:rsidRPr="00854D02" w:rsidRDefault="00C00004" w:rsidP="00543111">
      <w:pPr>
        <w:pStyle w:val="TOC2"/>
      </w:pPr>
      <w:hyperlink w:anchor="_Toc392951574" w:history="1">
        <w:r w:rsidR="00EC0F19" w:rsidRPr="00854D02">
          <w:rPr>
            <w:rStyle w:val="Hyperlink"/>
          </w:rPr>
          <w:t>A.</w:t>
        </w:r>
        <w:r w:rsidR="00EC0F19" w:rsidRPr="00854D02">
          <w:tab/>
        </w:r>
        <w:r w:rsidR="00EC0F19" w:rsidRPr="00854D02">
          <w:rPr>
            <w:rStyle w:val="Hyperlink"/>
          </w:rPr>
          <w:t>Obstáculos a la eficacia del sistema interamericano</w:t>
        </w:r>
        <w:r w:rsidR="00EC0F19" w:rsidRPr="00854D02">
          <w:rPr>
            <w:webHidden/>
          </w:rPr>
          <w:tab/>
        </w:r>
        <w:r w:rsidR="00EC0F19" w:rsidRPr="00854D02">
          <w:rPr>
            <w:webHidden/>
          </w:rPr>
          <w:fldChar w:fldCharType="begin"/>
        </w:r>
        <w:r w:rsidR="00EC0F19" w:rsidRPr="00854D02">
          <w:rPr>
            <w:webHidden/>
          </w:rPr>
          <w:instrText xml:space="preserve"> PAGEREF _Toc392951574 \h </w:instrText>
        </w:r>
        <w:r w:rsidR="00EC0F19" w:rsidRPr="00854D02">
          <w:rPr>
            <w:webHidden/>
          </w:rPr>
        </w:r>
        <w:r w:rsidR="00EC0F19" w:rsidRPr="00854D02">
          <w:rPr>
            <w:webHidden/>
          </w:rPr>
          <w:fldChar w:fldCharType="separate"/>
        </w:r>
        <w:r w:rsidR="00985022">
          <w:rPr>
            <w:webHidden/>
          </w:rPr>
          <w:t>21</w:t>
        </w:r>
        <w:r w:rsidR="00EC0F19" w:rsidRPr="00854D02">
          <w:rPr>
            <w:webHidden/>
          </w:rPr>
          <w:fldChar w:fldCharType="end"/>
        </w:r>
      </w:hyperlink>
    </w:p>
    <w:p w:rsidR="00EC0F19" w:rsidRPr="00576258" w:rsidRDefault="00EC0F19" w:rsidP="00543111">
      <w:pPr>
        <w:pStyle w:val="TOC2"/>
        <w:rPr>
          <w:rStyle w:val="Hyperlink"/>
          <w:i w:val="0"/>
        </w:rPr>
      </w:pPr>
    </w:p>
    <w:p w:rsidR="00EC0F19" w:rsidRPr="00576258" w:rsidRDefault="00C00004" w:rsidP="00543111">
      <w:pPr>
        <w:pStyle w:val="TOC2"/>
      </w:pPr>
      <w:hyperlink w:anchor="_Toc392951575" w:history="1">
        <w:r w:rsidR="00EC0F19" w:rsidRPr="00576258">
          <w:rPr>
            <w:rStyle w:val="Hyperlink"/>
          </w:rPr>
          <w:t>B.</w:t>
        </w:r>
        <w:r w:rsidR="00EC0F19" w:rsidRPr="00576258">
          <w:tab/>
        </w:r>
        <w:r w:rsidR="00EC0F19" w:rsidRPr="00576258">
          <w:rPr>
            <w:rStyle w:val="Hyperlink"/>
          </w:rPr>
          <w:t>Obstáculos al acceso a la justi</w:t>
        </w:r>
        <w:r w:rsidR="00914C49" w:rsidRPr="00576258">
          <w:rPr>
            <w:rStyle w:val="Hyperlink"/>
          </w:rPr>
          <w:t xml:space="preserve">cia y al sistema interamericano </w:t>
        </w:r>
        <w:r w:rsidR="00EC0F19" w:rsidRPr="00576258">
          <w:rPr>
            <w:rStyle w:val="Hyperlink"/>
          </w:rPr>
          <w:t xml:space="preserve">como instancia </w:t>
        </w:r>
        <w:r w:rsidR="00576258">
          <w:rPr>
            <w:rStyle w:val="Hyperlink"/>
          </w:rPr>
          <w:br/>
        </w:r>
        <w:r w:rsidR="00EC0F19" w:rsidRPr="00576258">
          <w:rPr>
            <w:rStyle w:val="Hyperlink"/>
          </w:rPr>
          <w:t>complementaria de protección</w:t>
        </w:r>
        <w:r w:rsidR="00EC0F19" w:rsidRPr="00576258">
          <w:rPr>
            <w:webHidden/>
          </w:rPr>
          <w:tab/>
        </w:r>
        <w:r w:rsidR="00EC0F19" w:rsidRPr="00576258">
          <w:rPr>
            <w:webHidden/>
          </w:rPr>
          <w:fldChar w:fldCharType="begin"/>
        </w:r>
        <w:r w:rsidR="00EC0F19" w:rsidRPr="00576258">
          <w:rPr>
            <w:webHidden/>
          </w:rPr>
          <w:instrText xml:space="preserve"> PAGEREF _Toc392951575 \h </w:instrText>
        </w:r>
        <w:r w:rsidR="00EC0F19" w:rsidRPr="00576258">
          <w:rPr>
            <w:webHidden/>
          </w:rPr>
        </w:r>
        <w:r w:rsidR="00EC0F19" w:rsidRPr="00576258">
          <w:rPr>
            <w:webHidden/>
          </w:rPr>
          <w:fldChar w:fldCharType="separate"/>
        </w:r>
        <w:r w:rsidR="00985022">
          <w:rPr>
            <w:webHidden/>
          </w:rPr>
          <w:t>26</w:t>
        </w:r>
        <w:r w:rsidR="00EC0F19" w:rsidRPr="00576258">
          <w:rPr>
            <w:webHidden/>
          </w:rPr>
          <w:fldChar w:fldCharType="end"/>
        </w:r>
      </w:hyperlink>
    </w:p>
    <w:p w:rsidR="00EC0F19" w:rsidRPr="00576258" w:rsidRDefault="00EC0F19" w:rsidP="00543111">
      <w:pPr>
        <w:pStyle w:val="TOC2"/>
        <w:rPr>
          <w:rStyle w:val="Hyperlink"/>
          <w:i w:val="0"/>
        </w:rPr>
      </w:pPr>
    </w:p>
    <w:p w:rsidR="00EC0F19" w:rsidRPr="00576258" w:rsidRDefault="00C00004" w:rsidP="00543111">
      <w:pPr>
        <w:pStyle w:val="TOC2"/>
      </w:pPr>
      <w:hyperlink w:anchor="_Toc392951576" w:history="1">
        <w:r w:rsidR="00EC0F19" w:rsidRPr="00576258">
          <w:rPr>
            <w:rStyle w:val="Hyperlink"/>
          </w:rPr>
          <w:t>C.</w:t>
        </w:r>
        <w:r w:rsidR="00EC0F19" w:rsidRPr="00576258">
          <w:tab/>
        </w:r>
        <w:r w:rsidR="00EC0F19" w:rsidRPr="00576258">
          <w:rPr>
            <w:rStyle w:val="Hyperlink"/>
          </w:rPr>
          <w:t>Desafíos en la incorporación de estándares interamericanos a nivel interno</w:t>
        </w:r>
        <w:r w:rsidR="00EC0F19" w:rsidRPr="00576258">
          <w:rPr>
            <w:webHidden/>
          </w:rPr>
          <w:tab/>
        </w:r>
        <w:r w:rsidR="00EC0F19" w:rsidRPr="00576258">
          <w:rPr>
            <w:webHidden/>
          </w:rPr>
          <w:fldChar w:fldCharType="begin"/>
        </w:r>
        <w:r w:rsidR="00EC0F19" w:rsidRPr="00576258">
          <w:rPr>
            <w:webHidden/>
          </w:rPr>
          <w:instrText xml:space="preserve"> PAGEREF _Toc392951576 \h </w:instrText>
        </w:r>
        <w:r w:rsidR="00EC0F19" w:rsidRPr="00576258">
          <w:rPr>
            <w:webHidden/>
          </w:rPr>
        </w:r>
        <w:r w:rsidR="00EC0F19" w:rsidRPr="00576258">
          <w:rPr>
            <w:webHidden/>
          </w:rPr>
          <w:fldChar w:fldCharType="separate"/>
        </w:r>
        <w:r w:rsidR="00985022">
          <w:rPr>
            <w:webHidden/>
          </w:rPr>
          <w:t>28</w:t>
        </w:r>
        <w:r w:rsidR="00EC0F19" w:rsidRPr="00576258">
          <w:rPr>
            <w:webHidden/>
          </w:rPr>
          <w:fldChar w:fldCharType="end"/>
        </w:r>
      </w:hyperlink>
    </w:p>
    <w:p w:rsidR="00EC0F19" w:rsidRDefault="00EC0F19" w:rsidP="00E94226">
      <w:pPr>
        <w:pStyle w:val="TOC1"/>
        <w:tabs>
          <w:tab w:val="left" w:pos="360"/>
          <w:tab w:val="left" w:pos="720"/>
          <w:tab w:val="right" w:pos="7830"/>
        </w:tabs>
        <w:rPr>
          <w:rStyle w:val="Hyperlink"/>
          <w:rFonts w:ascii="Cambria" w:hAnsi="Cambria"/>
          <w:noProof/>
          <w:sz w:val="20"/>
          <w:szCs w:val="20"/>
          <w:lang w:val="es-ES"/>
        </w:rPr>
      </w:pPr>
    </w:p>
    <w:p w:rsidR="00F010D6" w:rsidRPr="00F010D6" w:rsidRDefault="00F010D6" w:rsidP="00E94226">
      <w:pPr>
        <w:tabs>
          <w:tab w:val="right" w:pos="7830"/>
        </w:tabs>
        <w:rPr>
          <w:noProof/>
          <w:lang w:val="es-ES"/>
        </w:rPr>
      </w:pPr>
    </w:p>
    <w:p w:rsidR="00EC0F19" w:rsidRPr="00FF743B" w:rsidRDefault="00C00004" w:rsidP="00E94226">
      <w:pPr>
        <w:pStyle w:val="TOC1"/>
        <w:pBdr>
          <w:bottom w:val="single" w:sz="4" w:space="1" w:color="auto"/>
        </w:pBdr>
        <w:tabs>
          <w:tab w:val="left" w:pos="360"/>
          <w:tab w:val="left" w:pos="720"/>
          <w:tab w:val="right" w:pos="7830"/>
        </w:tabs>
        <w:rPr>
          <w:rFonts w:ascii="Cambria" w:hAnsi="Cambria"/>
          <w:noProof/>
          <w:sz w:val="20"/>
          <w:szCs w:val="20"/>
          <w:lang w:val="es-ES"/>
        </w:rPr>
      </w:pPr>
      <w:hyperlink w:anchor="_Toc392951577" w:history="1">
        <w:r w:rsidR="00F010D6" w:rsidRPr="00896A5A">
          <w:rPr>
            <w:rStyle w:val="Hyperlink"/>
            <w:rFonts w:ascii="Cambria" w:hAnsi="Cambria"/>
            <w:b/>
            <w:noProof/>
            <w:color w:val="808080"/>
            <w:lang w:val="es-ES"/>
          </w:rPr>
          <w:t xml:space="preserve">CAPÍTULO </w:t>
        </w:r>
        <w:r w:rsidR="000B381F" w:rsidRPr="00896A5A">
          <w:rPr>
            <w:rStyle w:val="Hyperlink"/>
            <w:rFonts w:ascii="Cambria" w:hAnsi="Cambria"/>
            <w:b/>
            <w:noProof/>
            <w:color w:val="808080"/>
            <w:lang w:val="es-ES"/>
          </w:rPr>
          <w:t>3</w:t>
        </w:r>
        <w:r w:rsidR="00F010D6" w:rsidRPr="00B278C9">
          <w:rPr>
            <w:rStyle w:val="Hyperlink"/>
            <w:rFonts w:ascii="Cambria" w:hAnsi="Cambria"/>
            <w:noProof/>
            <w:lang w:val="es-ES"/>
          </w:rPr>
          <w:t xml:space="preserve">    |   </w:t>
        </w:r>
        <w:r w:rsidR="00EC0F19" w:rsidRPr="00FB10FE">
          <w:rPr>
            <w:rStyle w:val="Hyperlink"/>
            <w:rFonts w:ascii="Cambria" w:hAnsi="Cambria"/>
            <w:b/>
            <w:noProof/>
            <w:color w:val="4A442A"/>
            <w:lang w:val="es-ES"/>
          </w:rPr>
          <w:t>APORTES DE LA UNIVERSALIDAD: EJEMPLOS</w:t>
        </w:r>
        <w:r w:rsidR="00EC0F19" w:rsidRPr="00FF743B">
          <w:rPr>
            <w:rFonts w:ascii="Cambria" w:hAnsi="Cambria"/>
            <w:noProof/>
            <w:webHidden/>
            <w:sz w:val="20"/>
            <w:szCs w:val="20"/>
            <w:lang w:val="es-ES"/>
          </w:rPr>
          <w:tab/>
        </w:r>
        <w:r w:rsidR="00EC0F19" w:rsidRPr="00FF743B">
          <w:rPr>
            <w:rFonts w:ascii="Cambria" w:hAnsi="Cambria"/>
            <w:noProof/>
            <w:webHidden/>
            <w:sz w:val="20"/>
            <w:szCs w:val="20"/>
            <w:lang w:val="es-ES"/>
          </w:rPr>
          <w:fldChar w:fldCharType="begin"/>
        </w:r>
        <w:r w:rsidR="00EC0F19" w:rsidRPr="00FF743B">
          <w:rPr>
            <w:rFonts w:ascii="Cambria" w:hAnsi="Cambria"/>
            <w:noProof/>
            <w:webHidden/>
            <w:sz w:val="20"/>
            <w:szCs w:val="20"/>
            <w:lang w:val="es-ES"/>
          </w:rPr>
          <w:instrText xml:space="preserve"> PAGEREF _Toc392951577 \h </w:instrText>
        </w:r>
        <w:r w:rsidR="00EC0F19" w:rsidRPr="00FF743B">
          <w:rPr>
            <w:rFonts w:ascii="Cambria" w:hAnsi="Cambria"/>
            <w:noProof/>
            <w:webHidden/>
            <w:sz w:val="20"/>
            <w:szCs w:val="20"/>
            <w:lang w:val="es-ES"/>
          </w:rPr>
        </w:r>
        <w:r w:rsidR="00EC0F19" w:rsidRPr="00FF743B">
          <w:rPr>
            <w:rFonts w:ascii="Cambria" w:hAnsi="Cambria"/>
            <w:noProof/>
            <w:webHidden/>
            <w:sz w:val="20"/>
            <w:szCs w:val="20"/>
            <w:lang w:val="es-ES"/>
          </w:rPr>
          <w:fldChar w:fldCharType="separate"/>
        </w:r>
        <w:r w:rsidR="00985022">
          <w:rPr>
            <w:rFonts w:ascii="Cambria" w:hAnsi="Cambria"/>
            <w:noProof/>
            <w:webHidden/>
            <w:sz w:val="20"/>
            <w:szCs w:val="20"/>
            <w:lang w:val="es-ES"/>
          </w:rPr>
          <w:t>41</w:t>
        </w:r>
        <w:r w:rsidR="00EC0F19" w:rsidRPr="00FF743B">
          <w:rPr>
            <w:rFonts w:ascii="Cambria" w:hAnsi="Cambria"/>
            <w:noProof/>
            <w:webHidden/>
            <w:sz w:val="20"/>
            <w:szCs w:val="20"/>
            <w:lang w:val="es-ES"/>
          </w:rPr>
          <w:fldChar w:fldCharType="end"/>
        </w:r>
      </w:hyperlink>
    </w:p>
    <w:p w:rsidR="00EC0F19" w:rsidRDefault="00EC0F19" w:rsidP="00E94226">
      <w:pPr>
        <w:pStyle w:val="TOC1"/>
        <w:tabs>
          <w:tab w:val="left" w:pos="360"/>
          <w:tab w:val="left" w:pos="720"/>
          <w:tab w:val="right" w:pos="7830"/>
        </w:tabs>
        <w:rPr>
          <w:rStyle w:val="Hyperlink"/>
          <w:rFonts w:ascii="Cambria" w:hAnsi="Cambria"/>
          <w:noProof/>
          <w:sz w:val="20"/>
          <w:szCs w:val="20"/>
          <w:lang w:val="es-ES"/>
        </w:rPr>
      </w:pPr>
    </w:p>
    <w:p w:rsidR="00F010D6" w:rsidRPr="00F010D6" w:rsidRDefault="00F010D6" w:rsidP="00E94226">
      <w:pPr>
        <w:tabs>
          <w:tab w:val="right" w:pos="7830"/>
        </w:tabs>
        <w:rPr>
          <w:noProof/>
          <w:lang w:val="es-ES"/>
        </w:rPr>
      </w:pPr>
    </w:p>
    <w:p w:rsidR="00EC0F19" w:rsidRPr="00FF743B" w:rsidRDefault="00C00004" w:rsidP="00E94226">
      <w:pPr>
        <w:pStyle w:val="TOC1"/>
        <w:pBdr>
          <w:bottom w:val="single" w:sz="4" w:space="1" w:color="auto"/>
        </w:pBdr>
        <w:tabs>
          <w:tab w:val="left" w:pos="360"/>
          <w:tab w:val="left" w:pos="720"/>
          <w:tab w:val="right" w:pos="7830"/>
        </w:tabs>
        <w:rPr>
          <w:rFonts w:ascii="Cambria" w:hAnsi="Cambria"/>
          <w:noProof/>
          <w:sz w:val="20"/>
          <w:szCs w:val="20"/>
          <w:lang w:val="es-ES"/>
        </w:rPr>
      </w:pPr>
      <w:hyperlink w:anchor="_Toc392951578" w:history="1">
        <w:r w:rsidR="00F010D6" w:rsidRPr="00B278C9">
          <w:rPr>
            <w:rStyle w:val="Hyperlink"/>
            <w:rFonts w:ascii="Cambria" w:hAnsi="Cambria"/>
            <w:b/>
            <w:noProof/>
            <w:color w:val="808080"/>
            <w:lang w:val="es-ES"/>
          </w:rPr>
          <w:t xml:space="preserve">CAPÍTULO </w:t>
        </w:r>
        <w:r w:rsidR="000B381F" w:rsidRPr="00B278C9">
          <w:rPr>
            <w:rStyle w:val="Hyperlink"/>
            <w:rFonts w:ascii="Cambria" w:hAnsi="Cambria"/>
            <w:b/>
            <w:noProof/>
            <w:color w:val="808080"/>
            <w:lang w:val="es-ES"/>
          </w:rPr>
          <w:t>4</w:t>
        </w:r>
        <w:r w:rsidR="00F010D6" w:rsidRPr="00B278C9">
          <w:rPr>
            <w:rStyle w:val="Hyperlink"/>
            <w:rFonts w:ascii="Cambria" w:hAnsi="Cambria"/>
            <w:noProof/>
            <w:lang w:val="es-ES"/>
          </w:rPr>
          <w:t xml:space="preserve">   |  </w:t>
        </w:r>
        <w:r w:rsidR="00F010D6" w:rsidRPr="00FB10FE">
          <w:rPr>
            <w:rStyle w:val="Hyperlink"/>
            <w:rFonts w:ascii="Cambria" w:hAnsi="Cambria"/>
            <w:noProof/>
            <w:color w:val="4A442A"/>
            <w:lang w:val="es-ES"/>
          </w:rPr>
          <w:t xml:space="preserve"> </w:t>
        </w:r>
        <w:r w:rsidR="00EC0F19" w:rsidRPr="00FB10FE">
          <w:rPr>
            <w:rStyle w:val="Hyperlink"/>
            <w:rFonts w:ascii="Cambria" w:hAnsi="Cambria"/>
            <w:b/>
            <w:noProof/>
            <w:color w:val="4A442A"/>
            <w:lang w:val="es-ES"/>
          </w:rPr>
          <w:t xml:space="preserve">CONCLUSIONES, RECOMENDACIONES </w:t>
        </w:r>
        <w:r w:rsidR="00E94226" w:rsidRPr="00FB10FE">
          <w:rPr>
            <w:rStyle w:val="Hyperlink"/>
            <w:rFonts w:ascii="Cambria" w:hAnsi="Cambria"/>
            <w:b/>
            <w:noProof/>
            <w:color w:val="4A442A"/>
            <w:lang w:val="es-ES"/>
          </w:rPr>
          <w:br/>
          <w:t xml:space="preserve">                                 </w:t>
        </w:r>
        <w:r w:rsidR="00EC0F19" w:rsidRPr="00FB10FE">
          <w:rPr>
            <w:rStyle w:val="Hyperlink"/>
            <w:rFonts w:ascii="Cambria" w:hAnsi="Cambria"/>
            <w:b/>
            <w:noProof/>
            <w:color w:val="4A442A"/>
            <w:lang w:val="es-ES"/>
          </w:rPr>
          <w:t>Y PASOS FUTUROS</w:t>
        </w:r>
        <w:r w:rsidR="00EC0F19" w:rsidRPr="00FF743B">
          <w:rPr>
            <w:rFonts w:ascii="Cambria" w:hAnsi="Cambria"/>
            <w:noProof/>
            <w:webHidden/>
            <w:sz w:val="20"/>
            <w:szCs w:val="20"/>
            <w:lang w:val="es-ES"/>
          </w:rPr>
          <w:tab/>
        </w:r>
        <w:r w:rsidR="00EC0F19" w:rsidRPr="00FF743B">
          <w:rPr>
            <w:rFonts w:ascii="Cambria" w:hAnsi="Cambria"/>
            <w:noProof/>
            <w:webHidden/>
            <w:sz w:val="20"/>
            <w:szCs w:val="20"/>
            <w:lang w:val="es-ES"/>
          </w:rPr>
          <w:fldChar w:fldCharType="begin"/>
        </w:r>
        <w:r w:rsidR="00EC0F19" w:rsidRPr="00FF743B">
          <w:rPr>
            <w:rFonts w:ascii="Cambria" w:hAnsi="Cambria"/>
            <w:noProof/>
            <w:webHidden/>
            <w:sz w:val="20"/>
            <w:szCs w:val="20"/>
            <w:lang w:val="es-ES"/>
          </w:rPr>
          <w:instrText xml:space="preserve"> PAGEREF _Toc392951578 \h </w:instrText>
        </w:r>
        <w:r w:rsidR="00EC0F19" w:rsidRPr="00FF743B">
          <w:rPr>
            <w:rFonts w:ascii="Cambria" w:hAnsi="Cambria"/>
            <w:noProof/>
            <w:webHidden/>
            <w:sz w:val="20"/>
            <w:szCs w:val="20"/>
            <w:lang w:val="es-ES"/>
          </w:rPr>
        </w:r>
        <w:r w:rsidR="00EC0F19" w:rsidRPr="00FF743B">
          <w:rPr>
            <w:rFonts w:ascii="Cambria" w:hAnsi="Cambria"/>
            <w:noProof/>
            <w:webHidden/>
            <w:sz w:val="20"/>
            <w:szCs w:val="20"/>
            <w:lang w:val="es-ES"/>
          </w:rPr>
          <w:fldChar w:fldCharType="separate"/>
        </w:r>
        <w:r w:rsidR="00985022">
          <w:rPr>
            <w:rFonts w:ascii="Cambria" w:hAnsi="Cambria"/>
            <w:noProof/>
            <w:webHidden/>
            <w:sz w:val="20"/>
            <w:szCs w:val="20"/>
            <w:lang w:val="es-ES"/>
          </w:rPr>
          <w:t>53</w:t>
        </w:r>
        <w:r w:rsidR="00EC0F19" w:rsidRPr="00FF743B">
          <w:rPr>
            <w:rFonts w:ascii="Cambria" w:hAnsi="Cambria"/>
            <w:noProof/>
            <w:webHidden/>
            <w:sz w:val="20"/>
            <w:szCs w:val="20"/>
            <w:lang w:val="es-ES"/>
          </w:rPr>
          <w:fldChar w:fldCharType="end"/>
        </w:r>
      </w:hyperlink>
    </w:p>
    <w:p w:rsidR="00EC0F19" w:rsidRDefault="00EC0F19" w:rsidP="00E94226">
      <w:pPr>
        <w:tabs>
          <w:tab w:val="left" w:pos="360"/>
          <w:tab w:val="left" w:pos="720"/>
          <w:tab w:val="right" w:pos="7830"/>
        </w:tabs>
        <w:jc w:val="center"/>
        <w:rPr>
          <w:rFonts w:ascii="Cambria" w:hAnsi="Cambria"/>
          <w:b/>
          <w:sz w:val="20"/>
          <w:szCs w:val="20"/>
          <w:lang w:val="es-ES"/>
        </w:rPr>
      </w:pPr>
      <w:r w:rsidRPr="00FF743B">
        <w:rPr>
          <w:rFonts w:ascii="Cambria" w:hAnsi="Cambria"/>
          <w:b/>
          <w:sz w:val="20"/>
          <w:szCs w:val="20"/>
          <w:lang w:val="es-ES"/>
        </w:rPr>
        <w:fldChar w:fldCharType="end"/>
      </w:r>
    </w:p>
    <w:p w:rsidR="00412909" w:rsidRDefault="00412909" w:rsidP="00E94226">
      <w:pPr>
        <w:tabs>
          <w:tab w:val="left" w:pos="360"/>
          <w:tab w:val="left" w:pos="720"/>
          <w:tab w:val="right" w:pos="7830"/>
        </w:tabs>
        <w:jc w:val="center"/>
        <w:rPr>
          <w:rFonts w:ascii="Cambria" w:hAnsi="Cambria"/>
          <w:b/>
          <w:sz w:val="20"/>
          <w:szCs w:val="20"/>
          <w:lang w:val="es-ES"/>
        </w:rPr>
      </w:pPr>
    </w:p>
    <w:p w:rsidR="00412909" w:rsidRPr="00412909" w:rsidRDefault="00412909" w:rsidP="00E94226">
      <w:pPr>
        <w:tabs>
          <w:tab w:val="left" w:pos="360"/>
          <w:tab w:val="left" w:pos="720"/>
          <w:tab w:val="right" w:pos="7830"/>
        </w:tabs>
        <w:jc w:val="both"/>
        <w:rPr>
          <w:rFonts w:ascii="Cambria" w:hAnsi="Cambria"/>
          <w:sz w:val="20"/>
          <w:szCs w:val="20"/>
          <w:lang w:val="es-ES"/>
        </w:rPr>
      </w:pPr>
      <w:r w:rsidRPr="00412909">
        <w:rPr>
          <w:rFonts w:ascii="Cambria" w:hAnsi="Cambria"/>
          <w:sz w:val="20"/>
          <w:szCs w:val="20"/>
          <w:lang w:val="es-ES"/>
        </w:rPr>
        <w:t xml:space="preserve">Anexo – </w:t>
      </w:r>
      <w:r w:rsidR="008B2EEC" w:rsidRPr="008B2EEC">
        <w:rPr>
          <w:rFonts w:ascii="Cambria" w:hAnsi="Cambria"/>
          <w:sz w:val="20"/>
          <w:szCs w:val="20"/>
          <w:lang w:val="es-ES"/>
        </w:rPr>
        <w:t>Estado de ratificación de instrumentos interamericanos</w:t>
      </w:r>
      <w:r>
        <w:rPr>
          <w:rFonts w:ascii="Cambria" w:hAnsi="Cambria"/>
          <w:sz w:val="20"/>
          <w:szCs w:val="20"/>
          <w:lang w:val="es-ES"/>
        </w:rPr>
        <w:tab/>
      </w:r>
      <w:r w:rsidR="00F562E9">
        <w:rPr>
          <w:rFonts w:ascii="Cambria" w:hAnsi="Cambria"/>
          <w:sz w:val="20"/>
          <w:szCs w:val="20"/>
          <w:lang w:val="es-ES"/>
        </w:rPr>
        <w:t>5</w:t>
      </w:r>
      <w:r w:rsidR="00985022">
        <w:rPr>
          <w:rFonts w:ascii="Cambria" w:hAnsi="Cambria"/>
          <w:sz w:val="20"/>
          <w:szCs w:val="20"/>
          <w:lang w:val="es-ES"/>
        </w:rPr>
        <w:t>7</w:t>
      </w:r>
    </w:p>
    <w:p w:rsidR="00EC0F19" w:rsidRPr="00FF743B" w:rsidRDefault="00EC0F19" w:rsidP="00225F6F">
      <w:pPr>
        <w:tabs>
          <w:tab w:val="left" w:pos="360"/>
          <w:tab w:val="left" w:pos="720"/>
          <w:tab w:val="right" w:pos="8640"/>
        </w:tabs>
        <w:jc w:val="center"/>
        <w:rPr>
          <w:rFonts w:ascii="Cambria" w:hAnsi="Cambria"/>
          <w:b/>
          <w:sz w:val="20"/>
          <w:szCs w:val="20"/>
          <w:lang w:val="es-ES"/>
        </w:rPr>
      </w:pPr>
    </w:p>
    <w:p w:rsidR="00C95A96" w:rsidRPr="00FF743B" w:rsidRDefault="00C95A96" w:rsidP="00225F6F">
      <w:pPr>
        <w:jc w:val="center"/>
        <w:rPr>
          <w:rFonts w:ascii="Cambria" w:hAnsi="Cambria"/>
          <w:sz w:val="20"/>
          <w:szCs w:val="20"/>
          <w:lang w:val="es-ES"/>
        </w:rPr>
        <w:sectPr w:rsidR="00C95A96" w:rsidRPr="00FF743B" w:rsidSect="00543111">
          <w:type w:val="oddPage"/>
          <w:pgSz w:w="10325" w:h="14573" w:code="13"/>
          <w:pgMar w:top="1152" w:right="1152" w:bottom="1152" w:left="1440" w:header="432" w:footer="432" w:gutter="0"/>
          <w:cols w:space="720"/>
          <w:docGrid w:linePitch="326"/>
        </w:sectPr>
      </w:pPr>
    </w:p>
    <w:p w:rsidR="006B3828" w:rsidRPr="00BC4658" w:rsidRDefault="006B3828" w:rsidP="00225F6F">
      <w:pPr>
        <w:jc w:val="center"/>
        <w:rPr>
          <w:rFonts w:ascii="Cambria" w:hAnsi="Cambria"/>
          <w:color w:val="4A442A"/>
          <w:spacing w:val="-10"/>
          <w:sz w:val="52"/>
          <w:szCs w:val="52"/>
          <w:lang w:val="es-ES"/>
        </w:rPr>
        <w:sectPr w:rsidR="006B3828" w:rsidRPr="00BC4658" w:rsidSect="00543111">
          <w:headerReference w:type="default" r:id="rId16"/>
          <w:type w:val="oddPage"/>
          <w:pgSz w:w="10325" w:h="14573" w:code="13"/>
          <w:pgMar w:top="1152" w:right="1152" w:bottom="1152" w:left="1440" w:header="432" w:footer="432" w:gutter="0"/>
          <w:cols w:space="720"/>
          <w:vAlign w:val="center"/>
          <w:docGrid w:linePitch="326"/>
        </w:sectPr>
      </w:pPr>
      <w:bookmarkStart w:id="0" w:name="_Toc392951570"/>
      <w:r w:rsidRPr="00BC4658">
        <w:rPr>
          <w:rFonts w:ascii="Cambria" w:hAnsi="Cambria"/>
          <w:color w:val="808080"/>
          <w:spacing w:val="-10"/>
          <w:sz w:val="44"/>
          <w:szCs w:val="44"/>
          <w:lang w:val="es-ES"/>
        </w:rPr>
        <w:lastRenderedPageBreak/>
        <w:t xml:space="preserve">CAPÍTULO </w:t>
      </w:r>
      <w:r w:rsidR="000B381F" w:rsidRPr="00BC4658">
        <w:rPr>
          <w:rFonts w:ascii="Cambria" w:hAnsi="Cambria"/>
          <w:color w:val="808080"/>
          <w:spacing w:val="-10"/>
          <w:sz w:val="44"/>
          <w:szCs w:val="44"/>
          <w:lang w:val="es-ES"/>
        </w:rPr>
        <w:t>1</w:t>
      </w:r>
      <w:r w:rsidRPr="00BC4658">
        <w:rPr>
          <w:rFonts w:ascii="Cambria" w:hAnsi="Cambria"/>
          <w:color w:val="808080"/>
          <w:spacing w:val="-10"/>
          <w:sz w:val="52"/>
          <w:szCs w:val="52"/>
          <w:lang w:val="es-ES"/>
        </w:rPr>
        <w:br/>
      </w:r>
      <w:r w:rsidRPr="00BC4658">
        <w:rPr>
          <w:rFonts w:ascii="Cambria" w:hAnsi="Cambria"/>
          <w:color w:val="4A442A"/>
          <w:spacing w:val="-10"/>
          <w:sz w:val="52"/>
          <w:szCs w:val="52"/>
          <w:lang w:val="es-ES"/>
        </w:rPr>
        <w:t>INTRODUCCIÓN</w:t>
      </w:r>
    </w:p>
    <w:p w:rsidR="002550F8" w:rsidRPr="0054614D" w:rsidRDefault="002550F8" w:rsidP="00D11F49">
      <w:pPr>
        <w:rPr>
          <w:rFonts w:ascii="Cambria" w:hAnsi="Cambria"/>
          <w:color w:val="4A442A"/>
          <w:sz w:val="32"/>
          <w:szCs w:val="32"/>
          <w:lang w:val="es-ES"/>
        </w:rPr>
      </w:pPr>
    </w:p>
    <w:p w:rsidR="00D11F49" w:rsidRPr="0054614D" w:rsidRDefault="00D11F49" w:rsidP="00D11F49">
      <w:pPr>
        <w:rPr>
          <w:rFonts w:ascii="Cambria" w:hAnsi="Cambria"/>
          <w:color w:val="4A442A"/>
          <w:sz w:val="32"/>
          <w:szCs w:val="32"/>
          <w:lang w:val="es-ES"/>
        </w:rPr>
      </w:pPr>
    </w:p>
    <w:p w:rsidR="00120933" w:rsidRPr="00EB1FC4" w:rsidRDefault="00F6348F" w:rsidP="00225F6F">
      <w:pPr>
        <w:pStyle w:val="Heading1"/>
        <w:rPr>
          <w:color w:val="4A442A"/>
        </w:rPr>
      </w:pPr>
      <w:r w:rsidRPr="00EB1FC4">
        <w:rPr>
          <w:color w:val="4A442A"/>
        </w:rPr>
        <w:t>INTRODUCCIÓN</w:t>
      </w:r>
      <w:bookmarkEnd w:id="0"/>
    </w:p>
    <w:p w:rsidR="00120933" w:rsidRPr="00FF743B" w:rsidRDefault="00120933" w:rsidP="00225F6F">
      <w:pPr>
        <w:rPr>
          <w:rFonts w:ascii="Cambria" w:hAnsi="Cambria"/>
          <w:sz w:val="20"/>
          <w:szCs w:val="20"/>
          <w:u w:val="single"/>
          <w:lang w:val="es-ES"/>
        </w:rPr>
      </w:pPr>
    </w:p>
    <w:p w:rsidR="00FF743B" w:rsidRPr="00FF743B" w:rsidRDefault="00FF743B" w:rsidP="00225F6F">
      <w:pPr>
        <w:rPr>
          <w:rFonts w:ascii="Cambria" w:hAnsi="Cambria"/>
          <w:sz w:val="20"/>
          <w:szCs w:val="20"/>
          <w:u w:val="single"/>
          <w:lang w:val="es-ES"/>
        </w:rPr>
      </w:pPr>
    </w:p>
    <w:p w:rsidR="00FF743B" w:rsidRPr="00FF743B" w:rsidRDefault="00FF743B" w:rsidP="00225F6F">
      <w:pPr>
        <w:rPr>
          <w:rFonts w:ascii="Cambria" w:hAnsi="Cambria"/>
          <w:sz w:val="20"/>
          <w:szCs w:val="20"/>
          <w:u w:val="single"/>
          <w:lang w:val="es-ES"/>
        </w:rPr>
      </w:pPr>
    </w:p>
    <w:p w:rsidR="00FF743B" w:rsidRPr="00FF743B" w:rsidRDefault="00FF743B" w:rsidP="00225F6F">
      <w:pPr>
        <w:rPr>
          <w:rFonts w:ascii="Cambria" w:hAnsi="Cambria"/>
          <w:sz w:val="20"/>
          <w:szCs w:val="20"/>
          <w:u w:val="single"/>
          <w:lang w:val="es-ES"/>
        </w:rPr>
      </w:pPr>
    </w:p>
    <w:p w:rsidR="00291B6D" w:rsidRPr="00FF743B" w:rsidRDefault="00721740"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Comisión Interamericana de Derechos Humanos (en adelante “la Comisión Interamericana”, “la Comisión”, o “CIDH”)</w:t>
      </w:r>
      <w:r w:rsidR="00E9448F" w:rsidRPr="00FF743B">
        <w:rPr>
          <w:rFonts w:ascii="Cambria" w:hAnsi="Cambria"/>
          <w:sz w:val="20"/>
          <w:szCs w:val="20"/>
          <w:lang w:val="es-ES"/>
        </w:rPr>
        <w:t xml:space="preserve"> ha destacado en varias oportunidades la importancia de la ratificación universal de los instrumentos del sistema interamericano como un ingrediente crítico del pleno respeto y garantía de los derechos humanos en las Américas</w:t>
      </w:r>
      <w:r w:rsidR="00E9448F" w:rsidRPr="00FF743B">
        <w:rPr>
          <w:rStyle w:val="FootnoteReference"/>
          <w:rFonts w:ascii="Cambria" w:hAnsi="Cambria"/>
          <w:sz w:val="20"/>
          <w:szCs w:val="20"/>
          <w:lang w:val="es-ES"/>
        </w:rPr>
        <w:footnoteReference w:id="1"/>
      </w:r>
      <w:r w:rsidR="00412909">
        <w:rPr>
          <w:rFonts w:ascii="Cambria" w:hAnsi="Cambria"/>
          <w:sz w:val="20"/>
          <w:szCs w:val="20"/>
          <w:lang w:val="es-ES"/>
        </w:rPr>
        <w:t xml:space="preserve">. </w:t>
      </w:r>
      <w:r w:rsidR="00291B6D" w:rsidRPr="00FF743B">
        <w:rPr>
          <w:rFonts w:ascii="Cambria" w:hAnsi="Cambria"/>
          <w:sz w:val="20"/>
          <w:szCs w:val="20"/>
          <w:lang w:val="es-ES"/>
        </w:rPr>
        <w:t xml:space="preserve"> En varios foros, la CIDH ha reiterado el carácter apremiante de que los Estados Miembros de la </w:t>
      </w:r>
      <w:r w:rsidR="00412909">
        <w:rPr>
          <w:rFonts w:ascii="Cambria" w:hAnsi="Cambria"/>
          <w:sz w:val="20"/>
          <w:szCs w:val="20"/>
          <w:lang w:val="es-ES"/>
        </w:rPr>
        <w:t>Organización de los Estados Americano (</w:t>
      </w:r>
      <w:r w:rsidR="00291B6D" w:rsidRPr="00FF743B">
        <w:rPr>
          <w:rFonts w:ascii="Cambria" w:hAnsi="Cambria"/>
          <w:sz w:val="20"/>
          <w:szCs w:val="20"/>
          <w:lang w:val="es-ES"/>
        </w:rPr>
        <w:t>OEA</w:t>
      </w:r>
      <w:r w:rsidR="00412909">
        <w:rPr>
          <w:rFonts w:ascii="Cambria" w:hAnsi="Cambria"/>
          <w:sz w:val="20"/>
          <w:szCs w:val="20"/>
          <w:lang w:val="es-ES"/>
        </w:rPr>
        <w:t>)</w:t>
      </w:r>
      <w:r w:rsidR="00291B6D" w:rsidRPr="00FF743B">
        <w:rPr>
          <w:rFonts w:ascii="Cambria" w:hAnsi="Cambria"/>
          <w:sz w:val="20"/>
          <w:szCs w:val="20"/>
          <w:lang w:val="es-ES"/>
        </w:rPr>
        <w:t xml:space="preserve"> </w:t>
      </w:r>
      <w:r w:rsidR="0009208D" w:rsidRPr="00FF743B">
        <w:rPr>
          <w:rFonts w:ascii="Cambria" w:hAnsi="Cambria"/>
          <w:sz w:val="20"/>
          <w:szCs w:val="20"/>
          <w:lang w:val="es-ES"/>
        </w:rPr>
        <w:t>empleen los medios a su alcance para superar los impedimentos a la ratificación e implementación plena de todos los instrumentos interamericanos</w:t>
      </w:r>
      <w:r w:rsidR="00291B6D" w:rsidRPr="00FF743B">
        <w:rPr>
          <w:rStyle w:val="FootnoteReference"/>
          <w:rFonts w:ascii="Cambria" w:hAnsi="Cambria"/>
          <w:sz w:val="20"/>
          <w:szCs w:val="20"/>
          <w:lang w:val="es-ES"/>
        </w:rPr>
        <w:footnoteReference w:id="2"/>
      </w:r>
      <w:r w:rsidR="00291B6D" w:rsidRPr="00FF743B">
        <w:rPr>
          <w:rFonts w:ascii="Cambria" w:hAnsi="Cambria"/>
          <w:sz w:val="20"/>
          <w:szCs w:val="20"/>
          <w:lang w:val="es-ES"/>
        </w:rPr>
        <w:t>.</w:t>
      </w:r>
    </w:p>
    <w:p w:rsidR="00291B6D" w:rsidRPr="00FF743B" w:rsidRDefault="00291B6D" w:rsidP="00225F6F">
      <w:pPr>
        <w:ind w:left="720"/>
        <w:jc w:val="both"/>
        <w:rPr>
          <w:rFonts w:ascii="Cambria" w:hAnsi="Cambria"/>
          <w:sz w:val="20"/>
          <w:szCs w:val="20"/>
          <w:lang w:val="es-ES"/>
        </w:rPr>
      </w:pPr>
    </w:p>
    <w:p w:rsidR="00291B6D" w:rsidRDefault="00E9448F"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consona</w:t>
      </w:r>
      <w:r w:rsidR="005C447C" w:rsidRPr="00FF743B">
        <w:rPr>
          <w:rFonts w:ascii="Cambria" w:hAnsi="Cambria"/>
          <w:sz w:val="20"/>
          <w:szCs w:val="20"/>
          <w:lang w:val="es-ES"/>
        </w:rPr>
        <w:t>ncia con estos</w:t>
      </w:r>
      <w:r w:rsidRPr="00FF743B">
        <w:rPr>
          <w:rFonts w:ascii="Cambria" w:hAnsi="Cambria"/>
          <w:sz w:val="20"/>
          <w:szCs w:val="20"/>
          <w:lang w:val="es-ES"/>
        </w:rPr>
        <w:t xml:space="preserve"> principio</w:t>
      </w:r>
      <w:r w:rsidR="005C447C" w:rsidRPr="00FF743B">
        <w:rPr>
          <w:rFonts w:ascii="Cambria" w:hAnsi="Cambria"/>
          <w:sz w:val="20"/>
          <w:szCs w:val="20"/>
          <w:lang w:val="es-ES"/>
        </w:rPr>
        <w:t>s</w:t>
      </w:r>
      <w:r w:rsidRPr="00FF743B">
        <w:rPr>
          <w:rFonts w:ascii="Cambria" w:hAnsi="Cambria"/>
          <w:sz w:val="20"/>
          <w:szCs w:val="20"/>
          <w:lang w:val="es-ES"/>
        </w:rPr>
        <w:t>, la CIDH incluyó como objetivo prioritario en su plan estratégico para el 2011-2015 “la promoción de la observancia de los derechos humanos, el conocimiento del sistema, y la universalización de los instrumentos regionales en la materia”</w:t>
      </w:r>
      <w:r w:rsidRPr="00FF743B">
        <w:rPr>
          <w:rStyle w:val="FootnoteReference"/>
          <w:rFonts w:ascii="Cambria" w:hAnsi="Cambria"/>
          <w:sz w:val="20"/>
          <w:szCs w:val="20"/>
          <w:lang w:val="es-ES"/>
        </w:rPr>
        <w:footnoteReference w:id="3"/>
      </w:r>
      <w:r w:rsidR="0009208D" w:rsidRPr="00FF743B">
        <w:rPr>
          <w:rFonts w:ascii="Cambria" w:hAnsi="Cambria"/>
          <w:sz w:val="20"/>
          <w:szCs w:val="20"/>
          <w:lang w:val="es-ES"/>
        </w:rPr>
        <w:t xml:space="preserve">.  Esta meta es perseguida por la CIDH bajo el entendido </w:t>
      </w:r>
      <w:r w:rsidRPr="00FF743B">
        <w:rPr>
          <w:rFonts w:ascii="Cambria" w:hAnsi="Cambria"/>
          <w:sz w:val="20"/>
          <w:szCs w:val="20"/>
          <w:lang w:val="es-ES"/>
        </w:rPr>
        <w:t>que el sistema actual</w:t>
      </w:r>
      <w:r w:rsidR="000A5D33" w:rsidRPr="00FF743B">
        <w:rPr>
          <w:rFonts w:ascii="Cambria" w:hAnsi="Cambria"/>
          <w:sz w:val="20"/>
          <w:szCs w:val="20"/>
          <w:lang w:val="es-ES"/>
        </w:rPr>
        <w:t xml:space="preserve"> de grados diferenciados de ratificaci</w:t>
      </w:r>
      <w:r w:rsidRPr="00FF743B">
        <w:rPr>
          <w:rFonts w:ascii="Cambria" w:hAnsi="Cambria"/>
          <w:sz w:val="20"/>
          <w:szCs w:val="20"/>
          <w:lang w:val="es-ES"/>
        </w:rPr>
        <w:t>ón “coloca a millones de personas en una situación de desventaja en cuanto al grado de protección internacional de los derechos”</w:t>
      </w:r>
      <w:r w:rsidRPr="00FF743B">
        <w:rPr>
          <w:rStyle w:val="FootnoteReference"/>
          <w:rFonts w:ascii="Cambria" w:hAnsi="Cambria"/>
          <w:sz w:val="20"/>
          <w:szCs w:val="20"/>
          <w:lang w:val="es-ES"/>
        </w:rPr>
        <w:footnoteReference w:id="4"/>
      </w:r>
      <w:r w:rsidRPr="00FF743B">
        <w:rPr>
          <w:rFonts w:ascii="Cambria" w:hAnsi="Cambria"/>
          <w:sz w:val="20"/>
          <w:szCs w:val="20"/>
          <w:lang w:val="es-ES"/>
        </w:rPr>
        <w:t>.  La CIDH asimismo ha destacado la importancia de que los Estados Miembros de la OEA no sólo ratifiquen la Convención Americana, sino todos los instrumentos interamericanos de protección</w:t>
      </w:r>
      <w:r w:rsidRPr="00FF743B">
        <w:rPr>
          <w:rStyle w:val="FootnoteReference"/>
          <w:rFonts w:ascii="Cambria" w:hAnsi="Cambria"/>
          <w:sz w:val="20"/>
          <w:szCs w:val="20"/>
          <w:lang w:val="es-ES"/>
        </w:rPr>
        <w:footnoteReference w:id="5"/>
      </w:r>
      <w:r w:rsidR="00412909">
        <w:rPr>
          <w:rFonts w:ascii="Cambria" w:hAnsi="Cambria"/>
          <w:sz w:val="20"/>
          <w:szCs w:val="20"/>
          <w:lang w:val="es-ES"/>
        </w:rPr>
        <w:t xml:space="preserve">. </w:t>
      </w:r>
      <w:r w:rsidRPr="00FF743B">
        <w:rPr>
          <w:rFonts w:ascii="Cambria" w:hAnsi="Cambria"/>
          <w:sz w:val="20"/>
          <w:szCs w:val="20"/>
          <w:lang w:val="es-ES"/>
        </w:rPr>
        <w:t xml:space="preserve"> Los Estados M</w:t>
      </w:r>
      <w:r w:rsidR="00291B6D" w:rsidRPr="00FF743B">
        <w:rPr>
          <w:rFonts w:ascii="Cambria" w:hAnsi="Cambria"/>
          <w:sz w:val="20"/>
          <w:szCs w:val="20"/>
          <w:lang w:val="es-ES"/>
        </w:rPr>
        <w:t>i</w:t>
      </w:r>
      <w:r w:rsidRPr="00FF743B">
        <w:rPr>
          <w:rFonts w:ascii="Cambria" w:hAnsi="Cambria"/>
          <w:sz w:val="20"/>
          <w:szCs w:val="20"/>
          <w:lang w:val="es-ES"/>
        </w:rPr>
        <w:t xml:space="preserve">embros </w:t>
      </w:r>
      <w:r w:rsidRPr="00FF743B">
        <w:rPr>
          <w:rFonts w:ascii="Cambria" w:hAnsi="Cambria"/>
          <w:sz w:val="20"/>
          <w:szCs w:val="20"/>
          <w:lang w:val="es-ES"/>
        </w:rPr>
        <w:lastRenderedPageBreak/>
        <w:t>de la OEA también han resaltado en dis</w:t>
      </w:r>
      <w:r w:rsidR="0009208D" w:rsidRPr="00FF743B">
        <w:rPr>
          <w:rFonts w:ascii="Cambria" w:hAnsi="Cambria"/>
          <w:sz w:val="20"/>
          <w:szCs w:val="20"/>
          <w:lang w:val="es-ES"/>
        </w:rPr>
        <w:t>tintas instancias la naturaleza prioritaria</w:t>
      </w:r>
      <w:r w:rsidRPr="00FF743B">
        <w:rPr>
          <w:rFonts w:ascii="Cambria" w:hAnsi="Cambria"/>
          <w:sz w:val="20"/>
          <w:szCs w:val="20"/>
          <w:lang w:val="es-ES"/>
        </w:rPr>
        <w:t xml:space="preserve"> de la universalización del sistema interamericano de derechos humanos, y exhortado a los E</w:t>
      </w:r>
      <w:r w:rsidR="00863CE8" w:rsidRPr="00FF743B">
        <w:rPr>
          <w:rFonts w:ascii="Cambria" w:hAnsi="Cambria"/>
          <w:sz w:val="20"/>
          <w:szCs w:val="20"/>
          <w:lang w:val="es-ES"/>
        </w:rPr>
        <w:t xml:space="preserve">stados que no lo han hecho a </w:t>
      </w:r>
      <w:r w:rsidRPr="00FF743B">
        <w:rPr>
          <w:rFonts w:ascii="Cambria" w:hAnsi="Cambria"/>
          <w:sz w:val="20"/>
          <w:szCs w:val="20"/>
          <w:lang w:val="es-ES"/>
        </w:rPr>
        <w:t>firma</w:t>
      </w:r>
      <w:r w:rsidR="00863CE8" w:rsidRPr="00FF743B">
        <w:rPr>
          <w:rFonts w:ascii="Cambria" w:hAnsi="Cambria"/>
          <w:sz w:val="20"/>
          <w:szCs w:val="20"/>
          <w:lang w:val="es-ES"/>
        </w:rPr>
        <w:t xml:space="preserve">r, ratificar, o adherir, lo antes posible, </w:t>
      </w:r>
      <w:r w:rsidRPr="00FF743B">
        <w:rPr>
          <w:rFonts w:ascii="Cambria" w:hAnsi="Cambria"/>
          <w:sz w:val="20"/>
          <w:szCs w:val="20"/>
          <w:lang w:val="es-ES"/>
        </w:rPr>
        <w:t>todos los instrumentos interamericanos de derechos humanos</w:t>
      </w:r>
      <w:r w:rsidRPr="00FF743B">
        <w:rPr>
          <w:rStyle w:val="FootnoteReference"/>
          <w:rFonts w:ascii="Cambria" w:hAnsi="Cambria"/>
          <w:sz w:val="20"/>
          <w:szCs w:val="20"/>
          <w:lang w:val="es-ES"/>
        </w:rPr>
        <w:footnoteReference w:id="6"/>
      </w:r>
      <w:r w:rsidR="00412909">
        <w:rPr>
          <w:rFonts w:ascii="Cambria" w:hAnsi="Cambria"/>
          <w:sz w:val="20"/>
          <w:szCs w:val="20"/>
          <w:lang w:val="es-ES"/>
        </w:rPr>
        <w:t>.</w:t>
      </w:r>
    </w:p>
    <w:p w:rsidR="005F1135" w:rsidRPr="00FF743B" w:rsidRDefault="005F1135" w:rsidP="005F1135">
      <w:pPr>
        <w:jc w:val="both"/>
        <w:rPr>
          <w:rFonts w:ascii="Cambria" w:hAnsi="Cambria"/>
          <w:sz w:val="20"/>
          <w:szCs w:val="20"/>
          <w:lang w:val="es-ES"/>
        </w:rPr>
      </w:pPr>
    </w:p>
    <w:p w:rsidR="00291B6D" w:rsidRPr="00FF743B" w:rsidRDefault="00D063F6"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d</w:t>
      </w:r>
      <w:r w:rsidR="00A20964" w:rsidRPr="00FF743B">
        <w:rPr>
          <w:rFonts w:ascii="Cambria" w:hAnsi="Cambria"/>
          <w:sz w:val="20"/>
          <w:szCs w:val="20"/>
          <w:lang w:val="es-ES"/>
        </w:rPr>
        <w:t xml:space="preserve">icho contexto, </w:t>
      </w:r>
      <w:r w:rsidR="00291B6D" w:rsidRPr="00FF743B">
        <w:rPr>
          <w:rFonts w:ascii="Cambria" w:hAnsi="Cambria"/>
          <w:sz w:val="20"/>
          <w:szCs w:val="20"/>
          <w:lang w:val="es-ES"/>
        </w:rPr>
        <w:t>la CIDH estuvo dedicada a un proceso de reforma importante</w:t>
      </w:r>
      <w:r w:rsidR="00A20964" w:rsidRPr="00FF743B">
        <w:rPr>
          <w:rFonts w:ascii="Cambria" w:hAnsi="Cambria"/>
          <w:sz w:val="20"/>
          <w:szCs w:val="20"/>
          <w:lang w:val="es-ES"/>
        </w:rPr>
        <w:t xml:space="preserve"> entre el 2011 y el 2013</w:t>
      </w:r>
      <w:r w:rsidR="00291B6D" w:rsidRPr="00FF743B">
        <w:rPr>
          <w:rFonts w:ascii="Cambria" w:hAnsi="Cambria"/>
          <w:sz w:val="20"/>
          <w:szCs w:val="20"/>
          <w:lang w:val="es-ES"/>
        </w:rPr>
        <w:t>, en el cual examinó de forma cercana sus procedimientos, políticas y prácticas</w:t>
      </w:r>
      <w:r w:rsidR="00291B6D" w:rsidRPr="00FF743B">
        <w:rPr>
          <w:rStyle w:val="FootnoteReference"/>
          <w:rFonts w:ascii="Cambria" w:hAnsi="Cambria"/>
          <w:sz w:val="20"/>
          <w:szCs w:val="20"/>
          <w:lang w:val="es-ES"/>
        </w:rPr>
        <w:footnoteReference w:id="7"/>
      </w:r>
      <w:r w:rsidR="00291B6D" w:rsidRPr="00FF743B">
        <w:rPr>
          <w:rFonts w:ascii="Cambria" w:hAnsi="Cambria"/>
          <w:sz w:val="20"/>
          <w:szCs w:val="20"/>
          <w:lang w:val="es-ES"/>
        </w:rPr>
        <w:t xml:space="preserve">.  </w:t>
      </w:r>
      <w:r w:rsidR="0009208D" w:rsidRPr="00FF743B">
        <w:rPr>
          <w:rFonts w:ascii="Cambria" w:hAnsi="Cambria"/>
          <w:sz w:val="20"/>
          <w:szCs w:val="20"/>
          <w:lang w:val="es-ES"/>
        </w:rPr>
        <w:t>En el marco de este proceso</w:t>
      </w:r>
      <w:r w:rsidR="00291B6D" w:rsidRPr="00FF743B">
        <w:rPr>
          <w:rFonts w:ascii="Cambria" w:hAnsi="Cambria"/>
          <w:sz w:val="20"/>
          <w:szCs w:val="20"/>
          <w:lang w:val="es-ES"/>
        </w:rPr>
        <w:t xml:space="preserve">, </w:t>
      </w:r>
      <w:r w:rsidR="0009208D" w:rsidRPr="00FF743B">
        <w:rPr>
          <w:rFonts w:ascii="Cambria" w:hAnsi="Cambria"/>
          <w:sz w:val="20"/>
          <w:szCs w:val="20"/>
          <w:lang w:val="es-ES"/>
        </w:rPr>
        <w:t xml:space="preserve">el cual se caracterizó por ser participativo, </w:t>
      </w:r>
      <w:r w:rsidR="00291B6D" w:rsidRPr="00FF743B">
        <w:rPr>
          <w:rFonts w:ascii="Cambria" w:hAnsi="Cambria"/>
          <w:sz w:val="20"/>
          <w:szCs w:val="20"/>
          <w:lang w:val="es-ES"/>
        </w:rPr>
        <w:t xml:space="preserve">la </w:t>
      </w:r>
      <w:r w:rsidR="00822099">
        <w:rPr>
          <w:rFonts w:ascii="Cambria" w:hAnsi="Cambria"/>
          <w:sz w:val="20"/>
          <w:szCs w:val="20"/>
          <w:lang w:val="es-ES"/>
        </w:rPr>
        <w:t>Comisión</w:t>
      </w:r>
      <w:r w:rsidR="00291B6D" w:rsidRPr="00FF743B">
        <w:rPr>
          <w:rFonts w:ascii="Cambria" w:hAnsi="Cambria"/>
          <w:sz w:val="20"/>
          <w:szCs w:val="20"/>
          <w:lang w:val="es-ES"/>
        </w:rPr>
        <w:t xml:space="preserve"> recibió una variedad de insumos </w:t>
      </w:r>
      <w:r w:rsidR="00721740" w:rsidRPr="00FF743B">
        <w:rPr>
          <w:rFonts w:ascii="Cambria" w:hAnsi="Cambria"/>
          <w:sz w:val="20"/>
          <w:szCs w:val="20"/>
          <w:lang w:val="es-ES"/>
        </w:rPr>
        <w:t xml:space="preserve">de parte de actores estatales y no-estatales </w:t>
      </w:r>
      <w:r w:rsidR="00291B6D" w:rsidRPr="00FF743B">
        <w:rPr>
          <w:rFonts w:ascii="Cambria" w:hAnsi="Cambria"/>
          <w:sz w:val="20"/>
          <w:szCs w:val="20"/>
          <w:lang w:val="es-ES"/>
        </w:rPr>
        <w:t>señalando que la plena eficacia del sistema interamericano requiere que los Estados Miembros ratifiquen todos los tratados inter</w:t>
      </w:r>
      <w:r w:rsidR="0009208D" w:rsidRPr="00FF743B">
        <w:rPr>
          <w:rFonts w:ascii="Cambria" w:hAnsi="Cambria"/>
          <w:sz w:val="20"/>
          <w:szCs w:val="20"/>
          <w:lang w:val="es-ES"/>
        </w:rPr>
        <w:t>a</w:t>
      </w:r>
      <w:r w:rsidR="00914C49" w:rsidRPr="00FF743B">
        <w:rPr>
          <w:rFonts w:ascii="Cambria" w:hAnsi="Cambria"/>
          <w:sz w:val="20"/>
          <w:szCs w:val="20"/>
          <w:lang w:val="es-ES"/>
        </w:rPr>
        <w:t xml:space="preserve">mericanos de derechos humanos. </w:t>
      </w:r>
      <w:r w:rsidR="0009208D" w:rsidRPr="00FF743B">
        <w:rPr>
          <w:rFonts w:ascii="Cambria" w:hAnsi="Cambria"/>
          <w:sz w:val="20"/>
          <w:szCs w:val="20"/>
          <w:lang w:val="es-ES"/>
        </w:rPr>
        <w:t>La CIDH ha elaborado el presente informe como parte de los compromisos asumidos durante el referido proceso de reforma</w:t>
      </w:r>
      <w:r w:rsidR="00291B6D" w:rsidRPr="00FF743B">
        <w:rPr>
          <w:rStyle w:val="FootnoteReference"/>
          <w:rFonts w:ascii="Cambria" w:hAnsi="Cambria"/>
          <w:sz w:val="20"/>
          <w:szCs w:val="20"/>
          <w:lang w:val="es-ES"/>
        </w:rPr>
        <w:footnoteReference w:id="8"/>
      </w:r>
      <w:r w:rsidR="00291B6D" w:rsidRPr="00FF743B">
        <w:rPr>
          <w:rFonts w:ascii="Cambria" w:hAnsi="Cambria"/>
          <w:sz w:val="20"/>
          <w:szCs w:val="20"/>
          <w:lang w:val="es-ES"/>
        </w:rPr>
        <w:t>.</w:t>
      </w:r>
    </w:p>
    <w:p w:rsidR="00291B6D" w:rsidRPr="00FF743B" w:rsidRDefault="00291B6D" w:rsidP="00225F6F">
      <w:pPr>
        <w:ind w:left="720"/>
        <w:jc w:val="both"/>
        <w:rPr>
          <w:rFonts w:ascii="Cambria" w:hAnsi="Cambria"/>
          <w:sz w:val="20"/>
          <w:szCs w:val="20"/>
          <w:lang w:val="es-ES"/>
        </w:rPr>
      </w:pPr>
    </w:p>
    <w:p w:rsidR="003C7621" w:rsidRPr="00FF743B" w:rsidRDefault="003C7621"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Con estas consideraciones</w:t>
      </w:r>
      <w:r w:rsidR="0009208D" w:rsidRPr="00FF743B">
        <w:rPr>
          <w:rFonts w:ascii="Cambria" w:hAnsi="Cambria"/>
          <w:sz w:val="20"/>
          <w:szCs w:val="20"/>
          <w:lang w:val="es-ES"/>
        </w:rPr>
        <w:t xml:space="preserve"> en mente, este informe ha sido elaborado por la </w:t>
      </w:r>
      <w:r w:rsidR="00822099">
        <w:rPr>
          <w:rFonts w:ascii="Cambria" w:hAnsi="Cambria"/>
          <w:sz w:val="20"/>
          <w:szCs w:val="20"/>
          <w:lang w:val="es-ES"/>
        </w:rPr>
        <w:t>Comisión Interamericana</w:t>
      </w:r>
      <w:r w:rsidR="0009208D" w:rsidRPr="00FF743B">
        <w:rPr>
          <w:rFonts w:ascii="Cambria" w:hAnsi="Cambria"/>
          <w:sz w:val="20"/>
          <w:szCs w:val="20"/>
          <w:lang w:val="es-ES"/>
        </w:rPr>
        <w:t xml:space="preserve"> con</w:t>
      </w:r>
      <w:r w:rsidR="00291B6D" w:rsidRPr="00FF743B">
        <w:rPr>
          <w:rFonts w:ascii="Cambria" w:hAnsi="Cambria"/>
          <w:sz w:val="20"/>
          <w:szCs w:val="20"/>
          <w:lang w:val="es-ES"/>
        </w:rPr>
        <w:t xml:space="preserve"> varios objetivos</w:t>
      </w:r>
      <w:r w:rsidR="00E43BBD" w:rsidRPr="00FF743B">
        <w:rPr>
          <w:rStyle w:val="FootnoteReference"/>
          <w:rFonts w:ascii="Cambria" w:hAnsi="Cambria"/>
          <w:sz w:val="20"/>
          <w:szCs w:val="20"/>
          <w:lang w:val="es-ES"/>
        </w:rPr>
        <w:footnoteReference w:id="9"/>
      </w:r>
      <w:r w:rsidR="0009208D" w:rsidRPr="00FF743B">
        <w:rPr>
          <w:rFonts w:ascii="Cambria" w:hAnsi="Cambria"/>
          <w:sz w:val="20"/>
          <w:szCs w:val="20"/>
          <w:lang w:val="es-ES"/>
        </w:rPr>
        <w:t xml:space="preserve">. </w:t>
      </w:r>
      <w:r w:rsidR="00291B6D" w:rsidRPr="00FF743B">
        <w:rPr>
          <w:rFonts w:ascii="Cambria" w:hAnsi="Cambria"/>
          <w:sz w:val="20"/>
          <w:szCs w:val="20"/>
          <w:lang w:val="es-ES"/>
        </w:rPr>
        <w:t xml:space="preserve">Primero, el informe procura promover la ratificación universal de </w:t>
      </w:r>
      <w:r w:rsidRPr="00FF743B">
        <w:rPr>
          <w:rFonts w:ascii="Cambria" w:hAnsi="Cambria"/>
          <w:sz w:val="20"/>
          <w:szCs w:val="20"/>
          <w:lang w:val="es-ES"/>
        </w:rPr>
        <w:t xml:space="preserve">todos </w:t>
      </w:r>
      <w:r w:rsidR="00291B6D" w:rsidRPr="00FF743B">
        <w:rPr>
          <w:rFonts w:ascii="Cambria" w:hAnsi="Cambria"/>
          <w:sz w:val="20"/>
          <w:szCs w:val="20"/>
          <w:lang w:val="es-ES"/>
        </w:rPr>
        <w:t>los instrumentos interamer</w:t>
      </w:r>
      <w:r w:rsidRPr="00FF743B">
        <w:rPr>
          <w:rFonts w:ascii="Cambria" w:hAnsi="Cambria"/>
          <w:sz w:val="20"/>
          <w:szCs w:val="20"/>
          <w:lang w:val="es-ES"/>
        </w:rPr>
        <w:t xml:space="preserve">icanos, como un paso fundamental para lograr la </w:t>
      </w:r>
      <w:r w:rsidR="00291B6D" w:rsidRPr="00FF743B">
        <w:rPr>
          <w:rFonts w:ascii="Cambria" w:hAnsi="Cambria"/>
          <w:sz w:val="20"/>
          <w:szCs w:val="20"/>
          <w:lang w:val="es-ES"/>
        </w:rPr>
        <w:t>protección plena de los derechos humanos en la región</w:t>
      </w:r>
      <w:r w:rsidR="00611DBF" w:rsidRPr="00FF743B">
        <w:rPr>
          <w:rStyle w:val="FootnoteReference"/>
          <w:rFonts w:ascii="Cambria" w:hAnsi="Cambria"/>
          <w:sz w:val="20"/>
          <w:szCs w:val="20"/>
          <w:lang w:val="es-ES"/>
        </w:rPr>
        <w:footnoteReference w:id="10"/>
      </w:r>
      <w:r w:rsidR="00291B6D" w:rsidRPr="00FF743B">
        <w:rPr>
          <w:rFonts w:ascii="Cambria" w:hAnsi="Cambria"/>
          <w:sz w:val="20"/>
          <w:szCs w:val="20"/>
          <w:lang w:val="es-ES"/>
        </w:rPr>
        <w:t>.</w:t>
      </w:r>
      <w:r w:rsidR="00914C49" w:rsidRPr="00FF743B">
        <w:rPr>
          <w:rFonts w:ascii="Cambria" w:hAnsi="Cambria"/>
          <w:sz w:val="20"/>
          <w:szCs w:val="20"/>
          <w:lang w:val="es-ES"/>
        </w:rPr>
        <w:t xml:space="preserve"> </w:t>
      </w:r>
      <w:r w:rsidRPr="00FF743B">
        <w:rPr>
          <w:rFonts w:ascii="Cambria" w:hAnsi="Cambria"/>
          <w:sz w:val="20"/>
          <w:szCs w:val="20"/>
          <w:lang w:val="es-ES"/>
        </w:rPr>
        <w:t>En este sentido, el informe discute preocupaciones y progreso</w:t>
      </w:r>
      <w:r w:rsidR="00721740" w:rsidRPr="00FF743B">
        <w:rPr>
          <w:rFonts w:ascii="Cambria" w:hAnsi="Cambria"/>
          <w:sz w:val="20"/>
          <w:szCs w:val="20"/>
          <w:lang w:val="es-ES"/>
        </w:rPr>
        <w:t>s</w:t>
      </w:r>
      <w:r w:rsidRPr="00FF743B">
        <w:rPr>
          <w:rFonts w:ascii="Cambria" w:hAnsi="Cambria"/>
          <w:sz w:val="20"/>
          <w:szCs w:val="20"/>
          <w:lang w:val="es-ES"/>
        </w:rPr>
        <w:t xml:space="preserve"> en el </w:t>
      </w:r>
      <w:r w:rsidRPr="00FF743B">
        <w:rPr>
          <w:rFonts w:ascii="Cambria" w:hAnsi="Cambria"/>
          <w:sz w:val="20"/>
          <w:szCs w:val="20"/>
          <w:lang w:val="es-ES"/>
        </w:rPr>
        <w:lastRenderedPageBreak/>
        <w:t>camino hacia la universalidad</w:t>
      </w:r>
      <w:r w:rsidR="0009208D" w:rsidRPr="00FF743B">
        <w:rPr>
          <w:rFonts w:ascii="Cambria" w:hAnsi="Cambria"/>
          <w:sz w:val="20"/>
          <w:szCs w:val="20"/>
          <w:lang w:val="es-ES"/>
        </w:rPr>
        <w:t xml:space="preserve"> en las Américas</w:t>
      </w:r>
      <w:r w:rsidRPr="00FF743B">
        <w:rPr>
          <w:rFonts w:ascii="Cambria" w:hAnsi="Cambria"/>
          <w:sz w:val="20"/>
          <w:szCs w:val="20"/>
          <w:lang w:val="es-ES"/>
        </w:rPr>
        <w:t>, con miras a promover una reflexión de parte de los Estados Miembros de la OEA de cómo superar los obstáculos existentes.</w:t>
      </w:r>
      <w:r w:rsidR="007F3D76" w:rsidRPr="00FF743B">
        <w:rPr>
          <w:rFonts w:ascii="Cambria" w:hAnsi="Cambria"/>
          <w:sz w:val="20"/>
          <w:szCs w:val="20"/>
          <w:lang w:val="es-ES"/>
        </w:rPr>
        <w:t xml:space="preserve">  </w:t>
      </w:r>
      <w:r w:rsidR="00291B6D" w:rsidRPr="00FF743B">
        <w:rPr>
          <w:rFonts w:ascii="Cambria" w:hAnsi="Cambria"/>
          <w:sz w:val="20"/>
          <w:szCs w:val="20"/>
          <w:lang w:val="es-ES"/>
        </w:rPr>
        <w:t>Segundo, el informe busca fomentar la observancia general de los derechos hum</w:t>
      </w:r>
      <w:r w:rsidRPr="00FF743B">
        <w:rPr>
          <w:rFonts w:ascii="Cambria" w:hAnsi="Cambria"/>
          <w:sz w:val="20"/>
          <w:szCs w:val="20"/>
          <w:lang w:val="es-ES"/>
        </w:rPr>
        <w:t>anos en las Américas</w:t>
      </w:r>
      <w:r w:rsidR="00721740" w:rsidRPr="00FF743B">
        <w:rPr>
          <w:rFonts w:ascii="Cambria" w:hAnsi="Cambria"/>
          <w:sz w:val="20"/>
          <w:szCs w:val="20"/>
          <w:lang w:val="es-ES"/>
        </w:rPr>
        <w:t>, promoviendo no só</w:t>
      </w:r>
      <w:r w:rsidRPr="00FF743B">
        <w:rPr>
          <w:rFonts w:ascii="Cambria" w:hAnsi="Cambria"/>
          <w:sz w:val="20"/>
          <w:szCs w:val="20"/>
          <w:lang w:val="es-ES"/>
        </w:rPr>
        <w:t>lo la universalidad en la ratificación, pero también el cumplimiento de las disposiciones contenidas en dichos instrumentos</w:t>
      </w:r>
      <w:r w:rsidR="0009208D" w:rsidRPr="00FF743B">
        <w:rPr>
          <w:rStyle w:val="FootnoteReference"/>
          <w:rFonts w:ascii="Cambria" w:hAnsi="Cambria"/>
          <w:sz w:val="20"/>
          <w:szCs w:val="20"/>
          <w:lang w:val="es-ES"/>
        </w:rPr>
        <w:footnoteReference w:id="11"/>
      </w:r>
      <w:r w:rsidR="00914C49" w:rsidRPr="00FF743B">
        <w:rPr>
          <w:rFonts w:ascii="Cambria" w:hAnsi="Cambria"/>
          <w:sz w:val="20"/>
          <w:szCs w:val="20"/>
          <w:lang w:val="es-ES"/>
        </w:rPr>
        <w:t xml:space="preserve">. </w:t>
      </w:r>
      <w:r w:rsidR="00721740" w:rsidRPr="00FF743B">
        <w:rPr>
          <w:rFonts w:ascii="Cambria" w:hAnsi="Cambria"/>
          <w:sz w:val="20"/>
          <w:szCs w:val="20"/>
          <w:lang w:val="es-ES"/>
        </w:rPr>
        <w:t>La CIDH reitera que</w:t>
      </w:r>
      <w:r w:rsidRPr="00FF743B">
        <w:rPr>
          <w:rFonts w:ascii="Cambria" w:hAnsi="Cambria"/>
          <w:sz w:val="20"/>
          <w:szCs w:val="20"/>
          <w:lang w:val="es-ES"/>
        </w:rPr>
        <w:t xml:space="preserve"> el desarrollo jurídico de estándares en el marco del sistema interamericano debe estar acompañado por esfuerzos de los Es</w:t>
      </w:r>
      <w:r w:rsidR="00914C49" w:rsidRPr="00FF743B">
        <w:rPr>
          <w:rFonts w:ascii="Cambria" w:hAnsi="Cambria"/>
          <w:sz w:val="20"/>
          <w:szCs w:val="20"/>
          <w:lang w:val="es-ES"/>
        </w:rPr>
        <w:t xml:space="preserve">tados de ponerlos en práctica. </w:t>
      </w:r>
      <w:r w:rsidR="00822099">
        <w:rPr>
          <w:rFonts w:ascii="Cambria" w:hAnsi="Cambria"/>
          <w:sz w:val="20"/>
          <w:szCs w:val="20"/>
          <w:lang w:val="es-ES"/>
        </w:rPr>
        <w:t xml:space="preserve"> </w:t>
      </w:r>
      <w:r w:rsidR="00291B6D" w:rsidRPr="00FF743B">
        <w:rPr>
          <w:rFonts w:ascii="Cambria" w:hAnsi="Cambria"/>
          <w:sz w:val="20"/>
          <w:szCs w:val="20"/>
          <w:lang w:val="es-ES"/>
        </w:rPr>
        <w:t>Tercero, el informe tiene como objetivo difundir conocimiento sobre el contenido de los instrumentos interamerica</w:t>
      </w:r>
      <w:r w:rsidR="00914C49" w:rsidRPr="00FF743B">
        <w:rPr>
          <w:rFonts w:ascii="Cambria" w:hAnsi="Cambria"/>
          <w:sz w:val="20"/>
          <w:szCs w:val="20"/>
          <w:lang w:val="es-ES"/>
        </w:rPr>
        <w:t xml:space="preserve">nos de protección. </w:t>
      </w:r>
      <w:r w:rsidR="00291B6D" w:rsidRPr="00FF743B">
        <w:rPr>
          <w:rFonts w:ascii="Cambria" w:hAnsi="Cambria"/>
          <w:sz w:val="20"/>
          <w:szCs w:val="20"/>
          <w:lang w:val="es-ES"/>
        </w:rPr>
        <w:t xml:space="preserve">Cuarto, </w:t>
      </w:r>
      <w:r w:rsidR="00721740" w:rsidRPr="00FF743B">
        <w:rPr>
          <w:rFonts w:ascii="Cambria" w:hAnsi="Cambria"/>
          <w:sz w:val="20"/>
          <w:szCs w:val="20"/>
          <w:lang w:val="es-ES"/>
        </w:rPr>
        <w:t xml:space="preserve">el informe </w:t>
      </w:r>
      <w:r w:rsidR="0009208D" w:rsidRPr="00FF743B">
        <w:rPr>
          <w:rFonts w:ascii="Cambria" w:hAnsi="Cambria"/>
          <w:sz w:val="20"/>
          <w:szCs w:val="20"/>
          <w:lang w:val="es-ES"/>
        </w:rPr>
        <w:t>tiene como una meta prioritaria</w:t>
      </w:r>
      <w:r w:rsidR="00291B6D" w:rsidRPr="00FF743B">
        <w:rPr>
          <w:rFonts w:ascii="Cambria" w:hAnsi="Cambria"/>
          <w:sz w:val="20"/>
          <w:szCs w:val="20"/>
          <w:lang w:val="es-ES"/>
        </w:rPr>
        <w:t xml:space="preserve"> el apoyar a los Estados Miembros de la OEA en el cumplimiento de sus obligaciones de derechos humanos. </w:t>
      </w:r>
    </w:p>
    <w:p w:rsidR="003C7621" w:rsidRPr="00FF743B" w:rsidRDefault="003C7621" w:rsidP="00225F6F">
      <w:pPr>
        <w:pStyle w:val="ListParagraph"/>
        <w:rPr>
          <w:rFonts w:ascii="Cambria" w:hAnsi="Cambria"/>
          <w:sz w:val="20"/>
          <w:szCs w:val="20"/>
          <w:lang w:val="es-ES"/>
        </w:rPr>
      </w:pPr>
    </w:p>
    <w:p w:rsidR="001142D5" w:rsidRDefault="003C7621"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CIDH </w:t>
      </w:r>
      <w:r w:rsidR="00721740" w:rsidRPr="00FF743B">
        <w:rPr>
          <w:rFonts w:ascii="Cambria" w:hAnsi="Cambria"/>
          <w:sz w:val="20"/>
          <w:szCs w:val="20"/>
          <w:lang w:val="es-ES"/>
        </w:rPr>
        <w:t>a su vez busca resaltar</w:t>
      </w:r>
      <w:r w:rsidRPr="00FF743B">
        <w:rPr>
          <w:rFonts w:ascii="Cambria" w:hAnsi="Cambria"/>
          <w:sz w:val="20"/>
          <w:szCs w:val="20"/>
          <w:lang w:val="es-ES"/>
        </w:rPr>
        <w:t xml:space="preserve"> en el presente informe que la aplicación de los estándares del sistema interamericano de derechos humanos a través de las Américas es un proceso heterogéneo que camina a pasos lentos.  Ello exige de los Estados esfuerzos concretos, deliberados, e inmediatos para cerrar la b</w:t>
      </w:r>
      <w:r w:rsidR="0009208D" w:rsidRPr="00FF743B">
        <w:rPr>
          <w:rFonts w:ascii="Cambria" w:hAnsi="Cambria"/>
          <w:sz w:val="20"/>
          <w:szCs w:val="20"/>
          <w:lang w:val="es-ES"/>
        </w:rPr>
        <w:t>recha entre los principios consagrados en los instrumentos interamericanos</w:t>
      </w:r>
      <w:r w:rsidR="008A7CEB" w:rsidRPr="00FF743B">
        <w:rPr>
          <w:rFonts w:ascii="Cambria" w:hAnsi="Cambria"/>
          <w:sz w:val="20"/>
          <w:szCs w:val="20"/>
          <w:lang w:val="es-ES"/>
        </w:rPr>
        <w:t xml:space="preserve"> y su implementación práctica</w:t>
      </w:r>
      <w:r w:rsidRPr="00FF743B">
        <w:rPr>
          <w:rStyle w:val="FootnoteReference"/>
          <w:rFonts w:ascii="Cambria" w:hAnsi="Cambria"/>
          <w:sz w:val="20"/>
          <w:szCs w:val="20"/>
          <w:lang w:val="es-ES"/>
        </w:rPr>
        <w:footnoteReference w:id="12"/>
      </w:r>
      <w:r w:rsidRPr="00FF743B">
        <w:rPr>
          <w:rFonts w:ascii="Cambria" w:hAnsi="Cambria"/>
          <w:sz w:val="20"/>
          <w:szCs w:val="20"/>
          <w:lang w:val="es-ES"/>
        </w:rPr>
        <w:t>. La ratificación plena de todos los instrumentos interamericanos de protección es un esfuerzo fundamental para lograr la mejor protección posible de los derechos humanos de todas las personas.</w:t>
      </w:r>
    </w:p>
    <w:p w:rsidR="00B4164D" w:rsidRPr="00FF743B" w:rsidRDefault="00B4164D" w:rsidP="00B4164D">
      <w:pPr>
        <w:tabs>
          <w:tab w:val="num" w:pos="1080"/>
        </w:tabs>
        <w:ind w:left="360"/>
        <w:jc w:val="both"/>
        <w:rPr>
          <w:rFonts w:ascii="Cambria" w:hAnsi="Cambria"/>
          <w:sz w:val="20"/>
          <w:szCs w:val="20"/>
          <w:lang w:val="es-ES"/>
        </w:rPr>
      </w:pPr>
    </w:p>
    <w:p w:rsidR="001142D5" w:rsidRPr="00387E3F" w:rsidRDefault="001142D5" w:rsidP="00E94226">
      <w:pPr>
        <w:pStyle w:val="Heading2"/>
        <w:spacing w:before="240" w:after="240"/>
        <w:ind w:left="547" w:hanging="547"/>
      </w:pPr>
      <w:bookmarkStart w:id="1" w:name="_Toc392951571"/>
      <w:r w:rsidRPr="00387E3F">
        <w:t>Supuestos de la universalidad</w:t>
      </w:r>
      <w:bookmarkEnd w:id="1"/>
    </w:p>
    <w:p w:rsidR="001142D5" w:rsidRPr="00FF743B" w:rsidRDefault="001142D5" w:rsidP="00225F6F">
      <w:pPr>
        <w:pStyle w:val="ListParagraph"/>
        <w:rPr>
          <w:rFonts w:ascii="Cambria" w:hAnsi="Cambria"/>
          <w:sz w:val="20"/>
          <w:szCs w:val="20"/>
          <w:lang w:val="es-ES"/>
        </w:rPr>
      </w:pPr>
    </w:p>
    <w:p w:rsidR="001142D5" w:rsidRPr="00FF743B" w:rsidRDefault="0061536E"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Antes de </w:t>
      </w:r>
      <w:r w:rsidR="00721740" w:rsidRPr="00FF743B">
        <w:rPr>
          <w:rFonts w:ascii="Cambria" w:hAnsi="Cambria"/>
          <w:sz w:val="20"/>
          <w:szCs w:val="20"/>
          <w:lang w:val="es-ES"/>
        </w:rPr>
        <w:t>a</w:t>
      </w:r>
      <w:r w:rsidR="00E43BBD" w:rsidRPr="00FF743B">
        <w:rPr>
          <w:rFonts w:ascii="Cambria" w:hAnsi="Cambria"/>
          <w:sz w:val="20"/>
          <w:szCs w:val="20"/>
          <w:lang w:val="es-ES"/>
        </w:rPr>
        <w:t>nalizar desafíos y avances en la ratificación de instrumentos interamericanos de derechos humanos, es importante destacar que este informe se basa en un grupo de premisas derivadas del objetivo de la universalidad en la ratificación de los instrumentos interamericanos.</w:t>
      </w:r>
      <w:r w:rsidR="00721740" w:rsidRPr="00FF743B">
        <w:rPr>
          <w:rFonts w:ascii="Cambria" w:hAnsi="Cambria"/>
          <w:sz w:val="20"/>
          <w:szCs w:val="20"/>
          <w:lang w:val="es-ES"/>
        </w:rPr>
        <w:t xml:space="preserve"> </w:t>
      </w:r>
    </w:p>
    <w:p w:rsidR="001142D5" w:rsidRPr="00FF743B" w:rsidRDefault="001142D5" w:rsidP="00225F6F">
      <w:pPr>
        <w:pStyle w:val="ListParagraph"/>
        <w:rPr>
          <w:rFonts w:ascii="Cambria" w:hAnsi="Cambria"/>
          <w:sz w:val="20"/>
          <w:szCs w:val="20"/>
          <w:lang w:val="es-ES"/>
        </w:rPr>
      </w:pPr>
    </w:p>
    <w:p w:rsidR="001142D5" w:rsidRPr="00FF743B" w:rsidRDefault="00E43BBD"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primer lugar</w:t>
      </w:r>
      <w:r w:rsidRPr="00FF743B">
        <w:rPr>
          <w:rFonts w:ascii="Cambria" w:hAnsi="Cambria"/>
          <w:sz w:val="20"/>
          <w:szCs w:val="20"/>
          <w:lang w:val="es-ES"/>
        </w:rPr>
        <w:t xml:space="preserve">, la </w:t>
      </w:r>
      <w:r w:rsidR="00822099">
        <w:rPr>
          <w:rFonts w:ascii="Cambria" w:hAnsi="Cambria"/>
          <w:sz w:val="20"/>
          <w:szCs w:val="20"/>
          <w:lang w:val="es-ES"/>
        </w:rPr>
        <w:t>Comisión Interamericana</w:t>
      </w:r>
      <w:r w:rsidRPr="00FF743B">
        <w:rPr>
          <w:rFonts w:ascii="Cambria" w:hAnsi="Cambria"/>
          <w:sz w:val="20"/>
          <w:szCs w:val="20"/>
          <w:lang w:val="es-ES"/>
        </w:rPr>
        <w:t xml:space="preserve"> reitera el carácter universal, indivisible e interdependiente de todos los derechos humanos</w:t>
      </w:r>
      <w:r w:rsidRPr="00FF743B">
        <w:rPr>
          <w:rStyle w:val="FootnoteReference"/>
          <w:rFonts w:ascii="Cambria" w:hAnsi="Cambria"/>
          <w:sz w:val="20"/>
          <w:szCs w:val="20"/>
          <w:lang w:val="es-ES"/>
        </w:rPr>
        <w:footnoteReference w:id="13"/>
      </w:r>
      <w:r w:rsidR="00331E75" w:rsidRPr="00FF743B">
        <w:rPr>
          <w:rFonts w:ascii="Cambria" w:hAnsi="Cambria"/>
          <w:sz w:val="20"/>
          <w:szCs w:val="20"/>
          <w:lang w:val="es-ES"/>
        </w:rPr>
        <w:t xml:space="preserve">. </w:t>
      </w:r>
      <w:r w:rsidRPr="00FF743B">
        <w:rPr>
          <w:rFonts w:ascii="Cambria" w:hAnsi="Cambria"/>
          <w:sz w:val="20"/>
          <w:szCs w:val="20"/>
          <w:lang w:val="es-ES"/>
        </w:rPr>
        <w:t>Ello implica por un lado un vínculo estrecho entre la protección de los derechos civiles y políticos, y los econ</w:t>
      </w:r>
      <w:r w:rsidR="00331E75" w:rsidRPr="00FF743B">
        <w:rPr>
          <w:rFonts w:ascii="Cambria" w:hAnsi="Cambria"/>
          <w:sz w:val="20"/>
          <w:szCs w:val="20"/>
          <w:lang w:val="es-ES"/>
        </w:rPr>
        <w:t xml:space="preserve">ómicos, sociales y culturales. </w:t>
      </w:r>
      <w:r w:rsidRPr="00FF743B">
        <w:rPr>
          <w:rFonts w:ascii="Cambria" w:hAnsi="Cambria"/>
          <w:sz w:val="20"/>
          <w:szCs w:val="20"/>
          <w:lang w:val="es-ES"/>
        </w:rPr>
        <w:t xml:space="preserve">Por otro, acarrea un deber para los Estados de prestar especial atención a los sectores sociales e individuos que han sufrido formas de exclusión histórica o son víctimas de prejuicios persistentes, y adoptar de forma </w:t>
      </w:r>
      <w:r w:rsidRPr="00FF743B">
        <w:rPr>
          <w:rFonts w:ascii="Cambria" w:hAnsi="Cambria"/>
          <w:sz w:val="20"/>
          <w:szCs w:val="20"/>
          <w:lang w:val="es-ES"/>
        </w:rPr>
        <w:lastRenderedPageBreak/>
        <w:t xml:space="preserve">inmediata las medidas necesarias para prevenir, reducir y eliminar las condiciones y actitudes que generan o perpetúan la </w:t>
      </w:r>
      <w:r w:rsidR="00331E75" w:rsidRPr="00FF743B">
        <w:rPr>
          <w:rFonts w:ascii="Cambria" w:hAnsi="Cambria"/>
          <w:sz w:val="20"/>
          <w:szCs w:val="20"/>
          <w:lang w:val="es-ES"/>
        </w:rPr>
        <w:t xml:space="preserve">discriminación en la práctica. </w:t>
      </w:r>
      <w:r w:rsidRPr="00FF743B">
        <w:rPr>
          <w:rFonts w:ascii="Cambria" w:hAnsi="Cambria"/>
          <w:sz w:val="20"/>
          <w:szCs w:val="20"/>
          <w:lang w:val="es-ES"/>
        </w:rPr>
        <w:t>Estos principios se ven reflejados en los instrumentos que rigen el actuar del sistema interamericano de derechos humanos. Siendo éste un sistema integral de protección, para lograr la mayor protección posible de las personas en las Américas, es indispensable la ratificación no sólo de la Convención Americana, pero de todos los</w:t>
      </w:r>
      <w:r w:rsidR="00B93E5C" w:rsidRPr="00FF743B">
        <w:rPr>
          <w:rFonts w:ascii="Cambria" w:hAnsi="Cambria"/>
          <w:sz w:val="20"/>
          <w:szCs w:val="20"/>
          <w:lang w:val="es-ES"/>
        </w:rPr>
        <w:t xml:space="preserve"> instrumentos interamericanos. </w:t>
      </w:r>
      <w:r w:rsidRPr="00FF743B">
        <w:rPr>
          <w:rFonts w:ascii="Cambria" w:hAnsi="Cambria"/>
          <w:sz w:val="20"/>
          <w:szCs w:val="20"/>
          <w:lang w:val="es-ES"/>
        </w:rPr>
        <w:t xml:space="preserve">Esto es complementado por el nexo indispensable </w:t>
      </w:r>
      <w:r w:rsidR="00B93E5C" w:rsidRPr="00FF743B">
        <w:rPr>
          <w:rFonts w:ascii="Cambria" w:hAnsi="Cambria"/>
          <w:sz w:val="20"/>
          <w:szCs w:val="20"/>
          <w:lang w:val="es-ES"/>
        </w:rPr>
        <w:t>entre las protecciones reconocidas en</w:t>
      </w:r>
      <w:r w:rsidRPr="00FF743B">
        <w:rPr>
          <w:rFonts w:ascii="Cambria" w:hAnsi="Cambria"/>
          <w:sz w:val="20"/>
          <w:szCs w:val="20"/>
          <w:lang w:val="es-ES"/>
        </w:rPr>
        <w:t xml:space="preserve"> el sistema int</w:t>
      </w:r>
      <w:r w:rsidR="00B93E5C" w:rsidRPr="00FF743B">
        <w:rPr>
          <w:rFonts w:ascii="Cambria" w:hAnsi="Cambria"/>
          <w:sz w:val="20"/>
          <w:szCs w:val="20"/>
          <w:lang w:val="es-ES"/>
        </w:rPr>
        <w:t xml:space="preserve">eramericano y en </w:t>
      </w:r>
      <w:r w:rsidRPr="00FF743B">
        <w:rPr>
          <w:rFonts w:ascii="Cambria" w:hAnsi="Cambria"/>
          <w:sz w:val="20"/>
          <w:szCs w:val="20"/>
          <w:lang w:val="es-ES"/>
        </w:rPr>
        <w:t>el sistema universal de derechos humanos.</w:t>
      </w:r>
    </w:p>
    <w:p w:rsidR="001142D5" w:rsidRPr="00FF743B" w:rsidRDefault="001142D5" w:rsidP="00225F6F">
      <w:pPr>
        <w:ind w:left="720"/>
        <w:jc w:val="both"/>
        <w:rPr>
          <w:rFonts w:ascii="Cambria" w:hAnsi="Cambria"/>
          <w:sz w:val="20"/>
          <w:szCs w:val="20"/>
          <w:lang w:val="es-ES"/>
        </w:rPr>
      </w:pPr>
    </w:p>
    <w:p w:rsidR="006344A0" w:rsidRPr="00FF743B" w:rsidRDefault="00E43BBD"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w:t>
      </w:r>
      <w:r w:rsidRPr="00FF743B">
        <w:rPr>
          <w:rFonts w:ascii="Cambria" w:hAnsi="Cambria"/>
          <w:b/>
          <w:sz w:val="20"/>
          <w:szCs w:val="20"/>
          <w:lang w:val="es-ES"/>
        </w:rPr>
        <w:t xml:space="preserve"> segundo lugar</w:t>
      </w:r>
      <w:r w:rsidRPr="00FF743B">
        <w:rPr>
          <w:rFonts w:ascii="Cambria" w:hAnsi="Cambria"/>
          <w:sz w:val="20"/>
          <w:szCs w:val="20"/>
          <w:lang w:val="es-ES"/>
        </w:rPr>
        <w:t>, la CIDH destaca la importancia de la observancia plena de los derechos humanos para lograr democracias sólidas e incluyentes</w:t>
      </w:r>
      <w:r w:rsidRPr="00FF743B">
        <w:rPr>
          <w:rStyle w:val="FootnoteReference"/>
          <w:rFonts w:ascii="Cambria" w:hAnsi="Cambria"/>
          <w:sz w:val="20"/>
          <w:szCs w:val="20"/>
          <w:lang w:val="es-ES"/>
        </w:rPr>
        <w:footnoteReference w:id="14"/>
      </w:r>
      <w:r w:rsidRPr="00FF743B">
        <w:rPr>
          <w:rFonts w:ascii="Cambria" w:hAnsi="Cambria"/>
          <w:sz w:val="20"/>
          <w:szCs w:val="20"/>
          <w:lang w:val="es-ES"/>
        </w:rPr>
        <w:t>.  El ratificar tratados internacionales de protección de derechos humanos es un indicador de la calidad de la democracia de un país, facilitando la integración de las voces y demandas de sus ciudadanos y ciudadanas en todas las esferas de la política pública</w:t>
      </w:r>
      <w:r w:rsidR="00666635" w:rsidRPr="00FF743B">
        <w:rPr>
          <w:rStyle w:val="FootnoteReference"/>
          <w:rFonts w:ascii="Cambria" w:hAnsi="Cambria"/>
          <w:sz w:val="20"/>
          <w:szCs w:val="20"/>
          <w:lang w:val="es-ES"/>
        </w:rPr>
        <w:footnoteReference w:id="15"/>
      </w:r>
      <w:r w:rsidR="00331E75" w:rsidRPr="00FF743B">
        <w:rPr>
          <w:rFonts w:ascii="Cambria" w:hAnsi="Cambria"/>
          <w:sz w:val="20"/>
          <w:szCs w:val="20"/>
          <w:lang w:val="es-ES"/>
        </w:rPr>
        <w:t>.</w:t>
      </w:r>
      <w:r w:rsidR="00822099">
        <w:rPr>
          <w:rFonts w:ascii="Cambria" w:hAnsi="Cambria"/>
          <w:sz w:val="20"/>
          <w:szCs w:val="20"/>
          <w:lang w:val="es-ES"/>
        </w:rPr>
        <w:t xml:space="preserve"> </w:t>
      </w:r>
      <w:r w:rsidR="00331E75" w:rsidRPr="00FF743B">
        <w:rPr>
          <w:rFonts w:ascii="Cambria" w:hAnsi="Cambria"/>
          <w:sz w:val="20"/>
          <w:szCs w:val="20"/>
          <w:lang w:val="es-ES"/>
        </w:rPr>
        <w:t xml:space="preserve"> </w:t>
      </w:r>
      <w:r w:rsidRPr="00FF743B">
        <w:rPr>
          <w:rFonts w:ascii="Cambria" w:hAnsi="Cambria"/>
          <w:sz w:val="20"/>
          <w:szCs w:val="20"/>
          <w:lang w:val="es-ES"/>
        </w:rPr>
        <w:t>La ratificación de instrumentos internacionales a su vez promueve el respeto y garantía de la obligación de no discriminar y del principio de igualdad; principios marco del sistema internacional de protección de los derechos humanos y vitales para garantizar democracias coherentes, re</w:t>
      </w:r>
      <w:r w:rsidR="00170780" w:rsidRPr="00FF743B">
        <w:rPr>
          <w:rFonts w:ascii="Cambria" w:hAnsi="Cambria"/>
          <w:sz w:val="20"/>
          <w:szCs w:val="20"/>
          <w:lang w:val="es-ES"/>
        </w:rPr>
        <w:t xml:space="preserve">presentativas y sostenibles.  </w:t>
      </w:r>
      <w:r w:rsidRPr="00FF743B">
        <w:rPr>
          <w:rFonts w:ascii="Cambria" w:hAnsi="Cambria"/>
          <w:sz w:val="20"/>
          <w:szCs w:val="20"/>
          <w:lang w:val="es-ES"/>
        </w:rPr>
        <w:t>Vale la pena destacar que los Estados reconocieron en el acta de creación de la Comisión Interamericana, que “la armonía de las Repúblicas Americanas sólo puede ser efectiva en tanto el respeto de los derechos humanos y de las libertades fundamentales y el ejercicio de la democracia representativa sean una realidad en el ámbito interno de cada una de ellas”</w:t>
      </w:r>
      <w:r w:rsidRPr="00FF743B">
        <w:rPr>
          <w:rStyle w:val="FootnoteReference"/>
          <w:rFonts w:ascii="Cambria" w:hAnsi="Cambria"/>
          <w:sz w:val="20"/>
          <w:szCs w:val="20"/>
          <w:lang w:val="es-ES"/>
        </w:rPr>
        <w:footnoteReference w:id="16"/>
      </w:r>
      <w:r w:rsidR="00822099">
        <w:rPr>
          <w:rFonts w:ascii="Cambria" w:hAnsi="Cambria"/>
          <w:sz w:val="20"/>
          <w:szCs w:val="20"/>
          <w:lang w:val="es-ES"/>
        </w:rPr>
        <w:t xml:space="preserve">. </w:t>
      </w:r>
      <w:r w:rsidRPr="00FF743B">
        <w:rPr>
          <w:rFonts w:ascii="Cambria" w:hAnsi="Cambria"/>
          <w:sz w:val="20"/>
          <w:szCs w:val="20"/>
          <w:lang w:val="es-ES"/>
        </w:rPr>
        <w:t xml:space="preserve"> Inclusive en países con gran tradición democrática, instituciones sólidas y un marco normativo y regulatorio de derechos </w:t>
      </w:r>
      <w:r w:rsidRPr="00FF743B">
        <w:rPr>
          <w:rFonts w:ascii="Cambria" w:hAnsi="Cambria"/>
          <w:sz w:val="20"/>
          <w:szCs w:val="20"/>
          <w:lang w:val="es-ES"/>
        </w:rPr>
        <w:lastRenderedPageBreak/>
        <w:t xml:space="preserve">humanos desarrollado, el sistema de protección internacional e interamericano constituye un nivel </w:t>
      </w:r>
      <w:r w:rsidR="006A3AA4" w:rsidRPr="00FF743B">
        <w:rPr>
          <w:rFonts w:ascii="Cambria" w:hAnsi="Cambria"/>
          <w:sz w:val="20"/>
          <w:szCs w:val="20"/>
          <w:lang w:val="es-ES"/>
        </w:rPr>
        <w:t xml:space="preserve">complementario </w:t>
      </w:r>
      <w:r w:rsidRPr="00FF743B">
        <w:rPr>
          <w:rFonts w:ascii="Cambria" w:hAnsi="Cambria"/>
          <w:sz w:val="20"/>
          <w:szCs w:val="20"/>
          <w:lang w:val="es-ES"/>
        </w:rPr>
        <w:t>de protección para las person</w:t>
      </w:r>
      <w:r w:rsidR="006A3AA4" w:rsidRPr="00FF743B">
        <w:rPr>
          <w:rFonts w:ascii="Cambria" w:hAnsi="Cambria"/>
          <w:sz w:val="20"/>
          <w:szCs w:val="20"/>
          <w:lang w:val="es-ES"/>
        </w:rPr>
        <w:t>as; aspecto que reviste particular</w:t>
      </w:r>
      <w:r w:rsidRPr="00FF743B">
        <w:rPr>
          <w:rFonts w:ascii="Cambria" w:hAnsi="Cambria"/>
          <w:sz w:val="20"/>
          <w:szCs w:val="20"/>
          <w:lang w:val="es-ES"/>
        </w:rPr>
        <w:t xml:space="preserve"> importancia para integrantes de grupos y colectividades históricamente</w:t>
      </w:r>
      <w:r w:rsidR="000F0837" w:rsidRPr="00FF743B">
        <w:rPr>
          <w:rFonts w:ascii="Cambria" w:hAnsi="Cambria"/>
          <w:sz w:val="20"/>
          <w:szCs w:val="20"/>
          <w:lang w:val="es-ES"/>
        </w:rPr>
        <w:t xml:space="preserve"> discriminadas en sus países como</w:t>
      </w:r>
      <w:r w:rsidRPr="00FF743B">
        <w:rPr>
          <w:rFonts w:ascii="Cambria" w:hAnsi="Cambria"/>
          <w:sz w:val="20"/>
          <w:szCs w:val="20"/>
          <w:lang w:val="es-ES"/>
        </w:rPr>
        <w:t xml:space="preserve"> lo han sido los pueblos indígenas y las comunidades afro</w:t>
      </w:r>
      <w:r w:rsidR="00133DEA" w:rsidRPr="00FF743B">
        <w:rPr>
          <w:rFonts w:ascii="Cambria" w:hAnsi="Cambria"/>
          <w:sz w:val="20"/>
          <w:szCs w:val="20"/>
          <w:lang w:val="es-ES"/>
        </w:rPr>
        <w:t xml:space="preserve"> </w:t>
      </w:r>
      <w:r w:rsidRPr="00FF743B">
        <w:rPr>
          <w:rFonts w:ascii="Cambria" w:hAnsi="Cambria"/>
          <w:sz w:val="20"/>
          <w:szCs w:val="20"/>
          <w:lang w:val="es-ES"/>
        </w:rPr>
        <w:t>descendientes, entre otros.</w:t>
      </w:r>
    </w:p>
    <w:p w:rsidR="006344A0" w:rsidRPr="00FF743B" w:rsidRDefault="006344A0" w:rsidP="00225F6F">
      <w:pPr>
        <w:ind w:left="720"/>
        <w:jc w:val="both"/>
        <w:rPr>
          <w:rFonts w:ascii="Cambria" w:hAnsi="Cambria"/>
          <w:sz w:val="20"/>
          <w:szCs w:val="20"/>
          <w:lang w:val="es-ES"/>
        </w:rPr>
      </w:pPr>
    </w:p>
    <w:p w:rsidR="006344A0" w:rsidRPr="00FF743B" w:rsidRDefault="00E43BBD"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w:t>
      </w:r>
      <w:r w:rsidRPr="00FF743B">
        <w:rPr>
          <w:rFonts w:ascii="Cambria" w:hAnsi="Cambria"/>
          <w:b/>
          <w:sz w:val="20"/>
          <w:szCs w:val="20"/>
          <w:lang w:val="es-ES"/>
        </w:rPr>
        <w:t xml:space="preserve"> tercer lugar</w:t>
      </w:r>
      <w:r w:rsidRPr="00FF743B">
        <w:rPr>
          <w:rFonts w:ascii="Cambria" w:hAnsi="Cambria"/>
          <w:sz w:val="20"/>
          <w:szCs w:val="20"/>
          <w:lang w:val="es-ES"/>
        </w:rPr>
        <w:t>, la CIDH también destaca el carácter compatible entre la ratificación de instrumentos internacionales de protección de los derechos humanos y la soberaní</w:t>
      </w:r>
      <w:r w:rsidR="00331E75" w:rsidRPr="00FF743B">
        <w:rPr>
          <w:rFonts w:ascii="Cambria" w:hAnsi="Cambria"/>
          <w:sz w:val="20"/>
          <w:szCs w:val="20"/>
          <w:lang w:val="es-ES"/>
        </w:rPr>
        <w:t xml:space="preserve">a de los Estados. </w:t>
      </w:r>
      <w:r w:rsidR="001E29D3" w:rsidRPr="00FF743B">
        <w:rPr>
          <w:rFonts w:ascii="Cambria" w:hAnsi="Cambria"/>
          <w:sz w:val="20"/>
          <w:szCs w:val="20"/>
          <w:lang w:val="es-ES"/>
        </w:rPr>
        <w:t>El ejercicio de</w:t>
      </w:r>
      <w:r w:rsidRPr="00FF743B">
        <w:rPr>
          <w:rFonts w:ascii="Cambria" w:hAnsi="Cambria"/>
          <w:sz w:val="20"/>
          <w:szCs w:val="20"/>
          <w:lang w:val="es-ES"/>
        </w:rPr>
        <w:t xml:space="preserve"> la soberanía de</w:t>
      </w:r>
      <w:r w:rsidR="001E29D3" w:rsidRPr="00FF743B">
        <w:rPr>
          <w:rFonts w:ascii="Cambria" w:hAnsi="Cambria"/>
          <w:sz w:val="20"/>
          <w:szCs w:val="20"/>
          <w:lang w:val="es-ES"/>
        </w:rPr>
        <w:t xml:space="preserve"> parte de</w:t>
      </w:r>
      <w:r w:rsidRPr="00FF743B">
        <w:rPr>
          <w:rFonts w:ascii="Cambria" w:hAnsi="Cambria"/>
          <w:sz w:val="20"/>
          <w:szCs w:val="20"/>
          <w:lang w:val="es-ES"/>
        </w:rPr>
        <w:t xml:space="preserve"> los Estados es un supuesto importante del principio de la universalidad</w:t>
      </w:r>
      <w:r w:rsidR="00096068" w:rsidRPr="00FF743B">
        <w:rPr>
          <w:rFonts w:ascii="Cambria" w:hAnsi="Cambria"/>
          <w:sz w:val="20"/>
          <w:szCs w:val="20"/>
          <w:lang w:val="es-ES"/>
        </w:rPr>
        <w:t xml:space="preserve"> y del proceso</w:t>
      </w:r>
      <w:r w:rsidR="00611DBF" w:rsidRPr="00FF743B">
        <w:rPr>
          <w:rFonts w:ascii="Cambria" w:hAnsi="Cambria"/>
          <w:sz w:val="20"/>
          <w:szCs w:val="20"/>
          <w:lang w:val="es-ES"/>
        </w:rPr>
        <w:t xml:space="preserve"> voluntario</w:t>
      </w:r>
      <w:r w:rsidR="00096068" w:rsidRPr="00FF743B">
        <w:rPr>
          <w:rFonts w:ascii="Cambria" w:hAnsi="Cambria"/>
          <w:sz w:val="20"/>
          <w:szCs w:val="20"/>
          <w:lang w:val="es-ES"/>
        </w:rPr>
        <w:t xml:space="preserve"> de asumir obligaciones de derechos humanos</w:t>
      </w:r>
      <w:r w:rsidRPr="00FF743B">
        <w:rPr>
          <w:rFonts w:ascii="Cambria" w:hAnsi="Cambria"/>
          <w:sz w:val="20"/>
          <w:szCs w:val="20"/>
          <w:lang w:val="es-ES"/>
        </w:rPr>
        <w:t>.</w:t>
      </w:r>
      <w:r w:rsidR="00133DEA" w:rsidRPr="00FF743B">
        <w:rPr>
          <w:rFonts w:ascii="Cambria" w:hAnsi="Cambria"/>
          <w:sz w:val="20"/>
          <w:szCs w:val="20"/>
          <w:lang w:val="es-ES"/>
        </w:rPr>
        <w:t xml:space="preserve">  Desde su creación, la OEA ha tenido un objetivo claro de protección de los derechos humanos, en coherencia con el resguardo de la soberanía de los Estados consagrada en el artículo 1 de la Carta de la OEA.  La CIDH a su vez aprovecha la oportunidad para destacar que </w:t>
      </w:r>
      <w:r w:rsidRPr="00FF743B">
        <w:rPr>
          <w:rFonts w:ascii="Cambria" w:hAnsi="Cambria"/>
          <w:sz w:val="20"/>
          <w:szCs w:val="20"/>
          <w:lang w:val="es-ES"/>
        </w:rPr>
        <w:t>el ratificar instrumentos internacionales avanza las m</w:t>
      </w:r>
      <w:r w:rsidR="00133DEA" w:rsidRPr="00FF743B">
        <w:rPr>
          <w:rFonts w:ascii="Cambria" w:hAnsi="Cambria"/>
          <w:sz w:val="20"/>
          <w:szCs w:val="20"/>
          <w:lang w:val="es-ES"/>
        </w:rPr>
        <w:t>etas de integración hemisférica</w:t>
      </w:r>
      <w:r w:rsidRPr="00FF743B">
        <w:rPr>
          <w:rFonts w:ascii="Cambria" w:hAnsi="Cambria"/>
          <w:sz w:val="20"/>
          <w:szCs w:val="20"/>
          <w:lang w:val="es-ES"/>
        </w:rPr>
        <w:t>, establecidas en la Carta de la OEA</w:t>
      </w:r>
      <w:r w:rsidR="00133DEA" w:rsidRPr="00FF743B">
        <w:rPr>
          <w:rFonts w:ascii="Cambria" w:hAnsi="Cambria"/>
          <w:sz w:val="20"/>
          <w:szCs w:val="20"/>
          <w:lang w:val="es-ES"/>
        </w:rPr>
        <w:t>,</w:t>
      </w:r>
      <w:r w:rsidRPr="00FF743B">
        <w:rPr>
          <w:rFonts w:ascii="Cambria" w:hAnsi="Cambria"/>
          <w:sz w:val="20"/>
          <w:szCs w:val="20"/>
          <w:lang w:val="es-ES"/>
        </w:rPr>
        <w:t xml:space="preserve"> y otros instrumentos acordados por los Estados interamericanos</w:t>
      </w:r>
      <w:r w:rsidRPr="00FF743B">
        <w:rPr>
          <w:rStyle w:val="FootnoteReference"/>
          <w:rFonts w:ascii="Cambria" w:hAnsi="Cambria"/>
          <w:sz w:val="20"/>
          <w:szCs w:val="20"/>
          <w:lang w:val="es-ES"/>
        </w:rPr>
        <w:footnoteReference w:id="17"/>
      </w:r>
      <w:r w:rsidRPr="00FF743B">
        <w:rPr>
          <w:rFonts w:ascii="Cambria" w:hAnsi="Cambria"/>
          <w:sz w:val="20"/>
          <w:szCs w:val="20"/>
          <w:lang w:val="es-ES"/>
        </w:rPr>
        <w:t xml:space="preserve">.  </w:t>
      </w:r>
    </w:p>
    <w:p w:rsidR="006344A0" w:rsidRPr="00FF743B" w:rsidRDefault="006344A0" w:rsidP="00225F6F">
      <w:pPr>
        <w:pStyle w:val="ListParagraph"/>
        <w:rPr>
          <w:rFonts w:ascii="Cambria" w:hAnsi="Cambria"/>
          <w:sz w:val="20"/>
          <w:szCs w:val="20"/>
          <w:lang w:val="es-ES"/>
        </w:rPr>
      </w:pPr>
    </w:p>
    <w:p w:rsidR="006344A0" w:rsidRPr="00FF743B" w:rsidRDefault="00E43BBD"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 xml:space="preserve">cuarto lugar, </w:t>
      </w:r>
      <w:r w:rsidRPr="00FF743B">
        <w:rPr>
          <w:rFonts w:ascii="Cambria" w:hAnsi="Cambria"/>
          <w:sz w:val="20"/>
          <w:szCs w:val="20"/>
          <w:lang w:val="es-ES"/>
        </w:rPr>
        <w:t>la ratificación de instrumentos interamericanos envía un mensaje social sobre el carácter prioritario de la protección de los derechos humanos, y abre una puerta de protección a nivel internacional cuando el sistema nacional</w:t>
      </w:r>
      <w:r w:rsidR="00331E75" w:rsidRPr="00FF743B">
        <w:rPr>
          <w:rFonts w:ascii="Cambria" w:hAnsi="Cambria"/>
          <w:sz w:val="20"/>
          <w:szCs w:val="20"/>
          <w:lang w:val="es-ES"/>
        </w:rPr>
        <w:t xml:space="preserve"> falla en ofrecer un remedio. </w:t>
      </w:r>
      <w:r w:rsidRPr="00FF743B">
        <w:rPr>
          <w:rFonts w:ascii="Cambria" w:hAnsi="Cambria"/>
          <w:sz w:val="20"/>
          <w:szCs w:val="20"/>
          <w:lang w:val="es-ES"/>
        </w:rPr>
        <w:t>Este principio tiene importantes repercusiones para los sistemas de justicia, ya que la administración de la justicia constituye la primera línea de defensa en la protección de los derechos humanos a nivel nacional.  La CIDH aprovecha esta oportunidad para destacar el vínculo entre una democracia</w:t>
      </w:r>
      <w:r w:rsidR="00812C3B" w:rsidRPr="00FF743B">
        <w:rPr>
          <w:rFonts w:ascii="Cambria" w:hAnsi="Cambria"/>
          <w:sz w:val="20"/>
          <w:szCs w:val="20"/>
          <w:lang w:val="es-ES"/>
        </w:rPr>
        <w:t xml:space="preserve"> sólida</w:t>
      </w:r>
      <w:r w:rsidRPr="00FF743B">
        <w:rPr>
          <w:rFonts w:ascii="Cambria" w:hAnsi="Cambria"/>
          <w:sz w:val="20"/>
          <w:szCs w:val="20"/>
          <w:lang w:val="es-ES"/>
        </w:rPr>
        <w:t xml:space="preserve"> y la fortaleza de su poder judicial, en particular en la </w:t>
      </w:r>
      <w:r w:rsidR="00812C3B" w:rsidRPr="00FF743B">
        <w:rPr>
          <w:rFonts w:ascii="Cambria" w:hAnsi="Cambria"/>
          <w:sz w:val="20"/>
          <w:szCs w:val="20"/>
          <w:lang w:val="es-ES"/>
        </w:rPr>
        <w:t>protección de grupos, colectividades</w:t>
      </w:r>
      <w:r w:rsidRPr="00FF743B">
        <w:rPr>
          <w:rFonts w:ascii="Cambria" w:hAnsi="Cambria"/>
          <w:sz w:val="20"/>
          <w:szCs w:val="20"/>
          <w:lang w:val="es-ES"/>
        </w:rPr>
        <w:t xml:space="preserve"> y sectores en particular riesgo a violaciones de sus derechos humanos, y las personas afectadas por pobreza y </w:t>
      </w:r>
      <w:r w:rsidR="00812C3B" w:rsidRPr="00FF743B">
        <w:rPr>
          <w:rFonts w:ascii="Cambria" w:hAnsi="Cambria"/>
          <w:sz w:val="20"/>
          <w:szCs w:val="20"/>
          <w:lang w:val="es-ES"/>
        </w:rPr>
        <w:t xml:space="preserve">en </w:t>
      </w:r>
      <w:r w:rsidRPr="00FF743B">
        <w:rPr>
          <w:rFonts w:ascii="Cambria" w:hAnsi="Cambria"/>
          <w:sz w:val="20"/>
          <w:szCs w:val="20"/>
          <w:lang w:val="es-ES"/>
        </w:rPr>
        <w:t xml:space="preserve">situaciones de exclusión.   </w:t>
      </w:r>
    </w:p>
    <w:p w:rsidR="006344A0" w:rsidRPr="00FF743B" w:rsidRDefault="006344A0" w:rsidP="00225F6F">
      <w:pPr>
        <w:pStyle w:val="ListParagraph"/>
        <w:rPr>
          <w:rFonts w:ascii="Cambria" w:hAnsi="Cambria"/>
          <w:b/>
          <w:sz w:val="20"/>
          <w:szCs w:val="20"/>
          <w:lang w:val="es-ES"/>
        </w:rPr>
      </w:pPr>
    </w:p>
    <w:p w:rsidR="007E1F84" w:rsidRPr="00FF743B" w:rsidRDefault="00E43BBD" w:rsidP="002550F8">
      <w:pPr>
        <w:numPr>
          <w:ilvl w:val="3"/>
          <w:numId w:val="15"/>
        </w:numPr>
        <w:ind w:left="547" w:hanging="547"/>
        <w:jc w:val="both"/>
        <w:rPr>
          <w:rFonts w:ascii="Cambria" w:hAnsi="Cambria"/>
          <w:sz w:val="20"/>
          <w:szCs w:val="20"/>
          <w:lang w:val="es-ES"/>
        </w:rPr>
      </w:pPr>
      <w:r w:rsidRPr="00FF743B">
        <w:rPr>
          <w:rFonts w:ascii="Cambria" w:hAnsi="Cambria"/>
          <w:b/>
          <w:sz w:val="20"/>
          <w:szCs w:val="20"/>
          <w:lang w:val="es-ES"/>
        </w:rPr>
        <w:t>En quinto lugar</w:t>
      </w:r>
      <w:r w:rsidRPr="00FF743B">
        <w:rPr>
          <w:rFonts w:ascii="Cambria" w:hAnsi="Cambria"/>
          <w:sz w:val="20"/>
          <w:szCs w:val="20"/>
          <w:lang w:val="es-ES"/>
        </w:rPr>
        <w:t>, el ratificar instrumentos interamericanos de protección debe venir acompañado de</w:t>
      </w:r>
      <w:r w:rsidR="00C6466A" w:rsidRPr="00FF743B">
        <w:rPr>
          <w:rFonts w:ascii="Cambria" w:hAnsi="Cambria"/>
          <w:sz w:val="20"/>
          <w:szCs w:val="20"/>
          <w:lang w:val="es-ES"/>
        </w:rPr>
        <w:t xml:space="preserve"> medidas para</w:t>
      </w:r>
      <w:r w:rsidRPr="00FF743B">
        <w:rPr>
          <w:rFonts w:ascii="Cambria" w:hAnsi="Cambria"/>
          <w:sz w:val="20"/>
          <w:szCs w:val="20"/>
          <w:lang w:val="es-ES"/>
        </w:rPr>
        <w:t xml:space="preserve"> implementar a nivel nacional las disposiciones contenidas en los mismos. Los instrumentos internacionales en general requieren que los Estados partes, no sólo respeten los derechos en ellos consagrados, sino que también garanticen a las personas bajo su jurisdicción </w:t>
      </w:r>
      <w:r w:rsidR="007F3D76" w:rsidRPr="00FF743B">
        <w:rPr>
          <w:rFonts w:ascii="Cambria" w:hAnsi="Cambria"/>
          <w:sz w:val="20"/>
          <w:szCs w:val="20"/>
          <w:lang w:val="es-ES"/>
        </w:rPr>
        <w:t xml:space="preserve">el ejercicio de esos derechos. </w:t>
      </w:r>
      <w:r w:rsidRPr="00FF743B">
        <w:rPr>
          <w:rFonts w:ascii="Cambria" w:hAnsi="Cambria"/>
          <w:sz w:val="20"/>
          <w:szCs w:val="20"/>
          <w:lang w:val="es-ES"/>
        </w:rPr>
        <w:t xml:space="preserve"> </w:t>
      </w:r>
      <w:r w:rsidR="000F0837" w:rsidRPr="00FF743B">
        <w:rPr>
          <w:rFonts w:ascii="Cambria" w:hAnsi="Cambria"/>
          <w:sz w:val="20"/>
          <w:szCs w:val="20"/>
          <w:lang w:val="es-ES"/>
        </w:rPr>
        <w:t>L</w:t>
      </w:r>
      <w:r w:rsidRPr="00FF743B">
        <w:rPr>
          <w:rFonts w:ascii="Cambria" w:hAnsi="Cambria"/>
          <w:sz w:val="20"/>
          <w:szCs w:val="20"/>
          <w:lang w:val="es-ES"/>
        </w:rPr>
        <w:t>os Estados tienen la obligación de actuar con la debida diligencia requerida para prevenir, investigar y sancionar toda violación de los derechos humanos, y de reparar de forma integral las mismas cuando ocurren</w:t>
      </w:r>
      <w:r w:rsidR="000F0837" w:rsidRPr="00FF743B">
        <w:rPr>
          <w:rStyle w:val="FootnoteReference"/>
          <w:rFonts w:ascii="Cambria" w:hAnsi="Cambria"/>
          <w:sz w:val="20"/>
          <w:szCs w:val="20"/>
          <w:lang w:val="es-ES"/>
        </w:rPr>
        <w:footnoteReference w:id="18"/>
      </w:r>
      <w:r w:rsidR="007F3D76" w:rsidRPr="00FF743B">
        <w:rPr>
          <w:rFonts w:ascii="Cambria" w:hAnsi="Cambria"/>
          <w:sz w:val="20"/>
          <w:szCs w:val="20"/>
          <w:lang w:val="es-ES"/>
        </w:rPr>
        <w:t xml:space="preserve">.  </w:t>
      </w:r>
      <w:r w:rsidRPr="00FF743B">
        <w:rPr>
          <w:rFonts w:ascii="Cambria" w:hAnsi="Cambria"/>
          <w:sz w:val="20"/>
          <w:szCs w:val="20"/>
          <w:lang w:val="es-ES"/>
        </w:rPr>
        <w:t xml:space="preserve">Deben organizar su estructura estatal para responder de forma debida a las violaciones de derechos humanos, incluyendo la actuación de todas sus instituciones, poderes, programas y servicios, y la creación de condiciones para el ejercicio pleno de los derechos humanos.  </w:t>
      </w:r>
    </w:p>
    <w:p w:rsidR="007E1F84" w:rsidRPr="00FF743B" w:rsidRDefault="007E1F84" w:rsidP="00225F6F">
      <w:pPr>
        <w:jc w:val="both"/>
        <w:rPr>
          <w:rFonts w:ascii="Cambria" w:hAnsi="Cambria"/>
          <w:sz w:val="20"/>
          <w:szCs w:val="20"/>
          <w:lang w:val="es-ES"/>
        </w:rPr>
      </w:pPr>
    </w:p>
    <w:p w:rsidR="0016749A" w:rsidRPr="00FF743B" w:rsidRDefault="007E1F84"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w:t>
      </w:r>
      <w:r w:rsidR="00E43BBD" w:rsidRPr="00FF743B">
        <w:rPr>
          <w:rFonts w:ascii="Cambria" w:hAnsi="Cambria"/>
          <w:sz w:val="20"/>
          <w:szCs w:val="20"/>
          <w:lang w:val="es-ES"/>
        </w:rPr>
        <w:t xml:space="preserve"> obligación</w:t>
      </w:r>
      <w:r w:rsidRPr="00FF743B">
        <w:rPr>
          <w:rFonts w:ascii="Cambria" w:hAnsi="Cambria"/>
          <w:sz w:val="20"/>
          <w:szCs w:val="20"/>
          <w:lang w:val="es-ES"/>
        </w:rPr>
        <w:t xml:space="preserve"> de actuar con debida diligencia</w:t>
      </w:r>
      <w:r w:rsidR="00E43BBD" w:rsidRPr="00FF743B">
        <w:rPr>
          <w:rFonts w:ascii="Cambria" w:hAnsi="Cambria"/>
          <w:sz w:val="20"/>
          <w:szCs w:val="20"/>
          <w:lang w:val="es-ES"/>
        </w:rPr>
        <w:t xml:space="preserve"> implica</w:t>
      </w:r>
      <w:r w:rsidRPr="00FF743B">
        <w:rPr>
          <w:rFonts w:ascii="Cambria" w:hAnsi="Cambria"/>
          <w:sz w:val="20"/>
          <w:szCs w:val="20"/>
          <w:lang w:val="es-ES"/>
        </w:rPr>
        <w:t xml:space="preserve"> asimismo</w:t>
      </w:r>
      <w:r w:rsidR="00E43BBD" w:rsidRPr="00FF743B">
        <w:rPr>
          <w:rFonts w:ascii="Cambria" w:hAnsi="Cambria"/>
          <w:sz w:val="20"/>
          <w:szCs w:val="20"/>
          <w:lang w:val="es-ES"/>
        </w:rPr>
        <w:t xml:space="preserve"> la adopción de un marco normativo que refleje los estándares internacionales e interamericanos de prote</w:t>
      </w:r>
      <w:r w:rsidR="00331E75" w:rsidRPr="00FF743B">
        <w:rPr>
          <w:rFonts w:ascii="Cambria" w:hAnsi="Cambria"/>
          <w:sz w:val="20"/>
          <w:szCs w:val="20"/>
          <w:lang w:val="es-ES"/>
        </w:rPr>
        <w:t xml:space="preserve">cción de los derechos humanos; </w:t>
      </w:r>
      <w:r w:rsidR="00E43BBD" w:rsidRPr="00FF743B">
        <w:rPr>
          <w:rFonts w:ascii="Cambria" w:hAnsi="Cambria"/>
          <w:sz w:val="20"/>
          <w:szCs w:val="20"/>
          <w:lang w:val="es-ES"/>
        </w:rPr>
        <w:t xml:space="preserve">la existencia de un sistema de administración </w:t>
      </w:r>
      <w:r w:rsidR="00E43BBD" w:rsidRPr="00FF743B">
        <w:rPr>
          <w:rFonts w:ascii="Cambria" w:hAnsi="Cambria"/>
          <w:sz w:val="20"/>
          <w:szCs w:val="20"/>
          <w:lang w:val="es-ES"/>
        </w:rPr>
        <w:lastRenderedPageBreak/>
        <w:t>de la justicia independiente, imparcial y dotado de forma suficiente de recursos humanos y financieros; el empleo de medios razonables para proteger la actividad de defensa de los derechos humanos; la existencia de recursos idóneos y efectivos para denunciar violaciones de derechos humanos ocurridas; y el otorgami</w:t>
      </w:r>
      <w:r w:rsidR="00C6466A" w:rsidRPr="00FF743B">
        <w:rPr>
          <w:rFonts w:ascii="Cambria" w:hAnsi="Cambria"/>
          <w:sz w:val="20"/>
          <w:szCs w:val="20"/>
          <w:lang w:val="es-ES"/>
        </w:rPr>
        <w:t xml:space="preserve">ento de reparaciones integrales </w:t>
      </w:r>
      <w:r w:rsidR="00E43BBD" w:rsidRPr="00FF743B">
        <w:rPr>
          <w:rFonts w:ascii="Cambria" w:hAnsi="Cambria"/>
          <w:sz w:val="20"/>
          <w:szCs w:val="20"/>
          <w:lang w:val="es-ES"/>
        </w:rPr>
        <w:t xml:space="preserve">cuando violaciones de derechos humanos </w:t>
      </w:r>
      <w:r w:rsidR="00DB74AE" w:rsidRPr="00FF743B">
        <w:rPr>
          <w:rFonts w:ascii="Cambria" w:hAnsi="Cambria"/>
          <w:sz w:val="20"/>
          <w:szCs w:val="20"/>
          <w:lang w:val="es-ES"/>
        </w:rPr>
        <w:t>ocurren; entre otras medidas.</w:t>
      </w:r>
      <w:r w:rsidR="001B5E83" w:rsidRPr="00FF743B">
        <w:rPr>
          <w:rFonts w:ascii="Cambria" w:hAnsi="Cambria"/>
          <w:sz w:val="20"/>
          <w:szCs w:val="20"/>
          <w:lang w:val="es-ES"/>
        </w:rPr>
        <w:t xml:space="preserve"> </w:t>
      </w:r>
      <w:r w:rsidR="00182F21" w:rsidRPr="00FF743B">
        <w:rPr>
          <w:rFonts w:ascii="Cambria" w:hAnsi="Cambria"/>
          <w:sz w:val="20"/>
          <w:szCs w:val="20"/>
          <w:lang w:val="es-ES"/>
        </w:rPr>
        <w:t xml:space="preserve">La adopción de reformas y reparaciones con vocación transformadora es a su vez necesaria en casos de discriminación estructural. </w:t>
      </w:r>
      <w:r w:rsidR="00E43BBD" w:rsidRPr="00FF743B">
        <w:rPr>
          <w:rFonts w:ascii="Cambria" w:hAnsi="Cambria"/>
          <w:sz w:val="20"/>
          <w:szCs w:val="20"/>
          <w:lang w:val="es-ES"/>
        </w:rPr>
        <w:t>El ratificar instrumentos interamericanos debe</w:t>
      </w:r>
      <w:r w:rsidR="000F0837" w:rsidRPr="00FF743B">
        <w:rPr>
          <w:rFonts w:ascii="Cambria" w:hAnsi="Cambria"/>
          <w:sz w:val="20"/>
          <w:szCs w:val="20"/>
          <w:lang w:val="es-ES"/>
        </w:rPr>
        <w:t xml:space="preserve"> a su vez</w:t>
      </w:r>
      <w:r w:rsidR="00E43BBD" w:rsidRPr="00FF743B">
        <w:rPr>
          <w:rFonts w:ascii="Cambria" w:hAnsi="Cambria"/>
          <w:sz w:val="20"/>
          <w:szCs w:val="20"/>
          <w:lang w:val="es-ES"/>
        </w:rPr>
        <w:t xml:space="preserve"> venir acompañado de la voluntad política de los Estados de asignar los recursos humanos y financieros necesarios para garantizar la debida implementación de sus obligaciones y de una fuerte sociedad civil que exija</w:t>
      </w:r>
      <w:r w:rsidR="000F0837" w:rsidRPr="00FF743B">
        <w:rPr>
          <w:rFonts w:ascii="Cambria" w:hAnsi="Cambria"/>
          <w:sz w:val="20"/>
          <w:szCs w:val="20"/>
          <w:lang w:val="es-ES"/>
        </w:rPr>
        <w:t xml:space="preserve"> el cumplimiento de las mismas</w:t>
      </w:r>
      <w:r w:rsidR="00E43BBD" w:rsidRPr="00FF743B">
        <w:rPr>
          <w:rFonts w:ascii="Cambria" w:hAnsi="Cambria"/>
          <w:sz w:val="20"/>
          <w:szCs w:val="20"/>
          <w:lang w:val="es-ES"/>
        </w:rPr>
        <w:t>.</w:t>
      </w:r>
    </w:p>
    <w:p w:rsidR="00A74C88" w:rsidRPr="00FF743B" w:rsidRDefault="00A74C88" w:rsidP="00225F6F">
      <w:pPr>
        <w:jc w:val="both"/>
        <w:rPr>
          <w:rFonts w:ascii="Cambria" w:hAnsi="Cambria"/>
          <w:sz w:val="20"/>
          <w:szCs w:val="20"/>
          <w:lang w:val="es-ES"/>
        </w:rPr>
      </w:pPr>
    </w:p>
    <w:p w:rsidR="00285BD7" w:rsidRPr="00FF743B" w:rsidRDefault="00285BD7"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sexto lugar</w:t>
      </w:r>
      <w:r w:rsidRPr="00FF743B">
        <w:rPr>
          <w:rFonts w:ascii="Cambria" w:hAnsi="Cambria"/>
          <w:sz w:val="20"/>
          <w:szCs w:val="20"/>
          <w:lang w:val="es-ES"/>
        </w:rPr>
        <w:t>, la no ratificación de instrumentos interamericano</w:t>
      </w:r>
      <w:r w:rsidR="008810EC" w:rsidRPr="00FF743B">
        <w:rPr>
          <w:rFonts w:ascii="Cambria" w:hAnsi="Cambria"/>
          <w:sz w:val="20"/>
          <w:szCs w:val="20"/>
          <w:lang w:val="es-ES"/>
        </w:rPr>
        <w:t>s</w:t>
      </w:r>
      <w:r w:rsidRPr="00FF743B">
        <w:rPr>
          <w:rFonts w:ascii="Cambria" w:hAnsi="Cambria"/>
          <w:sz w:val="20"/>
          <w:szCs w:val="20"/>
          <w:lang w:val="es-ES"/>
        </w:rPr>
        <w:t xml:space="preserve"> supone efectos de varias dimensiones para los Estados</w:t>
      </w:r>
      <w:r w:rsidR="008810EC" w:rsidRPr="00FF743B">
        <w:rPr>
          <w:rFonts w:ascii="Cambria" w:hAnsi="Cambria"/>
          <w:sz w:val="20"/>
          <w:szCs w:val="20"/>
          <w:lang w:val="es-ES"/>
        </w:rPr>
        <w:t xml:space="preserve"> Miembros de la OEA</w:t>
      </w:r>
      <w:r w:rsidRPr="00FF743B">
        <w:rPr>
          <w:rFonts w:ascii="Cambria" w:hAnsi="Cambria"/>
          <w:sz w:val="20"/>
          <w:szCs w:val="20"/>
          <w:lang w:val="es-ES"/>
        </w:rPr>
        <w:t xml:space="preserve"> y las perso</w:t>
      </w:r>
      <w:r w:rsidR="000A6C03" w:rsidRPr="00FF743B">
        <w:rPr>
          <w:rFonts w:ascii="Cambria" w:hAnsi="Cambria"/>
          <w:sz w:val="20"/>
          <w:szCs w:val="20"/>
          <w:lang w:val="es-ES"/>
        </w:rPr>
        <w:t xml:space="preserve">nas que habitan en los mismos.  </w:t>
      </w:r>
      <w:r w:rsidRPr="00FF743B">
        <w:rPr>
          <w:rFonts w:ascii="Cambria" w:hAnsi="Cambria"/>
          <w:sz w:val="20"/>
          <w:szCs w:val="20"/>
          <w:lang w:val="es-ES"/>
        </w:rPr>
        <w:t>Primero, puede constituir una limitación importante al ejercicio pleno de la ciudadanía y al desarrollo de normativa, políticas</w:t>
      </w:r>
      <w:r w:rsidR="008810EC" w:rsidRPr="00FF743B">
        <w:rPr>
          <w:rFonts w:ascii="Cambria" w:hAnsi="Cambria"/>
          <w:sz w:val="20"/>
          <w:szCs w:val="20"/>
          <w:lang w:val="es-ES"/>
        </w:rPr>
        <w:t xml:space="preserve"> públicas</w:t>
      </w:r>
      <w:r w:rsidRPr="00FF743B">
        <w:rPr>
          <w:rFonts w:ascii="Cambria" w:hAnsi="Cambria"/>
          <w:sz w:val="20"/>
          <w:szCs w:val="20"/>
          <w:lang w:val="es-ES"/>
        </w:rPr>
        <w:t xml:space="preserve"> y medidas encaminadas a la protección</w:t>
      </w:r>
      <w:r w:rsidR="008810EC" w:rsidRPr="00FF743B">
        <w:rPr>
          <w:rFonts w:ascii="Cambria" w:hAnsi="Cambria"/>
          <w:sz w:val="20"/>
          <w:szCs w:val="20"/>
          <w:lang w:val="es-ES"/>
        </w:rPr>
        <w:t xml:space="preserve"> y el goce</w:t>
      </w:r>
      <w:r w:rsidRPr="00FF743B">
        <w:rPr>
          <w:rFonts w:ascii="Cambria" w:hAnsi="Cambria"/>
          <w:sz w:val="20"/>
          <w:szCs w:val="20"/>
          <w:lang w:val="es-ES"/>
        </w:rPr>
        <w:t xml:space="preserve"> de los derechos de todas las personas; elementos fundamentales para una </w:t>
      </w:r>
      <w:r w:rsidR="00331E75" w:rsidRPr="00FF743B">
        <w:rPr>
          <w:rFonts w:ascii="Cambria" w:hAnsi="Cambria"/>
          <w:sz w:val="20"/>
          <w:szCs w:val="20"/>
          <w:lang w:val="es-ES"/>
        </w:rPr>
        <w:t xml:space="preserve">democracia incluyente. </w:t>
      </w:r>
      <w:r w:rsidR="000A6C03" w:rsidRPr="00FF743B">
        <w:rPr>
          <w:rFonts w:ascii="Cambria" w:hAnsi="Cambria"/>
          <w:sz w:val="20"/>
          <w:szCs w:val="20"/>
          <w:lang w:val="es-ES"/>
        </w:rPr>
        <w:t>Mantiene cerrada la</w:t>
      </w:r>
      <w:r w:rsidRPr="00FF743B">
        <w:rPr>
          <w:rFonts w:ascii="Cambria" w:hAnsi="Cambria"/>
          <w:sz w:val="20"/>
          <w:szCs w:val="20"/>
          <w:lang w:val="es-ES"/>
        </w:rPr>
        <w:t xml:space="preserve"> puerta a una instancia de protección complementaria que puede ser vital para personas en particular</w:t>
      </w:r>
      <w:r w:rsidR="008810EC" w:rsidRPr="00FF743B">
        <w:rPr>
          <w:rFonts w:ascii="Cambria" w:hAnsi="Cambria"/>
          <w:sz w:val="20"/>
          <w:szCs w:val="20"/>
          <w:lang w:val="es-ES"/>
        </w:rPr>
        <w:t xml:space="preserve"> situación de vulnerabilidad</w:t>
      </w:r>
      <w:r w:rsidR="008B4F1A" w:rsidRPr="00FF743B">
        <w:rPr>
          <w:rFonts w:ascii="Cambria" w:hAnsi="Cambria"/>
          <w:sz w:val="20"/>
          <w:szCs w:val="20"/>
          <w:lang w:val="es-ES"/>
        </w:rPr>
        <w:t>,</w:t>
      </w:r>
      <w:r w:rsidR="00331E75" w:rsidRPr="00FF743B">
        <w:rPr>
          <w:rFonts w:ascii="Cambria" w:hAnsi="Cambria"/>
          <w:sz w:val="20"/>
          <w:szCs w:val="20"/>
          <w:lang w:val="es-ES"/>
        </w:rPr>
        <w:t xml:space="preserve"> </w:t>
      </w:r>
      <w:r w:rsidR="008810EC" w:rsidRPr="00FF743B">
        <w:rPr>
          <w:rFonts w:ascii="Cambria" w:hAnsi="Cambria"/>
          <w:sz w:val="20"/>
          <w:szCs w:val="20"/>
          <w:lang w:val="es-ES"/>
        </w:rPr>
        <w:t>y en consecuencia</w:t>
      </w:r>
      <w:r w:rsidR="008B4F1A" w:rsidRPr="00FF743B">
        <w:rPr>
          <w:rFonts w:ascii="Cambria" w:hAnsi="Cambria"/>
          <w:sz w:val="20"/>
          <w:szCs w:val="20"/>
          <w:lang w:val="es-ES"/>
        </w:rPr>
        <w:t>,</w:t>
      </w:r>
      <w:r w:rsidR="008810EC" w:rsidRPr="00FF743B">
        <w:rPr>
          <w:rFonts w:ascii="Cambria" w:hAnsi="Cambria"/>
          <w:sz w:val="20"/>
          <w:szCs w:val="20"/>
          <w:lang w:val="es-ES"/>
        </w:rPr>
        <w:t xml:space="preserve"> a violaciones de sus derechos humanos</w:t>
      </w:r>
      <w:r w:rsidRPr="00FF743B">
        <w:rPr>
          <w:rFonts w:ascii="Cambria" w:hAnsi="Cambria"/>
          <w:sz w:val="20"/>
          <w:szCs w:val="20"/>
          <w:lang w:val="es-ES"/>
        </w:rPr>
        <w:t>, como las afectadas por la pobreza y situaciones históricas de discriminaci</w:t>
      </w:r>
      <w:r w:rsidR="00331E75" w:rsidRPr="00FF743B">
        <w:rPr>
          <w:rFonts w:ascii="Cambria" w:hAnsi="Cambria"/>
          <w:sz w:val="20"/>
          <w:szCs w:val="20"/>
          <w:lang w:val="es-ES"/>
        </w:rPr>
        <w:t xml:space="preserve">ón. </w:t>
      </w:r>
      <w:r w:rsidR="008810EC" w:rsidRPr="00FF743B">
        <w:rPr>
          <w:rFonts w:ascii="Cambria" w:hAnsi="Cambria"/>
          <w:sz w:val="20"/>
          <w:szCs w:val="20"/>
          <w:lang w:val="es-ES"/>
        </w:rPr>
        <w:t>En segundo lugar, limita la efectividad del discurso de derechos humanos avanzado por los Estados</w:t>
      </w:r>
      <w:r w:rsidR="008B4F1A" w:rsidRPr="00FF743B">
        <w:rPr>
          <w:rFonts w:ascii="Cambria" w:hAnsi="Cambria"/>
          <w:sz w:val="20"/>
          <w:szCs w:val="20"/>
          <w:lang w:val="es-ES"/>
        </w:rPr>
        <w:t xml:space="preserve"> que no han ratificado y </w:t>
      </w:r>
      <w:r w:rsidR="008810EC" w:rsidRPr="00FF743B">
        <w:rPr>
          <w:rFonts w:ascii="Cambria" w:hAnsi="Cambria"/>
          <w:sz w:val="20"/>
          <w:szCs w:val="20"/>
          <w:lang w:val="es-ES"/>
        </w:rPr>
        <w:t xml:space="preserve">su liderazgo regional e </w:t>
      </w:r>
      <w:r w:rsidR="000C00F6" w:rsidRPr="00FF743B">
        <w:rPr>
          <w:rFonts w:ascii="Cambria" w:hAnsi="Cambria"/>
          <w:sz w:val="20"/>
          <w:szCs w:val="20"/>
          <w:lang w:val="es-ES"/>
        </w:rPr>
        <w:t xml:space="preserve">internacional en estos temas. </w:t>
      </w:r>
      <w:r w:rsidR="00382D88" w:rsidRPr="00FF743B">
        <w:rPr>
          <w:rFonts w:ascii="Cambria" w:hAnsi="Cambria"/>
          <w:sz w:val="20"/>
          <w:szCs w:val="20"/>
          <w:lang w:val="es-ES"/>
        </w:rPr>
        <w:t xml:space="preserve">Tercero, constituye una barrera a las metas de integración </w:t>
      </w:r>
      <w:r w:rsidR="000A6C03" w:rsidRPr="00FF743B">
        <w:rPr>
          <w:rFonts w:ascii="Cambria" w:hAnsi="Cambria"/>
          <w:sz w:val="20"/>
          <w:szCs w:val="20"/>
          <w:lang w:val="es-ES"/>
        </w:rPr>
        <w:t>regional de la OEA y a oportunidades sostenibles de</w:t>
      </w:r>
      <w:r w:rsidR="004500F2" w:rsidRPr="00FF743B">
        <w:rPr>
          <w:rFonts w:ascii="Cambria" w:hAnsi="Cambria"/>
          <w:sz w:val="20"/>
          <w:szCs w:val="20"/>
          <w:lang w:val="es-ES"/>
        </w:rPr>
        <w:t xml:space="preserve"> cooperación</w:t>
      </w:r>
      <w:r w:rsidR="00382D88" w:rsidRPr="00FF743B">
        <w:rPr>
          <w:rFonts w:ascii="Cambria" w:hAnsi="Cambria"/>
          <w:sz w:val="20"/>
          <w:szCs w:val="20"/>
          <w:lang w:val="es-ES"/>
        </w:rPr>
        <w:t xml:space="preserve"> multilateral </w:t>
      </w:r>
      <w:r w:rsidR="004500F2" w:rsidRPr="00FF743B">
        <w:rPr>
          <w:rFonts w:ascii="Cambria" w:hAnsi="Cambria"/>
          <w:sz w:val="20"/>
          <w:szCs w:val="20"/>
          <w:lang w:val="es-ES"/>
        </w:rPr>
        <w:t>en las Américas y a nivel internacional.</w:t>
      </w:r>
      <w:r w:rsidR="006948D6" w:rsidRPr="00FF743B">
        <w:rPr>
          <w:rFonts w:ascii="Cambria" w:hAnsi="Cambria"/>
          <w:sz w:val="20"/>
          <w:szCs w:val="20"/>
          <w:lang w:val="es-ES"/>
        </w:rPr>
        <w:t xml:space="preserve">  </w:t>
      </w:r>
    </w:p>
    <w:p w:rsidR="0016749A" w:rsidRPr="00FF743B" w:rsidRDefault="0016749A" w:rsidP="00225F6F">
      <w:pPr>
        <w:jc w:val="both"/>
        <w:rPr>
          <w:rFonts w:ascii="Cambria" w:hAnsi="Cambria"/>
          <w:sz w:val="20"/>
          <w:szCs w:val="20"/>
          <w:lang w:val="es-ES"/>
        </w:rPr>
      </w:pPr>
    </w:p>
    <w:p w:rsidR="007C0FD8" w:rsidRPr="00FF743B" w:rsidRDefault="00726C31"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Es a su vez </w:t>
      </w:r>
      <w:r w:rsidR="0016749A" w:rsidRPr="00FF743B">
        <w:rPr>
          <w:rFonts w:ascii="Cambria" w:hAnsi="Cambria"/>
          <w:sz w:val="20"/>
          <w:szCs w:val="20"/>
          <w:lang w:val="es-ES"/>
        </w:rPr>
        <w:t>importante reiterar</w:t>
      </w:r>
      <w:r w:rsidRPr="00FF743B">
        <w:rPr>
          <w:rFonts w:ascii="Cambria" w:hAnsi="Cambria"/>
          <w:sz w:val="20"/>
          <w:szCs w:val="20"/>
          <w:lang w:val="es-ES"/>
        </w:rPr>
        <w:t xml:space="preserve"> en este informe</w:t>
      </w:r>
      <w:r w:rsidR="0016749A" w:rsidRPr="00FF743B">
        <w:rPr>
          <w:rFonts w:ascii="Cambria" w:hAnsi="Cambria"/>
          <w:sz w:val="20"/>
          <w:szCs w:val="20"/>
          <w:lang w:val="es-ES"/>
        </w:rPr>
        <w:t xml:space="preserve"> que el alcance de la competencia de </w:t>
      </w:r>
      <w:r w:rsidR="001B5E83" w:rsidRPr="00FF743B">
        <w:rPr>
          <w:rFonts w:ascii="Cambria" w:hAnsi="Cambria"/>
          <w:sz w:val="20"/>
          <w:szCs w:val="20"/>
          <w:lang w:val="es-ES"/>
        </w:rPr>
        <w:t>la CIDH se extiende a toda la región</w:t>
      </w:r>
      <w:r w:rsidR="0016749A" w:rsidRPr="00FF743B">
        <w:rPr>
          <w:rFonts w:ascii="Cambria" w:hAnsi="Cambria"/>
          <w:sz w:val="20"/>
          <w:szCs w:val="20"/>
          <w:lang w:val="es-ES"/>
        </w:rPr>
        <w:t xml:space="preserve"> y </w:t>
      </w:r>
      <w:r w:rsidR="00E73B3B" w:rsidRPr="00FF743B">
        <w:rPr>
          <w:rFonts w:ascii="Cambria" w:hAnsi="Cambria"/>
          <w:sz w:val="20"/>
          <w:szCs w:val="20"/>
          <w:lang w:val="es-ES"/>
        </w:rPr>
        <w:t xml:space="preserve">en este sentido puede </w:t>
      </w:r>
      <w:r w:rsidR="0016749A" w:rsidRPr="00FF743B">
        <w:rPr>
          <w:rFonts w:ascii="Cambria" w:hAnsi="Cambria"/>
          <w:sz w:val="20"/>
          <w:szCs w:val="20"/>
          <w:lang w:val="es-ES"/>
        </w:rPr>
        <w:t>analizar y revisar peticiones relativas a Estados que no han ratificado la Convención Americana de Derechos Humanos y otros instrumentos interamericanos</w:t>
      </w:r>
      <w:r w:rsidR="0016749A" w:rsidRPr="00FF743B">
        <w:rPr>
          <w:rStyle w:val="FootnoteReference"/>
          <w:rFonts w:ascii="Cambria" w:hAnsi="Cambria"/>
          <w:sz w:val="20"/>
          <w:szCs w:val="20"/>
          <w:lang w:val="es-ES"/>
        </w:rPr>
        <w:footnoteReference w:id="19"/>
      </w:r>
      <w:r w:rsidR="0016749A" w:rsidRPr="00FF743B">
        <w:rPr>
          <w:rFonts w:ascii="Cambria" w:hAnsi="Cambria"/>
          <w:sz w:val="20"/>
          <w:szCs w:val="20"/>
          <w:lang w:val="es-ES"/>
        </w:rPr>
        <w:t>.  La Declaración Americana es fuente de obligaciones internacionales para todos</w:t>
      </w:r>
      <w:r w:rsidRPr="00FF743B">
        <w:rPr>
          <w:rFonts w:ascii="Cambria" w:hAnsi="Cambria"/>
          <w:sz w:val="20"/>
          <w:szCs w:val="20"/>
          <w:lang w:val="es-ES"/>
        </w:rPr>
        <w:t xml:space="preserve"> los Estados miembros de la OEA</w:t>
      </w:r>
      <w:r w:rsidR="0016749A" w:rsidRPr="00FF743B">
        <w:rPr>
          <w:rStyle w:val="FootnoteReference"/>
          <w:rFonts w:ascii="Cambria" w:hAnsi="Cambria"/>
          <w:sz w:val="20"/>
          <w:szCs w:val="20"/>
          <w:lang w:val="es-ES"/>
        </w:rPr>
        <w:footnoteReference w:id="20"/>
      </w:r>
      <w:r w:rsidRPr="00FF743B">
        <w:rPr>
          <w:rFonts w:ascii="Cambria" w:hAnsi="Cambria"/>
          <w:sz w:val="20"/>
          <w:szCs w:val="20"/>
          <w:lang w:val="es-ES"/>
        </w:rPr>
        <w:t xml:space="preserve">.  </w:t>
      </w:r>
    </w:p>
    <w:p w:rsidR="007C0FD8" w:rsidRPr="00FF743B" w:rsidRDefault="007C0FD8" w:rsidP="00225F6F">
      <w:pPr>
        <w:jc w:val="both"/>
        <w:rPr>
          <w:rFonts w:ascii="Cambria" w:hAnsi="Cambria"/>
          <w:sz w:val="20"/>
          <w:szCs w:val="20"/>
          <w:lang w:val="es-ES"/>
        </w:rPr>
      </w:pPr>
    </w:p>
    <w:p w:rsidR="007C0FD8" w:rsidRDefault="0016749A"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Declaración Americana es parte del marco de derechos humanos establecido por los Estados miembros de la OEA, el cual se refiere a las obligaciones y responsabilidades de los Estados, y les exige el abstenerse de respaldar, tolerar o </w:t>
      </w:r>
      <w:r w:rsidRPr="00FF743B">
        <w:rPr>
          <w:rFonts w:ascii="Cambria" w:hAnsi="Cambria"/>
          <w:sz w:val="20"/>
          <w:szCs w:val="20"/>
          <w:lang w:val="es-ES"/>
        </w:rPr>
        <w:lastRenderedPageBreak/>
        <w:t>participar en actos u omisiones que vulneren sus compromisos e</w:t>
      </w:r>
      <w:r w:rsidR="00331E75" w:rsidRPr="00FF743B">
        <w:rPr>
          <w:rFonts w:ascii="Cambria" w:hAnsi="Cambria"/>
          <w:sz w:val="20"/>
          <w:szCs w:val="20"/>
          <w:lang w:val="es-ES"/>
        </w:rPr>
        <w:t xml:space="preserve">n materia de derechos humanos. </w:t>
      </w:r>
      <w:r w:rsidRPr="00FF743B">
        <w:rPr>
          <w:rFonts w:ascii="Cambria" w:hAnsi="Cambria"/>
          <w:sz w:val="20"/>
          <w:szCs w:val="20"/>
          <w:lang w:val="es-ES"/>
        </w:rPr>
        <w:t>Al constituir la Declaración fuente de obligaciones jurídicas, los Estados deben implementar en la práctica, dentro de su jurisdicción, los derechos en ella establecidos</w:t>
      </w:r>
      <w:r w:rsidRPr="00FF743B">
        <w:rPr>
          <w:rStyle w:val="FootnoteReference"/>
          <w:rFonts w:ascii="Cambria" w:hAnsi="Cambria"/>
          <w:sz w:val="20"/>
          <w:szCs w:val="20"/>
          <w:lang w:val="es-ES"/>
        </w:rPr>
        <w:footnoteReference w:id="21"/>
      </w:r>
      <w:r w:rsidRPr="00FF743B">
        <w:rPr>
          <w:rFonts w:ascii="Cambria" w:hAnsi="Cambria"/>
          <w:sz w:val="20"/>
          <w:szCs w:val="20"/>
          <w:lang w:val="es-ES"/>
        </w:rPr>
        <w:t xml:space="preserve">.  </w:t>
      </w:r>
    </w:p>
    <w:p w:rsidR="005F1135" w:rsidRPr="00FF743B" w:rsidRDefault="005F1135" w:rsidP="005F1135">
      <w:pPr>
        <w:jc w:val="both"/>
        <w:rPr>
          <w:rFonts w:ascii="Cambria" w:hAnsi="Cambria"/>
          <w:sz w:val="20"/>
          <w:szCs w:val="20"/>
          <w:lang w:val="es-ES"/>
        </w:rPr>
      </w:pPr>
    </w:p>
    <w:p w:rsidR="003D1F9C" w:rsidRPr="00FF743B" w:rsidRDefault="00611DBF"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Sin embargo, es pertinente reiterar</w:t>
      </w:r>
      <w:r w:rsidR="00E43BBD" w:rsidRPr="00FF743B">
        <w:rPr>
          <w:rFonts w:ascii="Cambria" w:hAnsi="Cambria"/>
          <w:sz w:val="20"/>
          <w:szCs w:val="20"/>
          <w:lang w:val="es-ES"/>
        </w:rPr>
        <w:t xml:space="preserve"> que para la CIDH la ratificación universal de los instrumentos interamericanos es indispensable para lograr la protección plena de los derechos humanos de todas las personas en el hemisferio.</w:t>
      </w:r>
    </w:p>
    <w:p w:rsidR="00A74C88" w:rsidRPr="00FF743B" w:rsidRDefault="00A74C88" w:rsidP="00225F6F">
      <w:pPr>
        <w:ind w:left="720"/>
        <w:jc w:val="both"/>
        <w:rPr>
          <w:rFonts w:ascii="Cambria" w:hAnsi="Cambria"/>
          <w:sz w:val="20"/>
          <w:szCs w:val="20"/>
          <w:lang w:val="es-ES"/>
        </w:rPr>
      </w:pPr>
    </w:p>
    <w:p w:rsidR="003D1F9C" w:rsidRPr="00FF743B" w:rsidRDefault="003D1F9C" w:rsidP="00E94226">
      <w:pPr>
        <w:pStyle w:val="Heading2"/>
        <w:spacing w:before="240" w:after="240"/>
        <w:ind w:left="547" w:hanging="547"/>
        <w:jc w:val="left"/>
      </w:pPr>
      <w:bookmarkStart w:id="2" w:name="_Toc392951572"/>
      <w:r w:rsidRPr="00FF743B">
        <w:t>Desarrollos sobre la universalidad en el sistema Interamericano de derechos humanos</w:t>
      </w:r>
      <w:bookmarkEnd w:id="2"/>
    </w:p>
    <w:p w:rsidR="003D1F9C" w:rsidRPr="00FF743B" w:rsidRDefault="003D1F9C" w:rsidP="00225F6F">
      <w:pPr>
        <w:jc w:val="both"/>
        <w:rPr>
          <w:rFonts w:ascii="Cambria" w:hAnsi="Cambria"/>
          <w:sz w:val="20"/>
          <w:szCs w:val="20"/>
          <w:lang w:val="es-ES"/>
        </w:rPr>
      </w:pPr>
    </w:p>
    <w:p w:rsidR="003D1F9C" w:rsidRPr="00FF743B" w:rsidRDefault="00FB1A25"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Bajo el entendido de la naturaleza integral</w:t>
      </w:r>
      <w:r w:rsidR="00E86079" w:rsidRPr="00FF743B">
        <w:rPr>
          <w:rFonts w:ascii="Cambria" w:hAnsi="Cambria"/>
          <w:sz w:val="20"/>
          <w:szCs w:val="20"/>
          <w:lang w:val="es-ES"/>
        </w:rPr>
        <w:t xml:space="preserve"> y complementaria de los instrumentos</w:t>
      </w:r>
      <w:r w:rsidRPr="00FF743B">
        <w:rPr>
          <w:rFonts w:ascii="Cambria" w:hAnsi="Cambria"/>
          <w:sz w:val="20"/>
          <w:szCs w:val="20"/>
          <w:lang w:val="es-ES"/>
        </w:rPr>
        <w:t xml:space="preserve"> del sistema interamericano de protección de los d</w:t>
      </w:r>
      <w:r w:rsidR="00E86079" w:rsidRPr="00FF743B">
        <w:rPr>
          <w:rFonts w:ascii="Cambria" w:hAnsi="Cambria"/>
          <w:sz w:val="20"/>
          <w:szCs w:val="20"/>
          <w:lang w:val="es-ES"/>
        </w:rPr>
        <w:t>erechos humanos, la CIDH considera</w:t>
      </w:r>
      <w:r w:rsidRPr="00FF743B">
        <w:rPr>
          <w:rFonts w:ascii="Cambria" w:hAnsi="Cambria"/>
          <w:sz w:val="20"/>
          <w:szCs w:val="20"/>
          <w:lang w:val="es-ES"/>
        </w:rPr>
        <w:t xml:space="preserve"> que en la actualidad hay cuatro niveles de participación de los Estados en el sistema interamericano</w:t>
      </w:r>
      <w:r w:rsidR="005A79F1" w:rsidRPr="00FF743B">
        <w:rPr>
          <w:rFonts w:ascii="Cambria" w:hAnsi="Cambria"/>
          <w:sz w:val="20"/>
          <w:szCs w:val="20"/>
          <w:lang w:val="es-ES"/>
        </w:rPr>
        <w:t>:</w:t>
      </w:r>
    </w:p>
    <w:p w:rsidR="005A79F1" w:rsidRPr="00FF743B" w:rsidRDefault="005A79F1" w:rsidP="00225F6F">
      <w:pPr>
        <w:jc w:val="both"/>
        <w:rPr>
          <w:rFonts w:ascii="Cambria" w:hAnsi="Cambria"/>
          <w:sz w:val="20"/>
          <w:szCs w:val="20"/>
          <w:lang w:val="es-ES"/>
        </w:rPr>
      </w:pPr>
    </w:p>
    <w:p w:rsidR="00EF610F" w:rsidRPr="00FF743B" w:rsidRDefault="00EF610F" w:rsidP="00884208">
      <w:pPr>
        <w:numPr>
          <w:ilvl w:val="0"/>
          <w:numId w:val="28"/>
        </w:numPr>
        <w:tabs>
          <w:tab w:val="left" w:pos="1080"/>
        </w:tabs>
        <w:ind w:left="1094" w:hanging="547"/>
        <w:jc w:val="both"/>
        <w:rPr>
          <w:rFonts w:ascii="Cambria" w:hAnsi="Cambria"/>
          <w:sz w:val="20"/>
          <w:szCs w:val="20"/>
          <w:lang w:val="es-ES"/>
        </w:rPr>
      </w:pPr>
      <w:r w:rsidRPr="00FF743B">
        <w:rPr>
          <w:rFonts w:ascii="Cambria" w:hAnsi="Cambria"/>
          <w:b/>
          <w:sz w:val="20"/>
          <w:szCs w:val="20"/>
          <w:lang w:val="es-ES"/>
        </w:rPr>
        <w:t>Primero</w:t>
      </w:r>
      <w:r w:rsidRPr="00FF743B">
        <w:rPr>
          <w:rFonts w:ascii="Cambria" w:hAnsi="Cambria"/>
          <w:sz w:val="20"/>
          <w:szCs w:val="20"/>
          <w:lang w:val="es-ES"/>
        </w:rPr>
        <w:t>, existe un nivel de protección universal y mínimo para todos los</w:t>
      </w:r>
      <w:r w:rsidR="00E37CAA" w:rsidRPr="00FF743B">
        <w:rPr>
          <w:rFonts w:ascii="Cambria" w:hAnsi="Cambria"/>
          <w:sz w:val="20"/>
          <w:szCs w:val="20"/>
          <w:lang w:val="es-ES"/>
        </w:rPr>
        <w:t xml:space="preserve"> 35</w:t>
      </w:r>
      <w:r w:rsidRPr="00FF743B">
        <w:rPr>
          <w:rFonts w:ascii="Cambria" w:hAnsi="Cambria"/>
          <w:sz w:val="20"/>
          <w:szCs w:val="20"/>
          <w:lang w:val="es-ES"/>
        </w:rPr>
        <w:t xml:space="preserve"> Estados Miembros de la OEA cuyos habitantes gozan de la protección de los derechos reconocidos en la Declaración Americana y la Carta de la OEA bajo la supervisión de la CIDH</w:t>
      </w:r>
      <w:r w:rsidR="007C3768" w:rsidRPr="00FF743B">
        <w:rPr>
          <w:rStyle w:val="FootnoteReference"/>
          <w:rFonts w:ascii="Cambria" w:hAnsi="Cambria"/>
          <w:sz w:val="20"/>
          <w:szCs w:val="20"/>
          <w:lang w:val="es-ES"/>
        </w:rPr>
        <w:footnoteReference w:id="22"/>
      </w:r>
      <w:r w:rsidR="00E37CAA" w:rsidRPr="00FF743B">
        <w:rPr>
          <w:rFonts w:ascii="Cambria" w:hAnsi="Cambria"/>
          <w:sz w:val="20"/>
          <w:szCs w:val="20"/>
          <w:lang w:val="es-ES"/>
        </w:rPr>
        <w:t xml:space="preserve">. </w:t>
      </w:r>
      <w:r w:rsidRPr="00FF743B">
        <w:rPr>
          <w:rFonts w:ascii="Cambria" w:hAnsi="Cambria"/>
          <w:sz w:val="20"/>
          <w:szCs w:val="20"/>
          <w:lang w:val="es-ES"/>
        </w:rPr>
        <w:t xml:space="preserve"> </w:t>
      </w:r>
    </w:p>
    <w:p w:rsidR="00E37CAA" w:rsidRPr="00FF743B" w:rsidRDefault="00E37CAA" w:rsidP="00884208">
      <w:pPr>
        <w:tabs>
          <w:tab w:val="left" w:pos="1080"/>
        </w:tabs>
        <w:ind w:left="1094" w:hanging="547"/>
        <w:jc w:val="both"/>
        <w:rPr>
          <w:rFonts w:ascii="Cambria" w:hAnsi="Cambria"/>
          <w:sz w:val="20"/>
          <w:szCs w:val="20"/>
          <w:lang w:val="es-ES"/>
        </w:rPr>
      </w:pPr>
    </w:p>
    <w:p w:rsidR="00EF610F" w:rsidRPr="00FF743B" w:rsidRDefault="00EF610F" w:rsidP="00884208">
      <w:pPr>
        <w:numPr>
          <w:ilvl w:val="0"/>
          <w:numId w:val="28"/>
        </w:numPr>
        <w:tabs>
          <w:tab w:val="left" w:pos="1080"/>
        </w:tabs>
        <w:ind w:left="1094" w:hanging="547"/>
        <w:jc w:val="both"/>
        <w:rPr>
          <w:rFonts w:ascii="Cambria" w:hAnsi="Cambria"/>
          <w:sz w:val="20"/>
          <w:szCs w:val="20"/>
          <w:lang w:val="es-ES"/>
        </w:rPr>
      </w:pPr>
      <w:r w:rsidRPr="00FF743B">
        <w:rPr>
          <w:rFonts w:ascii="Cambria" w:hAnsi="Cambria"/>
          <w:b/>
          <w:sz w:val="20"/>
          <w:szCs w:val="20"/>
          <w:lang w:val="es-ES"/>
        </w:rPr>
        <w:t>Segundo</w:t>
      </w:r>
      <w:r w:rsidRPr="00FF743B">
        <w:rPr>
          <w:rFonts w:ascii="Cambria" w:hAnsi="Cambria"/>
          <w:sz w:val="20"/>
          <w:szCs w:val="20"/>
          <w:lang w:val="es-ES"/>
        </w:rPr>
        <w:t xml:space="preserve">, un grupo de </w:t>
      </w:r>
      <w:r w:rsidR="00212E17" w:rsidRPr="00FF743B">
        <w:rPr>
          <w:rFonts w:ascii="Cambria" w:hAnsi="Cambria"/>
          <w:sz w:val="20"/>
          <w:szCs w:val="20"/>
          <w:lang w:val="es-ES"/>
        </w:rPr>
        <w:t>23</w:t>
      </w:r>
      <w:r w:rsidR="00E37CAA" w:rsidRPr="00FF743B">
        <w:rPr>
          <w:rFonts w:ascii="Cambria" w:hAnsi="Cambria"/>
          <w:sz w:val="20"/>
          <w:szCs w:val="20"/>
          <w:lang w:val="es-ES"/>
        </w:rPr>
        <w:t xml:space="preserve"> </w:t>
      </w:r>
      <w:r w:rsidRPr="00FF743B">
        <w:rPr>
          <w:rFonts w:ascii="Cambria" w:hAnsi="Cambria"/>
          <w:sz w:val="20"/>
          <w:szCs w:val="20"/>
          <w:lang w:val="es-ES"/>
        </w:rPr>
        <w:t>Estados Miembros ha ratificado la Convención Americana</w:t>
      </w:r>
      <w:r w:rsidR="00212E17" w:rsidRPr="00FF743B">
        <w:rPr>
          <w:rFonts w:ascii="Cambria" w:hAnsi="Cambria"/>
          <w:sz w:val="20"/>
          <w:szCs w:val="20"/>
          <w:lang w:val="es-ES"/>
        </w:rPr>
        <w:t xml:space="preserve"> y continúan siendo parte de dicho instrumento</w:t>
      </w:r>
      <w:r w:rsidR="00212E17" w:rsidRPr="00FF743B">
        <w:rPr>
          <w:rStyle w:val="FootnoteReference"/>
          <w:rFonts w:ascii="Cambria" w:hAnsi="Cambria"/>
          <w:sz w:val="20"/>
          <w:szCs w:val="20"/>
          <w:lang w:val="es-ES"/>
        </w:rPr>
        <w:footnoteReference w:id="23"/>
      </w:r>
      <w:r w:rsidR="00212E17" w:rsidRPr="00FF743B">
        <w:rPr>
          <w:rFonts w:ascii="Cambria" w:hAnsi="Cambria"/>
          <w:sz w:val="20"/>
          <w:szCs w:val="20"/>
          <w:lang w:val="es-ES"/>
        </w:rPr>
        <w:t xml:space="preserve">.  </w:t>
      </w:r>
    </w:p>
    <w:p w:rsidR="00EF610F" w:rsidRPr="00FF743B" w:rsidRDefault="00EF610F" w:rsidP="00884208">
      <w:pPr>
        <w:pStyle w:val="ListParagraph"/>
        <w:tabs>
          <w:tab w:val="left" w:pos="1080"/>
        </w:tabs>
        <w:ind w:left="1094" w:hanging="547"/>
        <w:rPr>
          <w:rFonts w:ascii="Cambria" w:hAnsi="Cambria"/>
          <w:b/>
          <w:sz w:val="20"/>
          <w:szCs w:val="20"/>
          <w:lang w:val="es-ES"/>
        </w:rPr>
      </w:pPr>
    </w:p>
    <w:p w:rsidR="00EF610F" w:rsidRPr="00FF743B" w:rsidRDefault="00EF610F" w:rsidP="00884208">
      <w:pPr>
        <w:numPr>
          <w:ilvl w:val="0"/>
          <w:numId w:val="28"/>
        </w:numPr>
        <w:tabs>
          <w:tab w:val="left" w:pos="1080"/>
        </w:tabs>
        <w:ind w:left="1094" w:hanging="547"/>
        <w:jc w:val="both"/>
        <w:rPr>
          <w:rFonts w:ascii="Cambria" w:hAnsi="Cambria"/>
          <w:sz w:val="20"/>
          <w:szCs w:val="20"/>
          <w:lang w:val="es-ES"/>
        </w:rPr>
      </w:pPr>
      <w:r w:rsidRPr="00FF743B">
        <w:rPr>
          <w:rFonts w:ascii="Cambria" w:hAnsi="Cambria"/>
          <w:b/>
          <w:sz w:val="20"/>
          <w:szCs w:val="20"/>
          <w:lang w:val="es-ES"/>
        </w:rPr>
        <w:t>Tercero</w:t>
      </w:r>
      <w:r w:rsidRPr="00FF743B">
        <w:rPr>
          <w:rFonts w:ascii="Cambria" w:hAnsi="Cambria"/>
          <w:sz w:val="20"/>
          <w:szCs w:val="20"/>
          <w:lang w:val="es-ES"/>
        </w:rPr>
        <w:t xml:space="preserve">, un grupo de </w:t>
      </w:r>
      <w:r w:rsidR="00E37CAA" w:rsidRPr="00FF743B">
        <w:rPr>
          <w:rFonts w:ascii="Cambria" w:hAnsi="Cambria"/>
          <w:sz w:val="20"/>
          <w:szCs w:val="20"/>
          <w:lang w:val="es-ES"/>
        </w:rPr>
        <w:t xml:space="preserve">20 </w:t>
      </w:r>
      <w:r w:rsidRPr="00FF743B">
        <w:rPr>
          <w:rFonts w:ascii="Cambria" w:hAnsi="Cambria"/>
          <w:sz w:val="20"/>
          <w:szCs w:val="20"/>
          <w:lang w:val="es-ES"/>
        </w:rPr>
        <w:t>Estados ha</w:t>
      </w:r>
      <w:r w:rsidR="00D54AE2" w:rsidRPr="00FF743B">
        <w:rPr>
          <w:rFonts w:ascii="Cambria" w:hAnsi="Cambria"/>
          <w:sz w:val="20"/>
          <w:szCs w:val="20"/>
          <w:lang w:val="es-ES"/>
        </w:rPr>
        <w:t xml:space="preserve"> </w:t>
      </w:r>
      <w:r w:rsidRPr="00FF743B">
        <w:rPr>
          <w:rFonts w:ascii="Cambria" w:hAnsi="Cambria"/>
          <w:sz w:val="20"/>
          <w:szCs w:val="20"/>
          <w:lang w:val="es-ES"/>
        </w:rPr>
        <w:t>aceptado la jurisd</w:t>
      </w:r>
      <w:r w:rsidR="00E37CAA" w:rsidRPr="00FF743B">
        <w:rPr>
          <w:rFonts w:ascii="Cambria" w:hAnsi="Cambria"/>
          <w:sz w:val="20"/>
          <w:szCs w:val="20"/>
          <w:lang w:val="es-ES"/>
        </w:rPr>
        <w:t>icción de la Corte</w:t>
      </w:r>
      <w:r w:rsidR="00D54AE2" w:rsidRPr="00FF743B">
        <w:rPr>
          <w:rFonts w:ascii="Cambria" w:hAnsi="Cambria"/>
          <w:sz w:val="20"/>
          <w:szCs w:val="20"/>
          <w:lang w:val="es-ES"/>
        </w:rPr>
        <w:t xml:space="preserve"> Interamericana</w:t>
      </w:r>
      <w:r w:rsidR="005330D6" w:rsidRPr="00FF743B">
        <w:rPr>
          <w:rFonts w:ascii="Cambria" w:hAnsi="Cambria"/>
          <w:sz w:val="20"/>
          <w:szCs w:val="20"/>
          <w:lang w:val="es-ES"/>
        </w:rPr>
        <w:t xml:space="preserve"> y su aceptación continúa vigente</w:t>
      </w:r>
      <w:r w:rsidR="00E37CAA" w:rsidRPr="00FF743B">
        <w:rPr>
          <w:rStyle w:val="FootnoteReference"/>
          <w:rFonts w:ascii="Cambria" w:hAnsi="Cambria"/>
          <w:sz w:val="20"/>
          <w:szCs w:val="20"/>
          <w:lang w:val="es-ES"/>
        </w:rPr>
        <w:footnoteReference w:id="24"/>
      </w:r>
      <w:r w:rsidR="00E37CAA" w:rsidRPr="00FF743B">
        <w:rPr>
          <w:rFonts w:ascii="Cambria" w:hAnsi="Cambria"/>
          <w:sz w:val="20"/>
          <w:szCs w:val="20"/>
          <w:lang w:val="es-ES"/>
        </w:rPr>
        <w:t xml:space="preserve">. </w:t>
      </w:r>
    </w:p>
    <w:p w:rsidR="00EF610F" w:rsidRPr="00FF743B" w:rsidRDefault="00EF610F" w:rsidP="00884208">
      <w:pPr>
        <w:pStyle w:val="ListParagraph"/>
        <w:tabs>
          <w:tab w:val="left" w:pos="1080"/>
        </w:tabs>
        <w:ind w:left="1094" w:hanging="547"/>
        <w:rPr>
          <w:rFonts w:ascii="Cambria" w:hAnsi="Cambria"/>
          <w:b/>
          <w:sz w:val="20"/>
          <w:szCs w:val="20"/>
          <w:lang w:val="es-ES"/>
        </w:rPr>
      </w:pPr>
    </w:p>
    <w:p w:rsidR="003D1F9C" w:rsidRDefault="00EF610F" w:rsidP="00884208">
      <w:pPr>
        <w:numPr>
          <w:ilvl w:val="0"/>
          <w:numId w:val="28"/>
        </w:numPr>
        <w:tabs>
          <w:tab w:val="left" w:pos="1080"/>
        </w:tabs>
        <w:ind w:left="1094" w:hanging="547"/>
        <w:jc w:val="both"/>
        <w:rPr>
          <w:rFonts w:ascii="Cambria" w:hAnsi="Cambria"/>
          <w:sz w:val="20"/>
          <w:szCs w:val="20"/>
          <w:lang w:val="es-ES"/>
        </w:rPr>
      </w:pPr>
      <w:r w:rsidRPr="00FF743B">
        <w:rPr>
          <w:rFonts w:ascii="Cambria" w:hAnsi="Cambria"/>
          <w:b/>
          <w:sz w:val="20"/>
          <w:szCs w:val="20"/>
          <w:lang w:val="es-ES"/>
        </w:rPr>
        <w:t>Cuarto</w:t>
      </w:r>
      <w:r w:rsidRPr="00FF743B">
        <w:rPr>
          <w:rFonts w:ascii="Cambria" w:hAnsi="Cambria"/>
          <w:sz w:val="20"/>
          <w:szCs w:val="20"/>
          <w:lang w:val="es-ES"/>
        </w:rPr>
        <w:t xml:space="preserve">, </w:t>
      </w:r>
      <w:r w:rsidR="00FB7F4E" w:rsidRPr="00FF743B">
        <w:rPr>
          <w:rFonts w:ascii="Cambria" w:hAnsi="Cambria"/>
          <w:sz w:val="20"/>
          <w:szCs w:val="20"/>
          <w:lang w:val="es-ES"/>
        </w:rPr>
        <w:t>un grupo de 7 Estados Miembros ha</w:t>
      </w:r>
      <w:r w:rsidR="004C1DEE" w:rsidRPr="00FF743B">
        <w:rPr>
          <w:rFonts w:ascii="Cambria" w:hAnsi="Cambria"/>
          <w:sz w:val="20"/>
          <w:szCs w:val="20"/>
          <w:lang w:val="es-ES"/>
        </w:rPr>
        <w:t xml:space="preserve"> ratificado todos los tratados interamericanos de derechos humanos</w:t>
      </w:r>
      <w:r w:rsidR="004C1DEE" w:rsidRPr="00FF743B">
        <w:rPr>
          <w:rStyle w:val="FootnoteReference"/>
          <w:rFonts w:ascii="Cambria" w:hAnsi="Cambria"/>
          <w:sz w:val="20"/>
          <w:szCs w:val="20"/>
          <w:lang w:val="es-ES"/>
        </w:rPr>
        <w:footnoteReference w:id="25"/>
      </w:r>
      <w:r w:rsidR="004C1DEE" w:rsidRPr="00FF743B">
        <w:rPr>
          <w:rFonts w:ascii="Cambria" w:hAnsi="Cambria"/>
          <w:sz w:val="20"/>
          <w:szCs w:val="20"/>
          <w:lang w:val="es-ES"/>
        </w:rPr>
        <w:t xml:space="preserve">.  </w:t>
      </w:r>
    </w:p>
    <w:p w:rsidR="00953AF4" w:rsidRPr="00FF743B" w:rsidRDefault="00953AF4" w:rsidP="00953AF4">
      <w:pPr>
        <w:tabs>
          <w:tab w:val="left" w:pos="1080"/>
        </w:tabs>
        <w:jc w:val="both"/>
        <w:rPr>
          <w:rFonts w:ascii="Cambria" w:hAnsi="Cambria"/>
          <w:sz w:val="20"/>
          <w:szCs w:val="20"/>
          <w:lang w:val="es-ES"/>
        </w:rPr>
      </w:pPr>
    </w:p>
    <w:p w:rsidR="00EF610F" w:rsidRPr="00FF743B" w:rsidRDefault="00DC1D90"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CIDH ha establecido de forma reiterada que este modelo circ</w:t>
      </w:r>
      <w:r w:rsidR="00335DEB" w:rsidRPr="00FF743B">
        <w:rPr>
          <w:rFonts w:ascii="Cambria" w:hAnsi="Cambria"/>
          <w:sz w:val="20"/>
          <w:szCs w:val="20"/>
          <w:lang w:val="es-ES"/>
        </w:rPr>
        <w:t>uncéntrico de protección coloca a millones de personas en una situación de desventaja en cuanto al grado de protección internacional de sus derechos</w:t>
      </w:r>
      <w:r w:rsidR="005E38A7" w:rsidRPr="00FF743B">
        <w:rPr>
          <w:rStyle w:val="FootnoteReference"/>
          <w:rFonts w:ascii="Cambria" w:hAnsi="Cambria"/>
          <w:sz w:val="20"/>
          <w:szCs w:val="20"/>
          <w:lang w:val="es-ES"/>
        </w:rPr>
        <w:footnoteReference w:id="26"/>
      </w:r>
      <w:r w:rsidR="00335DEB" w:rsidRPr="00FF743B">
        <w:rPr>
          <w:rFonts w:ascii="Cambria" w:hAnsi="Cambria"/>
          <w:sz w:val="20"/>
          <w:szCs w:val="20"/>
          <w:lang w:val="es-ES"/>
        </w:rPr>
        <w:t>.</w:t>
      </w:r>
      <w:r w:rsidR="00221F1B" w:rsidRPr="00FF743B">
        <w:rPr>
          <w:rFonts w:ascii="Cambria" w:hAnsi="Cambria"/>
          <w:sz w:val="20"/>
          <w:szCs w:val="20"/>
          <w:lang w:val="es-ES"/>
        </w:rPr>
        <w:t xml:space="preserve">  </w:t>
      </w:r>
      <w:r w:rsidR="005619B7" w:rsidRPr="00FF743B">
        <w:rPr>
          <w:rFonts w:ascii="Cambria" w:hAnsi="Cambria"/>
          <w:sz w:val="20"/>
          <w:szCs w:val="20"/>
          <w:lang w:val="es-ES"/>
        </w:rPr>
        <w:t>Transcurridos 45</w:t>
      </w:r>
      <w:r w:rsidR="00600EAF" w:rsidRPr="00FF743B">
        <w:rPr>
          <w:rFonts w:ascii="Cambria" w:hAnsi="Cambria"/>
          <w:sz w:val="20"/>
          <w:szCs w:val="20"/>
          <w:lang w:val="es-ES"/>
        </w:rPr>
        <w:t xml:space="preserve"> años desde la adopción de la Convención Americana en noviembre de 1969, 12 de los 35 Estados Miembros de la OEA no</w:t>
      </w:r>
      <w:r w:rsidR="00331E75" w:rsidRPr="00FF743B">
        <w:rPr>
          <w:rFonts w:ascii="Cambria" w:hAnsi="Cambria"/>
          <w:sz w:val="20"/>
          <w:szCs w:val="20"/>
          <w:lang w:val="es-ES"/>
        </w:rPr>
        <w:t xml:space="preserve"> son partes y </w:t>
      </w:r>
      <w:r w:rsidR="001622CD" w:rsidRPr="00FF743B">
        <w:rPr>
          <w:rFonts w:ascii="Cambria" w:hAnsi="Cambria"/>
          <w:sz w:val="20"/>
          <w:szCs w:val="20"/>
          <w:lang w:val="es-ES"/>
        </w:rPr>
        <w:t xml:space="preserve">15 no están sujetos a </w:t>
      </w:r>
      <w:r w:rsidR="00600EAF" w:rsidRPr="00FF743B">
        <w:rPr>
          <w:rFonts w:ascii="Cambria" w:hAnsi="Cambria"/>
          <w:sz w:val="20"/>
          <w:szCs w:val="20"/>
          <w:lang w:val="es-ES"/>
        </w:rPr>
        <w:t>la competencia contenciosa de la Corte Interamericana de Derechos Humanos</w:t>
      </w:r>
      <w:r w:rsidR="00600EAF" w:rsidRPr="00FF743B">
        <w:rPr>
          <w:rStyle w:val="FootnoteReference"/>
          <w:rFonts w:ascii="Cambria" w:hAnsi="Cambria"/>
          <w:sz w:val="20"/>
          <w:szCs w:val="20"/>
          <w:lang w:val="es-ES"/>
        </w:rPr>
        <w:footnoteReference w:id="27"/>
      </w:r>
      <w:r w:rsidR="006D3541" w:rsidRPr="00FF743B">
        <w:rPr>
          <w:rFonts w:ascii="Cambria" w:hAnsi="Cambria"/>
          <w:sz w:val="20"/>
          <w:szCs w:val="20"/>
          <w:lang w:val="es-ES"/>
        </w:rPr>
        <w:t xml:space="preserve">.  </w:t>
      </w:r>
      <w:r w:rsidR="00600EAF" w:rsidRPr="00FF743B">
        <w:rPr>
          <w:rFonts w:ascii="Cambria" w:hAnsi="Cambria"/>
          <w:sz w:val="20"/>
          <w:szCs w:val="20"/>
          <w:lang w:val="es-ES"/>
        </w:rPr>
        <w:t>A su vez, sólo 7 Estados han ratificado todos los instrumentos interamericanos de pro</w:t>
      </w:r>
      <w:r w:rsidR="005330D6" w:rsidRPr="00FF743B">
        <w:rPr>
          <w:rFonts w:ascii="Cambria" w:hAnsi="Cambria"/>
          <w:sz w:val="20"/>
          <w:szCs w:val="20"/>
          <w:lang w:val="es-ES"/>
        </w:rPr>
        <w:t>tección de los derechos humanos.</w:t>
      </w:r>
    </w:p>
    <w:p w:rsidR="002550F8" w:rsidRPr="00FF743B" w:rsidRDefault="002550F8" w:rsidP="00225F6F">
      <w:pPr>
        <w:ind w:left="720"/>
        <w:jc w:val="both"/>
        <w:rPr>
          <w:rFonts w:ascii="Cambria" w:hAnsi="Cambria"/>
          <w:sz w:val="20"/>
          <w:szCs w:val="20"/>
          <w:lang w:val="es-ES"/>
        </w:rPr>
      </w:pPr>
    </w:p>
    <w:p w:rsidR="000B22C0" w:rsidRPr="00FF743B" w:rsidRDefault="001F7F5F"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CIDH asimismo </w:t>
      </w:r>
      <w:r w:rsidR="00F2386B" w:rsidRPr="00FF743B">
        <w:rPr>
          <w:rFonts w:ascii="Cambria" w:hAnsi="Cambria"/>
          <w:sz w:val="20"/>
          <w:szCs w:val="20"/>
          <w:lang w:val="es-ES"/>
        </w:rPr>
        <w:t xml:space="preserve">ha </w:t>
      </w:r>
      <w:r w:rsidRPr="00FF743B">
        <w:rPr>
          <w:rFonts w:ascii="Cambria" w:hAnsi="Cambria"/>
          <w:sz w:val="20"/>
          <w:szCs w:val="20"/>
          <w:lang w:val="es-ES"/>
        </w:rPr>
        <w:t>lamenta</w:t>
      </w:r>
      <w:r w:rsidR="00F2386B" w:rsidRPr="00FF743B">
        <w:rPr>
          <w:rFonts w:ascii="Cambria" w:hAnsi="Cambria"/>
          <w:sz w:val="20"/>
          <w:szCs w:val="20"/>
          <w:lang w:val="es-ES"/>
        </w:rPr>
        <w:t>do de forma pública</w:t>
      </w:r>
      <w:r w:rsidRPr="00FF743B">
        <w:rPr>
          <w:rFonts w:ascii="Cambria" w:hAnsi="Cambria"/>
          <w:sz w:val="20"/>
          <w:szCs w:val="20"/>
          <w:lang w:val="es-ES"/>
        </w:rPr>
        <w:t xml:space="preserve"> que dos Estados Miembros de la OEA hayan denunciado la Convención Americana: Trinidad y Tobago en mayo de 1999 y Venezuela en septiembre de 2013</w:t>
      </w:r>
      <w:r w:rsidR="00D57344" w:rsidRPr="00FF743B">
        <w:rPr>
          <w:rStyle w:val="FootnoteReference"/>
          <w:rFonts w:ascii="Cambria" w:hAnsi="Cambria"/>
          <w:sz w:val="20"/>
          <w:szCs w:val="20"/>
          <w:lang w:val="es-ES"/>
        </w:rPr>
        <w:footnoteReference w:id="28"/>
      </w:r>
      <w:r w:rsidR="00331E75" w:rsidRPr="00FF743B">
        <w:rPr>
          <w:rFonts w:ascii="Cambria" w:hAnsi="Cambria"/>
          <w:sz w:val="20"/>
          <w:szCs w:val="20"/>
          <w:lang w:val="es-ES"/>
        </w:rPr>
        <w:t xml:space="preserve">. </w:t>
      </w:r>
      <w:r w:rsidR="000B22C0" w:rsidRPr="00FF743B">
        <w:rPr>
          <w:rFonts w:ascii="Cambria" w:hAnsi="Cambria"/>
          <w:sz w:val="20"/>
          <w:szCs w:val="20"/>
          <w:lang w:val="es-ES"/>
        </w:rPr>
        <w:t>Asimismo ha destacado que los ciudadanos y ciudadanas de Trinidad y Tobago y Venezuela han sido desprovistos de una fuente importante de protección de sus derechos humanos</w:t>
      </w:r>
      <w:r w:rsidR="000B22C0" w:rsidRPr="00FF743B">
        <w:rPr>
          <w:rStyle w:val="FootnoteReference"/>
          <w:rFonts w:ascii="Cambria" w:hAnsi="Cambria"/>
          <w:sz w:val="20"/>
          <w:szCs w:val="20"/>
          <w:lang w:val="es-ES"/>
        </w:rPr>
        <w:footnoteReference w:id="29"/>
      </w:r>
      <w:r w:rsidR="000B22C0" w:rsidRPr="00FF743B">
        <w:rPr>
          <w:rFonts w:ascii="Cambria" w:hAnsi="Cambria"/>
          <w:sz w:val="20"/>
          <w:szCs w:val="20"/>
          <w:lang w:val="es-ES"/>
        </w:rPr>
        <w:t xml:space="preserve">. </w:t>
      </w:r>
      <w:r w:rsidR="00331E75" w:rsidRPr="00FF743B">
        <w:rPr>
          <w:rFonts w:ascii="Cambria" w:hAnsi="Cambria"/>
          <w:sz w:val="20"/>
          <w:szCs w:val="20"/>
          <w:lang w:val="es-ES"/>
        </w:rPr>
        <w:t xml:space="preserve"> La CIDH reitera en este informe su profunda preocupación por el efecto de estas denuncias y hace un llamado a  estos Estados a reconsiderar su decisión.  </w:t>
      </w:r>
    </w:p>
    <w:p w:rsidR="000B22C0" w:rsidRPr="00FF743B" w:rsidRDefault="000B22C0" w:rsidP="00225F6F">
      <w:pPr>
        <w:pStyle w:val="ListParagraph"/>
        <w:rPr>
          <w:rFonts w:ascii="Cambria" w:hAnsi="Cambria"/>
          <w:sz w:val="20"/>
          <w:szCs w:val="20"/>
          <w:lang w:val="es-ES"/>
        </w:rPr>
      </w:pPr>
    </w:p>
    <w:p w:rsidR="00EF610F" w:rsidRPr="00FF743B" w:rsidRDefault="00331E75"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CIDH asimismo destaca que las referidas denuncias </w:t>
      </w:r>
      <w:r w:rsidR="000B22C0" w:rsidRPr="00FF743B">
        <w:rPr>
          <w:rFonts w:ascii="Cambria" w:hAnsi="Cambria"/>
          <w:sz w:val="20"/>
          <w:szCs w:val="20"/>
          <w:lang w:val="es-ES"/>
        </w:rPr>
        <w:t xml:space="preserve">de Trinidad y Tobago y Venezuela </w:t>
      </w:r>
      <w:r w:rsidRPr="00FF743B">
        <w:rPr>
          <w:rFonts w:ascii="Cambria" w:hAnsi="Cambria"/>
          <w:sz w:val="20"/>
          <w:szCs w:val="20"/>
          <w:lang w:val="es-ES"/>
        </w:rPr>
        <w:t xml:space="preserve">no impiden </w:t>
      </w:r>
      <w:r w:rsidR="00AF19F8" w:rsidRPr="00FF743B">
        <w:rPr>
          <w:rFonts w:ascii="Cambria" w:hAnsi="Cambria"/>
          <w:sz w:val="20"/>
          <w:szCs w:val="20"/>
          <w:lang w:val="es-ES"/>
        </w:rPr>
        <w:t xml:space="preserve">que </w:t>
      </w:r>
      <w:r w:rsidR="001F7F5F" w:rsidRPr="00FF743B">
        <w:rPr>
          <w:rFonts w:ascii="Cambria" w:hAnsi="Cambria"/>
          <w:sz w:val="20"/>
          <w:szCs w:val="20"/>
          <w:lang w:val="es-ES"/>
        </w:rPr>
        <w:t xml:space="preserve">los órganos del sistema interamericano de derechos humanos sigan conociendo peticiones que aleguen violaciones de la Convención Americana por hechos </w:t>
      </w:r>
      <w:r w:rsidR="00D57344" w:rsidRPr="00FF743B">
        <w:rPr>
          <w:rFonts w:ascii="Cambria" w:hAnsi="Cambria"/>
          <w:sz w:val="20"/>
          <w:szCs w:val="20"/>
          <w:lang w:val="es-ES"/>
        </w:rPr>
        <w:t>ocurridos</w:t>
      </w:r>
      <w:r w:rsidR="001F7F5F" w:rsidRPr="00FF743B">
        <w:rPr>
          <w:rFonts w:ascii="Cambria" w:hAnsi="Cambria"/>
          <w:sz w:val="20"/>
          <w:szCs w:val="20"/>
          <w:lang w:val="es-ES"/>
        </w:rPr>
        <w:t xml:space="preserve"> antes de que la denuncia se hiciera efectiva,</w:t>
      </w:r>
      <w:r w:rsidR="00AF19F8" w:rsidRPr="00FF743B">
        <w:rPr>
          <w:rFonts w:ascii="Cambria" w:hAnsi="Cambria"/>
          <w:sz w:val="20"/>
          <w:szCs w:val="20"/>
          <w:lang w:val="es-ES"/>
        </w:rPr>
        <w:t xml:space="preserve"> y que la Comisión tiene competencia bajo la Declaración Americana</w:t>
      </w:r>
      <w:r w:rsidR="00AF19F8" w:rsidRPr="00FF743B">
        <w:rPr>
          <w:rStyle w:val="FootnoteReference"/>
          <w:rFonts w:ascii="Cambria" w:hAnsi="Cambria"/>
          <w:sz w:val="20"/>
          <w:szCs w:val="20"/>
          <w:lang w:val="es-ES"/>
        </w:rPr>
        <w:footnoteReference w:id="30"/>
      </w:r>
      <w:r w:rsidR="00AF19F8" w:rsidRPr="00FF743B">
        <w:rPr>
          <w:rFonts w:ascii="Cambria" w:hAnsi="Cambria"/>
          <w:sz w:val="20"/>
          <w:szCs w:val="20"/>
          <w:lang w:val="es-ES"/>
        </w:rPr>
        <w:t xml:space="preserve">.  </w:t>
      </w:r>
    </w:p>
    <w:p w:rsidR="000B22C0" w:rsidRDefault="000B22C0" w:rsidP="00225F6F">
      <w:pPr>
        <w:jc w:val="both"/>
        <w:rPr>
          <w:rFonts w:ascii="Cambria" w:hAnsi="Cambria"/>
          <w:sz w:val="20"/>
          <w:szCs w:val="20"/>
          <w:lang w:val="es-ES"/>
        </w:rPr>
      </w:pPr>
    </w:p>
    <w:p w:rsidR="00953AF4" w:rsidRDefault="00953AF4" w:rsidP="00225F6F">
      <w:pPr>
        <w:jc w:val="both"/>
        <w:rPr>
          <w:rFonts w:ascii="Cambria" w:hAnsi="Cambria"/>
          <w:sz w:val="20"/>
          <w:szCs w:val="20"/>
          <w:lang w:val="es-ES"/>
        </w:rPr>
      </w:pPr>
    </w:p>
    <w:p w:rsidR="00953AF4" w:rsidRDefault="00953AF4" w:rsidP="00225F6F">
      <w:pPr>
        <w:jc w:val="both"/>
        <w:rPr>
          <w:rFonts w:ascii="Cambria" w:hAnsi="Cambria"/>
          <w:sz w:val="20"/>
          <w:szCs w:val="20"/>
          <w:lang w:val="es-ES"/>
        </w:rPr>
      </w:pPr>
    </w:p>
    <w:p w:rsidR="00953AF4" w:rsidRPr="00FF743B" w:rsidRDefault="00953AF4" w:rsidP="00225F6F">
      <w:pPr>
        <w:jc w:val="both"/>
        <w:rPr>
          <w:rFonts w:ascii="Cambria" w:hAnsi="Cambria"/>
          <w:sz w:val="20"/>
          <w:szCs w:val="20"/>
          <w:lang w:val="es-ES"/>
        </w:rPr>
      </w:pPr>
    </w:p>
    <w:p w:rsidR="00BC799A" w:rsidRPr="00FF743B" w:rsidRDefault="00583CA1"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No obstante</w:t>
      </w:r>
      <w:r w:rsidR="00361A11" w:rsidRPr="00FF743B">
        <w:rPr>
          <w:rFonts w:ascii="Cambria" w:hAnsi="Cambria"/>
          <w:sz w:val="20"/>
          <w:szCs w:val="20"/>
          <w:lang w:val="es-ES"/>
        </w:rPr>
        <w:t xml:space="preserve"> dichos desafíos</w:t>
      </w:r>
      <w:r w:rsidR="00165CF0" w:rsidRPr="00FF743B">
        <w:rPr>
          <w:rFonts w:ascii="Cambria" w:hAnsi="Cambria"/>
          <w:sz w:val="20"/>
          <w:szCs w:val="20"/>
          <w:lang w:val="es-ES"/>
        </w:rPr>
        <w:t>, l</w:t>
      </w:r>
      <w:r w:rsidR="002258E8" w:rsidRPr="00FF743B">
        <w:rPr>
          <w:rFonts w:ascii="Cambria" w:hAnsi="Cambria"/>
          <w:sz w:val="20"/>
          <w:szCs w:val="20"/>
          <w:lang w:val="es-ES"/>
        </w:rPr>
        <w:t>a CIDH aprovecha la oportunidad para destacar avances</w:t>
      </w:r>
      <w:r w:rsidR="00BB3B6B" w:rsidRPr="00FF743B">
        <w:rPr>
          <w:rFonts w:ascii="Cambria" w:hAnsi="Cambria"/>
          <w:sz w:val="20"/>
          <w:szCs w:val="20"/>
          <w:lang w:val="es-ES"/>
        </w:rPr>
        <w:t xml:space="preserve"> recientes </w:t>
      </w:r>
      <w:r w:rsidR="002258E8" w:rsidRPr="00FF743B">
        <w:rPr>
          <w:rFonts w:ascii="Cambria" w:hAnsi="Cambria"/>
          <w:sz w:val="20"/>
          <w:szCs w:val="20"/>
          <w:lang w:val="es-ES"/>
        </w:rPr>
        <w:t>en la ratificación d</w:t>
      </w:r>
      <w:r w:rsidR="000E2045" w:rsidRPr="00FF743B">
        <w:rPr>
          <w:rFonts w:ascii="Cambria" w:hAnsi="Cambria"/>
          <w:sz w:val="20"/>
          <w:szCs w:val="20"/>
          <w:lang w:val="es-ES"/>
        </w:rPr>
        <w:t xml:space="preserve">e instrumentos interamericanos.  </w:t>
      </w:r>
      <w:r w:rsidR="002258E8" w:rsidRPr="00FF743B">
        <w:rPr>
          <w:rFonts w:ascii="Cambria" w:hAnsi="Cambria"/>
          <w:sz w:val="20"/>
          <w:szCs w:val="20"/>
          <w:lang w:val="es-ES"/>
        </w:rPr>
        <w:t xml:space="preserve">Saluda los esfuerzos </w:t>
      </w:r>
      <w:r w:rsidR="00BB3B6B" w:rsidRPr="00FF743B">
        <w:rPr>
          <w:rFonts w:ascii="Cambria" w:hAnsi="Cambria"/>
          <w:sz w:val="20"/>
          <w:szCs w:val="20"/>
          <w:lang w:val="es-ES"/>
        </w:rPr>
        <w:t xml:space="preserve">en los últimos 10 años </w:t>
      </w:r>
      <w:r w:rsidR="002258E8" w:rsidRPr="00FF743B">
        <w:rPr>
          <w:rFonts w:ascii="Cambria" w:hAnsi="Cambria"/>
          <w:sz w:val="20"/>
          <w:szCs w:val="20"/>
          <w:lang w:val="es-ES"/>
        </w:rPr>
        <w:t>de</w:t>
      </w:r>
      <w:r w:rsidR="00130296" w:rsidRPr="00FF743B">
        <w:rPr>
          <w:rFonts w:ascii="Cambria" w:hAnsi="Cambria"/>
          <w:sz w:val="20"/>
          <w:szCs w:val="20"/>
          <w:lang w:val="es-ES"/>
        </w:rPr>
        <w:t xml:space="preserve"> Estados como</w:t>
      </w:r>
      <w:r w:rsidR="004A39C1" w:rsidRPr="00FF743B">
        <w:rPr>
          <w:rFonts w:ascii="Cambria" w:hAnsi="Cambria"/>
          <w:sz w:val="20"/>
          <w:szCs w:val="20"/>
          <w:lang w:val="es-ES"/>
        </w:rPr>
        <w:t xml:space="preserve"> Argentina,</w:t>
      </w:r>
      <w:r w:rsidR="00C543ED" w:rsidRPr="00FF743B">
        <w:rPr>
          <w:rFonts w:ascii="Cambria" w:hAnsi="Cambria"/>
          <w:sz w:val="20"/>
          <w:szCs w:val="20"/>
          <w:lang w:val="es-ES"/>
        </w:rPr>
        <w:t xml:space="preserve"> Bolivia,</w:t>
      </w:r>
      <w:r w:rsidR="00BC318D" w:rsidRPr="00FF743B">
        <w:rPr>
          <w:rFonts w:ascii="Cambria" w:hAnsi="Cambria"/>
          <w:sz w:val="20"/>
          <w:szCs w:val="20"/>
          <w:lang w:val="es-ES"/>
        </w:rPr>
        <w:t xml:space="preserve"> </w:t>
      </w:r>
      <w:r w:rsidR="00BB3B6B" w:rsidRPr="00FF743B">
        <w:rPr>
          <w:rFonts w:ascii="Cambria" w:hAnsi="Cambria"/>
          <w:sz w:val="20"/>
          <w:szCs w:val="20"/>
          <w:lang w:val="es-ES"/>
        </w:rPr>
        <w:t xml:space="preserve">Brasil, Chile, </w:t>
      </w:r>
      <w:r w:rsidR="00BC318D" w:rsidRPr="00FF743B">
        <w:rPr>
          <w:rFonts w:ascii="Cambria" w:hAnsi="Cambria"/>
          <w:sz w:val="20"/>
          <w:szCs w:val="20"/>
          <w:lang w:val="es-ES"/>
        </w:rPr>
        <w:t>Colombia,</w:t>
      </w:r>
      <w:r w:rsidR="004A39C1" w:rsidRPr="00FF743B">
        <w:rPr>
          <w:rFonts w:ascii="Cambria" w:hAnsi="Cambria"/>
          <w:sz w:val="20"/>
          <w:szCs w:val="20"/>
          <w:lang w:val="es-ES"/>
        </w:rPr>
        <w:t xml:space="preserve"> </w:t>
      </w:r>
      <w:r w:rsidR="00BB3B6B" w:rsidRPr="00FF743B">
        <w:rPr>
          <w:rFonts w:ascii="Cambria" w:hAnsi="Cambria"/>
          <w:sz w:val="20"/>
          <w:szCs w:val="20"/>
          <w:lang w:val="es-ES"/>
        </w:rPr>
        <w:t xml:space="preserve">Ecuador, </w:t>
      </w:r>
      <w:r w:rsidR="000B22C0" w:rsidRPr="00FF743B">
        <w:rPr>
          <w:rFonts w:ascii="Cambria" w:hAnsi="Cambria"/>
          <w:sz w:val="20"/>
          <w:szCs w:val="20"/>
          <w:lang w:val="es-ES"/>
        </w:rPr>
        <w:t xml:space="preserve">Haití, </w:t>
      </w:r>
      <w:r w:rsidR="00130296" w:rsidRPr="00FF743B">
        <w:rPr>
          <w:rFonts w:ascii="Cambria" w:hAnsi="Cambria"/>
          <w:sz w:val="20"/>
          <w:szCs w:val="20"/>
          <w:lang w:val="es-ES"/>
        </w:rPr>
        <w:t>Honduras</w:t>
      </w:r>
      <w:r w:rsidR="00A6154A" w:rsidRPr="00FF743B">
        <w:rPr>
          <w:rFonts w:ascii="Cambria" w:hAnsi="Cambria"/>
          <w:sz w:val="20"/>
          <w:szCs w:val="20"/>
          <w:lang w:val="es-ES"/>
        </w:rPr>
        <w:t>,</w:t>
      </w:r>
      <w:r w:rsidR="00130296" w:rsidRPr="00FF743B">
        <w:rPr>
          <w:rFonts w:ascii="Cambria" w:hAnsi="Cambria"/>
          <w:sz w:val="20"/>
          <w:szCs w:val="20"/>
          <w:lang w:val="es-ES"/>
        </w:rPr>
        <w:t xml:space="preserve"> </w:t>
      </w:r>
      <w:r w:rsidR="00FC57B5" w:rsidRPr="00FF743B">
        <w:rPr>
          <w:rFonts w:ascii="Cambria" w:hAnsi="Cambria"/>
          <w:sz w:val="20"/>
          <w:szCs w:val="20"/>
          <w:lang w:val="es-ES"/>
        </w:rPr>
        <w:t>Jamaica,</w:t>
      </w:r>
      <w:r w:rsidR="00BB3B6B" w:rsidRPr="00FF743B">
        <w:rPr>
          <w:rFonts w:ascii="Cambria" w:hAnsi="Cambria"/>
          <w:sz w:val="20"/>
          <w:szCs w:val="20"/>
          <w:lang w:val="es-ES"/>
        </w:rPr>
        <w:t xml:space="preserve"> México, Nicaragua, </w:t>
      </w:r>
      <w:r w:rsidR="004A39C1" w:rsidRPr="00FF743B">
        <w:rPr>
          <w:rFonts w:ascii="Cambria" w:hAnsi="Cambria"/>
          <w:sz w:val="20"/>
          <w:szCs w:val="20"/>
          <w:lang w:val="es-ES"/>
        </w:rPr>
        <w:t>República Dominicana</w:t>
      </w:r>
      <w:r w:rsidR="00BB3B6B" w:rsidRPr="00FF743B">
        <w:rPr>
          <w:rFonts w:ascii="Cambria" w:hAnsi="Cambria"/>
          <w:sz w:val="20"/>
          <w:szCs w:val="20"/>
          <w:lang w:val="es-ES"/>
        </w:rPr>
        <w:t xml:space="preserve"> y Venezuela</w:t>
      </w:r>
      <w:r w:rsidR="002258E8" w:rsidRPr="00FF743B">
        <w:rPr>
          <w:rFonts w:ascii="Cambria" w:hAnsi="Cambria"/>
          <w:sz w:val="20"/>
          <w:szCs w:val="20"/>
          <w:lang w:val="es-ES"/>
        </w:rPr>
        <w:t xml:space="preserve"> en ratificar </w:t>
      </w:r>
      <w:r w:rsidR="00FF2AB9" w:rsidRPr="00FF743B">
        <w:rPr>
          <w:rFonts w:ascii="Cambria" w:hAnsi="Cambria"/>
          <w:sz w:val="20"/>
          <w:szCs w:val="20"/>
          <w:lang w:val="es-ES"/>
        </w:rPr>
        <w:t xml:space="preserve">varios </w:t>
      </w:r>
      <w:r w:rsidR="002258E8" w:rsidRPr="00FF743B">
        <w:rPr>
          <w:rFonts w:ascii="Cambria" w:hAnsi="Cambria"/>
          <w:sz w:val="20"/>
          <w:szCs w:val="20"/>
          <w:lang w:val="es-ES"/>
        </w:rPr>
        <w:t>tratados interamericanos de protección</w:t>
      </w:r>
      <w:r w:rsidR="002258E8" w:rsidRPr="00FF743B">
        <w:rPr>
          <w:rStyle w:val="FootnoteReference"/>
          <w:rFonts w:ascii="Cambria" w:hAnsi="Cambria"/>
          <w:sz w:val="20"/>
          <w:szCs w:val="20"/>
          <w:lang w:val="es-ES"/>
        </w:rPr>
        <w:footnoteReference w:id="31"/>
      </w:r>
      <w:r w:rsidR="002258E8" w:rsidRPr="00FF743B">
        <w:rPr>
          <w:rFonts w:ascii="Cambria" w:hAnsi="Cambria"/>
          <w:sz w:val="20"/>
          <w:szCs w:val="20"/>
          <w:lang w:val="es-ES"/>
        </w:rPr>
        <w:t>.</w:t>
      </w:r>
    </w:p>
    <w:p w:rsidR="00CB7C09" w:rsidRDefault="00CB7C09" w:rsidP="00225F6F">
      <w:pPr>
        <w:jc w:val="both"/>
        <w:rPr>
          <w:rFonts w:ascii="Cambria" w:hAnsi="Cambria"/>
          <w:sz w:val="20"/>
          <w:szCs w:val="20"/>
          <w:lang w:val="es-ES"/>
        </w:rPr>
        <w:sectPr w:rsidR="00CB7C09" w:rsidSect="0054614D">
          <w:headerReference w:type="even" r:id="rId17"/>
          <w:headerReference w:type="default" r:id="rId18"/>
          <w:footerReference w:type="even" r:id="rId19"/>
          <w:footerReference w:type="default" r:id="rId20"/>
          <w:type w:val="oddPage"/>
          <w:pgSz w:w="10325" w:h="14573" w:code="13"/>
          <w:pgMar w:top="1152" w:right="1152" w:bottom="1152" w:left="1440" w:header="720" w:footer="720" w:gutter="0"/>
          <w:cols w:space="720"/>
          <w:docGrid w:linePitch="326"/>
        </w:sectPr>
      </w:pPr>
    </w:p>
    <w:p w:rsidR="00CB7C09" w:rsidRPr="00B4164D" w:rsidRDefault="00EB1FC4" w:rsidP="00225F6F">
      <w:pPr>
        <w:jc w:val="center"/>
        <w:rPr>
          <w:rFonts w:ascii="Cambria" w:hAnsi="Cambria"/>
          <w:sz w:val="56"/>
          <w:szCs w:val="56"/>
          <w:lang w:val="es-ES"/>
        </w:rPr>
        <w:sectPr w:rsidR="00CB7C09" w:rsidRPr="00B4164D" w:rsidSect="00543111">
          <w:headerReference w:type="default" r:id="rId21"/>
          <w:footerReference w:type="default" r:id="rId22"/>
          <w:type w:val="oddPage"/>
          <w:pgSz w:w="10325" w:h="14573" w:code="13"/>
          <w:pgMar w:top="1152" w:right="1152" w:bottom="1152" w:left="1440" w:header="432" w:footer="432" w:gutter="0"/>
          <w:cols w:space="720"/>
          <w:vAlign w:val="center"/>
          <w:docGrid w:linePitch="326"/>
        </w:sectPr>
      </w:pPr>
      <w:r w:rsidRPr="00BC4658">
        <w:rPr>
          <w:rFonts w:ascii="Cambria" w:hAnsi="Cambria"/>
          <w:color w:val="808080"/>
          <w:spacing w:val="-10"/>
          <w:sz w:val="44"/>
          <w:szCs w:val="44"/>
          <w:lang w:val="es-ES"/>
        </w:rPr>
        <w:lastRenderedPageBreak/>
        <w:t xml:space="preserve">CAPÍTULO </w:t>
      </w:r>
      <w:r w:rsidR="00EF1493" w:rsidRPr="00BC4658">
        <w:rPr>
          <w:rFonts w:ascii="Cambria" w:hAnsi="Cambria"/>
          <w:color w:val="808080"/>
          <w:spacing w:val="-10"/>
          <w:sz w:val="44"/>
          <w:szCs w:val="44"/>
          <w:lang w:val="es-ES"/>
        </w:rPr>
        <w:t>2</w:t>
      </w:r>
      <w:r w:rsidRPr="00BC4658">
        <w:rPr>
          <w:rFonts w:ascii="Cambria" w:hAnsi="Cambria"/>
          <w:color w:val="808080"/>
          <w:spacing w:val="-10"/>
          <w:sz w:val="44"/>
          <w:szCs w:val="44"/>
          <w:lang w:val="es-ES"/>
        </w:rPr>
        <w:br/>
      </w:r>
      <w:r w:rsidRPr="00BC4658">
        <w:rPr>
          <w:rFonts w:ascii="Cambria" w:hAnsi="Cambria"/>
          <w:color w:val="4A442A"/>
          <w:spacing w:val="-10"/>
          <w:sz w:val="52"/>
          <w:szCs w:val="52"/>
          <w:lang w:val="es-ES"/>
        </w:rPr>
        <w:t>DESAFÍOS EN EL CAMINO HACIA LA UNIVERSALIDAD EN EL SISTEMA INTERAMERICANO DE DERECHOS HUMANOS: RETOS PENDIENTES</w:t>
      </w:r>
    </w:p>
    <w:p w:rsidR="00D11F49" w:rsidRPr="00953AF4" w:rsidRDefault="00D11F49" w:rsidP="00D11F49">
      <w:pPr>
        <w:rPr>
          <w:rFonts w:ascii="Cambria" w:hAnsi="Cambria"/>
          <w:color w:val="4A442A"/>
          <w:sz w:val="32"/>
          <w:szCs w:val="32"/>
          <w:lang w:val="es-ES"/>
        </w:rPr>
      </w:pPr>
      <w:bookmarkStart w:id="3" w:name="_Toc392951573"/>
    </w:p>
    <w:p w:rsidR="00D11F49" w:rsidRPr="00953AF4" w:rsidRDefault="00D11F49" w:rsidP="00D11F49">
      <w:pPr>
        <w:rPr>
          <w:rFonts w:ascii="Cambria" w:hAnsi="Cambria"/>
          <w:color w:val="4A442A"/>
          <w:sz w:val="32"/>
          <w:szCs w:val="32"/>
          <w:lang w:val="es-ES"/>
        </w:rPr>
      </w:pPr>
    </w:p>
    <w:p w:rsidR="00BC799A" w:rsidRPr="00C12992" w:rsidRDefault="00BC799A" w:rsidP="00225F6F">
      <w:pPr>
        <w:pStyle w:val="Heading1"/>
        <w:ind w:left="0" w:firstLine="0"/>
        <w:rPr>
          <w:i/>
          <w:color w:val="4A442A"/>
        </w:rPr>
      </w:pPr>
      <w:r w:rsidRPr="00C12992">
        <w:rPr>
          <w:color w:val="4A442A"/>
        </w:rPr>
        <w:t xml:space="preserve">DESAFÍOS EN EL CAMINO HACIA LA UNIVERSALIDAD </w:t>
      </w:r>
      <w:r w:rsidR="00D11F49">
        <w:rPr>
          <w:color w:val="4A442A"/>
        </w:rPr>
        <w:br/>
      </w:r>
      <w:r w:rsidRPr="00C12992">
        <w:rPr>
          <w:color w:val="4A442A"/>
        </w:rPr>
        <w:t>EN EL SISTEMA INTERAMERICANO DE DERECHOS HUMANOS: RETOS PENDIENTES</w:t>
      </w:r>
      <w:bookmarkEnd w:id="3"/>
    </w:p>
    <w:p w:rsidR="00BC799A" w:rsidRDefault="00BC799A" w:rsidP="00225F6F">
      <w:pPr>
        <w:jc w:val="both"/>
        <w:rPr>
          <w:rFonts w:ascii="Cambria" w:hAnsi="Cambria"/>
          <w:sz w:val="20"/>
          <w:szCs w:val="20"/>
          <w:lang w:val="es-ES"/>
        </w:rPr>
      </w:pPr>
    </w:p>
    <w:p w:rsidR="00CB7C09" w:rsidRDefault="00CB7C09" w:rsidP="00225F6F">
      <w:pPr>
        <w:jc w:val="both"/>
        <w:rPr>
          <w:rFonts w:ascii="Cambria" w:hAnsi="Cambria"/>
          <w:sz w:val="20"/>
          <w:szCs w:val="20"/>
          <w:lang w:val="es-ES"/>
        </w:rPr>
      </w:pPr>
    </w:p>
    <w:p w:rsidR="00CB7C09" w:rsidRDefault="00CB7C09" w:rsidP="00225F6F">
      <w:pPr>
        <w:jc w:val="both"/>
        <w:rPr>
          <w:rFonts w:ascii="Cambria" w:hAnsi="Cambria"/>
          <w:sz w:val="20"/>
          <w:szCs w:val="20"/>
          <w:lang w:val="es-ES"/>
        </w:rPr>
      </w:pPr>
    </w:p>
    <w:p w:rsidR="00CB7C09" w:rsidRPr="00FF743B" w:rsidRDefault="00CB7C09" w:rsidP="00225F6F">
      <w:pPr>
        <w:jc w:val="both"/>
        <w:rPr>
          <w:rFonts w:ascii="Cambria" w:hAnsi="Cambria"/>
          <w:sz w:val="20"/>
          <w:szCs w:val="20"/>
          <w:lang w:val="es-ES"/>
        </w:rPr>
      </w:pPr>
    </w:p>
    <w:p w:rsidR="00103CBE" w:rsidRPr="00FF743B" w:rsidRDefault="00BE0E98"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esta sección, la CIDH presenta una serie de preocupaciones y consideraciones sobre los efectos de la no-ratificación de la Convención Americana y otros instrumentos interamericanos en tres áreas fundamentales.  En primer lugar, la CIDH analiza los resultados del impacto de la participación limitada de países como Estados Unidos, Canadá y</w:t>
      </w:r>
      <w:r w:rsidR="00D63BC3" w:rsidRPr="00FF743B">
        <w:rPr>
          <w:rFonts w:ascii="Cambria" w:hAnsi="Cambria"/>
          <w:sz w:val="20"/>
          <w:szCs w:val="20"/>
          <w:lang w:val="es-ES"/>
        </w:rPr>
        <w:t xml:space="preserve"> varios</w:t>
      </w:r>
      <w:r w:rsidRPr="00FF743B">
        <w:rPr>
          <w:rFonts w:ascii="Cambria" w:hAnsi="Cambria"/>
          <w:sz w:val="20"/>
          <w:szCs w:val="20"/>
          <w:lang w:val="es-ES"/>
        </w:rPr>
        <w:t xml:space="preserve"> del Caribe en el actuar y en la eficacia del sistema interamericano de derechos humanos.  En</w:t>
      </w:r>
      <w:r w:rsidR="0077228D" w:rsidRPr="00FF743B">
        <w:rPr>
          <w:rFonts w:ascii="Cambria" w:hAnsi="Cambria"/>
          <w:sz w:val="20"/>
          <w:szCs w:val="20"/>
          <w:lang w:val="es-ES"/>
        </w:rPr>
        <w:t xml:space="preserve"> un segundo plano</w:t>
      </w:r>
      <w:r w:rsidRPr="00FF743B">
        <w:rPr>
          <w:rFonts w:ascii="Cambria" w:hAnsi="Cambria"/>
          <w:sz w:val="20"/>
          <w:szCs w:val="20"/>
          <w:lang w:val="es-ES"/>
        </w:rPr>
        <w:t>, la CIDH resalta como la no-ratificación de instrumentos interamericanos acentúa los obstáculos al acceso a la justicia que enfrentan millones de personas en el hemisferio de las Américas cuando sufren viola</w:t>
      </w:r>
      <w:r w:rsidR="00F92160" w:rsidRPr="00FF743B">
        <w:rPr>
          <w:rFonts w:ascii="Cambria" w:hAnsi="Cambria"/>
          <w:sz w:val="20"/>
          <w:szCs w:val="20"/>
          <w:lang w:val="es-ES"/>
        </w:rPr>
        <w:t xml:space="preserve">ciones de sus derechos humanos.  </w:t>
      </w:r>
      <w:r w:rsidRPr="00FF743B">
        <w:rPr>
          <w:rFonts w:ascii="Cambria" w:hAnsi="Cambria"/>
          <w:sz w:val="20"/>
          <w:szCs w:val="20"/>
          <w:lang w:val="es-ES"/>
        </w:rPr>
        <w:t xml:space="preserve">Por último, la CIDH cierra esta sección analizando como la no-ratificación puede ser un factor limitante en el desarrollo de legislación, políticas públicas y programas en consonancia con los principios internacionales de derechos humanos y los estándares del sistema interamericano: aspecto que representa un obstáculo importante para el desarrollo de una institucionalidad del Estado encaminada hacia la protección de los derechos humanos.  </w:t>
      </w:r>
      <w:r w:rsidRPr="00FF743B">
        <w:rPr>
          <w:rFonts w:ascii="Cambria" w:hAnsi="Cambria"/>
          <w:i/>
          <w:sz w:val="20"/>
          <w:szCs w:val="20"/>
          <w:lang w:val="es-ES"/>
        </w:rPr>
        <w:t xml:space="preserve"> </w:t>
      </w:r>
    </w:p>
    <w:p w:rsidR="00103CBE" w:rsidRPr="00FF743B" w:rsidRDefault="00103CBE" w:rsidP="00225F6F">
      <w:pPr>
        <w:jc w:val="both"/>
        <w:rPr>
          <w:rFonts w:ascii="Cambria" w:hAnsi="Cambria"/>
          <w:sz w:val="20"/>
          <w:szCs w:val="20"/>
          <w:highlight w:val="yellow"/>
          <w:lang w:val="es-ES"/>
        </w:rPr>
      </w:pPr>
    </w:p>
    <w:p w:rsidR="00103CBE" w:rsidRPr="00622562" w:rsidRDefault="00103CBE" w:rsidP="00E94226">
      <w:pPr>
        <w:pStyle w:val="Style1"/>
        <w:numPr>
          <w:ilvl w:val="0"/>
          <w:numId w:val="37"/>
        </w:numPr>
        <w:spacing w:before="240" w:after="240"/>
        <w:ind w:left="547" w:hanging="547"/>
        <w:jc w:val="left"/>
        <w:rPr>
          <w:sz w:val="28"/>
          <w:szCs w:val="28"/>
        </w:rPr>
      </w:pPr>
      <w:bookmarkStart w:id="4" w:name="_Toc392951574"/>
      <w:r w:rsidRPr="00622562">
        <w:rPr>
          <w:sz w:val="28"/>
          <w:szCs w:val="28"/>
        </w:rPr>
        <w:t>Obstáculos a la eficacia del sistema interamericano</w:t>
      </w:r>
      <w:bookmarkEnd w:id="4"/>
    </w:p>
    <w:p w:rsidR="00103CBE" w:rsidRPr="00FF743B" w:rsidRDefault="00103CBE" w:rsidP="00225F6F">
      <w:pPr>
        <w:jc w:val="both"/>
        <w:rPr>
          <w:rFonts w:ascii="Cambria" w:hAnsi="Cambria"/>
          <w:sz w:val="20"/>
          <w:szCs w:val="20"/>
          <w:highlight w:val="yellow"/>
          <w:lang w:val="es-ES"/>
        </w:rPr>
      </w:pPr>
    </w:p>
    <w:p w:rsidR="00103CBE" w:rsidRPr="00FF743B" w:rsidRDefault="00FF6046"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Comisión ha perseguido de forma histórica como objetivo</w:t>
      </w:r>
      <w:r w:rsidR="00207D0C" w:rsidRPr="00FF743B">
        <w:rPr>
          <w:rFonts w:ascii="Cambria" w:hAnsi="Cambria"/>
          <w:sz w:val="20"/>
          <w:szCs w:val="20"/>
          <w:lang w:val="es-ES"/>
        </w:rPr>
        <w:t>s</w:t>
      </w:r>
      <w:r w:rsidRPr="00FF743B">
        <w:rPr>
          <w:rFonts w:ascii="Cambria" w:hAnsi="Cambria"/>
          <w:sz w:val="20"/>
          <w:szCs w:val="20"/>
          <w:lang w:val="es-ES"/>
        </w:rPr>
        <w:t xml:space="preserve"> el incrementar la eficacia de sus funciones de protección y promoción, así como el apoyar a los Estados Miembros</w:t>
      </w:r>
      <w:r w:rsidR="0001036D" w:rsidRPr="00FF743B">
        <w:rPr>
          <w:rFonts w:ascii="Cambria" w:hAnsi="Cambria"/>
          <w:sz w:val="20"/>
          <w:szCs w:val="20"/>
          <w:lang w:val="es-ES"/>
        </w:rPr>
        <w:t xml:space="preserve"> de la OEA</w:t>
      </w:r>
      <w:r w:rsidRPr="00FF743B">
        <w:rPr>
          <w:rFonts w:ascii="Cambria" w:hAnsi="Cambria"/>
          <w:sz w:val="20"/>
          <w:szCs w:val="20"/>
          <w:lang w:val="es-ES"/>
        </w:rPr>
        <w:t xml:space="preserve"> en fortalecer sus capacidades internas y perfeccionar sus mecanismos para la protección de los derechos humanos</w:t>
      </w:r>
      <w:r w:rsidRPr="00FF743B">
        <w:rPr>
          <w:rStyle w:val="FootnoteReference"/>
          <w:rFonts w:ascii="Cambria" w:hAnsi="Cambria"/>
          <w:sz w:val="20"/>
          <w:szCs w:val="20"/>
          <w:lang w:val="es-ES"/>
        </w:rPr>
        <w:footnoteReference w:id="32"/>
      </w:r>
      <w:r w:rsidR="00E714DA" w:rsidRPr="00FF743B">
        <w:rPr>
          <w:rFonts w:ascii="Cambria" w:hAnsi="Cambria"/>
          <w:sz w:val="20"/>
          <w:szCs w:val="20"/>
          <w:lang w:val="es-ES"/>
        </w:rPr>
        <w:t xml:space="preserve">. </w:t>
      </w:r>
      <w:r w:rsidR="00207D0C" w:rsidRPr="00FF743B">
        <w:rPr>
          <w:rFonts w:ascii="Cambria" w:hAnsi="Cambria"/>
          <w:sz w:val="20"/>
          <w:szCs w:val="20"/>
          <w:lang w:val="es-ES"/>
        </w:rPr>
        <w:t xml:space="preserve"> </w:t>
      </w:r>
      <w:r w:rsidR="00E86079" w:rsidRPr="00FF743B">
        <w:rPr>
          <w:rFonts w:ascii="Cambria" w:hAnsi="Cambria"/>
          <w:sz w:val="20"/>
          <w:szCs w:val="20"/>
          <w:lang w:val="es-ES"/>
        </w:rPr>
        <w:t>A</w:t>
      </w:r>
      <w:r w:rsidR="00E714DA" w:rsidRPr="00FF743B">
        <w:rPr>
          <w:rFonts w:ascii="Cambria" w:hAnsi="Cambria"/>
          <w:sz w:val="20"/>
          <w:szCs w:val="20"/>
          <w:lang w:val="es-ES"/>
        </w:rPr>
        <w:t xml:space="preserve"> su vez</w:t>
      </w:r>
      <w:r w:rsidR="009F7F2E" w:rsidRPr="00FF743B">
        <w:rPr>
          <w:rFonts w:ascii="Cambria" w:hAnsi="Cambria"/>
          <w:sz w:val="20"/>
          <w:szCs w:val="20"/>
          <w:lang w:val="es-ES"/>
        </w:rPr>
        <w:t xml:space="preserve"> ha </w:t>
      </w:r>
      <w:r w:rsidR="00953AF4">
        <w:rPr>
          <w:rFonts w:ascii="Cambria" w:hAnsi="Cambria"/>
          <w:sz w:val="20"/>
          <w:szCs w:val="20"/>
          <w:lang w:val="es-ES"/>
        </w:rPr>
        <w:br/>
      </w:r>
      <w:r w:rsidR="00953AF4">
        <w:rPr>
          <w:rFonts w:ascii="Cambria" w:hAnsi="Cambria"/>
          <w:sz w:val="20"/>
          <w:szCs w:val="20"/>
          <w:lang w:val="es-ES"/>
        </w:rPr>
        <w:br/>
      </w:r>
      <w:r w:rsidR="00953AF4">
        <w:rPr>
          <w:rFonts w:ascii="Cambria" w:hAnsi="Cambria"/>
          <w:sz w:val="20"/>
          <w:szCs w:val="20"/>
          <w:lang w:val="es-ES"/>
        </w:rPr>
        <w:br/>
      </w:r>
      <w:r w:rsidR="00953AF4">
        <w:rPr>
          <w:rFonts w:ascii="Cambria" w:hAnsi="Cambria"/>
          <w:sz w:val="20"/>
          <w:szCs w:val="20"/>
          <w:lang w:val="es-ES"/>
        </w:rPr>
        <w:br/>
      </w:r>
      <w:r w:rsidR="00953AF4">
        <w:rPr>
          <w:rFonts w:ascii="Cambria" w:hAnsi="Cambria"/>
          <w:sz w:val="20"/>
          <w:szCs w:val="20"/>
          <w:lang w:val="es-ES"/>
        </w:rPr>
        <w:br/>
      </w:r>
      <w:r w:rsidR="009F7F2E" w:rsidRPr="00FF743B">
        <w:rPr>
          <w:rFonts w:ascii="Cambria" w:hAnsi="Cambria"/>
          <w:sz w:val="20"/>
          <w:szCs w:val="20"/>
          <w:lang w:val="es-ES"/>
        </w:rPr>
        <w:lastRenderedPageBreak/>
        <w:t xml:space="preserve">señalado que </w:t>
      </w:r>
      <w:r w:rsidRPr="00FF743B">
        <w:rPr>
          <w:rFonts w:ascii="Cambria" w:hAnsi="Cambria"/>
          <w:sz w:val="20"/>
          <w:szCs w:val="20"/>
          <w:lang w:val="es-ES"/>
        </w:rPr>
        <w:t>la ratificación por parte de los Estados de todos los tratados interamericanos de derechos humanos es fundamental para cumplir de forma plena con este objetivo</w:t>
      </w:r>
      <w:r w:rsidR="00A31D2F" w:rsidRPr="00FF743B">
        <w:rPr>
          <w:rStyle w:val="FootnoteReference"/>
          <w:rFonts w:ascii="Cambria" w:hAnsi="Cambria"/>
          <w:sz w:val="20"/>
          <w:szCs w:val="20"/>
          <w:lang w:val="es-ES"/>
        </w:rPr>
        <w:footnoteReference w:id="33"/>
      </w:r>
      <w:r w:rsidR="00072889" w:rsidRPr="00FF743B">
        <w:rPr>
          <w:rFonts w:ascii="Cambria" w:hAnsi="Cambria"/>
          <w:sz w:val="20"/>
          <w:szCs w:val="20"/>
          <w:lang w:val="es-ES"/>
        </w:rPr>
        <w:t>.</w:t>
      </w:r>
      <w:r w:rsidR="009548D9" w:rsidRPr="00FF743B">
        <w:rPr>
          <w:rFonts w:ascii="Cambria" w:hAnsi="Cambria"/>
          <w:sz w:val="20"/>
          <w:szCs w:val="20"/>
          <w:lang w:val="es-ES"/>
        </w:rPr>
        <w:t xml:space="preserve">  </w:t>
      </w:r>
    </w:p>
    <w:p w:rsidR="00103CBE" w:rsidRPr="00FF743B" w:rsidRDefault="00103CBE" w:rsidP="00225F6F">
      <w:pPr>
        <w:jc w:val="both"/>
        <w:rPr>
          <w:rFonts w:ascii="Cambria" w:hAnsi="Cambria"/>
          <w:sz w:val="20"/>
          <w:szCs w:val="20"/>
          <w:lang w:val="es-ES"/>
        </w:rPr>
      </w:pPr>
    </w:p>
    <w:p w:rsidR="00103CBE" w:rsidRDefault="009548D9" w:rsidP="002550F8">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El nexo entre la eficacia del sistema interamericano y la ratificación por parte de los Estados de todos los instrumentos interamericanos ha sido también reconocido por la sociedad civil del hemisferio</w:t>
      </w:r>
      <w:r w:rsidR="007701AA" w:rsidRPr="00FF743B">
        <w:rPr>
          <w:rStyle w:val="FootnoteReference"/>
          <w:rFonts w:ascii="Cambria" w:hAnsi="Cambria"/>
          <w:sz w:val="20"/>
          <w:szCs w:val="20"/>
          <w:lang w:val="es-ES"/>
        </w:rPr>
        <w:footnoteReference w:id="34"/>
      </w:r>
      <w:r w:rsidR="007701AA" w:rsidRPr="00FF743B">
        <w:rPr>
          <w:rFonts w:ascii="Cambria" w:hAnsi="Cambria"/>
          <w:sz w:val="20"/>
          <w:szCs w:val="20"/>
          <w:lang w:val="es-ES"/>
        </w:rPr>
        <w:t>.</w:t>
      </w:r>
      <w:r w:rsidR="00072889" w:rsidRPr="00FF743B">
        <w:rPr>
          <w:rFonts w:ascii="Cambria" w:hAnsi="Cambria"/>
          <w:sz w:val="20"/>
          <w:szCs w:val="20"/>
          <w:lang w:val="es-ES"/>
        </w:rPr>
        <w:t xml:space="preserve">  </w:t>
      </w:r>
      <w:r w:rsidR="00CB2E16" w:rsidRPr="00FF743B">
        <w:rPr>
          <w:rFonts w:ascii="Cambria" w:hAnsi="Cambria"/>
          <w:sz w:val="20"/>
          <w:szCs w:val="20"/>
          <w:lang w:val="es-ES"/>
        </w:rPr>
        <w:t xml:space="preserve"> </w:t>
      </w:r>
      <w:r w:rsidR="00C4667F" w:rsidRPr="00FF743B">
        <w:rPr>
          <w:rFonts w:ascii="Cambria" w:hAnsi="Cambria"/>
          <w:sz w:val="20"/>
          <w:szCs w:val="20"/>
          <w:lang w:val="es-ES"/>
        </w:rPr>
        <w:t>Sobre el particular, varias organizacion</w:t>
      </w:r>
      <w:r w:rsidR="00544DCE" w:rsidRPr="00FF743B">
        <w:rPr>
          <w:rFonts w:ascii="Cambria" w:hAnsi="Cambria"/>
          <w:sz w:val="20"/>
          <w:szCs w:val="20"/>
          <w:lang w:val="es-ES"/>
        </w:rPr>
        <w:t xml:space="preserve">es de la sociedad civil </w:t>
      </w:r>
      <w:r w:rsidR="00C4667F" w:rsidRPr="00FF743B">
        <w:rPr>
          <w:rFonts w:ascii="Cambria" w:hAnsi="Cambria"/>
          <w:sz w:val="20"/>
          <w:szCs w:val="20"/>
          <w:lang w:val="es-ES"/>
        </w:rPr>
        <w:t xml:space="preserve">informaron </w:t>
      </w:r>
      <w:r w:rsidR="00C679E9" w:rsidRPr="00FF743B">
        <w:rPr>
          <w:rFonts w:ascii="Cambria" w:hAnsi="Cambria"/>
          <w:sz w:val="20"/>
          <w:szCs w:val="20"/>
          <w:lang w:val="es-ES"/>
        </w:rPr>
        <w:t>en respuesta al cuestionario circulado por la CIDH sobre este tema</w:t>
      </w:r>
      <w:r w:rsidR="00DB15D2" w:rsidRPr="00FF743B">
        <w:rPr>
          <w:rFonts w:ascii="Cambria" w:hAnsi="Cambria"/>
          <w:sz w:val="20"/>
          <w:szCs w:val="20"/>
          <w:lang w:val="es-ES"/>
        </w:rPr>
        <w:t xml:space="preserve"> que la ratificación de instrumentos interamericanos en sus respectivos </w:t>
      </w:r>
      <w:r w:rsidR="00F92160" w:rsidRPr="00FF743B">
        <w:rPr>
          <w:rFonts w:ascii="Cambria" w:hAnsi="Cambria"/>
          <w:sz w:val="20"/>
          <w:szCs w:val="20"/>
          <w:lang w:val="es-ES"/>
        </w:rPr>
        <w:t xml:space="preserve">países ha facilitado que puedan </w:t>
      </w:r>
      <w:r w:rsidR="00C4667F" w:rsidRPr="00FF743B">
        <w:rPr>
          <w:rFonts w:ascii="Cambria" w:hAnsi="Cambria"/>
          <w:sz w:val="20"/>
          <w:szCs w:val="20"/>
          <w:lang w:val="es-ES"/>
        </w:rPr>
        <w:t>participar en audiencias temáticas, visitas e informes de la CIDH y de presentar peticiones y casos ante los órg</w:t>
      </w:r>
      <w:r w:rsidR="00DB15D2" w:rsidRPr="00FF743B">
        <w:rPr>
          <w:rFonts w:ascii="Cambria" w:hAnsi="Cambria"/>
          <w:sz w:val="20"/>
          <w:szCs w:val="20"/>
          <w:lang w:val="es-ES"/>
        </w:rPr>
        <w:t>anos del sistema interamericano. Estas posibilidades han</w:t>
      </w:r>
      <w:r w:rsidR="00C4667F" w:rsidRPr="00FF743B">
        <w:rPr>
          <w:rFonts w:ascii="Cambria" w:hAnsi="Cambria"/>
          <w:sz w:val="20"/>
          <w:szCs w:val="20"/>
          <w:lang w:val="es-ES"/>
        </w:rPr>
        <w:t xml:space="preserve"> abierto para las víctimas, organizaciones, movimientos y personas defensoras de derechos humanos valiosas oportunidades de visibilizar normativa, políticas, </w:t>
      </w:r>
      <w:r w:rsidR="00124A99" w:rsidRPr="00FF743B">
        <w:rPr>
          <w:rFonts w:ascii="Cambria" w:hAnsi="Cambria"/>
          <w:sz w:val="20"/>
          <w:szCs w:val="20"/>
          <w:lang w:val="es-ES"/>
        </w:rPr>
        <w:t xml:space="preserve">y </w:t>
      </w:r>
      <w:r w:rsidR="00C4667F" w:rsidRPr="00FF743B">
        <w:rPr>
          <w:rFonts w:ascii="Cambria" w:hAnsi="Cambria"/>
          <w:sz w:val="20"/>
          <w:szCs w:val="20"/>
          <w:lang w:val="es-ES"/>
        </w:rPr>
        <w:t>prácticas estructurales violato</w:t>
      </w:r>
      <w:r w:rsidR="00F92160" w:rsidRPr="00FF743B">
        <w:rPr>
          <w:rFonts w:ascii="Cambria" w:hAnsi="Cambria"/>
          <w:sz w:val="20"/>
          <w:szCs w:val="20"/>
          <w:lang w:val="es-ES"/>
        </w:rPr>
        <w:t xml:space="preserve">rias de los derechos humanos. </w:t>
      </w:r>
      <w:r w:rsidR="00C4667F" w:rsidRPr="00FF743B">
        <w:rPr>
          <w:rFonts w:ascii="Cambria" w:hAnsi="Cambria"/>
          <w:sz w:val="20"/>
          <w:szCs w:val="20"/>
          <w:lang w:val="es-ES"/>
        </w:rPr>
        <w:t xml:space="preserve">Asimismo les ha proporcionado herramientas importantes para impulsar reformas legislativas y ha dado lugar a capacitaciones </w:t>
      </w:r>
      <w:r w:rsidR="00A6154A" w:rsidRPr="00FF743B">
        <w:rPr>
          <w:rFonts w:ascii="Cambria" w:hAnsi="Cambria"/>
          <w:sz w:val="20"/>
          <w:szCs w:val="20"/>
          <w:lang w:val="es-ES"/>
        </w:rPr>
        <w:t xml:space="preserve">destinadas </w:t>
      </w:r>
      <w:r w:rsidR="00C4667F" w:rsidRPr="00FF743B">
        <w:rPr>
          <w:rFonts w:ascii="Cambria" w:hAnsi="Cambria"/>
          <w:sz w:val="20"/>
          <w:szCs w:val="20"/>
          <w:lang w:val="es-ES"/>
        </w:rPr>
        <w:t>a autoridades judiciales para impulsar la aplicación de los está</w:t>
      </w:r>
      <w:r w:rsidR="00BD78F5" w:rsidRPr="00FF743B">
        <w:rPr>
          <w:rFonts w:ascii="Cambria" w:hAnsi="Cambria"/>
          <w:sz w:val="20"/>
          <w:szCs w:val="20"/>
          <w:lang w:val="es-ES"/>
        </w:rPr>
        <w:t>ndares interamericanos</w:t>
      </w:r>
      <w:r w:rsidR="00C4667F" w:rsidRPr="00FF743B">
        <w:rPr>
          <w:rStyle w:val="FootnoteReference"/>
          <w:rFonts w:ascii="Cambria" w:hAnsi="Cambria"/>
          <w:sz w:val="20"/>
          <w:szCs w:val="20"/>
          <w:lang w:val="es-ES"/>
        </w:rPr>
        <w:footnoteReference w:id="35"/>
      </w:r>
      <w:r w:rsidR="00C4667F" w:rsidRPr="00FF743B">
        <w:rPr>
          <w:rFonts w:ascii="Cambria" w:hAnsi="Cambria"/>
          <w:sz w:val="20"/>
          <w:szCs w:val="20"/>
          <w:lang w:val="es-ES"/>
        </w:rPr>
        <w:t>.</w:t>
      </w:r>
    </w:p>
    <w:p w:rsidR="00AB6DD7" w:rsidRPr="00FF743B" w:rsidRDefault="00AB6DD7" w:rsidP="00AB6DD7">
      <w:pPr>
        <w:jc w:val="both"/>
        <w:rPr>
          <w:rFonts w:ascii="Cambria" w:hAnsi="Cambria"/>
          <w:sz w:val="20"/>
          <w:szCs w:val="20"/>
          <w:lang w:val="es-ES"/>
        </w:rPr>
      </w:pPr>
    </w:p>
    <w:p w:rsidR="00103CBE" w:rsidRPr="00FF743B" w:rsidRDefault="002971C9"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esta sección, l</w:t>
      </w:r>
      <w:r w:rsidR="009D25A1" w:rsidRPr="00FF743B">
        <w:rPr>
          <w:rFonts w:ascii="Cambria" w:hAnsi="Cambria"/>
          <w:sz w:val="20"/>
          <w:szCs w:val="20"/>
          <w:lang w:val="es-ES"/>
        </w:rPr>
        <w:t xml:space="preserve">a CIDH se permite señalar algunas consideraciones </w:t>
      </w:r>
      <w:r w:rsidRPr="00FF743B">
        <w:rPr>
          <w:rFonts w:ascii="Cambria" w:hAnsi="Cambria"/>
          <w:sz w:val="20"/>
          <w:szCs w:val="20"/>
          <w:lang w:val="es-ES"/>
        </w:rPr>
        <w:t>relacionadas con los efectos de la no-ratificación de todos los instrumentos interamericanos en la eficacia del sistema interamericano.</w:t>
      </w:r>
      <w:r w:rsidR="00207D0C" w:rsidRPr="00FF743B">
        <w:rPr>
          <w:rFonts w:ascii="Cambria" w:hAnsi="Cambria"/>
          <w:sz w:val="20"/>
          <w:szCs w:val="20"/>
          <w:lang w:val="es-ES"/>
        </w:rPr>
        <w:t xml:space="preserve">    </w:t>
      </w:r>
    </w:p>
    <w:p w:rsidR="00103CBE" w:rsidRPr="00FF743B" w:rsidRDefault="00103CBE" w:rsidP="00225F6F">
      <w:pPr>
        <w:jc w:val="both"/>
        <w:rPr>
          <w:rFonts w:ascii="Cambria" w:hAnsi="Cambria"/>
          <w:sz w:val="20"/>
          <w:szCs w:val="20"/>
          <w:lang w:val="es-ES"/>
        </w:rPr>
      </w:pPr>
    </w:p>
    <w:p w:rsidR="00103CBE" w:rsidRPr="00FF743B" w:rsidRDefault="00E3058B"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primer lugar</w:t>
      </w:r>
      <w:r w:rsidR="009F7F2E" w:rsidRPr="00FF743B">
        <w:rPr>
          <w:rFonts w:ascii="Cambria" w:hAnsi="Cambria"/>
          <w:sz w:val="20"/>
          <w:szCs w:val="20"/>
          <w:lang w:val="es-ES"/>
        </w:rPr>
        <w:t>, l</w:t>
      </w:r>
      <w:r w:rsidRPr="00FF743B">
        <w:rPr>
          <w:rFonts w:ascii="Cambria" w:hAnsi="Cambria"/>
          <w:sz w:val="20"/>
          <w:szCs w:val="20"/>
          <w:lang w:val="es-ES"/>
        </w:rPr>
        <w:t xml:space="preserve">a CIDH observa con preocupación </w:t>
      </w:r>
      <w:r w:rsidR="00344486" w:rsidRPr="00FF743B">
        <w:rPr>
          <w:rFonts w:ascii="Cambria" w:hAnsi="Cambria"/>
          <w:sz w:val="20"/>
          <w:szCs w:val="20"/>
          <w:lang w:val="es-ES"/>
        </w:rPr>
        <w:t xml:space="preserve">el número </w:t>
      </w:r>
      <w:r w:rsidR="009D5E84" w:rsidRPr="00FF743B">
        <w:rPr>
          <w:rFonts w:ascii="Cambria" w:hAnsi="Cambria"/>
          <w:sz w:val="20"/>
          <w:szCs w:val="20"/>
          <w:lang w:val="es-ES"/>
        </w:rPr>
        <w:t xml:space="preserve">relativamente </w:t>
      </w:r>
      <w:r w:rsidR="00344486" w:rsidRPr="00FF743B">
        <w:rPr>
          <w:rFonts w:ascii="Cambria" w:hAnsi="Cambria"/>
          <w:sz w:val="20"/>
          <w:szCs w:val="20"/>
          <w:lang w:val="es-ES"/>
        </w:rPr>
        <w:t>bajo de peticiones</w:t>
      </w:r>
      <w:r w:rsidRPr="00FF743B">
        <w:rPr>
          <w:rFonts w:ascii="Cambria" w:hAnsi="Cambria"/>
          <w:sz w:val="20"/>
          <w:szCs w:val="20"/>
          <w:lang w:val="es-ES"/>
        </w:rPr>
        <w:t xml:space="preserve"> en casos individuales</w:t>
      </w:r>
      <w:r w:rsidR="00E714DA" w:rsidRPr="00FF743B">
        <w:rPr>
          <w:rFonts w:ascii="Cambria" w:hAnsi="Cambria"/>
          <w:sz w:val="20"/>
          <w:szCs w:val="20"/>
          <w:lang w:val="es-ES"/>
        </w:rPr>
        <w:t xml:space="preserve"> presentado</w:t>
      </w:r>
      <w:r w:rsidR="00344486" w:rsidRPr="00FF743B">
        <w:rPr>
          <w:rFonts w:ascii="Cambria" w:hAnsi="Cambria"/>
          <w:sz w:val="20"/>
          <w:szCs w:val="20"/>
          <w:lang w:val="es-ES"/>
        </w:rPr>
        <w:t xml:space="preserve">s en referencia a países </w:t>
      </w:r>
      <w:r w:rsidR="00C3594C" w:rsidRPr="00FF743B">
        <w:rPr>
          <w:rFonts w:ascii="Cambria" w:hAnsi="Cambria"/>
          <w:sz w:val="20"/>
          <w:szCs w:val="20"/>
          <w:lang w:val="es-ES"/>
        </w:rPr>
        <w:t xml:space="preserve">en donde la Convención Americana no se ha ratificado, en comparación con las presentadas de parte de países en donde </w:t>
      </w:r>
      <w:r w:rsidR="00E714DA" w:rsidRPr="00FF743B">
        <w:rPr>
          <w:rFonts w:ascii="Cambria" w:hAnsi="Cambria"/>
          <w:sz w:val="20"/>
          <w:szCs w:val="20"/>
          <w:lang w:val="es-ES"/>
        </w:rPr>
        <w:t>dicho instrumento si h</w:t>
      </w:r>
      <w:r w:rsidR="00C3594C" w:rsidRPr="00FF743B">
        <w:rPr>
          <w:rFonts w:ascii="Cambria" w:hAnsi="Cambria"/>
          <w:sz w:val="20"/>
          <w:szCs w:val="20"/>
          <w:lang w:val="es-ES"/>
        </w:rPr>
        <w:t>a sido ratificad</w:t>
      </w:r>
      <w:r w:rsidR="00E714DA" w:rsidRPr="00FF743B">
        <w:rPr>
          <w:rFonts w:ascii="Cambria" w:hAnsi="Cambria"/>
          <w:sz w:val="20"/>
          <w:szCs w:val="20"/>
          <w:lang w:val="es-ES"/>
        </w:rPr>
        <w:t>o</w:t>
      </w:r>
      <w:r w:rsidR="00D929B0" w:rsidRPr="00FF743B">
        <w:rPr>
          <w:rStyle w:val="FootnoteReference"/>
          <w:rFonts w:ascii="Cambria" w:hAnsi="Cambria"/>
          <w:sz w:val="20"/>
          <w:szCs w:val="20"/>
          <w:lang w:val="es-ES"/>
        </w:rPr>
        <w:footnoteReference w:id="36"/>
      </w:r>
      <w:r w:rsidR="00C3594C" w:rsidRPr="00FF743B">
        <w:rPr>
          <w:rFonts w:ascii="Cambria" w:hAnsi="Cambria"/>
          <w:sz w:val="20"/>
          <w:szCs w:val="20"/>
          <w:lang w:val="es-ES"/>
        </w:rPr>
        <w:t>.</w:t>
      </w:r>
      <w:r w:rsidR="00F92160" w:rsidRPr="00FF743B">
        <w:rPr>
          <w:rFonts w:ascii="Cambria" w:hAnsi="Cambria"/>
          <w:sz w:val="20"/>
          <w:szCs w:val="20"/>
          <w:lang w:val="es-ES"/>
        </w:rPr>
        <w:t xml:space="preserve"> </w:t>
      </w:r>
      <w:r w:rsidR="00E714DA" w:rsidRPr="00FF743B">
        <w:rPr>
          <w:rFonts w:ascii="Cambria" w:hAnsi="Cambria"/>
          <w:sz w:val="20"/>
          <w:szCs w:val="20"/>
          <w:lang w:val="es-ES"/>
        </w:rPr>
        <w:t>Ello se ha traducido</w:t>
      </w:r>
      <w:r w:rsidR="00C3594C" w:rsidRPr="00FF743B">
        <w:rPr>
          <w:rFonts w:ascii="Cambria" w:hAnsi="Cambria"/>
          <w:sz w:val="20"/>
          <w:szCs w:val="20"/>
          <w:lang w:val="es-ES"/>
        </w:rPr>
        <w:t xml:space="preserve"> en un menor número de casos individuales decididos por la CIDH en referencia </w:t>
      </w:r>
      <w:r w:rsidR="007F0201" w:rsidRPr="00FF743B">
        <w:rPr>
          <w:rFonts w:ascii="Cambria" w:hAnsi="Cambria"/>
          <w:sz w:val="20"/>
          <w:szCs w:val="20"/>
          <w:lang w:val="es-ES"/>
        </w:rPr>
        <w:t xml:space="preserve">a </w:t>
      </w:r>
      <w:r w:rsidR="00C3594C" w:rsidRPr="00FF743B">
        <w:rPr>
          <w:rFonts w:ascii="Cambria" w:hAnsi="Cambria"/>
          <w:sz w:val="20"/>
          <w:szCs w:val="20"/>
          <w:lang w:val="es-ES"/>
        </w:rPr>
        <w:t>estos países</w:t>
      </w:r>
      <w:r w:rsidR="00344486" w:rsidRPr="00FF743B">
        <w:rPr>
          <w:rFonts w:ascii="Cambria" w:hAnsi="Cambria"/>
          <w:sz w:val="20"/>
          <w:szCs w:val="20"/>
          <w:lang w:val="es-ES"/>
        </w:rPr>
        <w:t xml:space="preserve"> y por consiguiente </w:t>
      </w:r>
      <w:r w:rsidR="00D929B0" w:rsidRPr="00FF743B">
        <w:rPr>
          <w:rFonts w:ascii="Cambria" w:hAnsi="Cambria"/>
          <w:sz w:val="20"/>
          <w:szCs w:val="20"/>
          <w:lang w:val="es-ES"/>
        </w:rPr>
        <w:t xml:space="preserve">en </w:t>
      </w:r>
      <w:r w:rsidR="00344486" w:rsidRPr="00FF743B">
        <w:rPr>
          <w:rFonts w:ascii="Cambria" w:hAnsi="Cambria"/>
          <w:sz w:val="20"/>
          <w:szCs w:val="20"/>
          <w:lang w:val="es-ES"/>
        </w:rPr>
        <w:t>un número limitado de e</w:t>
      </w:r>
      <w:r w:rsidR="007F0201" w:rsidRPr="00FF743B">
        <w:rPr>
          <w:rFonts w:ascii="Cambria" w:hAnsi="Cambria"/>
          <w:sz w:val="20"/>
          <w:szCs w:val="20"/>
          <w:lang w:val="es-ES"/>
        </w:rPr>
        <w:t xml:space="preserve">stándares sobre diversos temas.  </w:t>
      </w:r>
      <w:r w:rsidR="00344486" w:rsidRPr="00FF743B">
        <w:rPr>
          <w:rFonts w:ascii="Cambria" w:hAnsi="Cambria"/>
          <w:sz w:val="20"/>
          <w:szCs w:val="20"/>
          <w:lang w:val="es-ES"/>
        </w:rPr>
        <w:t xml:space="preserve">La CIDH ha recibido amplia información de distintos sectores </w:t>
      </w:r>
      <w:r w:rsidR="007F0201" w:rsidRPr="00FF743B">
        <w:rPr>
          <w:rFonts w:ascii="Cambria" w:hAnsi="Cambria"/>
          <w:sz w:val="20"/>
          <w:szCs w:val="20"/>
          <w:lang w:val="es-ES"/>
        </w:rPr>
        <w:t>sobre có</w:t>
      </w:r>
      <w:r w:rsidR="00344486" w:rsidRPr="00FF743B">
        <w:rPr>
          <w:rFonts w:ascii="Cambria" w:hAnsi="Cambria"/>
          <w:sz w:val="20"/>
          <w:szCs w:val="20"/>
          <w:lang w:val="es-ES"/>
        </w:rPr>
        <w:t>mo</w:t>
      </w:r>
      <w:r w:rsidR="00FD377D" w:rsidRPr="00FF743B">
        <w:rPr>
          <w:rFonts w:ascii="Cambria" w:hAnsi="Cambria"/>
          <w:sz w:val="20"/>
          <w:szCs w:val="20"/>
          <w:lang w:val="es-ES"/>
        </w:rPr>
        <w:t xml:space="preserve"> las decisiones de la CIDH en informes sobre casos pueden</w:t>
      </w:r>
      <w:r w:rsidR="00E714DA" w:rsidRPr="00FF743B">
        <w:rPr>
          <w:rFonts w:ascii="Cambria" w:hAnsi="Cambria"/>
          <w:sz w:val="20"/>
          <w:szCs w:val="20"/>
          <w:lang w:val="es-ES"/>
        </w:rPr>
        <w:t xml:space="preserve"> tener un impacto reparatorio para</w:t>
      </w:r>
      <w:r w:rsidR="00FD377D" w:rsidRPr="00FF743B">
        <w:rPr>
          <w:rFonts w:ascii="Cambria" w:hAnsi="Cambria"/>
          <w:sz w:val="20"/>
          <w:szCs w:val="20"/>
          <w:lang w:val="es-ES"/>
        </w:rPr>
        <w:t xml:space="preserve"> las víctimas involucradas, fijar estándares importantes sobre temas prioritarios de derechos humanos en la región</w:t>
      </w:r>
      <w:r w:rsidR="00E714DA" w:rsidRPr="00FF743B">
        <w:rPr>
          <w:rFonts w:ascii="Cambria" w:hAnsi="Cambria"/>
          <w:sz w:val="20"/>
          <w:szCs w:val="20"/>
          <w:lang w:val="es-ES"/>
        </w:rPr>
        <w:t>,</w:t>
      </w:r>
      <w:r w:rsidR="00FD377D" w:rsidRPr="00FF743B">
        <w:rPr>
          <w:rFonts w:ascii="Cambria" w:hAnsi="Cambria"/>
          <w:sz w:val="20"/>
          <w:szCs w:val="20"/>
          <w:lang w:val="es-ES"/>
        </w:rPr>
        <w:t xml:space="preserve"> y servir como una guía importante para los Estados en el diseño de legislación, políticas</w:t>
      </w:r>
      <w:r w:rsidR="00E714DA" w:rsidRPr="00FF743B">
        <w:rPr>
          <w:rFonts w:ascii="Cambria" w:hAnsi="Cambria"/>
          <w:sz w:val="20"/>
          <w:szCs w:val="20"/>
          <w:lang w:val="es-ES"/>
        </w:rPr>
        <w:t>,</w:t>
      </w:r>
      <w:r w:rsidR="00130296" w:rsidRPr="00FF743B">
        <w:rPr>
          <w:rFonts w:ascii="Cambria" w:hAnsi="Cambria"/>
          <w:sz w:val="20"/>
          <w:szCs w:val="20"/>
          <w:lang w:val="es-ES"/>
        </w:rPr>
        <w:t xml:space="preserve"> y prácticas estatales.</w:t>
      </w:r>
    </w:p>
    <w:p w:rsidR="00103CBE" w:rsidRPr="00FF743B" w:rsidRDefault="00103CBE" w:rsidP="00225F6F">
      <w:pPr>
        <w:jc w:val="both"/>
        <w:rPr>
          <w:rFonts w:ascii="Cambria" w:hAnsi="Cambria"/>
          <w:sz w:val="20"/>
          <w:szCs w:val="20"/>
          <w:lang w:val="es-ES"/>
        </w:rPr>
      </w:pPr>
    </w:p>
    <w:p w:rsidR="00103CBE" w:rsidRPr="00FF743B" w:rsidRDefault="00FD377D"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Esta preocupación es de particular importancia en lo pertinente a grupos, sectores y colectividades que históricamente han sufrido discriminación o sufren situaciones de exclusión en base a factores de riesgo como su sexo, raza, etni</w:t>
      </w:r>
      <w:r w:rsidR="00F92160" w:rsidRPr="00FF743B">
        <w:rPr>
          <w:rFonts w:ascii="Cambria" w:hAnsi="Cambria"/>
          <w:sz w:val="20"/>
          <w:szCs w:val="20"/>
          <w:lang w:val="es-ES"/>
        </w:rPr>
        <w:t xml:space="preserve">a, posición económica y otros.  </w:t>
      </w:r>
      <w:r w:rsidRPr="00FF743B">
        <w:rPr>
          <w:rFonts w:ascii="Cambria" w:hAnsi="Cambria"/>
          <w:sz w:val="20"/>
          <w:szCs w:val="20"/>
          <w:lang w:val="es-ES"/>
        </w:rPr>
        <w:t>E</w:t>
      </w:r>
      <w:r w:rsidR="007F0201" w:rsidRPr="00FF743B">
        <w:rPr>
          <w:rFonts w:ascii="Cambria" w:hAnsi="Cambria"/>
          <w:sz w:val="20"/>
          <w:szCs w:val="20"/>
          <w:lang w:val="es-ES"/>
        </w:rPr>
        <w:t xml:space="preserve">l sistema interamericano ha servido como un foro importante </w:t>
      </w:r>
      <w:r w:rsidR="007F0201" w:rsidRPr="00FF743B">
        <w:rPr>
          <w:rFonts w:ascii="Cambria" w:hAnsi="Cambria"/>
          <w:sz w:val="20"/>
          <w:szCs w:val="20"/>
          <w:lang w:val="es-ES"/>
        </w:rPr>
        <w:lastRenderedPageBreak/>
        <w:t>para desarrollar jurisprudencia en beneficio de sectores y colectividades que han sufrido discriminac</w:t>
      </w:r>
      <w:r w:rsidR="00792293" w:rsidRPr="00FF743B">
        <w:rPr>
          <w:rFonts w:ascii="Cambria" w:hAnsi="Cambria"/>
          <w:sz w:val="20"/>
          <w:szCs w:val="20"/>
          <w:lang w:val="es-ES"/>
        </w:rPr>
        <w:t xml:space="preserve">ión histórica como </w:t>
      </w:r>
      <w:r w:rsidR="007F0201" w:rsidRPr="00FF743B">
        <w:rPr>
          <w:rFonts w:ascii="Cambria" w:hAnsi="Cambria"/>
          <w:sz w:val="20"/>
          <w:szCs w:val="20"/>
          <w:lang w:val="es-ES"/>
        </w:rPr>
        <w:t>las mujeres</w:t>
      </w:r>
      <w:r w:rsidR="00792293" w:rsidRPr="00FF743B">
        <w:rPr>
          <w:rFonts w:ascii="Cambria" w:hAnsi="Cambria"/>
          <w:sz w:val="20"/>
          <w:szCs w:val="20"/>
          <w:lang w:val="es-ES"/>
        </w:rPr>
        <w:t xml:space="preserve"> y los pueblos indígenas</w:t>
      </w:r>
      <w:r w:rsidR="007F0201" w:rsidRPr="00FF743B">
        <w:rPr>
          <w:rFonts w:ascii="Cambria" w:hAnsi="Cambria"/>
          <w:sz w:val="20"/>
          <w:szCs w:val="20"/>
          <w:lang w:val="es-ES"/>
        </w:rPr>
        <w:t>, y ha habido una capacidad limitada de</w:t>
      </w:r>
      <w:r w:rsidR="00E714DA" w:rsidRPr="00FF743B">
        <w:rPr>
          <w:rFonts w:ascii="Cambria" w:hAnsi="Cambria"/>
          <w:sz w:val="20"/>
          <w:szCs w:val="20"/>
          <w:lang w:val="es-ES"/>
        </w:rPr>
        <w:t xml:space="preserve"> fijar estándares pertinentes a</w:t>
      </w:r>
      <w:r w:rsidR="007F0201" w:rsidRPr="00FF743B">
        <w:rPr>
          <w:rFonts w:ascii="Cambria" w:hAnsi="Cambria"/>
          <w:sz w:val="20"/>
          <w:szCs w:val="20"/>
          <w:lang w:val="es-ES"/>
        </w:rPr>
        <w:t xml:space="preserve"> esta materia en países en donde no se han ratificado todos los instrumentos</w:t>
      </w:r>
      <w:r w:rsidRPr="00FF743B">
        <w:rPr>
          <w:rFonts w:ascii="Cambria" w:hAnsi="Cambria"/>
          <w:sz w:val="20"/>
          <w:szCs w:val="20"/>
          <w:lang w:val="es-ES"/>
        </w:rPr>
        <w:t xml:space="preserve"> interamericanos</w:t>
      </w:r>
      <w:r w:rsidR="00110F7B" w:rsidRPr="00FF743B">
        <w:rPr>
          <w:rStyle w:val="FootnoteReference"/>
          <w:rFonts w:ascii="Cambria" w:hAnsi="Cambria"/>
          <w:sz w:val="20"/>
          <w:szCs w:val="20"/>
          <w:lang w:val="es-ES"/>
        </w:rPr>
        <w:footnoteReference w:id="37"/>
      </w:r>
      <w:r w:rsidRPr="00FF743B">
        <w:rPr>
          <w:rFonts w:ascii="Cambria" w:hAnsi="Cambria"/>
          <w:sz w:val="20"/>
          <w:szCs w:val="20"/>
          <w:lang w:val="es-ES"/>
        </w:rPr>
        <w:t>.</w:t>
      </w:r>
      <w:r w:rsidR="00F92160" w:rsidRPr="00FF743B">
        <w:rPr>
          <w:rFonts w:ascii="Cambria" w:hAnsi="Cambria"/>
          <w:sz w:val="20"/>
          <w:szCs w:val="20"/>
          <w:lang w:val="es-ES"/>
        </w:rPr>
        <w:t xml:space="preserve"> </w:t>
      </w:r>
      <w:r w:rsidR="0055302D" w:rsidRPr="00FF743B">
        <w:rPr>
          <w:rFonts w:ascii="Cambria" w:hAnsi="Cambria"/>
          <w:sz w:val="20"/>
          <w:szCs w:val="20"/>
          <w:lang w:val="es-ES"/>
        </w:rPr>
        <w:t>La no ratificación de todos los instrumentos interameri</w:t>
      </w:r>
      <w:r w:rsidR="005F5C6A" w:rsidRPr="00FF743B">
        <w:rPr>
          <w:rFonts w:ascii="Cambria" w:hAnsi="Cambria"/>
          <w:sz w:val="20"/>
          <w:szCs w:val="20"/>
          <w:lang w:val="es-ES"/>
        </w:rPr>
        <w:t>canos asimismo mantiene cerrada</w:t>
      </w:r>
      <w:r w:rsidR="0055302D" w:rsidRPr="00FF743B">
        <w:rPr>
          <w:rFonts w:ascii="Cambria" w:hAnsi="Cambria"/>
          <w:sz w:val="20"/>
          <w:szCs w:val="20"/>
          <w:lang w:val="es-ES"/>
        </w:rPr>
        <w:t xml:space="preserve"> una puerta para víctimas de violaciones de derechos humanos con componentes de </w:t>
      </w:r>
      <w:r w:rsidR="00186D70" w:rsidRPr="00FF743B">
        <w:rPr>
          <w:rFonts w:ascii="Cambria" w:hAnsi="Cambria"/>
          <w:sz w:val="20"/>
          <w:szCs w:val="20"/>
          <w:lang w:val="es-ES"/>
        </w:rPr>
        <w:t>DESC, género, discriminación, intolerancia, y discapacidad; temas que gozan de una protección especial en los tratados especializados</w:t>
      </w:r>
      <w:r w:rsidR="00771829" w:rsidRPr="00FF743B">
        <w:rPr>
          <w:rStyle w:val="FootnoteReference"/>
          <w:rFonts w:ascii="Cambria" w:hAnsi="Cambria"/>
          <w:sz w:val="20"/>
          <w:szCs w:val="20"/>
          <w:lang w:val="es-ES"/>
        </w:rPr>
        <w:footnoteReference w:id="38"/>
      </w:r>
      <w:r w:rsidR="00186D70" w:rsidRPr="00FF743B">
        <w:rPr>
          <w:rFonts w:ascii="Cambria" w:hAnsi="Cambria"/>
          <w:sz w:val="20"/>
          <w:szCs w:val="20"/>
          <w:lang w:val="es-ES"/>
        </w:rPr>
        <w:t>.</w:t>
      </w:r>
      <w:r w:rsidR="00F92160" w:rsidRPr="00FF743B">
        <w:rPr>
          <w:rFonts w:ascii="Cambria" w:hAnsi="Cambria"/>
          <w:sz w:val="20"/>
          <w:szCs w:val="20"/>
          <w:lang w:val="es-ES"/>
        </w:rPr>
        <w:t xml:space="preserve"> </w:t>
      </w:r>
      <w:r w:rsidR="009C6859" w:rsidRPr="00FF743B">
        <w:rPr>
          <w:rFonts w:ascii="Cambria" w:hAnsi="Cambria"/>
          <w:sz w:val="20"/>
          <w:szCs w:val="20"/>
          <w:lang w:val="es-ES"/>
        </w:rPr>
        <w:t>Lo mismo puede decirse de víctimas de violaciones de derechos humanos como la tortura, la pena de muerte</w:t>
      </w:r>
      <w:r w:rsidR="00376908" w:rsidRPr="00FF743B">
        <w:rPr>
          <w:rFonts w:ascii="Cambria" w:hAnsi="Cambria"/>
          <w:sz w:val="20"/>
          <w:szCs w:val="20"/>
          <w:lang w:val="es-ES"/>
        </w:rPr>
        <w:t>,</w:t>
      </w:r>
      <w:r w:rsidR="009C6859" w:rsidRPr="00FF743B">
        <w:rPr>
          <w:rFonts w:ascii="Cambria" w:hAnsi="Cambria"/>
          <w:sz w:val="20"/>
          <w:szCs w:val="20"/>
          <w:lang w:val="es-ES"/>
        </w:rPr>
        <w:t xml:space="preserve"> y la desaparición forzada</w:t>
      </w:r>
      <w:r w:rsidR="009C3056" w:rsidRPr="00FF743B">
        <w:rPr>
          <w:rStyle w:val="FootnoteReference"/>
          <w:rFonts w:ascii="Cambria" w:hAnsi="Cambria"/>
          <w:sz w:val="20"/>
          <w:szCs w:val="20"/>
          <w:lang w:val="es-ES"/>
        </w:rPr>
        <w:footnoteReference w:id="39"/>
      </w:r>
      <w:r w:rsidR="009C6859" w:rsidRPr="00FF743B">
        <w:rPr>
          <w:rFonts w:ascii="Cambria" w:hAnsi="Cambria"/>
          <w:sz w:val="20"/>
          <w:szCs w:val="20"/>
          <w:lang w:val="es-ES"/>
        </w:rPr>
        <w:t>.</w:t>
      </w:r>
    </w:p>
    <w:p w:rsidR="00103CBE" w:rsidRPr="00FF743B" w:rsidRDefault="00103CBE" w:rsidP="00225F6F">
      <w:pPr>
        <w:jc w:val="both"/>
        <w:rPr>
          <w:rFonts w:ascii="Cambria" w:hAnsi="Cambria"/>
          <w:sz w:val="20"/>
          <w:szCs w:val="20"/>
          <w:lang w:val="es-ES"/>
        </w:rPr>
      </w:pPr>
    </w:p>
    <w:p w:rsidR="00103CBE" w:rsidRPr="00FF743B" w:rsidRDefault="00266F80"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la misma línea, se verifica un número</w:t>
      </w:r>
      <w:r w:rsidR="009D5E84" w:rsidRPr="00FF743B">
        <w:rPr>
          <w:rFonts w:ascii="Cambria" w:hAnsi="Cambria"/>
          <w:sz w:val="20"/>
          <w:szCs w:val="20"/>
          <w:lang w:val="es-ES"/>
        </w:rPr>
        <w:t xml:space="preserve"> más</w:t>
      </w:r>
      <w:r w:rsidRPr="00FF743B">
        <w:rPr>
          <w:rFonts w:ascii="Cambria" w:hAnsi="Cambria"/>
          <w:sz w:val="20"/>
          <w:szCs w:val="20"/>
          <w:lang w:val="es-ES"/>
        </w:rPr>
        <w:t xml:space="preserve"> limitado de so</w:t>
      </w:r>
      <w:r w:rsidR="005F3956" w:rsidRPr="00FF743B">
        <w:rPr>
          <w:rFonts w:ascii="Cambria" w:hAnsi="Cambria"/>
          <w:sz w:val="20"/>
          <w:szCs w:val="20"/>
          <w:lang w:val="es-ES"/>
        </w:rPr>
        <w:t>licitudes de medidas cautelares de los referid</w:t>
      </w:r>
      <w:r w:rsidR="009C3056" w:rsidRPr="00FF743B">
        <w:rPr>
          <w:rFonts w:ascii="Cambria" w:hAnsi="Cambria"/>
          <w:sz w:val="20"/>
          <w:szCs w:val="20"/>
          <w:lang w:val="es-ES"/>
        </w:rPr>
        <w:t xml:space="preserve">os países. </w:t>
      </w:r>
      <w:r w:rsidR="00E714DA" w:rsidRPr="00FF743B">
        <w:rPr>
          <w:rFonts w:ascii="Cambria" w:hAnsi="Cambria"/>
          <w:sz w:val="20"/>
          <w:szCs w:val="20"/>
          <w:lang w:val="es-ES"/>
        </w:rPr>
        <w:t>La CIDH ha destacado</w:t>
      </w:r>
      <w:r w:rsidR="005F3956" w:rsidRPr="00FF743B">
        <w:rPr>
          <w:rFonts w:ascii="Cambria" w:hAnsi="Cambria"/>
          <w:sz w:val="20"/>
          <w:szCs w:val="20"/>
          <w:lang w:val="es-ES"/>
        </w:rPr>
        <w:t xml:space="preserve"> como este mecanismo le ha permitido prevenir daños irreparables a miles de personas que se han encontrado en una situación de riesgo </w:t>
      </w:r>
      <w:r w:rsidR="00E714DA" w:rsidRPr="00FF743B">
        <w:rPr>
          <w:rFonts w:ascii="Cambria" w:hAnsi="Cambria"/>
          <w:sz w:val="20"/>
          <w:szCs w:val="20"/>
          <w:lang w:val="es-ES"/>
        </w:rPr>
        <w:t xml:space="preserve">en </w:t>
      </w:r>
      <w:r w:rsidR="005F3956" w:rsidRPr="00FF743B">
        <w:rPr>
          <w:rFonts w:ascii="Cambria" w:hAnsi="Cambria"/>
          <w:sz w:val="20"/>
          <w:szCs w:val="20"/>
          <w:lang w:val="es-ES"/>
        </w:rPr>
        <w:t>el hemisferio y constituye una de las principales herramientas del SIDH para prevenir graves violaciones a los derechos humanos</w:t>
      </w:r>
      <w:r w:rsidR="005F3956" w:rsidRPr="00FF743B">
        <w:rPr>
          <w:rStyle w:val="FootnoteReference"/>
          <w:rFonts w:ascii="Cambria" w:hAnsi="Cambria"/>
          <w:sz w:val="20"/>
          <w:szCs w:val="20"/>
          <w:lang w:val="es-ES"/>
        </w:rPr>
        <w:footnoteReference w:id="40"/>
      </w:r>
      <w:r w:rsidR="005F3956" w:rsidRPr="00FF743B">
        <w:rPr>
          <w:rFonts w:ascii="Cambria" w:hAnsi="Cambria"/>
          <w:sz w:val="20"/>
          <w:szCs w:val="20"/>
          <w:lang w:val="es-ES"/>
        </w:rPr>
        <w:t xml:space="preserve">.  </w:t>
      </w:r>
      <w:r w:rsidR="00DE61AC" w:rsidRPr="00FF743B">
        <w:rPr>
          <w:rFonts w:ascii="Cambria" w:hAnsi="Cambria"/>
          <w:sz w:val="20"/>
          <w:szCs w:val="20"/>
          <w:lang w:val="es-ES"/>
        </w:rPr>
        <w:t xml:space="preserve"> </w:t>
      </w:r>
    </w:p>
    <w:p w:rsidR="00103CBE" w:rsidRPr="00FF743B" w:rsidRDefault="00103CBE" w:rsidP="00225F6F">
      <w:pPr>
        <w:jc w:val="both"/>
        <w:rPr>
          <w:rFonts w:ascii="Cambria" w:hAnsi="Cambria"/>
          <w:sz w:val="20"/>
          <w:szCs w:val="20"/>
          <w:lang w:val="es-ES"/>
        </w:rPr>
      </w:pPr>
    </w:p>
    <w:p w:rsidR="00103CBE" w:rsidRPr="00FF743B" w:rsidRDefault="00C20A25"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segundo lugar</w:t>
      </w:r>
      <w:r w:rsidRPr="00FF743B">
        <w:rPr>
          <w:rFonts w:ascii="Cambria" w:hAnsi="Cambria"/>
          <w:sz w:val="20"/>
          <w:szCs w:val="20"/>
          <w:lang w:val="es-ES"/>
        </w:rPr>
        <w:t xml:space="preserve"> y coherente con el primer punto,</w:t>
      </w:r>
      <w:r w:rsidR="00DE61AC" w:rsidRPr="00FF743B">
        <w:rPr>
          <w:rFonts w:ascii="Cambria" w:hAnsi="Cambria"/>
          <w:sz w:val="20"/>
          <w:szCs w:val="20"/>
          <w:lang w:val="es-ES"/>
        </w:rPr>
        <w:t xml:space="preserve"> también</w:t>
      </w:r>
      <w:r w:rsidRPr="00FF743B">
        <w:rPr>
          <w:rFonts w:ascii="Cambria" w:hAnsi="Cambria"/>
          <w:sz w:val="20"/>
          <w:szCs w:val="20"/>
          <w:lang w:val="es-ES"/>
        </w:rPr>
        <w:t xml:space="preserve"> </w:t>
      </w:r>
      <w:r w:rsidR="00DE61AC" w:rsidRPr="00FF743B">
        <w:rPr>
          <w:rFonts w:ascii="Cambria" w:hAnsi="Cambria"/>
          <w:sz w:val="20"/>
          <w:szCs w:val="20"/>
          <w:lang w:val="es-ES"/>
        </w:rPr>
        <w:t xml:space="preserve">se verifica un número </w:t>
      </w:r>
      <w:r w:rsidR="009D5E84" w:rsidRPr="00FF743B">
        <w:rPr>
          <w:rFonts w:ascii="Cambria" w:hAnsi="Cambria"/>
          <w:sz w:val="20"/>
          <w:szCs w:val="20"/>
          <w:lang w:val="es-ES"/>
        </w:rPr>
        <w:t xml:space="preserve">más </w:t>
      </w:r>
      <w:r w:rsidR="00DE61AC" w:rsidRPr="00FF743B">
        <w:rPr>
          <w:rFonts w:ascii="Cambria" w:hAnsi="Cambria"/>
          <w:sz w:val="20"/>
          <w:szCs w:val="20"/>
          <w:lang w:val="es-ES"/>
        </w:rPr>
        <w:t xml:space="preserve">limitado de solicitudes de audiencias </w:t>
      </w:r>
      <w:r w:rsidR="006847FF" w:rsidRPr="00FF743B">
        <w:rPr>
          <w:rFonts w:ascii="Cambria" w:hAnsi="Cambria"/>
          <w:sz w:val="20"/>
          <w:szCs w:val="20"/>
          <w:lang w:val="es-ES"/>
        </w:rPr>
        <w:t xml:space="preserve">ante la CIDH </w:t>
      </w:r>
      <w:r w:rsidR="00DE61AC" w:rsidRPr="00FF743B">
        <w:rPr>
          <w:rFonts w:ascii="Cambria" w:hAnsi="Cambria"/>
          <w:sz w:val="20"/>
          <w:szCs w:val="20"/>
          <w:lang w:val="es-ES"/>
        </w:rPr>
        <w:t xml:space="preserve">sobre casos y temas prioritarios de los referidos países.  </w:t>
      </w:r>
      <w:r w:rsidR="006847FF" w:rsidRPr="00FF743B">
        <w:rPr>
          <w:rFonts w:ascii="Cambria" w:hAnsi="Cambria"/>
          <w:sz w:val="20"/>
          <w:szCs w:val="20"/>
          <w:lang w:val="es-ES"/>
        </w:rPr>
        <w:t xml:space="preserve"> </w:t>
      </w:r>
      <w:r w:rsidR="000E2045" w:rsidRPr="00FF743B">
        <w:rPr>
          <w:rFonts w:ascii="Cambria" w:hAnsi="Cambria"/>
          <w:sz w:val="20"/>
          <w:szCs w:val="20"/>
          <w:lang w:val="es-ES"/>
        </w:rPr>
        <w:t xml:space="preserve">Esto refleja </w:t>
      </w:r>
      <w:r w:rsidR="00376908" w:rsidRPr="00FF743B">
        <w:rPr>
          <w:rFonts w:ascii="Cambria" w:hAnsi="Cambria"/>
          <w:sz w:val="20"/>
          <w:szCs w:val="20"/>
          <w:lang w:val="es-ES"/>
        </w:rPr>
        <w:t xml:space="preserve">una subutilización por parte de las </w:t>
      </w:r>
      <w:r w:rsidR="00266F80" w:rsidRPr="00FF743B">
        <w:rPr>
          <w:rFonts w:ascii="Cambria" w:hAnsi="Cambria"/>
          <w:sz w:val="20"/>
          <w:szCs w:val="20"/>
          <w:lang w:val="es-ES"/>
        </w:rPr>
        <w:t>víctimas y las organiza</w:t>
      </w:r>
      <w:r w:rsidR="006847FF" w:rsidRPr="00FF743B">
        <w:rPr>
          <w:rFonts w:ascii="Cambria" w:hAnsi="Cambria"/>
          <w:sz w:val="20"/>
          <w:szCs w:val="20"/>
          <w:lang w:val="es-ES"/>
        </w:rPr>
        <w:t xml:space="preserve">ciones que las representan de </w:t>
      </w:r>
      <w:r w:rsidR="00266F80" w:rsidRPr="00FF743B">
        <w:rPr>
          <w:rFonts w:ascii="Cambria" w:hAnsi="Cambria"/>
          <w:sz w:val="20"/>
          <w:szCs w:val="20"/>
          <w:lang w:val="es-ES"/>
        </w:rPr>
        <w:t>espacios de diálogo con la CIDH, en donde puedan exponer sus preocupaciones</w:t>
      </w:r>
      <w:r w:rsidR="00376908" w:rsidRPr="00FF743B">
        <w:rPr>
          <w:rFonts w:ascii="Cambria" w:hAnsi="Cambria"/>
          <w:sz w:val="20"/>
          <w:szCs w:val="20"/>
          <w:lang w:val="es-ES"/>
        </w:rPr>
        <w:t xml:space="preserve"> y reclamos sobre diversos temas</w:t>
      </w:r>
      <w:r w:rsidR="00266F80" w:rsidRPr="00FF743B">
        <w:rPr>
          <w:rFonts w:ascii="Cambria" w:hAnsi="Cambria"/>
          <w:sz w:val="20"/>
          <w:szCs w:val="20"/>
          <w:lang w:val="es-ES"/>
        </w:rPr>
        <w:t xml:space="preserve">. </w:t>
      </w:r>
      <w:r w:rsidR="007F0201" w:rsidRPr="00FF743B">
        <w:rPr>
          <w:rFonts w:ascii="Cambria" w:hAnsi="Cambria"/>
          <w:sz w:val="20"/>
          <w:szCs w:val="20"/>
          <w:lang w:val="es-ES"/>
        </w:rPr>
        <w:t xml:space="preserve">También ha resultado en que la CIDH tenga información </w:t>
      </w:r>
      <w:r w:rsidR="009D5E84" w:rsidRPr="00FF743B">
        <w:rPr>
          <w:rFonts w:ascii="Cambria" w:hAnsi="Cambria"/>
          <w:sz w:val="20"/>
          <w:szCs w:val="20"/>
          <w:lang w:val="es-ES"/>
        </w:rPr>
        <w:t xml:space="preserve">a veces más </w:t>
      </w:r>
      <w:r w:rsidR="007F0201" w:rsidRPr="00FF743B">
        <w:rPr>
          <w:rFonts w:ascii="Cambria" w:hAnsi="Cambria"/>
          <w:sz w:val="20"/>
          <w:szCs w:val="20"/>
          <w:lang w:val="es-ES"/>
        </w:rPr>
        <w:t>limitada sobre problemas prioritarios de derechos humanos q</w:t>
      </w:r>
      <w:r w:rsidR="006847FF" w:rsidRPr="00FF743B">
        <w:rPr>
          <w:rFonts w:ascii="Cambria" w:hAnsi="Cambria"/>
          <w:sz w:val="20"/>
          <w:szCs w:val="20"/>
          <w:lang w:val="es-ES"/>
        </w:rPr>
        <w:t>ue afectan a países que no han ratificado la Convención Americana y otros instrumentos interamericanos</w:t>
      </w:r>
      <w:r w:rsidR="007F0201" w:rsidRPr="00FF743B">
        <w:rPr>
          <w:rFonts w:ascii="Cambria" w:hAnsi="Cambria"/>
          <w:sz w:val="20"/>
          <w:szCs w:val="20"/>
          <w:lang w:val="es-ES"/>
        </w:rPr>
        <w:t xml:space="preserve">.  </w:t>
      </w:r>
      <w:r w:rsidR="00C4667F" w:rsidRPr="00FF743B">
        <w:rPr>
          <w:rFonts w:ascii="Cambria" w:hAnsi="Cambria"/>
          <w:sz w:val="20"/>
          <w:szCs w:val="20"/>
          <w:lang w:val="es-ES"/>
        </w:rPr>
        <w:t xml:space="preserve"> </w:t>
      </w:r>
    </w:p>
    <w:p w:rsidR="00103CBE" w:rsidRPr="00FF743B" w:rsidRDefault="00103CBE" w:rsidP="00225F6F">
      <w:pPr>
        <w:jc w:val="both"/>
        <w:rPr>
          <w:rFonts w:ascii="Cambria" w:hAnsi="Cambria"/>
          <w:sz w:val="20"/>
          <w:szCs w:val="20"/>
          <w:lang w:val="es-ES"/>
        </w:rPr>
      </w:pPr>
    </w:p>
    <w:p w:rsidR="00103CBE" w:rsidRPr="00FF743B" w:rsidRDefault="006847FF"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tercer lugar</w:t>
      </w:r>
      <w:r w:rsidRPr="00FF743B">
        <w:rPr>
          <w:rFonts w:ascii="Cambria" w:hAnsi="Cambria"/>
          <w:sz w:val="20"/>
          <w:szCs w:val="20"/>
          <w:lang w:val="es-ES"/>
        </w:rPr>
        <w:t>, la CIDH destaca con preocupación que la gran mayoría de las invitaciones que ha recibido para realizar visitas in loco y de trabajo a países en las Américas han venido de países que han ratificado la Convención Americana, lo que ha resultado en</w:t>
      </w:r>
      <w:r w:rsidR="004E0861" w:rsidRPr="00FF743B">
        <w:rPr>
          <w:rFonts w:ascii="Cambria" w:hAnsi="Cambria"/>
          <w:sz w:val="20"/>
          <w:szCs w:val="20"/>
          <w:lang w:val="es-ES"/>
        </w:rPr>
        <w:t xml:space="preserve"> un</w:t>
      </w:r>
      <w:r w:rsidRPr="00FF743B">
        <w:rPr>
          <w:rFonts w:ascii="Cambria" w:hAnsi="Cambria"/>
          <w:sz w:val="20"/>
          <w:szCs w:val="20"/>
          <w:lang w:val="es-ES"/>
        </w:rPr>
        <w:t xml:space="preserve"> número limitado de visitas a países que no han ratificado dicho instrumento</w:t>
      </w:r>
      <w:r w:rsidR="00A71894" w:rsidRPr="00FF743B">
        <w:rPr>
          <w:rStyle w:val="FootnoteReference"/>
          <w:rFonts w:ascii="Cambria" w:hAnsi="Cambria"/>
          <w:sz w:val="20"/>
          <w:szCs w:val="20"/>
          <w:lang w:val="es-ES"/>
        </w:rPr>
        <w:footnoteReference w:id="41"/>
      </w:r>
      <w:r w:rsidR="00F92160" w:rsidRPr="00FF743B">
        <w:rPr>
          <w:rFonts w:ascii="Cambria" w:hAnsi="Cambria"/>
          <w:sz w:val="20"/>
          <w:szCs w:val="20"/>
          <w:lang w:val="es-ES"/>
        </w:rPr>
        <w:t xml:space="preserve">. </w:t>
      </w:r>
      <w:r w:rsidR="007F0201" w:rsidRPr="00FF743B">
        <w:rPr>
          <w:rFonts w:ascii="Cambria" w:hAnsi="Cambria"/>
          <w:sz w:val="20"/>
          <w:szCs w:val="20"/>
          <w:lang w:val="es-ES"/>
        </w:rPr>
        <w:t xml:space="preserve">Ello quiere decir que la capacidad </w:t>
      </w:r>
      <w:r w:rsidR="00EC48FC" w:rsidRPr="00FF743B">
        <w:rPr>
          <w:rFonts w:ascii="Cambria" w:hAnsi="Cambria"/>
          <w:sz w:val="20"/>
          <w:szCs w:val="20"/>
          <w:lang w:val="es-ES"/>
        </w:rPr>
        <w:t xml:space="preserve">de </w:t>
      </w:r>
      <w:r w:rsidR="00AF4902" w:rsidRPr="00FF743B">
        <w:rPr>
          <w:rFonts w:ascii="Cambria" w:hAnsi="Cambria"/>
          <w:sz w:val="20"/>
          <w:szCs w:val="20"/>
          <w:lang w:val="es-ES"/>
        </w:rPr>
        <w:t xml:space="preserve">la CIDH de </w:t>
      </w:r>
      <w:r w:rsidR="007F0201" w:rsidRPr="00FF743B">
        <w:rPr>
          <w:rFonts w:ascii="Cambria" w:hAnsi="Cambria"/>
          <w:sz w:val="20"/>
          <w:szCs w:val="20"/>
          <w:lang w:val="es-ES"/>
        </w:rPr>
        <w:t xml:space="preserve">emitir </w:t>
      </w:r>
      <w:r w:rsidR="007F0201" w:rsidRPr="00FF743B">
        <w:rPr>
          <w:rFonts w:ascii="Cambria" w:hAnsi="Cambria"/>
          <w:sz w:val="20"/>
          <w:szCs w:val="20"/>
          <w:lang w:val="es-ES"/>
        </w:rPr>
        <w:lastRenderedPageBreak/>
        <w:t>recomendaciones pertinentes a legislación y políticas</w:t>
      </w:r>
      <w:r w:rsidR="00AF4902" w:rsidRPr="00FF743B">
        <w:rPr>
          <w:rFonts w:ascii="Cambria" w:hAnsi="Cambria"/>
          <w:sz w:val="20"/>
          <w:szCs w:val="20"/>
          <w:lang w:val="es-ES"/>
        </w:rPr>
        <w:t>, de monitorear el cumplimiento general con los derechos humanos</w:t>
      </w:r>
      <w:r w:rsidR="00DB11D7" w:rsidRPr="00FF743B">
        <w:rPr>
          <w:rFonts w:ascii="Cambria" w:hAnsi="Cambria"/>
          <w:sz w:val="20"/>
          <w:szCs w:val="20"/>
          <w:lang w:val="es-ES"/>
        </w:rPr>
        <w:t xml:space="preserve">, </w:t>
      </w:r>
      <w:r w:rsidR="00AF4902" w:rsidRPr="00FF743B">
        <w:rPr>
          <w:rFonts w:ascii="Cambria" w:hAnsi="Cambria"/>
          <w:sz w:val="20"/>
          <w:szCs w:val="20"/>
          <w:lang w:val="es-ES"/>
        </w:rPr>
        <w:t>de aportar asistencia técnica a los Estados</w:t>
      </w:r>
      <w:r w:rsidR="004E0861" w:rsidRPr="00FF743B">
        <w:rPr>
          <w:rFonts w:ascii="Cambria" w:hAnsi="Cambria"/>
          <w:sz w:val="20"/>
          <w:szCs w:val="20"/>
          <w:lang w:val="es-ES"/>
        </w:rPr>
        <w:t>,</w:t>
      </w:r>
      <w:r w:rsidR="007F0201" w:rsidRPr="00FF743B">
        <w:rPr>
          <w:rFonts w:ascii="Cambria" w:hAnsi="Cambria"/>
          <w:sz w:val="20"/>
          <w:szCs w:val="20"/>
          <w:lang w:val="es-ES"/>
        </w:rPr>
        <w:t xml:space="preserve"> </w:t>
      </w:r>
      <w:r w:rsidR="00EC7522" w:rsidRPr="00FF743B">
        <w:rPr>
          <w:rFonts w:ascii="Cambria" w:hAnsi="Cambria"/>
          <w:sz w:val="20"/>
          <w:szCs w:val="20"/>
          <w:lang w:val="es-ES"/>
        </w:rPr>
        <w:t>y la</w:t>
      </w:r>
      <w:r w:rsidR="00DB11D7" w:rsidRPr="00FF743B">
        <w:rPr>
          <w:rFonts w:ascii="Cambria" w:hAnsi="Cambria"/>
          <w:sz w:val="20"/>
          <w:szCs w:val="20"/>
          <w:lang w:val="es-ES"/>
        </w:rPr>
        <w:t xml:space="preserve"> de tener presencia en general </w:t>
      </w:r>
      <w:r w:rsidR="007F0201" w:rsidRPr="00FF743B">
        <w:rPr>
          <w:rFonts w:ascii="Cambria" w:hAnsi="Cambria"/>
          <w:sz w:val="20"/>
          <w:szCs w:val="20"/>
          <w:lang w:val="es-ES"/>
        </w:rPr>
        <w:t>ha sido</w:t>
      </w:r>
      <w:r w:rsidR="00AF4902" w:rsidRPr="00FF743B">
        <w:rPr>
          <w:rFonts w:ascii="Cambria" w:hAnsi="Cambria"/>
          <w:sz w:val="20"/>
          <w:szCs w:val="20"/>
          <w:lang w:val="es-ES"/>
        </w:rPr>
        <w:t xml:space="preserve"> sumamente</w:t>
      </w:r>
      <w:r w:rsidR="007F0201" w:rsidRPr="00FF743B">
        <w:rPr>
          <w:rFonts w:ascii="Cambria" w:hAnsi="Cambria"/>
          <w:sz w:val="20"/>
          <w:szCs w:val="20"/>
          <w:lang w:val="es-ES"/>
        </w:rPr>
        <w:t xml:space="preserve"> limitada en países en donde no se ha</w:t>
      </w:r>
      <w:r w:rsidR="00BD78F5" w:rsidRPr="00FF743B">
        <w:rPr>
          <w:rFonts w:ascii="Cambria" w:hAnsi="Cambria"/>
          <w:sz w:val="20"/>
          <w:szCs w:val="20"/>
          <w:lang w:val="es-ES"/>
        </w:rPr>
        <w:t>n</w:t>
      </w:r>
      <w:r w:rsidR="007F0201" w:rsidRPr="00FF743B">
        <w:rPr>
          <w:rFonts w:ascii="Cambria" w:hAnsi="Cambria"/>
          <w:sz w:val="20"/>
          <w:szCs w:val="20"/>
          <w:lang w:val="es-ES"/>
        </w:rPr>
        <w:t xml:space="preserve"> rat</w:t>
      </w:r>
      <w:r w:rsidR="00EC7522" w:rsidRPr="00FF743B">
        <w:rPr>
          <w:rFonts w:ascii="Cambria" w:hAnsi="Cambria"/>
          <w:sz w:val="20"/>
          <w:szCs w:val="20"/>
          <w:lang w:val="es-ES"/>
        </w:rPr>
        <w:t>ificado la Convención Americana y otros instrumentos interamericanos.</w:t>
      </w:r>
      <w:r w:rsidR="00016655" w:rsidRPr="00FF743B">
        <w:rPr>
          <w:rFonts w:ascii="Cambria" w:hAnsi="Cambria"/>
          <w:sz w:val="20"/>
          <w:szCs w:val="20"/>
          <w:lang w:val="es-ES"/>
        </w:rPr>
        <w:t xml:space="preserve">  </w:t>
      </w:r>
    </w:p>
    <w:p w:rsidR="00103CBE" w:rsidRPr="00FF743B" w:rsidRDefault="00103CBE" w:rsidP="00225F6F">
      <w:pPr>
        <w:jc w:val="both"/>
        <w:rPr>
          <w:rFonts w:ascii="Cambria" w:hAnsi="Cambria"/>
          <w:sz w:val="20"/>
          <w:szCs w:val="20"/>
          <w:lang w:val="es-ES"/>
        </w:rPr>
      </w:pPr>
    </w:p>
    <w:p w:rsidR="00103CBE" w:rsidRDefault="00016655"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cuarto lugar</w:t>
      </w:r>
      <w:r w:rsidRPr="00FF743B">
        <w:rPr>
          <w:rFonts w:ascii="Cambria" w:hAnsi="Cambria"/>
          <w:sz w:val="20"/>
          <w:szCs w:val="20"/>
          <w:lang w:val="es-ES"/>
        </w:rPr>
        <w:t>, de las consideraciones presentadas, se desprende que la</w:t>
      </w:r>
      <w:r w:rsidR="0055302D" w:rsidRPr="00FF743B">
        <w:rPr>
          <w:rFonts w:ascii="Cambria" w:hAnsi="Cambria"/>
          <w:sz w:val="20"/>
          <w:szCs w:val="20"/>
          <w:lang w:val="es-ES"/>
        </w:rPr>
        <w:t>s condiciones para la actividad del sistema interamericano siguen siendo más favorab</w:t>
      </w:r>
      <w:r w:rsidR="001366D5" w:rsidRPr="00FF743B">
        <w:rPr>
          <w:rFonts w:ascii="Cambria" w:hAnsi="Cambria"/>
          <w:sz w:val="20"/>
          <w:szCs w:val="20"/>
          <w:lang w:val="es-ES"/>
        </w:rPr>
        <w:t>les en países de América Latina</w:t>
      </w:r>
      <w:r w:rsidR="009D5E84" w:rsidRPr="00FF743B">
        <w:rPr>
          <w:rFonts w:ascii="Cambria" w:hAnsi="Cambria"/>
          <w:sz w:val="20"/>
          <w:szCs w:val="20"/>
          <w:lang w:val="es-ES"/>
        </w:rPr>
        <w:t xml:space="preserve"> que son Estados partes de la Convención</w:t>
      </w:r>
      <w:r w:rsidR="001366D5" w:rsidRPr="00FF743B">
        <w:rPr>
          <w:rFonts w:ascii="Cambria" w:hAnsi="Cambria"/>
          <w:sz w:val="20"/>
          <w:szCs w:val="20"/>
          <w:lang w:val="es-ES"/>
        </w:rPr>
        <w:t xml:space="preserve"> Americana</w:t>
      </w:r>
      <w:r w:rsidR="009D5E84" w:rsidRPr="00FF743B">
        <w:rPr>
          <w:rFonts w:ascii="Cambria" w:hAnsi="Cambria"/>
          <w:sz w:val="20"/>
          <w:szCs w:val="20"/>
          <w:lang w:val="es-ES"/>
        </w:rPr>
        <w:t xml:space="preserve">. </w:t>
      </w:r>
      <w:r w:rsidR="00AF6DF1" w:rsidRPr="00FF743B">
        <w:rPr>
          <w:rFonts w:ascii="Cambria" w:hAnsi="Cambria"/>
          <w:sz w:val="20"/>
          <w:szCs w:val="20"/>
          <w:lang w:val="es-ES"/>
        </w:rPr>
        <w:t>La participación limitada en el sistema interamericano de países como E</w:t>
      </w:r>
      <w:r w:rsidR="001366D5" w:rsidRPr="00FF743B">
        <w:rPr>
          <w:rFonts w:ascii="Cambria" w:hAnsi="Cambria"/>
          <w:sz w:val="20"/>
          <w:szCs w:val="20"/>
          <w:lang w:val="es-ES"/>
        </w:rPr>
        <w:t xml:space="preserve">stados Unidos y Canadá </w:t>
      </w:r>
      <w:r w:rsidR="00AF6DF1" w:rsidRPr="00FF743B">
        <w:rPr>
          <w:rFonts w:ascii="Cambria" w:hAnsi="Cambria"/>
          <w:sz w:val="20"/>
          <w:szCs w:val="20"/>
          <w:lang w:val="es-ES"/>
        </w:rPr>
        <w:t>limita las oportunidades de compartir experiencias entre el norte y el sur de las Américas sobre avances, desafíos y buenas prácticas en la protección de los derechos humanos.</w:t>
      </w:r>
      <w:r w:rsidR="001366D5" w:rsidRPr="00FF743B">
        <w:rPr>
          <w:rFonts w:ascii="Cambria" w:hAnsi="Cambria"/>
          <w:sz w:val="20"/>
          <w:szCs w:val="20"/>
          <w:lang w:val="es-ES"/>
        </w:rPr>
        <w:t xml:space="preserve">  La CIDH ha destacado que la ratificación de instrumentos interamericanos promueve las metas de integración de la OEA y asegura que todos los ciudadanos de las Américas gocen de la plena protección de sus derechos</w:t>
      </w:r>
      <w:r w:rsidR="001366D5" w:rsidRPr="00FF743B">
        <w:rPr>
          <w:rStyle w:val="FootnoteReference"/>
          <w:rFonts w:ascii="Cambria" w:hAnsi="Cambria"/>
          <w:sz w:val="20"/>
          <w:szCs w:val="20"/>
          <w:lang w:val="es-ES"/>
        </w:rPr>
        <w:footnoteReference w:id="42"/>
      </w:r>
      <w:r w:rsidR="001366D5" w:rsidRPr="00FF743B">
        <w:rPr>
          <w:rFonts w:ascii="Cambria" w:hAnsi="Cambria"/>
          <w:sz w:val="20"/>
          <w:szCs w:val="20"/>
          <w:lang w:val="es-ES"/>
        </w:rPr>
        <w:t>.</w:t>
      </w:r>
    </w:p>
    <w:p w:rsidR="00953AF4" w:rsidRPr="00FF743B" w:rsidRDefault="00953AF4" w:rsidP="00953AF4">
      <w:pPr>
        <w:jc w:val="both"/>
        <w:rPr>
          <w:rFonts w:ascii="Cambria" w:hAnsi="Cambria"/>
          <w:sz w:val="20"/>
          <w:szCs w:val="20"/>
          <w:lang w:val="es-ES"/>
        </w:rPr>
      </w:pPr>
    </w:p>
    <w:p w:rsidR="00103CBE" w:rsidRPr="00FF743B" w:rsidRDefault="00D541DE"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Pese a las preocupaciones señaladas</w:t>
      </w:r>
      <w:r w:rsidR="004B0B9E" w:rsidRPr="00FF743B">
        <w:rPr>
          <w:rFonts w:ascii="Cambria" w:hAnsi="Cambria"/>
          <w:sz w:val="20"/>
          <w:szCs w:val="20"/>
          <w:lang w:val="es-ES"/>
        </w:rPr>
        <w:t>, es también importante para la CIDH reconocer el grado de</w:t>
      </w:r>
      <w:r w:rsidR="0077228D" w:rsidRPr="00FF743B">
        <w:rPr>
          <w:rFonts w:ascii="Cambria" w:hAnsi="Cambria"/>
          <w:sz w:val="20"/>
          <w:szCs w:val="20"/>
          <w:lang w:val="es-ES"/>
        </w:rPr>
        <w:t xml:space="preserve"> participación de Estados Unidos, Canadá y de los países del Caribe </w:t>
      </w:r>
      <w:r w:rsidR="004B0B9E" w:rsidRPr="00FF743B">
        <w:rPr>
          <w:rFonts w:ascii="Cambria" w:hAnsi="Cambria"/>
          <w:sz w:val="20"/>
          <w:szCs w:val="20"/>
          <w:lang w:val="es-ES"/>
        </w:rPr>
        <w:t xml:space="preserve">que no han ratificado la Convención Americana </w:t>
      </w:r>
      <w:r w:rsidR="0077228D" w:rsidRPr="00FF743B">
        <w:rPr>
          <w:rFonts w:ascii="Cambria" w:hAnsi="Cambria"/>
          <w:sz w:val="20"/>
          <w:szCs w:val="20"/>
          <w:lang w:val="es-ES"/>
        </w:rPr>
        <w:t>en la implementación de varios mecanism</w:t>
      </w:r>
      <w:r w:rsidR="00882369" w:rsidRPr="00FF743B">
        <w:rPr>
          <w:rFonts w:ascii="Cambria" w:hAnsi="Cambria"/>
          <w:sz w:val="20"/>
          <w:szCs w:val="20"/>
          <w:lang w:val="es-ES"/>
        </w:rPr>
        <w:t xml:space="preserve">os del sistema interamericano. </w:t>
      </w:r>
      <w:r w:rsidR="004B0B9E" w:rsidRPr="00FF743B">
        <w:rPr>
          <w:rFonts w:ascii="Cambria" w:hAnsi="Cambria"/>
          <w:sz w:val="20"/>
          <w:szCs w:val="20"/>
          <w:lang w:val="es-ES"/>
        </w:rPr>
        <w:t>Por ejemplo, varios Comisionados y Jueces de la Corte</w:t>
      </w:r>
      <w:r w:rsidR="00792293" w:rsidRPr="00FF743B">
        <w:rPr>
          <w:rFonts w:ascii="Cambria" w:hAnsi="Cambria"/>
          <w:sz w:val="20"/>
          <w:szCs w:val="20"/>
          <w:lang w:val="es-ES"/>
        </w:rPr>
        <w:t xml:space="preserve"> Interamericana</w:t>
      </w:r>
      <w:r w:rsidR="004B0B9E" w:rsidRPr="00FF743B">
        <w:rPr>
          <w:rFonts w:ascii="Cambria" w:hAnsi="Cambria"/>
          <w:sz w:val="20"/>
          <w:szCs w:val="20"/>
          <w:lang w:val="es-ES"/>
        </w:rPr>
        <w:t xml:space="preserve"> han provenido de los mencionados países</w:t>
      </w:r>
      <w:r w:rsidR="00362523" w:rsidRPr="00FF743B">
        <w:rPr>
          <w:rStyle w:val="FootnoteReference"/>
          <w:rFonts w:ascii="Cambria" w:hAnsi="Cambria"/>
          <w:sz w:val="20"/>
          <w:szCs w:val="20"/>
          <w:lang w:val="es-ES"/>
        </w:rPr>
        <w:footnoteReference w:id="43"/>
      </w:r>
      <w:r w:rsidR="004B0B9E" w:rsidRPr="00FF743B">
        <w:rPr>
          <w:rFonts w:ascii="Cambria" w:hAnsi="Cambria"/>
          <w:sz w:val="20"/>
          <w:szCs w:val="20"/>
          <w:lang w:val="es-ES"/>
        </w:rPr>
        <w:t>, y los Estados han participado en audiencias temáticas ante la CIDH sobre temas importantes de derechos humanos</w:t>
      </w:r>
      <w:r w:rsidR="004B0B9E" w:rsidRPr="00FF743B">
        <w:rPr>
          <w:rStyle w:val="FootnoteReference"/>
          <w:rFonts w:ascii="Cambria" w:hAnsi="Cambria"/>
          <w:sz w:val="20"/>
          <w:szCs w:val="20"/>
          <w:lang w:val="es-ES"/>
        </w:rPr>
        <w:footnoteReference w:id="44"/>
      </w:r>
      <w:r w:rsidR="008213C5" w:rsidRPr="00FF743B">
        <w:rPr>
          <w:rFonts w:ascii="Cambria" w:hAnsi="Cambria"/>
          <w:sz w:val="20"/>
          <w:szCs w:val="20"/>
          <w:lang w:val="es-ES"/>
        </w:rPr>
        <w:t xml:space="preserve">.  </w:t>
      </w:r>
      <w:r w:rsidR="00026EDA" w:rsidRPr="00FF743B">
        <w:rPr>
          <w:rFonts w:ascii="Cambria" w:hAnsi="Cambria"/>
          <w:sz w:val="20"/>
          <w:szCs w:val="20"/>
          <w:lang w:val="es-ES"/>
        </w:rPr>
        <w:t xml:space="preserve">Varios de los Estados a su vez han creado condiciones propicias para la organización de actividades </w:t>
      </w:r>
      <w:r w:rsidR="00CC668E" w:rsidRPr="00FF743B">
        <w:rPr>
          <w:rFonts w:ascii="Cambria" w:hAnsi="Cambria"/>
          <w:sz w:val="20"/>
          <w:szCs w:val="20"/>
          <w:lang w:val="es-ES"/>
        </w:rPr>
        <w:t xml:space="preserve">de promoción y de </w:t>
      </w:r>
      <w:r w:rsidR="00CC668E" w:rsidRPr="00FF743B">
        <w:rPr>
          <w:rFonts w:ascii="Cambria" w:hAnsi="Cambria"/>
          <w:sz w:val="20"/>
          <w:szCs w:val="20"/>
          <w:lang w:val="es-ES"/>
        </w:rPr>
        <w:lastRenderedPageBreak/>
        <w:t>capacitación sobre los estándares interamericanos</w:t>
      </w:r>
      <w:r w:rsidR="0066067E" w:rsidRPr="00FF743B">
        <w:rPr>
          <w:rStyle w:val="FootnoteReference"/>
          <w:rFonts w:ascii="Cambria" w:hAnsi="Cambria"/>
          <w:sz w:val="20"/>
          <w:szCs w:val="20"/>
          <w:lang w:val="es-ES"/>
        </w:rPr>
        <w:footnoteReference w:id="45"/>
      </w:r>
      <w:r w:rsidR="00CC668E" w:rsidRPr="00FF743B">
        <w:rPr>
          <w:rFonts w:ascii="Cambria" w:hAnsi="Cambria"/>
          <w:sz w:val="20"/>
          <w:szCs w:val="20"/>
          <w:lang w:val="es-ES"/>
        </w:rPr>
        <w:t>.</w:t>
      </w:r>
      <w:r w:rsidR="00882369" w:rsidRPr="00FF743B">
        <w:rPr>
          <w:rFonts w:ascii="Cambria" w:hAnsi="Cambria"/>
          <w:sz w:val="20"/>
          <w:szCs w:val="20"/>
          <w:lang w:val="es-ES"/>
        </w:rPr>
        <w:t xml:space="preserve"> </w:t>
      </w:r>
      <w:r w:rsidR="007B1CD8" w:rsidRPr="00FF743B">
        <w:rPr>
          <w:rFonts w:ascii="Cambria" w:hAnsi="Cambria"/>
          <w:sz w:val="20"/>
          <w:szCs w:val="20"/>
          <w:lang w:val="es-ES"/>
        </w:rPr>
        <w:t xml:space="preserve"> L</w:t>
      </w:r>
      <w:r w:rsidR="003E107C" w:rsidRPr="00FF743B">
        <w:rPr>
          <w:rFonts w:ascii="Cambria" w:hAnsi="Cambria"/>
          <w:sz w:val="20"/>
          <w:szCs w:val="20"/>
          <w:lang w:val="es-ES"/>
        </w:rPr>
        <w:t xml:space="preserve">os Estados asimismo </w:t>
      </w:r>
      <w:r w:rsidR="004B4116" w:rsidRPr="00FF743B">
        <w:rPr>
          <w:rFonts w:ascii="Cambria" w:hAnsi="Cambria"/>
          <w:sz w:val="20"/>
          <w:szCs w:val="20"/>
          <w:lang w:val="es-ES"/>
        </w:rPr>
        <w:t>le han ofrecido</w:t>
      </w:r>
      <w:r w:rsidR="003E107C" w:rsidRPr="00FF743B">
        <w:rPr>
          <w:rFonts w:ascii="Cambria" w:hAnsi="Cambria"/>
          <w:sz w:val="20"/>
          <w:szCs w:val="20"/>
          <w:lang w:val="es-ES"/>
        </w:rPr>
        <w:t xml:space="preserve"> a la CIDH la oportunidad de llevar a cabo visitas de trabajo sobre temas prioritarios y fundamentales</w:t>
      </w:r>
      <w:r w:rsidR="00E81AEC" w:rsidRPr="00FF743B">
        <w:rPr>
          <w:rStyle w:val="FootnoteReference"/>
          <w:rFonts w:ascii="Cambria" w:hAnsi="Cambria"/>
          <w:sz w:val="20"/>
          <w:szCs w:val="20"/>
          <w:lang w:val="es-ES"/>
        </w:rPr>
        <w:footnoteReference w:id="46"/>
      </w:r>
      <w:r w:rsidR="003E107C" w:rsidRPr="00FF743B">
        <w:rPr>
          <w:rFonts w:ascii="Cambria" w:hAnsi="Cambria"/>
          <w:sz w:val="20"/>
          <w:szCs w:val="20"/>
          <w:lang w:val="es-ES"/>
        </w:rPr>
        <w:t>.</w:t>
      </w:r>
      <w:r w:rsidR="007B1CD8" w:rsidRPr="00FF743B">
        <w:rPr>
          <w:rFonts w:ascii="Cambria" w:hAnsi="Cambria"/>
          <w:sz w:val="20"/>
          <w:szCs w:val="20"/>
          <w:lang w:val="es-ES"/>
        </w:rPr>
        <w:t xml:space="preserve"> </w:t>
      </w:r>
      <w:r w:rsidR="003E107C" w:rsidRPr="00FF743B">
        <w:rPr>
          <w:rFonts w:ascii="Cambria" w:hAnsi="Cambria"/>
          <w:sz w:val="20"/>
          <w:szCs w:val="20"/>
          <w:lang w:val="es-ES"/>
        </w:rPr>
        <w:t xml:space="preserve"> </w:t>
      </w:r>
    </w:p>
    <w:p w:rsidR="00103CBE" w:rsidRPr="00FF743B" w:rsidRDefault="00103CBE" w:rsidP="00225F6F">
      <w:pPr>
        <w:jc w:val="both"/>
        <w:rPr>
          <w:rFonts w:ascii="Cambria" w:hAnsi="Cambria"/>
          <w:sz w:val="20"/>
          <w:szCs w:val="20"/>
          <w:lang w:val="es-ES"/>
        </w:rPr>
      </w:pPr>
    </w:p>
    <w:p w:rsidR="00200D53" w:rsidRPr="00FF743B" w:rsidRDefault="00D541DE"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ratificación ofrecería la oportunidad a los países mencionados de tener un rol más activo en la implementación de los mecanismos del sistema interamericano e incrementaría </w:t>
      </w:r>
      <w:r w:rsidR="009D5E84" w:rsidRPr="00FF743B">
        <w:rPr>
          <w:rFonts w:ascii="Cambria" w:hAnsi="Cambria"/>
          <w:sz w:val="20"/>
          <w:szCs w:val="20"/>
          <w:lang w:val="es-ES"/>
        </w:rPr>
        <w:t>su liderazgo</w:t>
      </w:r>
      <w:r w:rsidR="006A182D" w:rsidRPr="00FF743B">
        <w:rPr>
          <w:rFonts w:ascii="Cambria" w:hAnsi="Cambria"/>
          <w:sz w:val="20"/>
          <w:szCs w:val="20"/>
          <w:lang w:val="es-ES"/>
        </w:rPr>
        <w:t xml:space="preserve"> y </w:t>
      </w:r>
      <w:r w:rsidRPr="00FF743B">
        <w:rPr>
          <w:rFonts w:ascii="Cambria" w:hAnsi="Cambria"/>
          <w:sz w:val="20"/>
          <w:szCs w:val="20"/>
          <w:lang w:val="es-ES"/>
        </w:rPr>
        <w:t>la credib</w:t>
      </w:r>
      <w:r w:rsidR="004B4881" w:rsidRPr="00FF743B">
        <w:rPr>
          <w:rFonts w:ascii="Cambria" w:hAnsi="Cambria"/>
          <w:sz w:val="20"/>
          <w:szCs w:val="20"/>
          <w:lang w:val="es-ES"/>
        </w:rPr>
        <w:t xml:space="preserve">ilidad de sus intervenciones en materia de </w:t>
      </w:r>
      <w:r w:rsidRPr="00FF743B">
        <w:rPr>
          <w:rFonts w:ascii="Cambria" w:hAnsi="Cambria"/>
          <w:sz w:val="20"/>
          <w:szCs w:val="20"/>
          <w:lang w:val="es-ES"/>
        </w:rPr>
        <w:t>derechos humanos en la región de las Américas.</w:t>
      </w:r>
    </w:p>
    <w:p w:rsidR="00200D53" w:rsidRDefault="00200D53" w:rsidP="00225F6F">
      <w:pPr>
        <w:pStyle w:val="ListParagraph"/>
        <w:ind w:left="0"/>
        <w:rPr>
          <w:rFonts w:ascii="Cambria" w:hAnsi="Cambria"/>
          <w:sz w:val="20"/>
          <w:szCs w:val="20"/>
          <w:lang w:val="es-ES"/>
        </w:rPr>
      </w:pPr>
    </w:p>
    <w:p w:rsidR="00953AF4" w:rsidRPr="00FF743B" w:rsidRDefault="00953AF4" w:rsidP="00225F6F">
      <w:pPr>
        <w:pStyle w:val="ListParagraph"/>
        <w:ind w:left="0"/>
        <w:rPr>
          <w:rFonts w:ascii="Cambria" w:hAnsi="Cambria"/>
          <w:sz w:val="20"/>
          <w:szCs w:val="20"/>
          <w:lang w:val="es-ES"/>
        </w:rPr>
      </w:pPr>
    </w:p>
    <w:p w:rsidR="00200D53" w:rsidRPr="00FF743B" w:rsidRDefault="00200D53" w:rsidP="00D33D25">
      <w:pPr>
        <w:pStyle w:val="Heading2"/>
        <w:spacing w:before="240" w:after="240"/>
        <w:ind w:left="547" w:hanging="547"/>
        <w:jc w:val="left"/>
      </w:pPr>
      <w:bookmarkStart w:id="5" w:name="_Toc392951575"/>
      <w:r w:rsidRPr="00FF743B">
        <w:t>Obstáculos al acceso a la justicia y al sistema interamericano como instancia complementaria de protección</w:t>
      </w:r>
      <w:bookmarkEnd w:id="5"/>
      <w:r w:rsidRPr="00FF743B">
        <w:t xml:space="preserve"> </w:t>
      </w:r>
    </w:p>
    <w:p w:rsidR="00200D53" w:rsidRPr="00FF743B" w:rsidRDefault="00200D53" w:rsidP="00225F6F">
      <w:pPr>
        <w:jc w:val="both"/>
        <w:rPr>
          <w:rFonts w:ascii="Cambria" w:hAnsi="Cambria"/>
          <w:sz w:val="20"/>
          <w:szCs w:val="20"/>
          <w:lang w:val="es-ES"/>
        </w:rPr>
      </w:pPr>
    </w:p>
    <w:p w:rsidR="00200D53" w:rsidRPr="00FF743B" w:rsidRDefault="0087220E"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w:t>
      </w:r>
      <w:r w:rsidR="00EB4D2B" w:rsidRPr="00FF743B">
        <w:rPr>
          <w:rFonts w:ascii="Cambria" w:hAnsi="Cambria"/>
          <w:sz w:val="20"/>
          <w:szCs w:val="20"/>
          <w:lang w:val="es-ES"/>
        </w:rPr>
        <w:t xml:space="preserve"> CIDH observa que la eficacia del sistema interamericano se encuentra </w:t>
      </w:r>
      <w:r w:rsidR="009D5E84" w:rsidRPr="00FF743B">
        <w:rPr>
          <w:rFonts w:ascii="Cambria" w:hAnsi="Cambria"/>
          <w:sz w:val="20"/>
          <w:szCs w:val="20"/>
          <w:lang w:val="es-ES"/>
        </w:rPr>
        <w:t xml:space="preserve">ligada a su actuar como </w:t>
      </w:r>
      <w:r w:rsidR="00EB4D2B" w:rsidRPr="00FF743B">
        <w:rPr>
          <w:rFonts w:ascii="Cambria" w:hAnsi="Cambria"/>
          <w:sz w:val="20"/>
          <w:szCs w:val="20"/>
          <w:lang w:val="es-ES"/>
        </w:rPr>
        <w:t xml:space="preserve">instancia </w:t>
      </w:r>
      <w:r w:rsidR="009D5E84" w:rsidRPr="00FF743B">
        <w:rPr>
          <w:rFonts w:ascii="Cambria" w:hAnsi="Cambria"/>
          <w:sz w:val="20"/>
          <w:szCs w:val="20"/>
          <w:lang w:val="es-ES"/>
        </w:rPr>
        <w:t xml:space="preserve">complementaria </w:t>
      </w:r>
      <w:r w:rsidR="00EB4D2B" w:rsidRPr="00FF743B">
        <w:rPr>
          <w:rFonts w:ascii="Cambria" w:hAnsi="Cambria"/>
          <w:sz w:val="20"/>
          <w:szCs w:val="20"/>
          <w:lang w:val="es-ES"/>
        </w:rPr>
        <w:t xml:space="preserve">de protección para personas que enfrentan obstáculos para acceder a </w:t>
      </w:r>
      <w:r w:rsidR="00513F10" w:rsidRPr="00FF743B">
        <w:rPr>
          <w:rFonts w:ascii="Cambria" w:hAnsi="Cambria"/>
          <w:sz w:val="20"/>
          <w:szCs w:val="20"/>
          <w:lang w:val="es-ES"/>
        </w:rPr>
        <w:t xml:space="preserve">la justicia a nivel nacional.  </w:t>
      </w:r>
      <w:r w:rsidR="00EB4D2B" w:rsidRPr="00FF743B">
        <w:rPr>
          <w:rFonts w:ascii="Cambria" w:hAnsi="Cambria"/>
          <w:sz w:val="20"/>
          <w:szCs w:val="20"/>
          <w:lang w:val="es-ES"/>
        </w:rPr>
        <w:t>La CIDH ha identificado de forma consistente al acceso a la justicia como uno de los desafíos principales para el respeto de los derechos humanos en las Américas</w:t>
      </w:r>
      <w:r w:rsidR="00D541DE" w:rsidRPr="00FF743B">
        <w:rPr>
          <w:rStyle w:val="FootnoteReference"/>
          <w:rFonts w:ascii="Cambria" w:hAnsi="Cambria"/>
          <w:sz w:val="20"/>
          <w:szCs w:val="20"/>
          <w:lang w:val="es-ES"/>
        </w:rPr>
        <w:footnoteReference w:id="47"/>
      </w:r>
      <w:r w:rsidR="00D541DE" w:rsidRPr="00FF743B">
        <w:rPr>
          <w:rFonts w:ascii="Cambria" w:hAnsi="Cambria"/>
          <w:sz w:val="20"/>
          <w:szCs w:val="20"/>
          <w:lang w:val="es-ES"/>
        </w:rPr>
        <w:t>.</w:t>
      </w:r>
      <w:r w:rsidR="00882369" w:rsidRPr="00FF743B">
        <w:rPr>
          <w:rFonts w:ascii="Cambria" w:hAnsi="Cambria"/>
          <w:sz w:val="20"/>
          <w:szCs w:val="20"/>
          <w:lang w:val="es-ES"/>
        </w:rPr>
        <w:t xml:space="preserve"> </w:t>
      </w:r>
      <w:r w:rsidR="00EB4D2B" w:rsidRPr="00FF743B">
        <w:rPr>
          <w:rFonts w:ascii="Cambria" w:hAnsi="Cambria"/>
          <w:sz w:val="20"/>
          <w:szCs w:val="20"/>
          <w:lang w:val="es-ES"/>
        </w:rPr>
        <w:t>Esta situación es de particular preocupación en lo pertinente a sectores históricamente discri</w:t>
      </w:r>
      <w:r w:rsidR="002A5FB9" w:rsidRPr="00FF743B">
        <w:rPr>
          <w:rFonts w:ascii="Cambria" w:hAnsi="Cambria"/>
          <w:sz w:val="20"/>
          <w:szCs w:val="20"/>
          <w:lang w:val="es-ES"/>
        </w:rPr>
        <w:t>minados y es ilustrada por</w:t>
      </w:r>
      <w:r w:rsidR="00EB4D2B" w:rsidRPr="00FF743B">
        <w:rPr>
          <w:rFonts w:ascii="Cambria" w:hAnsi="Cambria"/>
          <w:sz w:val="20"/>
          <w:szCs w:val="20"/>
          <w:lang w:val="es-ES"/>
        </w:rPr>
        <w:t xml:space="preserve"> el número elevado de peticiones reci</w:t>
      </w:r>
      <w:r w:rsidR="00590149" w:rsidRPr="00FF743B">
        <w:rPr>
          <w:rFonts w:ascii="Cambria" w:hAnsi="Cambria"/>
          <w:sz w:val="20"/>
          <w:szCs w:val="20"/>
          <w:lang w:val="es-ES"/>
        </w:rPr>
        <w:t>bidas anualmente por la CIDH</w:t>
      </w:r>
      <w:r w:rsidR="00E50CE7" w:rsidRPr="00FF743B">
        <w:rPr>
          <w:rStyle w:val="FootnoteReference"/>
          <w:rFonts w:ascii="Cambria" w:hAnsi="Cambria"/>
          <w:sz w:val="20"/>
          <w:szCs w:val="20"/>
          <w:lang w:val="es-ES"/>
        </w:rPr>
        <w:footnoteReference w:id="48"/>
      </w:r>
      <w:r w:rsidR="00247711" w:rsidRPr="00FF743B">
        <w:rPr>
          <w:rFonts w:ascii="Cambria" w:hAnsi="Cambria"/>
          <w:sz w:val="20"/>
          <w:szCs w:val="20"/>
          <w:lang w:val="es-ES"/>
        </w:rPr>
        <w:t>.</w:t>
      </w:r>
      <w:r w:rsidR="00590149" w:rsidRPr="00FF743B">
        <w:rPr>
          <w:rFonts w:ascii="Cambria" w:hAnsi="Cambria"/>
          <w:sz w:val="20"/>
          <w:szCs w:val="20"/>
          <w:lang w:val="es-ES"/>
        </w:rPr>
        <w:t xml:space="preserve"> </w:t>
      </w:r>
    </w:p>
    <w:p w:rsidR="00200D53" w:rsidRPr="00FF743B" w:rsidRDefault="00200D53" w:rsidP="00225F6F">
      <w:pPr>
        <w:jc w:val="both"/>
        <w:rPr>
          <w:rFonts w:ascii="Cambria" w:hAnsi="Cambria"/>
          <w:sz w:val="20"/>
          <w:szCs w:val="20"/>
          <w:lang w:val="es-ES"/>
        </w:rPr>
      </w:pPr>
    </w:p>
    <w:p w:rsidR="00200D53" w:rsidRPr="00FF743B" w:rsidRDefault="00EB4D2B" w:rsidP="00D11F49">
      <w:pPr>
        <w:numPr>
          <w:ilvl w:val="3"/>
          <w:numId w:val="15"/>
        </w:numPr>
        <w:ind w:left="547" w:hanging="547"/>
        <w:jc w:val="both"/>
        <w:rPr>
          <w:rFonts w:ascii="Cambria" w:hAnsi="Cambria"/>
          <w:sz w:val="20"/>
          <w:szCs w:val="20"/>
          <w:lang w:val="es-ES"/>
        </w:rPr>
      </w:pPr>
      <w:r w:rsidRPr="00FF743B">
        <w:rPr>
          <w:rFonts w:ascii="Cambria" w:hAnsi="Cambria"/>
          <w:bCs/>
          <w:sz w:val="20"/>
          <w:szCs w:val="20"/>
          <w:lang w:val="es-ES"/>
        </w:rPr>
        <w:t xml:space="preserve">En </w:t>
      </w:r>
      <w:r w:rsidR="002A5FB9" w:rsidRPr="00FF743B">
        <w:rPr>
          <w:rFonts w:ascii="Cambria" w:hAnsi="Cambria"/>
          <w:bCs/>
          <w:sz w:val="20"/>
          <w:szCs w:val="20"/>
          <w:lang w:val="es-ES"/>
        </w:rPr>
        <w:t xml:space="preserve">dicho </w:t>
      </w:r>
      <w:r w:rsidR="00E50CE7" w:rsidRPr="00FF743B">
        <w:rPr>
          <w:rFonts w:ascii="Cambria" w:hAnsi="Cambria"/>
          <w:bCs/>
          <w:sz w:val="20"/>
          <w:szCs w:val="20"/>
          <w:lang w:val="es-ES"/>
        </w:rPr>
        <w:t>con</w:t>
      </w:r>
      <w:r w:rsidR="002A5FB9" w:rsidRPr="00FF743B">
        <w:rPr>
          <w:rFonts w:ascii="Cambria" w:hAnsi="Cambria"/>
          <w:bCs/>
          <w:sz w:val="20"/>
          <w:szCs w:val="20"/>
          <w:lang w:val="es-ES"/>
        </w:rPr>
        <w:t>texto</w:t>
      </w:r>
      <w:r w:rsidRPr="00FF743B">
        <w:rPr>
          <w:rFonts w:ascii="Cambria" w:hAnsi="Cambria"/>
          <w:bCs/>
          <w:sz w:val="20"/>
          <w:szCs w:val="20"/>
          <w:lang w:val="es-ES"/>
        </w:rPr>
        <w:t xml:space="preserve">, es importante que el sistema </w:t>
      </w:r>
      <w:r w:rsidR="002A5FB9" w:rsidRPr="00FF743B">
        <w:rPr>
          <w:rFonts w:ascii="Cambria" w:hAnsi="Cambria"/>
          <w:bCs/>
          <w:sz w:val="20"/>
          <w:szCs w:val="20"/>
          <w:lang w:val="es-ES"/>
        </w:rPr>
        <w:t xml:space="preserve">interamericano </w:t>
      </w:r>
      <w:r w:rsidRPr="00FF743B">
        <w:rPr>
          <w:rFonts w:ascii="Cambria" w:hAnsi="Cambria"/>
          <w:bCs/>
          <w:sz w:val="20"/>
          <w:szCs w:val="20"/>
          <w:lang w:val="es-ES"/>
        </w:rPr>
        <w:t xml:space="preserve">pueda servir </w:t>
      </w:r>
      <w:r w:rsidR="009D5E84" w:rsidRPr="00FF743B">
        <w:rPr>
          <w:rFonts w:ascii="Cambria" w:hAnsi="Cambria"/>
          <w:bCs/>
          <w:sz w:val="20"/>
          <w:szCs w:val="20"/>
          <w:lang w:val="es-ES"/>
        </w:rPr>
        <w:t>como un</w:t>
      </w:r>
      <w:r w:rsidRPr="00FF743B">
        <w:rPr>
          <w:rFonts w:ascii="Cambria" w:hAnsi="Cambria"/>
          <w:bCs/>
          <w:sz w:val="20"/>
          <w:szCs w:val="20"/>
          <w:lang w:val="es-ES"/>
        </w:rPr>
        <w:t xml:space="preserve"> </w:t>
      </w:r>
      <w:r w:rsidR="009D5E84" w:rsidRPr="00FF743B">
        <w:rPr>
          <w:rFonts w:ascii="Cambria" w:hAnsi="Cambria"/>
          <w:bCs/>
          <w:sz w:val="20"/>
          <w:szCs w:val="20"/>
          <w:lang w:val="es-ES"/>
        </w:rPr>
        <w:t>recurso complementario</w:t>
      </w:r>
      <w:r w:rsidRPr="00FF743B">
        <w:rPr>
          <w:rStyle w:val="FootnoteReference"/>
          <w:rFonts w:ascii="Cambria" w:hAnsi="Cambria"/>
          <w:bCs/>
          <w:sz w:val="20"/>
          <w:szCs w:val="20"/>
          <w:lang w:val="es-ES"/>
        </w:rPr>
        <w:footnoteReference w:id="49"/>
      </w:r>
      <w:r w:rsidR="00590149" w:rsidRPr="00FF743B">
        <w:rPr>
          <w:rFonts w:ascii="Cambria" w:hAnsi="Cambria"/>
          <w:bCs/>
          <w:sz w:val="20"/>
          <w:szCs w:val="20"/>
          <w:lang w:val="es-ES"/>
        </w:rPr>
        <w:t xml:space="preserve"> para las personas afectadas por violac</w:t>
      </w:r>
      <w:r w:rsidR="00882369" w:rsidRPr="00FF743B">
        <w:rPr>
          <w:rFonts w:ascii="Cambria" w:hAnsi="Cambria"/>
          <w:bCs/>
          <w:sz w:val="20"/>
          <w:szCs w:val="20"/>
          <w:lang w:val="es-ES"/>
        </w:rPr>
        <w:t xml:space="preserve">iones de sus derechos humanos. </w:t>
      </w:r>
      <w:r w:rsidR="00590149" w:rsidRPr="00FF743B">
        <w:rPr>
          <w:rFonts w:ascii="Cambria" w:hAnsi="Cambria"/>
          <w:bCs/>
          <w:sz w:val="20"/>
          <w:szCs w:val="20"/>
          <w:lang w:val="es-ES"/>
        </w:rPr>
        <w:t xml:space="preserve">En consecuencia, la CIDH </w:t>
      </w:r>
      <w:r w:rsidR="00590149" w:rsidRPr="00FF743B">
        <w:rPr>
          <w:rFonts w:ascii="Cambria" w:hAnsi="Cambria"/>
          <w:sz w:val="20"/>
          <w:szCs w:val="20"/>
          <w:lang w:val="es-ES"/>
        </w:rPr>
        <w:t>entiende</w:t>
      </w:r>
      <w:r w:rsidR="00590149" w:rsidRPr="00FF743B">
        <w:rPr>
          <w:rFonts w:ascii="Cambria" w:hAnsi="Cambria"/>
          <w:bCs/>
          <w:sz w:val="20"/>
          <w:szCs w:val="20"/>
          <w:lang w:val="es-ES"/>
        </w:rPr>
        <w:t xml:space="preserve"> que los</w:t>
      </w:r>
      <w:r w:rsidRPr="00FF743B">
        <w:rPr>
          <w:rFonts w:ascii="Cambria" w:hAnsi="Cambria"/>
          <w:bCs/>
          <w:sz w:val="20"/>
          <w:szCs w:val="20"/>
          <w:lang w:val="es-ES"/>
        </w:rPr>
        <w:t xml:space="preserve"> desafíos a la eficacia del sistema interamericano discutidos </w:t>
      </w:r>
      <w:r w:rsidR="00817F0F" w:rsidRPr="00FF743B">
        <w:rPr>
          <w:rFonts w:ascii="Cambria" w:hAnsi="Cambria"/>
          <w:bCs/>
          <w:sz w:val="20"/>
          <w:szCs w:val="20"/>
          <w:lang w:val="es-ES"/>
        </w:rPr>
        <w:t>anteriormente</w:t>
      </w:r>
      <w:r w:rsidRPr="00FF743B">
        <w:rPr>
          <w:rFonts w:ascii="Cambria" w:hAnsi="Cambria"/>
          <w:bCs/>
          <w:sz w:val="20"/>
          <w:szCs w:val="20"/>
          <w:lang w:val="es-ES"/>
        </w:rPr>
        <w:t xml:space="preserve">, </w:t>
      </w:r>
      <w:r w:rsidRPr="00B90612">
        <w:rPr>
          <w:rFonts w:ascii="Cambria" w:hAnsi="Cambria"/>
          <w:sz w:val="20"/>
          <w:szCs w:val="20"/>
          <w:lang w:val="es-ES"/>
        </w:rPr>
        <w:t>tienen</w:t>
      </w:r>
      <w:r w:rsidRPr="00FF743B">
        <w:rPr>
          <w:rFonts w:ascii="Cambria" w:hAnsi="Cambria"/>
          <w:bCs/>
          <w:sz w:val="20"/>
          <w:szCs w:val="20"/>
          <w:lang w:val="es-ES"/>
        </w:rPr>
        <w:t xml:space="preserve"> </w:t>
      </w:r>
      <w:r w:rsidRPr="00D11F49">
        <w:rPr>
          <w:rFonts w:ascii="Cambria" w:hAnsi="Cambria"/>
          <w:sz w:val="20"/>
          <w:szCs w:val="20"/>
          <w:lang w:val="es-ES"/>
        </w:rPr>
        <w:t>repercusiones</w:t>
      </w:r>
      <w:r w:rsidRPr="00FF743B">
        <w:rPr>
          <w:rFonts w:ascii="Cambria" w:hAnsi="Cambria"/>
          <w:bCs/>
          <w:sz w:val="20"/>
          <w:szCs w:val="20"/>
          <w:lang w:val="es-ES"/>
        </w:rPr>
        <w:t xml:space="preserve"> para el acceso a la justicia de personas afectadas por violaciones de derechos humanos ocurridas en países que no han ratificado la Convención Americana.</w:t>
      </w:r>
      <w:r w:rsidR="001C27BB" w:rsidRPr="00FF743B">
        <w:rPr>
          <w:rFonts w:ascii="Cambria" w:hAnsi="Cambria"/>
          <w:bCs/>
          <w:sz w:val="20"/>
          <w:szCs w:val="20"/>
          <w:lang w:val="es-ES"/>
        </w:rPr>
        <w:t xml:space="preserve">  Sobre este tema en particular, la CIDH ha observado en el pasado que:</w:t>
      </w:r>
    </w:p>
    <w:p w:rsidR="00200D53" w:rsidRPr="00FF743B" w:rsidRDefault="00200D53" w:rsidP="00225F6F">
      <w:pPr>
        <w:jc w:val="both"/>
        <w:rPr>
          <w:rFonts w:ascii="Cambria" w:hAnsi="Cambria"/>
          <w:bCs/>
          <w:sz w:val="20"/>
          <w:szCs w:val="20"/>
          <w:lang w:val="es-ES"/>
        </w:rPr>
      </w:pPr>
    </w:p>
    <w:p w:rsidR="00200D53" w:rsidRPr="000811A0" w:rsidRDefault="00200D53" w:rsidP="00E94226">
      <w:pPr>
        <w:pStyle w:val="ListParagraph"/>
        <w:ind w:left="979"/>
        <w:jc w:val="both"/>
        <w:rPr>
          <w:rFonts w:ascii="Cambria" w:hAnsi="Cambria"/>
          <w:bCs/>
          <w:sz w:val="20"/>
          <w:szCs w:val="20"/>
          <w:lang w:val="es-ES"/>
        </w:rPr>
      </w:pPr>
      <w:r w:rsidRPr="000811A0">
        <w:rPr>
          <w:rFonts w:ascii="Cambria" w:hAnsi="Cambria"/>
          <w:bCs/>
          <w:sz w:val="20"/>
          <w:szCs w:val="20"/>
          <w:lang w:val="es-ES"/>
        </w:rPr>
        <w:t>……el Sistema Interamericano debe ser una fuente subsidiaria de reparación a las víctimas.  Los casos ante el sistema regional sirven para identificar desafíos y deficiencias a nivel nacional y priorizar su solución.  El concepto de acceso a la justicia reconoce, sin embargo, que la existencia de instituciones no es suficiente para asegurar la vigencia en la re</w:t>
      </w:r>
      <w:r w:rsidR="00475F39" w:rsidRPr="000811A0">
        <w:rPr>
          <w:rFonts w:ascii="Cambria" w:hAnsi="Cambria"/>
          <w:bCs/>
          <w:sz w:val="20"/>
          <w:szCs w:val="20"/>
          <w:lang w:val="es-ES"/>
        </w:rPr>
        <w:t xml:space="preserve">ivindicación de los derechos. </w:t>
      </w:r>
      <w:r w:rsidRPr="000811A0">
        <w:rPr>
          <w:rFonts w:ascii="Cambria" w:hAnsi="Cambria"/>
          <w:bCs/>
          <w:sz w:val="20"/>
          <w:szCs w:val="20"/>
          <w:lang w:val="es-ES"/>
        </w:rPr>
        <w:t xml:space="preserve">Es necesario que exista acceso material (por ejemplo, cercanía de las instituciones) o, en su defecto, mecanismos eficientes y expeditos para asegurar que la información fluya entre la persona y los operadores de justicia.  Es necesario también garantizar que los procedimientos sean accesibles (es decir, que sean simples o, cuando es necesario que sean complejos en razón de la materia, que el Estado provea patrocinio letrado que así lo requieran).   Es también necesario que cuando la justicia se expide en relación con alguna pretensión, la sentencia sea cumplida por el órgano ejecutivo.  Todos estos procesos constituyen parte de un concepto amplio y sustancial de acceso a la justicia. Por los obstáculos existentes, el acceso de las víctimas a un recurso subsidiario y efectivo y eficaz no es el ideal.  Es esencial fortalecer el SIDH para </w:t>
      </w:r>
      <w:r w:rsidRPr="000811A0">
        <w:rPr>
          <w:rFonts w:ascii="Cambria" w:hAnsi="Cambria"/>
          <w:bCs/>
          <w:sz w:val="20"/>
          <w:szCs w:val="20"/>
          <w:lang w:val="es-ES"/>
        </w:rPr>
        <w:lastRenderedPageBreak/>
        <w:t>lograr que todas las víctimas de violaciones a los derechos humanos que no encuentran soluciones en el ordenamiento interno puedan acudir subsidiariamente a la Comisión para lograr una adecuada reparación de sus derechos</w:t>
      </w:r>
      <w:r w:rsidRPr="000811A0">
        <w:rPr>
          <w:rStyle w:val="FootnoteReference"/>
          <w:rFonts w:ascii="Cambria" w:hAnsi="Cambria"/>
          <w:bCs/>
          <w:sz w:val="20"/>
          <w:szCs w:val="20"/>
          <w:lang w:val="es-ES"/>
        </w:rPr>
        <w:footnoteReference w:id="50"/>
      </w:r>
      <w:r w:rsidRPr="000811A0">
        <w:rPr>
          <w:rFonts w:ascii="Cambria" w:hAnsi="Cambria"/>
          <w:bCs/>
          <w:sz w:val="20"/>
          <w:szCs w:val="20"/>
          <w:lang w:val="es-ES"/>
        </w:rPr>
        <w:t>.</w:t>
      </w:r>
    </w:p>
    <w:p w:rsidR="00200D53" w:rsidRPr="00FF743B" w:rsidRDefault="00200D53" w:rsidP="00225F6F">
      <w:pPr>
        <w:jc w:val="both"/>
        <w:rPr>
          <w:rFonts w:ascii="Cambria" w:hAnsi="Cambria"/>
          <w:bCs/>
          <w:sz w:val="20"/>
          <w:szCs w:val="20"/>
          <w:lang w:val="es-ES"/>
        </w:rPr>
      </w:pPr>
    </w:p>
    <w:p w:rsidR="00200D53" w:rsidRPr="00FF743B" w:rsidRDefault="00EB4D2B" w:rsidP="00D11F49">
      <w:pPr>
        <w:numPr>
          <w:ilvl w:val="3"/>
          <w:numId w:val="15"/>
        </w:numPr>
        <w:ind w:left="547" w:hanging="547"/>
        <w:jc w:val="both"/>
        <w:rPr>
          <w:rFonts w:ascii="Cambria" w:hAnsi="Cambria"/>
          <w:sz w:val="20"/>
          <w:szCs w:val="20"/>
          <w:lang w:val="es-ES"/>
        </w:rPr>
      </w:pPr>
      <w:r w:rsidRPr="00FF743B">
        <w:rPr>
          <w:rFonts w:ascii="Cambria" w:hAnsi="Cambria"/>
          <w:bCs/>
          <w:sz w:val="20"/>
          <w:szCs w:val="20"/>
          <w:lang w:val="es-ES"/>
        </w:rPr>
        <w:t xml:space="preserve">A su vez, es importante destacar que la falta de aceptación de la competencia de la Corte Interamericana acentúa las barreras al acceso a la justicia que encaran millones de personas en el hemisferio.  De 1987 a la </w:t>
      </w:r>
      <w:r w:rsidR="00882369" w:rsidRPr="00FF743B">
        <w:rPr>
          <w:rFonts w:ascii="Cambria" w:hAnsi="Cambria"/>
          <w:bCs/>
          <w:sz w:val="20"/>
          <w:szCs w:val="20"/>
          <w:lang w:val="es-ES"/>
        </w:rPr>
        <w:t xml:space="preserve">fecha, la CIDH ha </w:t>
      </w:r>
      <w:r w:rsidR="00882369" w:rsidRPr="00B90612">
        <w:rPr>
          <w:rFonts w:ascii="Cambria" w:hAnsi="Cambria"/>
          <w:sz w:val="20"/>
          <w:szCs w:val="20"/>
          <w:lang w:val="es-ES"/>
        </w:rPr>
        <w:t>sometido</w:t>
      </w:r>
      <w:r w:rsidR="00882369" w:rsidRPr="00FF743B">
        <w:rPr>
          <w:rFonts w:ascii="Cambria" w:hAnsi="Cambria"/>
          <w:bCs/>
          <w:sz w:val="20"/>
          <w:szCs w:val="20"/>
          <w:lang w:val="es-ES"/>
        </w:rPr>
        <w:t xml:space="preserve"> más</w:t>
      </w:r>
      <w:r w:rsidRPr="00FF743B">
        <w:rPr>
          <w:rFonts w:ascii="Cambria" w:hAnsi="Cambria"/>
          <w:bCs/>
          <w:sz w:val="20"/>
          <w:szCs w:val="20"/>
          <w:lang w:val="es-ES"/>
        </w:rPr>
        <w:t xml:space="preserve"> de 200 casos contenciosos a conocimiento de la Corte Interamericana de Derechos Humanos, resultando en sentencias</w:t>
      </w:r>
      <w:r w:rsidR="00E7068A" w:rsidRPr="00FF743B">
        <w:rPr>
          <w:rFonts w:ascii="Cambria" w:hAnsi="Cambria"/>
          <w:bCs/>
          <w:sz w:val="20"/>
          <w:szCs w:val="20"/>
          <w:lang w:val="es-ES"/>
        </w:rPr>
        <w:t xml:space="preserve"> abarcadoras sobre</w:t>
      </w:r>
      <w:r w:rsidRPr="00FF743B">
        <w:rPr>
          <w:rFonts w:ascii="Cambria" w:hAnsi="Cambria"/>
          <w:bCs/>
          <w:sz w:val="20"/>
          <w:szCs w:val="20"/>
          <w:lang w:val="es-ES"/>
        </w:rPr>
        <w:t xml:space="preserve"> una </w:t>
      </w:r>
      <w:r w:rsidRPr="00D11F49">
        <w:rPr>
          <w:rFonts w:ascii="Cambria" w:hAnsi="Cambria"/>
          <w:sz w:val="20"/>
          <w:szCs w:val="20"/>
          <w:lang w:val="es-ES"/>
        </w:rPr>
        <w:t>diversidad</w:t>
      </w:r>
      <w:r w:rsidRPr="00FF743B">
        <w:rPr>
          <w:rFonts w:ascii="Cambria" w:hAnsi="Cambria"/>
          <w:bCs/>
          <w:sz w:val="20"/>
          <w:szCs w:val="20"/>
          <w:lang w:val="es-ES"/>
        </w:rPr>
        <w:t xml:space="preserve"> de temas prioritarios en el ámbito de los dere</w:t>
      </w:r>
      <w:r w:rsidR="00882369" w:rsidRPr="00FF743B">
        <w:rPr>
          <w:rFonts w:ascii="Cambria" w:hAnsi="Cambria"/>
          <w:bCs/>
          <w:sz w:val="20"/>
          <w:szCs w:val="20"/>
          <w:lang w:val="es-ES"/>
        </w:rPr>
        <w:t xml:space="preserve">chos humanos en las Américas.  </w:t>
      </w:r>
      <w:r w:rsidRPr="00FF743B">
        <w:rPr>
          <w:rFonts w:ascii="Cambria" w:hAnsi="Cambria"/>
          <w:bCs/>
          <w:sz w:val="20"/>
          <w:szCs w:val="20"/>
          <w:lang w:val="es-ES"/>
        </w:rPr>
        <w:t>Las órdenes de la Corte Interamericana de Derechos Humanos han fijado estándares globalmente reconocidos sobre el alcance de las reparaciones</w:t>
      </w:r>
      <w:r w:rsidR="00FA7086" w:rsidRPr="00FF743B">
        <w:rPr>
          <w:rStyle w:val="FootnoteReference"/>
          <w:rFonts w:ascii="Cambria" w:hAnsi="Cambria"/>
          <w:bCs/>
          <w:sz w:val="20"/>
          <w:szCs w:val="20"/>
          <w:lang w:val="es-ES"/>
        </w:rPr>
        <w:footnoteReference w:id="51"/>
      </w:r>
      <w:r w:rsidRPr="00FF743B">
        <w:rPr>
          <w:rFonts w:ascii="Cambria" w:hAnsi="Cambria"/>
          <w:bCs/>
          <w:sz w:val="20"/>
          <w:szCs w:val="20"/>
          <w:lang w:val="es-ES"/>
        </w:rPr>
        <w:t>,</w:t>
      </w:r>
      <w:r w:rsidR="00197345" w:rsidRPr="00FF743B">
        <w:rPr>
          <w:rFonts w:ascii="Cambria" w:hAnsi="Cambria"/>
          <w:bCs/>
          <w:sz w:val="20"/>
          <w:szCs w:val="20"/>
          <w:lang w:val="es-ES"/>
        </w:rPr>
        <w:t xml:space="preserve"> la protección de los derechos humanos dur</w:t>
      </w:r>
      <w:r w:rsidR="00E50CE7" w:rsidRPr="00FF743B">
        <w:rPr>
          <w:rFonts w:ascii="Cambria" w:hAnsi="Cambria"/>
          <w:bCs/>
          <w:sz w:val="20"/>
          <w:szCs w:val="20"/>
          <w:lang w:val="es-ES"/>
        </w:rPr>
        <w:t xml:space="preserve">ante periodos de represión, </w:t>
      </w:r>
      <w:r w:rsidR="00197345" w:rsidRPr="00FF743B">
        <w:rPr>
          <w:rFonts w:ascii="Cambria" w:hAnsi="Cambria"/>
          <w:bCs/>
          <w:sz w:val="20"/>
          <w:szCs w:val="20"/>
          <w:lang w:val="es-ES"/>
        </w:rPr>
        <w:t>violencia política</w:t>
      </w:r>
      <w:r w:rsidR="00882369" w:rsidRPr="00FF743B">
        <w:rPr>
          <w:rFonts w:ascii="Cambria" w:hAnsi="Cambria"/>
          <w:bCs/>
          <w:sz w:val="20"/>
          <w:szCs w:val="20"/>
          <w:lang w:val="es-ES"/>
        </w:rPr>
        <w:t xml:space="preserve"> y </w:t>
      </w:r>
      <w:r w:rsidR="00E50CE7" w:rsidRPr="00FF743B">
        <w:rPr>
          <w:rFonts w:ascii="Cambria" w:hAnsi="Cambria"/>
          <w:bCs/>
          <w:sz w:val="20"/>
          <w:szCs w:val="20"/>
          <w:lang w:val="es-ES"/>
        </w:rPr>
        <w:t>conflictos armados</w:t>
      </w:r>
      <w:r w:rsidR="00FA7086" w:rsidRPr="00FF743B">
        <w:rPr>
          <w:rStyle w:val="FootnoteReference"/>
          <w:rFonts w:ascii="Cambria" w:hAnsi="Cambria"/>
          <w:bCs/>
          <w:sz w:val="20"/>
          <w:szCs w:val="20"/>
          <w:lang w:val="es-ES"/>
        </w:rPr>
        <w:footnoteReference w:id="52"/>
      </w:r>
      <w:r w:rsidR="00197345" w:rsidRPr="00FF743B">
        <w:rPr>
          <w:rFonts w:ascii="Cambria" w:hAnsi="Cambria"/>
          <w:bCs/>
          <w:sz w:val="20"/>
          <w:szCs w:val="20"/>
          <w:lang w:val="es-ES"/>
        </w:rPr>
        <w:t>,</w:t>
      </w:r>
      <w:r w:rsidRPr="00FF743B">
        <w:rPr>
          <w:rFonts w:ascii="Cambria" w:hAnsi="Cambria"/>
          <w:bCs/>
          <w:sz w:val="20"/>
          <w:szCs w:val="20"/>
          <w:lang w:val="es-ES"/>
        </w:rPr>
        <w:t xml:space="preserve"> la impunidad de violaciones de los derechos humanos</w:t>
      </w:r>
      <w:r w:rsidR="00FA7086" w:rsidRPr="00FF743B">
        <w:rPr>
          <w:rStyle w:val="FootnoteReference"/>
          <w:rFonts w:ascii="Cambria" w:hAnsi="Cambria"/>
          <w:bCs/>
          <w:sz w:val="20"/>
          <w:szCs w:val="20"/>
          <w:lang w:val="es-ES"/>
        </w:rPr>
        <w:footnoteReference w:id="53"/>
      </w:r>
      <w:r w:rsidR="00FA7086" w:rsidRPr="00FF743B">
        <w:rPr>
          <w:rFonts w:ascii="Cambria" w:hAnsi="Cambria"/>
          <w:bCs/>
          <w:sz w:val="20"/>
          <w:szCs w:val="20"/>
          <w:lang w:val="es-ES"/>
        </w:rPr>
        <w:t>, el acceso a la justicia de personas,</w:t>
      </w:r>
      <w:r w:rsidRPr="00FF743B">
        <w:rPr>
          <w:rFonts w:ascii="Cambria" w:hAnsi="Cambria"/>
          <w:bCs/>
          <w:sz w:val="20"/>
          <w:szCs w:val="20"/>
          <w:lang w:val="es-ES"/>
        </w:rPr>
        <w:t xml:space="preserve"> grupos</w:t>
      </w:r>
      <w:r w:rsidR="00AD66D7" w:rsidRPr="00FF743B">
        <w:rPr>
          <w:rFonts w:ascii="Cambria" w:hAnsi="Cambria"/>
          <w:bCs/>
          <w:sz w:val="20"/>
          <w:szCs w:val="20"/>
          <w:lang w:val="es-ES"/>
        </w:rPr>
        <w:t>,</w:t>
      </w:r>
      <w:r w:rsidRPr="00FF743B">
        <w:rPr>
          <w:rFonts w:ascii="Cambria" w:hAnsi="Cambria"/>
          <w:bCs/>
          <w:sz w:val="20"/>
          <w:szCs w:val="20"/>
          <w:lang w:val="es-ES"/>
        </w:rPr>
        <w:t xml:space="preserve"> y colectividades históricamente discriminadas</w:t>
      </w:r>
      <w:r w:rsidR="00FA7086" w:rsidRPr="00FF743B">
        <w:rPr>
          <w:rStyle w:val="FootnoteReference"/>
          <w:rFonts w:ascii="Cambria" w:hAnsi="Cambria"/>
          <w:bCs/>
          <w:sz w:val="20"/>
          <w:szCs w:val="20"/>
          <w:lang w:val="es-ES"/>
        </w:rPr>
        <w:footnoteReference w:id="54"/>
      </w:r>
      <w:r w:rsidRPr="00FF743B">
        <w:rPr>
          <w:rFonts w:ascii="Cambria" w:hAnsi="Cambria"/>
          <w:bCs/>
          <w:sz w:val="20"/>
          <w:szCs w:val="20"/>
          <w:lang w:val="es-ES"/>
        </w:rPr>
        <w:t>, y obstáculos en la consolidación de las democracias en el hemisferio</w:t>
      </w:r>
      <w:r w:rsidR="00FA7497" w:rsidRPr="00FF743B">
        <w:rPr>
          <w:rStyle w:val="FootnoteReference"/>
          <w:rFonts w:ascii="Cambria" w:hAnsi="Cambria"/>
          <w:bCs/>
          <w:sz w:val="20"/>
          <w:szCs w:val="20"/>
          <w:lang w:val="es-ES"/>
        </w:rPr>
        <w:footnoteReference w:id="55"/>
      </w:r>
      <w:r w:rsidRPr="00FF743B">
        <w:rPr>
          <w:rFonts w:ascii="Cambria" w:hAnsi="Cambria"/>
          <w:bCs/>
          <w:sz w:val="20"/>
          <w:szCs w:val="20"/>
          <w:lang w:val="es-ES"/>
        </w:rPr>
        <w:t>, entre otros temas</w:t>
      </w:r>
      <w:r w:rsidR="009460DB" w:rsidRPr="00FF743B">
        <w:rPr>
          <w:rFonts w:ascii="Cambria" w:hAnsi="Cambria"/>
          <w:bCs/>
          <w:sz w:val="20"/>
          <w:szCs w:val="20"/>
          <w:lang w:val="es-ES"/>
        </w:rPr>
        <w:t>.</w:t>
      </w:r>
      <w:r w:rsidRPr="00FF743B">
        <w:rPr>
          <w:rFonts w:ascii="Cambria" w:hAnsi="Cambria"/>
          <w:bCs/>
          <w:sz w:val="20"/>
          <w:szCs w:val="20"/>
          <w:lang w:val="es-ES"/>
        </w:rPr>
        <w:t xml:space="preserve">  Asimismo la CIDH recuerda la facultad de la Corte de emitir medidas provisionales en casos de gravedad, urgencia y daño irreparable bajo el artículo 6</w:t>
      </w:r>
      <w:r w:rsidR="001B73D7" w:rsidRPr="00FF743B">
        <w:rPr>
          <w:rFonts w:ascii="Cambria" w:hAnsi="Cambria"/>
          <w:bCs/>
          <w:sz w:val="20"/>
          <w:szCs w:val="20"/>
          <w:lang w:val="es-ES"/>
        </w:rPr>
        <w:t>3(2) de la Convención Americana</w:t>
      </w:r>
      <w:r w:rsidR="00A52A5D" w:rsidRPr="00FF743B">
        <w:rPr>
          <w:rFonts w:ascii="Cambria" w:hAnsi="Cambria"/>
          <w:bCs/>
          <w:sz w:val="20"/>
          <w:szCs w:val="20"/>
          <w:lang w:val="es-ES"/>
        </w:rPr>
        <w:t xml:space="preserve">. </w:t>
      </w:r>
      <w:r w:rsidR="00BD78F5" w:rsidRPr="00FF743B">
        <w:rPr>
          <w:rFonts w:ascii="Cambria" w:hAnsi="Cambria"/>
          <w:bCs/>
          <w:sz w:val="20"/>
          <w:szCs w:val="20"/>
          <w:lang w:val="es-ES"/>
        </w:rPr>
        <w:t xml:space="preserve"> </w:t>
      </w:r>
      <w:r w:rsidR="00A52A5D" w:rsidRPr="00FF743B">
        <w:rPr>
          <w:rFonts w:ascii="Cambria" w:hAnsi="Cambria"/>
          <w:bCs/>
          <w:sz w:val="20"/>
          <w:szCs w:val="20"/>
          <w:lang w:val="es-ES"/>
        </w:rPr>
        <w:t xml:space="preserve"> </w:t>
      </w:r>
    </w:p>
    <w:p w:rsidR="00200D53" w:rsidRPr="00FF743B" w:rsidRDefault="00200D53" w:rsidP="00225F6F">
      <w:pPr>
        <w:jc w:val="both"/>
        <w:rPr>
          <w:rFonts w:ascii="Cambria" w:hAnsi="Cambria"/>
          <w:sz w:val="20"/>
          <w:szCs w:val="20"/>
          <w:lang w:val="es-ES"/>
        </w:rPr>
      </w:pPr>
    </w:p>
    <w:p w:rsidR="0001301C" w:rsidRPr="00FF743B" w:rsidRDefault="006B33DD"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no-aceptación de la competencia de la Corte Interamericana</w:t>
      </w:r>
      <w:r w:rsidR="002A5FB9" w:rsidRPr="00FF743B">
        <w:rPr>
          <w:rFonts w:ascii="Cambria" w:hAnsi="Cambria"/>
          <w:sz w:val="20"/>
          <w:szCs w:val="20"/>
          <w:lang w:val="es-ES"/>
        </w:rPr>
        <w:t xml:space="preserve"> a su vez</w:t>
      </w:r>
      <w:r w:rsidRPr="00FF743B">
        <w:rPr>
          <w:rFonts w:ascii="Cambria" w:hAnsi="Cambria"/>
          <w:sz w:val="20"/>
          <w:szCs w:val="20"/>
          <w:lang w:val="es-ES"/>
        </w:rPr>
        <w:t xml:space="preserve"> ha representado un impedimento al carácter evolutivo de la jurisprudencia de la Corte Interamericana en dos sentidos.</w:t>
      </w:r>
      <w:r w:rsidR="009B3749" w:rsidRPr="00FF743B">
        <w:rPr>
          <w:rFonts w:ascii="Cambria" w:hAnsi="Cambria"/>
          <w:sz w:val="20"/>
          <w:szCs w:val="20"/>
          <w:lang w:val="es-ES"/>
        </w:rPr>
        <w:t xml:space="preserve">  </w:t>
      </w:r>
      <w:r w:rsidRPr="00FF743B">
        <w:rPr>
          <w:rFonts w:ascii="Cambria" w:hAnsi="Cambria"/>
          <w:sz w:val="20"/>
          <w:szCs w:val="20"/>
          <w:lang w:val="es-ES"/>
        </w:rPr>
        <w:t>Por un lado, la Corte no ha tenido la oportunidad de resolver casos contenciosos sobre un</w:t>
      </w:r>
      <w:r w:rsidR="00CF579A" w:rsidRPr="00FF743B">
        <w:rPr>
          <w:rFonts w:ascii="Cambria" w:hAnsi="Cambria"/>
          <w:sz w:val="20"/>
          <w:szCs w:val="20"/>
          <w:lang w:val="es-ES"/>
        </w:rPr>
        <w:t xml:space="preserve"> tercio de los Estados Miembros de la</w:t>
      </w:r>
      <w:r w:rsidR="004770FE" w:rsidRPr="00FF743B">
        <w:rPr>
          <w:rFonts w:ascii="Cambria" w:hAnsi="Cambria"/>
          <w:sz w:val="20"/>
          <w:szCs w:val="20"/>
          <w:lang w:val="es-ES"/>
        </w:rPr>
        <w:t xml:space="preserve"> OEA</w:t>
      </w:r>
      <w:r w:rsidR="00CF579A" w:rsidRPr="00FF743B">
        <w:rPr>
          <w:rFonts w:ascii="Cambria" w:hAnsi="Cambria"/>
          <w:sz w:val="20"/>
          <w:szCs w:val="20"/>
          <w:lang w:val="es-ES"/>
        </w:rPr>
        <w:t>.  Ello ha resulta</w:t>
      </w:r>
      <w:r w:rsidRPr="00FF743B">
        <w:rPr>
          <w:rFonts w:ascii="Cambria" w:hAnsi="Cambria"/>
          <w:sz w:val="20"/>
          <w:szCs w:val="20"/>
          <w:lang w:val="es-ES"/>
        </w:rPr>
        <w:t>do en que estos Estados y las personas afectadas no se puedan beneficiar de los aportes jurisprudenciales de la Corte</w:t>
      </w:r>
      <w:r w:rsidR="009B3749" w:rsidRPr="00FF743B">
        <w:rPr>
          <w:rFonts w:ascii="Cambria" w:hAnsi="Cambria"/>
          <w:sz w:val="20"/>
          <w:szCs w:val="20"/>
          <w:lang w:val="es-ES"/>
        </w:rPr>
        <w:t xml:space="preserve"> como intérprete autorizada de la Convención Ame</w:t>
      </w:r>
      <w:r w:rsidR="001D321F" w:rsidRPr="00FF743B">
        <w:rPr>
          <w:rFonts w:ascii="Cambria" w:hAnsi="Cambria"/>
          <w:sz w:val="20"/>
          <w:szCs w:val="20"/>
          <w:lang w:val="es-ES"/>
        </w:rPr>
        <w:t xml:space="preserve">ricana, </w:t>
      </w:r>
      <w:r w:rsidR="009B3749" w:rsidRPr="00FF743B">
        <w:rPr>
          <w:rFonts w:ascii="Cambria" w:hAnsi="Cambria"/>
          <w:sz w:val="20"/>
          <w:szCs w:val="20"/>
          <w:lang w:val="es-ES"/>
        </w:rPr>
        <w:t>y otros instrumentos interamericanos</w:t>
      </w:r>
      <w:r w:rsidR="00882369" w:rsidRPr="00FF743B">
        <w:rPr>
          <w:rFonts w:ascii="Cambria" w:hAnsi="Cambria"/>
          <w:sz w:val="20"/>
          <w:szCs w:val="20"/>
          <w:lang w:val="es-ES"/>
        </w:rPr>
        <w:t xml:space="preserve">. </w:t>
      </w:r>
      <w:r w:rsidRPr="00FF743B">
        <w:rPr>
          <w:rFonts w:ascii="Cambria" w:hAnsi="Cambria"/>
          <w:sz w:val="20"/>
          <w:szCs w:val="20"/>
          <w:lang w:val="es-ES"/>
        </w:rPr>
        <w:t xml:space="preserve">Por otro, la Corte se ha visto limitada en sentar estándares en casos individuales ocurridos en </w:t>
      </w:r>
      <w:r w:rsidRPr="00FF743B">
        <w:rPr>
          <w:rFonts w:ascii="Cambria" w:hAnsi="Cambria"/>
          <w:sz w:val="20"/>
          <w:szCs w:val="20"/>
          <w:lang w:val="es-ES"/>
        </w:rPr>
        <w:lastRenderedPageBreak/>
        <w:t xml:space="preserve">contextos anglo-parlantes, en donde rige el sistema de </w:t>
      </w:r>
      <w:r w:rsidRPr="00FF743B">
        <w:rPr>
          <w:rFonts w:ascii="Cambria" w:hAnsi="Cambria"/>
          <w:i/>
          <w:sz w:val="20"/>
          <w:szCs w:val="20"/>
          <w:lang w:val="es-ES"/>
        </w:rPr>
        <w:t>common law</w:t>
      </w:r>
      <w:r w:rsidR="009B3749" w:rsidRPr="00FF743B">
        <w:rPr>
          <w:rFonts w:ascii="Cambria" w:hAnsi="Cambria"/>
          <w:sz w:val="20"/>
          <w:szCs w:val="20"/>
          <w:lang w:val="es-ES"/>
        </w:rPr>
        <w:t>,</w:t>
      </w:r>
      <w:r w:rsidRPr="00FF743B">
        <w:rPr>
          <w:rFonts w:ascii="Cambria" w:hAnsi="Cambria"/>
          <w:sz w:val="20"/>
          <w:szCs w:val="20"/>
          <w:lang w:val="es-ES"/>
        </w:rPr>
        <w:t xml:space="preserve"> </w:t>
      </w:r>
      <w:r w:rsidR="009B3749" w:rsidRPr="00FF743B">
        <w:rPr>
          <w:rFonts w:ascii="Cambria" w:hAnsi="Cambria"/>
          <w:sz w:val="20"/>
          <w:szCs w:val="20"/>
          <w:lang w:val="es-ES"/>
        </w:rPr>
        <w:t>y en donde las violacione</w:t>
      </w:r>
      <w:r w:rsidR="00CF579A" w:rsidRPr="00FF743B">
        <w:rPr>
          <w:rFonts w:ascii="Cambria" w:hAnsi="Cambria"/>
          <w:sz w:val="20"/>
          <w:szCs w:val="20"/>
          <w:lang w:val="es-ES"/>
        </w:rPr>
        <w:t>s de derechos humanos toman</w:t>
      </w:r>
      <w:r w:rsidR="009B3749" w:rsidRPr="00FF743B">
        <w:rPr>
          <w:rFonts w:ascii="Cambria" w:hAnsi="Cambria"/>
          <w:sz w:val="20"/>
          <w:szCs w:val="20"/>
          <w:lang w:val="es-ES"/>
        </w:rPr>
        <w:t xml:space="preserve"> lugar en un contexto sociopolítico y cultural distinto al de los países latinoamericanos</w:t>
      </w:r>
      <w:r w:rsidR="00731DEA" w:rsidRPr="00FF743B">
        <w:rPr>
          <w:rStyle w:val="FootnoteReference"/>
          <w:rFonts w:ascii="Cambria" w:hAnsi="Cambria"/>
          <w:bCs/>
          <w:sz w:val="20"/>
          <w:szCs w:val="20"/>
          <w:lang w:val="es-ES"/>
        </w:rPr>
        <w:footnoteReference w:id="56"/>
      </w:r>
      <w:r w:rsidR="009B3749" w:rsidRPr="00FF743B">
        <w:rPr>
          <w:rFonts w:ascii="Cambria" w:hAnsi="Cambria"/>
          <w:sz w:val="20"/>
          <w:szCs w:val="20"/>
          <w:lang w:val="es-ES"/>
        </w:rPr>
        <w:t xml:space="preserve">.   </w:t>
      </w:r>
    </w:p>
    <w:p w:rsidR="0001301C" w:rsidRPr="00FF743B" w:rsidRDefault="0001301C" w:rsidP="00225F6F">
      <w:pPr>
        <w:jc w:val="both"/>
        <w:rPr>
          <w:b/>
          <w:lang w:val="es-ES"/>
        </w:rPr>
      </w:pPr>
    </w:p>
    <w:p w:rsidR="0001301C" w:rsidRPr="00A74C88" w:rsidRDefault="0001301C" w:rsidP="00D33D25">
      <w:pPr>
        <w:pStyle w:val="Heading2"/>
        <w:spacing w:before="240" w:after="240"/>
        <w:ind w:left="547" w:hanging="547"/>
        <w:jc w:val="left"/>
      </w:pPr>
      <w:bookmarkStart w:id="6" w:name="_Toc392951576"/>
      <w:r w:rsidRPr="00A74C88">
        <w:t>Desafíos en la incorporación de estándares interamericanos a nivel interno</w:t>
      </w:r>
      <w:bookmarkEnd w:id="6"/>
    </w:p>
    <w:p w:rsidR="0001301C" w:rsidRPr="00FF743B" w:rsidRDefault="0001301C" w:rsidP="00225F6F">
      <w:pPr>
        <w:jc w:val="both"/>
        <w:rPr>
          <w:b/>
          <w:lang w:val="es-ES"/>
        </w:rPr>
      </w:pPr>
    </w:p>
    <w:p w:rsidR="003C3580" w:rsidRPr="00FF743B" w:rsidRDefault="004200E6"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CIDH ha recibido información mediante la implementación de sus mecanismos apuntando a como la no-ratificación de instrumentos interamericanos puede constituir un impedimento asimismo en la incorporación de estándares interamericanos en la legislación, políticas</w:t>
      </w:r>
      <w:r w:rsidR="007B1CD8" w:rsidRPr="00FF743B">
        <w:rPr>
          <w:rFonts w:ascii="Cambria" w:hAnsi="Cambria"/>
          <w:sz w:val="20"/>
          <w:szCs w:val="20"/>
          <w:lang w:val="es-ES"/>
        </w:rPr>
        <w:t xml:space="preserve"> y prácticas de los Estados.  </w:t>
      </w:r>
      <w:r w:rsidRPr="00FF743B">
        <w:rPr>
          <w:rFonts w:ascii="Cambria" w:hAnsi="Cambria"/>
          <w:sz w:val="20"/>
          <w:szCs w:val="20"/>
          <w:lang w:val="es-ES"/>
        </w:rPr>
        <w:t>La CIDH ha destacado su preocupación en un número de ocasiones sobre la brecha entre los compromisos adoptados por los Estados en los instrumentos interamericanos de protección de los derechos humanos, y la realidad apremiante de derechos humanos que viven millones de personas en el hemisferio de las Américas.   Si bien se han registrado avances importantes en la implementación de las recomendaciones de la CIDH y en el cumplimiento de las decisiones de la Corte, aún no se ha logrado alcanzar un nivel de cumplimiento que permita garantizar la efectividad del sistema interamericano</w:t>
      </w:r>
      <w:r w:rsidRPr="00FF743B">
        <w:rPr>
          <w:rStyle w:val="FootnoteReference"/>
          <w:rFonts w:ascii="Cambria" w:hAnsi="Cambria"/>
          <w:sz w:val="20"/>
          <w:szCs w:val="20"/>
          <w:lang w:val="es-ES"/>
        </w:rPr>
        <w:footnoteReference w:id="57"/>
      </w:r>
      <w:r w:rsidRPr="00FF743B">
        <w:rPr>
          <w:rFonts w:ascii="Cambria" w:hAnsi="Cambria"/>
          <w:sz w:val="20"/>
          <w:szCs w:val="20"/>
          <w:lang w:val="es-ES"/>
        </w:rPr>
        <w:t xml:space="preserve">.  </w:t>
      </w:r>
    </w:p>
    <w:p w:rsidR="003C3580" w:rsidRPr="00FF743B" w:rsidRDefault="003C3580" w:rsidP="00225F6F">
      <w:pPr>
        <w:jc w:val="both"/>
        <w:rPr>
          <w:rFonts w:ascii="Cambria" w:hAnsi="Cambria"/>
          <w:sz w:val="20"/>
          <w:szCs w:val="20"/>
          <w:lang w:val="es-ES"/>
        </w:rPr>
      </w:pPr>
    </w:p>
    <w:p w:rsidR="007A65E3" w:rsidRPr="00FF743B" w:rsidRDefault="0028126B"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dicho contexto, l</w:t>
      </w:r>
      <w:r w:rsidR="00CA12C9" w:rsidRPr="00FF743B">
        <w:rPr>
          <w:rFonts w:ascii="Cambria" w:hAnsi="Cambria"/>
          <w:sz w:val="20"/>
          <w:szCs w:val="20"/>
          <w:lang w:val="es-ES"/>
        </w:rPr>
        <w:t xml:space="preserve">a falta de incorporación de los estándares interamericanos a nivel interno </w:t>
      </w:r>
      <w:r w:rsidR="00B86F4F" w:rsidRPr="00FF743B">
        <w:rPr>
          <w:rFonts w:ascii="Cambria" w:hAnsi="Cambria"/>
          <w:sz w:val="20"/>
          <w:szCs w:val="20"/>
          <w:lang w:val="es-ES"/>
        </w:rPr>
        <w:t xml:space="preserve">es un tema </w:t>
      </w:r>
      <w:r w:rsidR="001D321F" w:rsidRPr="00FF743B">
        <w:rPr>
          <w:rFonts w:ascii="Cambria" w:hAnsi="Cambria"/>
          <w:sz w:val="20"/>
          <w:szCs w:val="20"/>
          <w:lang w:val="es-ES"/>
        </w:rPr>
        <w:t xml:space="preserve">especialmente </w:t>
      </w:r>
      <w:r w:rsidR="00B86F4F" w:rsidRPr="00FF743B">
        <w:rPr>
          <w:rFonts w:ascii="Cambria" w:hAnsi="Cambria"/>
          <w:sz w:val="20"/>
          <w:szCs w:val="20"/>
          <w:lang w:val="es-ES"/>
        </w:rPr>
        <w:t xml:space="preserve">prioritario en países que no han ratificado los instrumentos interamericanos de derechos humanos.  </w:t>
      </w:r>
      <w:r w:rsidR="000A086C" w:rsidRPr="00FF743B">
        <w:rPr>
          <w:rFonts w:ascii="Cambria" w:hAnsi="Cambria"/>
          <w:sz w:val="20"/>
          <w:szCs w:val="20"/>
          <w:lang w:val="es-ES"/>
        </w:rPr>
        <w:t xml:space="preserve"> La CIDH considera que ello </w:t>
      </w:r>
      <w:r w:rsidR="001D321F" w:rsidRPr="00FF743B">
        <w:rPr>
          <w:rFonts w:ascii="Cambria" w:hAnsi="Cambria"/>
          <w:sz w:val="20"/>
          <w:szCs w:val="20"/>
          <w:lang w:val="es-ES"/>
        </w:rPr>
        <w:t>es ilustrado por varios ejemplos</w:t>
      </w:r>
      <w:r w:rsidR="000A086C" w:rsidRPr="00FF743B">
        <w:rPr>
          <w:rFonts w:ascii="Cambria" w:hAnsi="Cambria"/>
          <w:sz w:val="20"/>
          <w:szCs w:val="20"/>
          <w:lang w:val="es-ES"/>
        </w:rPr>
        <w:t xml:space="preserve">.  </w:t>
      </w:r>
      <w:r w:rsidRPr="00FF743B">
        <w:rPr>
          <w:rFonts w:ascii="Cambria" w:hAnsi="Cambria"/>
          <w:sz w:val="20"/>
          <w:szCs w:val="20"/>
          <w:lang w:val="es-ES"/>
        </w:rPr>
        <w:t xml:space="preserve"> </w:t>
      </w:r>
    </w:p>
    <w:p w:rsidR="000D0E3B" w:rsidRDefault="000D0E3B" w:rsidP="00225F6F">
      <w:pPr>
        <w:jc w:val="both"/>
        <w:rPr>
          <w:rFonts w:ascii="Cambria" w:hAnsi="Cambria"/>
          <w:sz w:val="20"/>
          <w:szCs w:val="20"/>
          <w:lang w:val="es-ES"/>
        </w:rPr>
      </w:pPr>
    </w:p>
    <w:p w:rsidR="00953AF4" w:rsidRDefault="00953AF4" w:rsidP="00225F6F">
      <w:pPr>
        <w:jc w:val="both"/>
        <w:rPr>
          <w:rFonts w:ascii="Cambria" w:hAnsi="Cambria"/>
          <w:sz w:val="20"/>
          <w:szCs w:val="20"/>
          <w:lang w:val="es-ES"/>
        </w:rPr>
      </w:pPr>
    </w:p>
    <w:p w:rsidR="00953AF4" w:rsidRPr="00FF743B" w:rsidRDefault="00953AF4" w:rsidP="00225F6F">
      <w:pPr>
        <w:jc w:val="both"/>
        <w:rPr>
          <w:rFonts w:ascii="Cambria" w:hAnsi="Cambria"/>
          <w:sz w:val="20"/>
          <w:szCs w:val="20"/>
          <w:lang w:val="es-ES"/>
        </w:rPr>
      </w:pPr>
    </w:p>
    <w:p w:rsidR="000D0E3B" w:rsidRPr="00FF743B" w:rsidRDefault="000A086C"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lastRenderedPageBreak/>
        <w:t>Un</w:t>
      </w:r>
      <w:r w:rsidR="00CA12C9" w:rsidRPr="00FF743B">
        <w:rPr>
          <w:rFonts w:ascii="Cambria" w:hAnsi="Cambria"/>
          <w:sz w:val="20"/>
          <w:szCs w:val="20"/>
          <w:lang w:val="es-ES"/>
        </w:rPr>
        <w:t xml:space="preserve"> ejemplo</w:t>
      </w:r>
      <w:r w:rsidRPr="00FF743B">
        <w:rPr>
          <w:rFonts w:ascii="Cambria" w:hAnsi="Cambria"/>
          <w:sz w:val="20"/>
          <w:szCs w:val="20"/>
          <w:lang w:val="es-ES"/>
        </w:rPr>
        <w:t xml:space="preserve"> importante es</w:t>
      </w:r>
      <w:r w:rsidR="00CA12C9" w:rsidRPr="00FF743B">
        <w:rPr>
          <w:rFonts w:ascii="Cambria" w:hAnsi="Cambria"/>
          <w:sz w:val="20"/>
          <w:szCs w:val="20"/>
          <w:lang w:val="es-ES"/>
        </w:rPr>
        <w:t xml:space="preserve"> el nivel bajo de cumplimiento de las decisiones adoptadas por la CIDH </w:t>
      </w:r>
      <w:r w:rsidR="007B1CD8" w:rsidRPr="00FF743B">
        <w:rPr>
          <w:rFonts w:ascii="Cambria" w:hAnsi="Cambria"/>
          <w:sz w:val="20"/>
          <w:szCs w:val="20"/>
          <w:lang w:val="es-ES"/>
        </w:rPr>
        <w:t xml:space="preserve">bajo la Declaración Americana. </w:t>
      </w:r>
      <w:r w:rsidR="0028126B" w:rsidRPr="00FF743B">
        <w:rPr>
          <w:rFonts w:ascii="Cambria" w:hAnsi="Cambria"/>
          <w:sz w:val="20"/>
          <w:szCs w:val="20"/>
          <w:lang w:val="es-ES"/>
        </w:rPr>
        <w:t>En su informe anual del 2013, la CIDH incluye información sobre el estado de cumplimiento de las recomendaciones de la CIDH formuladas en el marco de 219 casos resueltos y publicados en los últimos once años</w:t>
      </w:r>
      <w:r w:rsidR="0091681A" w:rsidRPr="00FF743B">
        <w:rPr>
          <w:rStyle w:val="FootnoteReference"/>
          <w:rFonts w:ascii="Cambria" w:hAnsi="Cambria"/>
          <w:sz w:val="20"/>
          <w:szCs w:val="20"/>
          <w:lang w:val="es-ES"/>
        </w:rPr>
        <w:footnoteReference w:id="58"/>
      </w:r>
      <w:r w:rsidR="00911859" w:rsidRPr="00FF743B">
        <w:rPr>
          <w:rFonts w:ascii="Cambria" w:hAnsi="Cambria"/>
          <w:sz w:val="20"/>
          <w:szCs w:val="20"/>
          <w:lang w:val="es-ES"/>
        </w:rPr>
        <w:t xml:space="preserve">.  </w:t>
      </w:r>
      <w:r w:rsidR="0028126B" w:rsidRPr="00FF743B">
        <w:rPr>
          <w:rFonts w:ascii="Cambria" w:hAnsi="Cambria"/>
          <w:sz w:val="20"/>
          <w:szCs w:val="20"/>
          <w:lang w:val="es-ES"/>
        </w:rPr>
        <w:t>Es importante notar que 27 de estos casos se relacionan a países que no han ratificado la Convención Americana y 19 de los mismos se encuentran pendientes de cumplimiento</w:t>
      </w:r>
      <w:r w:rsidR="0091681A" w:rsidRPr="00FF743B">
        <w:rPr>
          <w:rStyle w:val="FootnoteReference"/>
          <w:rFonts w:ascii="Cambria" w:hAnsi="Cambria"/>
          <w:sz w:val="20"/>
          <w:szCs w:val="20"/>
          <w:lang w:val="es-ES"/>
        </w:rPr>
        <w:footnoteReference w:id="59"/>
      </w:r>
      <w:r w:rsidR="0028126B" w:rsidRPr="00FF743B">
        <w:rPr>
          <w:rFonts w:ascii="Cambria" w:hAnsi="Cambria"/>
          <w:sz w:val="20"/>
          <w:szCs w:val="20"/>
          <w:lang w:val="es-ES"/>
        </w:rPr>
        <w:t>. Sólo un caso de los 27 registra un cumplimiento total</w:t>
      </w:r>
      <w:r w:rsidR="0091681A" w:rsidRPr="00FF743B">
        <w:rPr>
          <w:rStyle w:val="FootnoteReference"/>
          <w:rFonts w:ascii="Cambria" w:hAnsi="Cambria"/>
          <w:sz w:val="20"/>
          <w:szCs w:val="20"/>
          <w:lang w:val="es-ES"/>
        </w:rPr>
        <w:footnoteReference w:id="60"/>
      </w:r>
      <w:r w:rsidR="0028126B" w:rsidRPr="00FF743B">
        <w:rPr>
          <w:rFonts w:ascii="Cambria" w:hAnsi="Cambria"/>
          <w:sz w:val="20"/>
          <w:szCs w:val="20"/>
          <w:lang w:val="es-ES"/>
        </w:rPr>
        <w:t>.</w:t>
      </w:r>
      <w:r w:rsidR="0091681A" w:rsidRPr="00FF743B">
        <w:rPr>
          <w:rFonts w:ascii="Cambria" w:hAnsi="Cambria"/>
          <w:sz w:val="20"/>
          <w:szCs w:val="20"/>
          <w:lang w:val="es-ES"/>
        </w:rPr>
        <w:t xml:space="preserve">   </w:t>
      </w:r>
    </w:p>
    <w:p w:rsidR="000D0E3B" w:rsidRPr="00FF743B" w:rsidRDefault="000D0E3B" w:rsidP="00225F6F">
      <w:pPr>
        <w:jc w:val="both"/>
        <w:rPr>
          <w:rFonts w:ascii="Cambria" w:hAnsi="Cambria"/>
          <w:b/>
          <w:sz w:val="20"/>
          <w:szCs w:val="20"/>
          <w:lang w:val="es-ES"/>
        </w:rPr>
      </w:pPr>
    </w:p>
    <w:p w:rsidR="00265B6C" w:rsidRPr="00FF743B" w:rsidRDefault="0091681A"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CIDH </w:t>
      </w:r>
      <w:r w:rsidR="00DF4A2A" w:rsidRPr="00FF743B">
        <w:rPr>
          <w:rFonts w:ascii="Cambria" w:hAnsi="Cambria"/>
          <w:sz w:val="20"/>
          <w:szCs w:val="20"/>
          <w:lang w:val="es-ES"/>
        </w:rPr>
        <w:t xml:space="preserve">a su vez </w:t>
      </w:r>
      <w:r w:rsidRPr="00FF743B">
        <w:rPr>
          <w:rFonts w:ascii="Cambria" w:hAnsi="Cambria"/>
          <w:sz w:val="20"/>
          <w:szCs w:val="20"/>
          <w:lang w:val="es-ES"/>
        </w:rPr>
        <w:t>se ha referido a situaciones</w:t>
      </w:r>
      <w:r w:rsidR="008E7D83" w:rsidRPr="00FF743B">
        <w:rPr>
          <w:rFonts w:ascii="Cambria" w:hAnsi="Cambria"/>
          <w:sz w:val="20"/>
          <w:szCs w:val="20"/>
          <w:lang w:val="es-ES"/>
        </w:rPr>
        <w:t xml:space="preserve"> graves</w:t>
      </w:r>
      <w:r w:rsidRPr="00FF743B">
        <w:rPr>
          <w:rFonts w:ascii="Cambria" w:hAnsi="Cambria"/>
          <w:sz w:val="20"/>
          <w:szCs w:val="20"/>
          <w:lang w:val="es-ES"/>
        </w:rPr>
        <w:t xml:space="preserve"> de violaciones de derechos humanos en varios países que no han ratificado la Convención Americana en sus informes </w:t>
      </w:r>
      <w:r w:rsidR="00E47AD3" w:rsidRPr="00FF743B">
        <w:rPr>
          <w:rFonts w:ascii="Cambria" w:hAnsi="Cambria"/>
          <w:sz w:val="20"/>
          <w:szCs w:val="20"/>
          <w:lang w:val="es-ES"/>
        </w:rPr>
        <w:t>sobre casos individuales</w:t>
      </w:r>
      <w:r w:rsidR="006341BA" w:rsidRPr="00FF743B">
        <w:rPr>
          <w:rStyle w:val="FootnoteReference"/>
          <w:rFonts w:ascii="Cambria" w:hAnsi="Cambria"/>
          <w:sz w:val="20"/>
          <w:szCs w:val="20"/>
          <w:lang w:val="es-ES"/>
        </w:rPr>
        <w:footnoteReference w:id="61"/>
      </w:r>
      <w:r w:rsidR="00E47AD3" w:rsidRPr="00FF743B">
        <w:rPr>
          <w:rFonts w:ascii="Cambria" w:hAnsi="Cambria"/>
          <w:sz w:val="20"/>
          <w:szCs w:val="20"/>
          <w:lang w:val="es-ES"/>
        </w:rPr>
        <w:t>, informes de país</w:t>
      </w:r>
      <w:r w:rsidR="00256EFC" w:rsidRPr="00FF743B">
        <w:rPr>
          <w:rStyle w:val="FootnoteReference"/>
          <w:rFonts w:ascii="Cambria" w:hAnsi="Cambria"/>
          <w:sz w:val="20"/>
          <w:szCs w:val="20"/>
          <w:lang w:val="es-ES"/>
        </w:rPr>
        <w:footnoteReference w:id="62"/>
      </w:r>
      <w:r w:rsidR="00E47AD3" w:rsidRPr="00FF743B">
        <w:rPr>
          <w:rFonts w:ascii="Cambria" w:hAnsi="Cambria"/>
          <w:sz w:val="20"/>
          <w:szCs w:val="20"/>
          <w:lang w:val="es-ES"/>
        </w:rPr>
        <w:t>, informes temáticos</w:t>
      </w:r>
      <w:r w:rsidR="00256EFC" w:rsidRPr="00FF743B">
        <w:rPr>
          <w:rStyle w:val="FootnoteReference"/>
          <w:rFonts w:ascii="Cambria" w:hAnsi="Cambria"/>
          <w:sz w:val="20"/>
          <w:szCs w:val="20"/>
          <w:lang w:val="es-ES"/>
        </w:rPr>
        <w:footnoteReference w:id="63"/>
      </w:r>
      <w:r w:rsidR="00E47AD3" w:rsidRPr="00FF743B">
        <w:rPr>
          <w:rFonts w:ascii="Cambria" w:hAnsi="Cambria"/>
          <w:sz w:val="20"/>
          <w:szCs w:val="20"/>
          <w:lang w:val="es-ES"/>
        </w:rPr>
        <w:t>, y medidas cautelares</w:t>
      </w:r>
      <w:r w:rsidR="0064386D" w:rsidRPr="00FF743B">
        <w:rPr>
          <w:rStyle w:val="FootnoteReference"/>
          <w:rFonts w:ascii="Cambria" w:hAnsi="Cambria"/>
          <w:sz w:val="20"/>
          <w:szCs w:val="20"/>
          <w:lang w:val="es-ES"/>
        </w:rPr>
        <w:footnoteReference w:id="64"/>
      </w:r>
      <w:r w:rsidR="00E47AD3" w:rsidRPr="00FF743B">
        <w:rPr>
          <w:rFonts w:ascii="Cambria" w:hAnsi="Cambria"/>
          <w:sz w:val="20"/>
          <w:szCs w:val="20"/>
          <w:lang w:val="es-ES"/>
        </w:rPr>
        <w:t>.</w:t>
      </w:r>
      <w:r w:rsidR="00AD6361" w:rsidRPr="00FF743B">
        <w:rPr>
          <w:rFonts w:ascii="Cambria" w:hAnsi="Cambria"/>
          <w:sz w:val="20"/>
          <w:szCs w:val="20"/>
          <w:lang w:val="es-ES"/>
        </w:rPr>
        <w:t xml:space="preserve"> </w:t>
      </w:r>
      <w:r w:rsidR="00E47AD3" w:rsidRPr="00FF743B">
        <w:rPr>
          <w:rFonts w:ascii="Cambria" w:hAnsi="Cambria"/>
          <w:sz w:val="20"/>
          <w:szCs w:val="20"/>
          <w:lang w:val="es-ES"/>
        </w:rPr>
        <w:t xml:space="preserve">A su vez, ha convocado un número significativo de </w:t>
      </w:r>
      <w:r w:rsidR="00FB5DA4">
        <w:rPr>
          <w:rFonts w:ascii="Cambria" w:hAnsi="Cambria"/>
          <w:sz w:val="20"/>
          <w:szCs w:val="20"/>
          <w:lang w:val="es-ES"/>
        </w:rPr>
        <w:br/>
      </w:r>
      <w:r w:rsidR="00E47AD3" w:rsidRPr="00FF743B">
        <w:rPr>
          <w:rFonts w:ascii="Cambria" w:hAnsi="Cambria"/>
          <w:sz w:val="20"/>
          <w:szCs w:val="20"/>
          <w:lang w:val="es-ES"/>
        </w:rPr>
        <w:t>audiencias</w:t>
      </w:r>
      <w:r w:rsidR="00503F8E" w:rsidRPr="00FF743B">
        <w:rPr>
          <w:rStyle w:val="FootnoteReference"/>
          <w:rFonts w:ascii="Cambria" w:hAnsi="Cambria"/>
          <w:sz w:val="20"/>
          <w:szCs w:val="20"/>
          <w:lang w:val="es-ES"/>
        </w:rPr>
        <w:footnoteReference w:id="65"/>
      </w:r>
      <w:r w:rsidR="00E47AD3" w:rsidRPr="00FF743B">
        <w:rPr>
          <w:rFonts w:ascii="Cambria" w:hAnsi="Cambria"/>
          <w:sz w:val="20"/>
          <w:szCs w:val="20"/>
          <w:lang w:val="es-ES"/>
        </w:rPr>
        <w:t xml:space="preserve"> sobre estos países aludiendo a temas prioritarios y pertinentes al ejercicio de los derechos civiles, políticos, económicos, sociales y culturales</w:t>
      </w:r>
      <w:r w:rsidR="00BD78F5" w:rsidRPr="00FF743B">
        <w:rPr>
          <w:rFonts w:ascii="Cambria" w:hAnsi="Cambria"/>
          <w:sz w:val="20"/>
          <w:szCs w:val="20"/>
          <w:lang w:val="es-ES"/>
        </w:rPr>
        <w:t xml:space="preserve">. </w:t>
      </w:r>
      <w:r w:rsidR="00E47AD3" w:rsidRPr="00FF743B">
        <w:rPr>
          <w:rFonts w:ascii="Cambria" w:hAnsi="Cambria"/>
          <w:sz w:val="20"/>
          <w:szCs w:val="20"/>
          <w:lang w:val="es-ES"/>
        </w:rPr>
        <w:t xml:space="preserve"> </w:t>
      </w:r>
      <w:r w:rsidR="00BD78F5" w:rsidRPr="00FF743B">
        <w:rPr>
          <w:rFonts w:ascii="Cambria" w:hAnsi="Cambria"/>
          <w:sz w:val="20"/>
          <w:szCs w:val="20"/>
          <w:lang w:val="es-ES"/>
        </w:rPr>
        <w:t xml:space="preserve"> </w:t>
      </w:r>
    </w:p>
    <w:p w:rsidR="003B7820" w:rsidRPr="00FF743B" w:rsidRDefault="00771E92"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lastRenderedPageBreak/>
        <w:t xml:space="preserve">La CIDH recibió repuestas a su </w:t>
      </w:r>
      <w:r w:rsidR="000A086C" w:rsidRPr="00FF743B">
        <w:rPr>
          <w:rFonts w:ascii="Cambria" w:hAnsi="Cambria"/>
          <w:sz w:val="20"/>
          <w:szCs w:val="20"/>
          <w:lang w:val="es-ES"/>
        </w:rPr>
        <w:t>cuestionario</w:t>
      </w:r>
      <w:r w:rsidRPr="00FF743B">
        <w:rPr>
          <w:rFonts w:ascii="Cambria" w:hAnsi="Cambria"/>
          <w:sz w:val="20"/>
          <w:szCs w:val="20"/>
          <w:lang w:val="es-ES"/>
        </w:rPr>
        <w:t xml:space="preserve"> respecto al tema de la universalidad</w:t>
      </w:r>
      <w:r w:rsidR="000A086C" w:rsidRPr="00FF743B">
        <w:rPr>
          <w:rFonts w:ascii="Cambria" w:hAnsi="Cambria"/>
          <w:sz w:val="20"/>
          <w:szCs w:val="20"/>
          <w:lang w:val="es-ES"/>
        </w:rPr>
        <w:t xml:space="preserve"> </w:t>
      </w:r>
      <w:r w:rsidR="003C4ADA" w:rsidRPr="00FF743B">
        <w:rPr>
          <w:rFonts w:ascii="Cambria" w:hAnsi="Cambria"/>
          <w:sz w:val="20"/>
          <w:szCs w:val="20"/>
          <w:lang w:val="es-ES"/>
        </w:rPr>
        <w:t xml:space="preserve">de parte de actores no estatales </w:t>
      </w:r>
      <w:r w:rsidR="00911859" w:rsidRPr="00FF743B">
        <w:rPr>
          <w:rFonts w:ascii="Cambria" w:hAnsi="Cambria"/>
          <w:sz w:val="20"/>
          <w:szCs w:val="20"/>
          <w:lang w:val="es-ES"/>
        </w:rPr>
        <w:t>ejemplificando</w:t>
      </w:r>
      <w:r w:rsidR="000A086C" w:rsidRPr="00FF743B">
        <w:rPr>
          <w:rFonts w:ascii="Cambria" w:hAnsi="Cambria"/>
          <w:sz w:val="20"/>
          <w:szCs w:val="20"/>
          <w:lang w:val="es-ES"/>
        </w:rPr>
        <w:t xml:space="preserve"> desafíos prioritarios pendientes en cuanto a la inco</w:t>
      </w:r>
      <w:r w:rsidR="00911859" w:rsidRPr="00FF743B">
        <w:rPr>
          <w:rFonts w:ascii="Cambria" w:hAnsi="Cambria"/>
          <w:sz w:val="20"/>
          <w:szCs w:val="20"/>
          <w:lang w:val="es-ES"/>
        </w:rPr>
        <w:t>rporación de derechos humanos en</w:t>
      </w:r>
      <w:r w:rsidR="002A5FB9" w:rsidRPr="00FF743B">
        <w:rPr>
          <w:rFonts w:ascii="Cambria" w:hAnsi="Cambria"/>
          <w:sz w:val="20"/>
          <w:szCs w:val="20"/>
          <w:lang w:val="es-ES"/>
        </w:rPr>
        <w:t xml:space="preserve"> la legislación y políticas de</w:t>
      </w:r>
      <w:r w:rsidR="000A086C" w:rsidRPr="00FF743B">
        <w:rPr>
          <w:rFonts w:ascii="Cambria" w:hAnsi="Cambria"/>
          <w:sz w:val="20"/>
          <w:szCs w:val="20"/>
          <w:lang w:val="es-ES"/>
        </w:rPr>
        <w:t xml:space="preserve"> países que no han</w:t>
      </w:r>
      <w:r w:rsidR="007E6E04" w:rsidRPr="00FF743B">
        <w:rPr>
          <w:rFonts w:ascii="Cambria" w:hAnsi="Cambria"/>
          <w:sz w:val="20"/>
          <w:szCs w:val="20"/>
          <w:lang w:val="es-ES"/>
        </w:rPr>
        <w:t xml:space="preserve"> ratificado la Convención A</w:t>
      </w:r>
      <w:r w:rsidR="000A086C" w:rsidRPr="00FF743B">
        <w:rPr>
          <w:rFonts w:ascii="Cambria" w:hAnsi="Cambria"/>
          <w:sz w:val="20"/>
          <w:szCs w:val="20"/>
          <w:lang w:val="es-ES"/>
        </w:rPr>
        <w:t>mericana y otros instrumentos interamericanos</w:t>
      </w:r>
      <w:r w:rsidR="00625A43" w:rsidRPr="00FF743B">
        <w:rPr>
          <w:rStyle w:val="FootnoteReference"/>
          <w:rFonts w:ascii="Cambria" w:hAnsi="Cambria"/>
          <w:sz w:val="20"/>
          <w:szCs w:val="20"/>
          <w:lang w:val="es-ES"/>
        </w:rPr>
        <w:footnoteReference w:id="66"/>
      </w:r>
      <w:r w:rsidR="004A30A6" w:rsidRPr="00FF743B">
        <w:rPr>
          <w:rFonts w:ascii="Cambria" w:hAnsi="Cambria"/>
          <w:sz w:val="20"/>
          <w:szCs w:val="20"/>
          <w:lang w:val="es-ES"/>
        </w:rPr>
        <w:t xml:space="preserve">. </w:t>
      </w:r>
      <w:r w:rsidR="00625A43" w:rsidRPr="00FF743B">
        <w:rPr>
          <w:rFonts w:ascii="Cambria" w:hAnsi="Cambria"/>
          <w:sz w:val="20"/>
          <w:szCs w:val="20"/>
          <w:lang w:val="es-ES"/>
        </w:rPr>
        <w:t xml:space="preserve">La no-ratificación </w:t>
      </w:r>
      <w:r w:rsidR="00BD78F5" w:rsidRPr="00FF743B">
        <w:rPr>
          <w:rFonts w:ascii="Cambria" w:hAnsi="Cambria"/>
          <w:sz w:val="20"/>
          <w:szCs w:val="20"/>
          <w:lang w:val="es-ES"/>
        </w:rPr>
        <w:t>puede a su vez contribuir</w:t>
      </w:r>
      <w:r w:rsidR="00625A43" w:rsidRPr="00FF743B">
        <w:rPr>
          <w:rFonts w:ascii="Cambria" w:hAnsi="Cambria"/>
          <w:sz w:val="20"/>
          <w:szCs w:val="20"/>
          <w:lang w:val="es-ES"/>
        </w:rPr>
        <w:t xml:space="preserve"> a una situación de desconocimiento y subutilización de los órganos del sistema interamericano y su precedente jurídico y recomendaciones por parte de instituciones del Estado, funcionarios públicos y de la sociedad en general</w:t>
      </w:r>
      <w:r w:rsidR="00625A43" w:rsidRPr="00FF743B">
        <w:rPr>
          <w:rStyle w:val="FootnoteReference"/>
          <w:rFonts w:ascii="Cambria" w:hAnsi="Cambria"/>
          <w:sz w:val="20"/>
          <w:szCs w:val="20"/>
          <w:lang w:val="es-ES"/>
        </w:rPr>
        <w:footnoteReference w:id="67"/>
      </w:r>
      <w:r w:rsidR="00625A43" w:rsidRPr="00FF743B">
        <w:rPr>
          <w:rFonts w:ascii="Cambria" w:hAnsi="Cambria"/>
          <w:sz w:val="20"/>
          <w:szCs w:val="20"/>
          <w:lang w:val="es-ES"/>
        </w:rPr>
        <w:t>.    Sin embargo, es importante reconocer algunos esfuerzos locales importantes en la adopción de resoluciones avanzando los derechos humanos en países que no han ratificado la Convención Americana, siendo en algunas instancias como resultado de las decisiones de la CIDH bajo la Declaración Americana</w:t>
      </w:r>
      <w:r w:rsidR="00625A43" w:rsidRPr="00FF743B">
        <w:rPr>
          <w:rStyle w:val="FootnoteReference"/>
          <w:rFonts w:ascii="Cambria" w:hAnsi="Cambria"/>
          <w:sz w:val="20"/>
          <w:szCs w:val="20"/>
          <w:lang w:val="es-ES"/>
        </w:rPr>
        <w:footnoteReference w:id="68"/>
      </w:r>
      <w:r w:rsidR="00BD78F5" w:rsidRPr="00FF743B">
        <w:rPr>
          <w:rFonts w:ascii="Cambria" w:hAnsi="Cambria"/>
          <w:sz w:val="20"/>
          <w:szCs w:val="20"/>
          <w:lang w:val="es-ES"/>
        </w:rPr>
        <w:t>.  Asimismo</w:t>
      </w:r>
      <w:r w:rsidR="00625A43" w:rsidRPr="00FF743B">
        <w:rPr>
          <w:rFonts w:ascii="Cambria" w:hAnsi="Cambria"/>
          <w:sz w:val="20"/>
          <w:szCs w:val="20"/>
          <w:lang w:val="es-ES"/>
        </w:rPr>
        <w:t xml:space="preserve">, los Estados han informado ante </w:t>
      </w:r>
      <w:r w:rsidR="00625A43" w:rsidRPr="00FF743B">
        <w:rPr>
          <w:rFonts w:ascii="Cambria" w:hAnsi="Cambria"/>
          <w:sz w:val="20"/>
          <w:szCs w:val="20"/>
          <w:lang w:val="es-ES"/>
        </w:rPr>
        <w:lastRenderedPageBreak/>
        <w:t>otros procedimientos intencionales</w:t>
      </w:r>
      <w:r w:rsidR="00303431" w:rsidRPr="00FF743B">
        <w:rPr>
          <w:rFonts w:ascii="Cambria" w:hAnsi="Cambria"/>
          <w:sz w:val="20"/>
          <w:szCs w:val="20"/>
          <w:lang w:val="es-ES"/>
        </w:rPr>
        <w:t xml:space="preserve"> – como el Examen Periódico Universal –sobre </w:t>
      </w:r>
      <w:r w:rsidR="00625A43" w:rsidRPr="00FF743B">
        <w:rPr>
          <w:rFonts w:ascii="Cambria" w:hAnsi="Cambria"/>
          <w:sz w:val="20"/>
          <w:szCs w:val="20"/>
          <w:lang w:val="es-ES"/>
        </w:rPr>
        <w:t>esfuerzos significativos en la adopción de legislación, políticas, programas e intervenciones orientadas a la protección de los derechos humanos</w:t>
      </w:r>
      <w:r w:rsidR="00625A43" w:rsidRPr="00FF743B">
        <w:rPr>
          <w:rStyle w:val="FootnoteReference"/>
          <w:rFonts w:ascii="Cambria" w:hAnsi="Cambria"/>
          <w:sz w:val="20"/>
          <w:szCs w:val="20"/>
          <w:lang w:val="es-ES"/>
        </w:rPr>
        <w:footnoteReference w:id="69"/>
      </w:r>
      <w:r w:rsidR="00625A43" w:rsidRPr="00FF743B">
        <w:rPr>
          <w:rFonts w:ascii="Cambria" w:hAnsi="Cambria"/>
          <w:sz w:val="20"/>
          <w:szCs w:val="20"/>
          <w:lang w:val="es-ES"/>
        </w:rPr>
        <w:t xml:space="preserve">. </w:t>
      </w:r>
    </w:p>
    <w:p w:rsidR="0067555B" w:rsidRPr="00FF743B" w:rsidRDefault="0067555B" w:rsidP="00225F6F">
      <w:pPr>
        <w:jc w:val="both"/>
        <w:rPr>
          <w:rFonts w:ascii="Cambria" w:hAnsi="Cambria"/>
          <w:sz w:val="20"/>
          <w:szCs w:val="20"/>
          <w:lang w:val="es-ES"/>
        </w:rPr>
      </w:pPr>
    </w:p>
    <w:p w:rsidR="003B7820" w:rsidRPr="00FF743B" w:rsidRDefault="00BD78F5"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CIDH destaca asimismo</w:t>
      </w:r>
      <w:r w:rsidR="00070547" w:rsidRPr="00FF743B">
        <w:rPr>
          <w:rFonts w:ascii="Cambria" w:hAnsi="Cambria"/>
          <w:sz w:val="20"/>
          <w:szCs w:val="20"/>
          <w:lang w:val="es-ES"/>
        </w:rPr>
        <w:t xml:space="preserve"> una variedad de información</w:t>
      </w:r>
      <w:r w:rsidRPr="00FF743B">
        <w:rPr>
          <w:rFonts w:ascii="Cambria" w:hAnsi="Cambria"/>
          <w:sz w:val="20"/>
          <w:szCs w:val="20"/>
          <w:lang w:val="es-ES"/>
        </w:rPr>
        <w:t xml:space="preserve"> que recibió</w:t>
      </w:r>
      <w:r w:rsidR="00070547" w:rsidRPr="00FF743B">
        <w:rPr>
          <w:rFonts w:ascii="Cambria" w:hAnsi="Cambria"/>
          <w:sz w:val="20"/>
          <w:szCs w:val="20"/>
          <w:lang w:val="es-ES"/>
        </w:rPr>
        <w:t xml:space="preserve"> en las respuestas a los cuestionarios que alude a cómo la ratificación de instrumentos interamericanos ha facilitado la incorporación de preceptos contenidos en los instrumentos interamericanos en la legislación, políticas, decretos y resoluciones de varios Estados americanos</w:t>
      </w:r>
      <w:r w:rsidR="00070547" w:rsidRPr="00FF743B">
        <w:rPr>
          <w:rStyle w:val="FootnoteReference"/>
          <w:rFonts w:ascii="Cambria" w:hAnsi="Cambria"/>
          <w:b/>
          <w:sz w:val="20"/>
          <w:szCs w:val="20"/>
          <w:lang w:val="es-ES"/>
        </w:rPr>
        <w:footnoteReference w:id="70"/>
      </w:r>
      <w:r w:rsidR="004A30A6" w:rsidRPr="00FF743B">
        <w:rPr>
          <w:rFonts w:ascii="Cambria" w:hAnsi="Cambria"/>
          <w:sz w:val="20"/>
          <w:szCs w:val="20"/>
          <w:lang w:val="es-ES"/>
        </w:rPr>
        <w:t xml:space="preserve">. </w:t>
      </w:r>
      <w:r w:rsidR="00070547" w:rsidRPr="00FF743B">
        <w:rPr>
          <w:rFonts w:ascii="Cambria" w:hAnsi="Cambria"/>
          <w:sz w:val="20"/>
          <w:szCs w:val="20"/>
          <w:lang w:val="es-ES"/>
        </w:rPr>
        <w:t xml:space="preserve">El Estado de Guatemala por ejemplo informó que los estándares del sistema “han ayudado a establecer criterios de fiscalización, control y participación de los distintos sectores de la sociedad, con el propósito de supervisar posteriormente las políticas, planes, programas, proyectos, pactos y estrategias, a través de la participación ciudadana y del ejercicio de la auditoría social que permite obtener mayor legitimidad y consenso social y político tanto en lo interno como institucional”.    El Estado de Argentina a su vez resaltó leyes nacionales que nacieron en el contexto de casos o soluciones amistosas que han incorporado en su texto los estándares del sistema interamericano, como la modificación del código penal en relación al delito de calumnias e injurias como resultado de la sentencia de la Corte Interamericana en el caso de </w:t>
      </w:r>
      <w:r w:rsidR="00070547" w:rsidRPr="00FF743B">
        <w:rPr>
          <w:rFonts w:ascii="Cambria" w:hAnsi="Cambria"/>
          <w:i/>
          <w:sz w:val="20"/>
          <w:szCs w:val="20"/>
          <w:lang w:val="es-ES"/>
        </w:rPr>
        <w:t>Kimel vs. Argentina</w:t>
      </w:r>
      <w:r w:rsidR="00070547" w:rsidRPr="00FF743B">
        <w:rPr>
          <w:rStyle w:val="FootnoteReference"/>
          <w:rFonts w:ascii="Cambria" w:hAnsi="Cambria"/>
          <w:b/>
          <w:sz w:val="20"/>
          <w:szCs w:val="20"/>
          <w:lang w:val="es-ES"/>
        </w:rPr>
        <w:footnoteReference w:id="71"/>
      </w:r>
      <w:r w:rsidR="00070547" w:rsidRPr="00FF743B">
        <w:rPr>
          <w:rFonts w:ascii="Cambria" w:hAnsi="Cambria"/>
          <w:sz w:val="20"/>
          <w:szCs w:val="20"/>
          <w:lang w:val="es-ES"/>
        </w:rPr>
        <w:t xml:space="preserve">.  </w:t>
      </w:r>
    </w:p>
    <w:p w:rsidR="003B7820" w:rsidRPr="00FF743B" w:rsidRDefault="003B7820" w:rsidP="00225F6F">
      <w:pPr>
        <w:jc w:val="both"/>
        <w:rPr>
          <w:rFonts w:ascii="Cambria" w:hAnsi="Cambria"/>
          <w:sz w:val="20"/>
          <w:szCs w:val="20"/>
          <w:lang w:val="es-ES"/>
        </w:rPr>
      </w:pPr>
    </w:p>
    <w:p w:rsidR="003B7820" w:rsidRPr="00FF743B" w:rsidRDefault="0007054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Varios Estados a su vez informaron sobre cómo los estándares del sistema interamericano han guiado sus políticas sobre sectores particularmente expuestos a violaciones de sus derechos humanos como las mujeres, los niños y niñas y los pueblos indígenas</w:t>
      </w:r>
      <w:r w:rsidRPr="00FF743B">
        <w:rPr>
          <w:rStyle w:val="FootnoteReference"/>
          <w:rFonts w:ascii="Cambria" w:hAnsi="Cambria"/>
          <w:b/>
          <w:sz w:val="20"/>
          <w:szCs w:val="20"/>
          <w:lang w:val="es-ES"/>
        </w:rPr>
        <w:footnoteReference w:id="72"/>
      </w:r>
      <w:r w:rsidR="00225F6F">
        <w:rPr>
          <w:rFonts w:ascii="Cambria" w:hAnsi="Cambria"/>
          <w:sz w:val="20"/>
          <w:szCs w:val="20"/>
          <w:lang w:val="es-ES"/>
        </w:rPr>
        <w:t xml:space="preserve">.  </w:t>
      </w:r>
      <w:r w:rsidR="00BD78F5" w:rsidRPr="00FF743B">
        <w:rPr>
          <w:rFonts w:ascii="Cambria" w:hAnsi="Cambria"/>
          <w:sz w:val="20"/>
          <w:szCs w:val="20"/>
          <w:lang w:val="es-ES"/>
        </w:rPr>
        <w:t>Otros</w:t>
      </w:r>
      <w:r w:rsidRPr="00FF743B">
        <w:rPr>
          <w:rFonts w:ascii="Cambria" w:hAnsi="Cambria"/>
          <w:sz w:val="20"/>
          <w:szCs w:val="20"/>
          <w:lang w:val="es-ES"/>
        </w:rPr>
        <w:t xml:space="preserve"> como Costa Rica</w:t>
      </w:r>
      <w:r w:rsidR="00393AAF" w:rsidRPr="00FF743B">
        <w:rPr>
          <w:rFonts w:ascii="Cambria" w:hAnsi="Cambria"/>
          <w:sz w:val="20"/>
          <w:szCs w:val="20"/>
          <w:lang w:val="es-ES"/>
        </w:rPr>
        <w:t xml:space="preserve">, Guatemala y Colombia </w:t>
      </w:r>
      <w:r w:rsidRPr="00FF743B">
        <w:rPr>
          <w:rFonts w:ascii="Cambria" w:hAnsi="Cambria"/>
          <w:sz w:val="20"/>
          <w:szCs w:val="20"/>
          <w:lang w:val="es-ES"/>
        </w:rPr>
        <w:t xml:space="preserve">destacaron el establecimiento de instituciones a nivel nacional para promover el efectivo cumplimiento de las decisiones de tanto la CIDH como la Corte. </w:t>
      </w:r>
    </w:p>
    <w:p w:rsidR="003B7820" w:rsidRPr="00FF743B" w:rsidRDefault="003B7820" w:rsidP="00225F6F">
      <w:pPr>
        <w:jc w:val="both"/>
        <w:rPr>
          <w:rFonts w:ascii="Cambria" w:hAnsi="Cambria"/>
          <w:b/>
          <w:sz w:val="20"/>
          <w:szCs w:val="20"/>
          <w:lang w:val="es-ES"/>
        </w:rPr>
      </w:pPr>
    </w:p>
    <w:p w:rsidR="003B7820" w:rsidRPr="00FF743B" w:rsidRDefault="0007054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Un grupo de actores no estatales en sus respuestas a los cuestionarios a su vez incluyeron ejemplos de buenas prácticas en la incorporación de los estándares del sistema, los cuales serán discutidos más a fondo </w:t>
      </w:r>
      <w:r w:rsidRPr="00FF743B">
        <w:rPr>
          <w:rFonts w:ascii="Cambria" w:hAnsi="Cambria"/>
          <w:i/>
          <w:sz w:val="20"/>
          <w:szCs w:val="20"/>
          <w:lang w:val="es-ES"/>
        </w:rPr>
        <w:t>infra,</w:t>
      </w:r>
      <w:r w:rsidRPr="00FF743B">
        <w:rPr>
          <w:rFonts w:ascii="Cambria" w:hAnsi="Cambria"/>
          <w:sz w:val="20"/>
          <w:szCs w:val="20"/>
          <w:lang w:val="es-ES"/>
        </w:rPr>
        <w:t xml:space="preserve"> como la reforma constitucional de México del 2011 que eleva los tratados de derechos humanos a rango constitucional; la elevación de ciertos tratados de derechos humanos desde el 1994 como la Convención Americana a rango constitucional en Argentina; la adopción de la </w:t>
      </w:r>
      <w:r w:rsidRPr="00FF743B">
        <w:rPr>
          <w:rFonts w:ascii="Cambria" w:hAnsi="Cambria"/>
          <w:i/>
          <w:sz w:val="20"/>
          <w:szCs w:val="20"/>
          <w:lang w:val="es-ES"/>
        </w:rPr>
        <w:t xml:space="preserve">Ley de Maria da </w:t>
      </w:r>
      <w:r w:rsidRPr="00FF743B">
        <w:rPr>
          <w:rFonts w:ascii="Cambria" w:hAnsi="Cambria"/>
          <w:sz w:val="20"/>
          <w:szCs w:val="20"/>
          <w:lang w:val="es-ES"/>
        </w:rPr>
        <w:t xml:space="preserve">Penha sobre violencia doméstica en Brasil; la aprobación de la </w:t>
      </w:r>
      <w:r w:rsidRPr="00FF743B">
        <w:rPr>
          <w:rFonts w:ascii="Cambria" w:hAnsi="Cambria"/>
          <w:i/>
          <w:sz w:val="20"/>
          <w:szCs w:val="20"/>
          <w:lang w:val="es-ES"/>
        </w:rPr>
        <w:t>Ley de Transparencia y Acceso a la Información Pública</w:t>
      </w:r>
      <w:r w:rsidRPr="00FF743B">
        <w:rPr>
          <w:rFonts w:ascii="Cambria" w:hAnsi="Cambria"/>
          <w:sz w:val="20"/>
          <w:szCs w:val="20"/>
          <w:lang w:val="es-ES"/>
        </w:rPr>
        <w:t xml:space="preserve"> de parte del congreso colombiano en junio del 2012 y su posterior aval por la Corte </w:t>
      </w:r>
      <w:r w:rsidR="00953AF4">
        <w:rPr>
          <w:rFonts w:ascii="Cambria" w:hAnsi="Cambria"/>
          <w:sz w:val="20"/>
          <w:szCs w:val="20"/>
          <w:lang w:val="es-ES"/>
        </w:rPr>
        <w:br/>
      </w:r>
      <w:r w:rsidR="00953AF4">
        <w:rPr>
          <w:rFonts w:ascii="Cambria" w:hAnsi="Cambria"/>
          <w:sz w:val="20"/>
          <w:szCs w:val="20"/>
          <w:lang w:val="es-ES"/>
        </w:rPr>
        <w:br/>
      </w:r>
      <w:r w:rsidR="00953AF4">
        <w:rPr>
          <w:rFonts w:ascii="Cambria" w:hAnsi="Cambria"/>
          <w:sz w:val="20"/>
          <w:szCs w:val="20"/>
          <w:lang w:val="es-ES"/>
        </w:rPr>
        <w:br/>
      </w:r>
      <w:r w:rsidR="00953AF4">
        <w:rPr>
          <w:rFonts w:ascii="Cambria" w:hAnsi="Cambria"/>
          <w:sz w:val="20"/>
          <w:szCs w:val="20"/>
          <w:lang w:val="es-ES"/>
        </w:rPr>
        <w:br/>
      </w:r>
      <w:r w:rsidR="00953AF4">
        <w:rPr>
          <w:rFonts w:ascii="Cambria" w:hAnsi="Cambria"/>
          <w:sz w:val="20"/>
          <w:szCs w:val="20"/>
          <w:lang w:val="es-ES"/>
        </w:rPr>
        <w:lastRenderedPageBreak/>
        <w:br/>
      </w:r>
      <w:r w:rsidRPr="00FF743B">
        <w:rPr>
          <w:rFonts w:ascii="Cambria" w:hAnsi="Cambria"/>
          <w:sz w:val="20"/>
          <w:szCs w:val="20"/>
          <w:lang w:val="es-ES"/>
        </w:rPr>
        <w:t xml:space="preserve">Constitucional en mayo del 2013; y la adopción del </w:t>
      </w:r>
      <w:r w:rsidRPr="00FF743B">
        <w:rPr>
          <w:rFonts w:ascii="Cambria" w:hAnsi="Cambria"/>
          <w:i/>
          <w:sz w:val="20"/>
          <w:szCs w:val="20"/>
          <w:lang w:val="es-ES"/>
        </w:rPr>
        <w:t>Jamaican Charter of Fundamental Rights and Freedoms (Constitutional Amendment) Act</w:t>
      </w:r>
      <w:r w:rsidRPr="00FF743B">
        <w:rPr>
          <w:rFonts w:ascii="Cambria" w:hAnsi="Cambria"/>
          <w:sz w:val="20"/>
          <w:szCs w:val="20"/>
          <w:lang w:val="es-ES"/>
        </w:rPr>
        <w:t xml:space="preserve"> 2011</w:t>
      </w:r>
      <w:r w:rsidRPr="00FF743B">
        <w:rPr>
          <w:rStyle w:val="FootnoteReference"/>
          <w:rFonts w:ascii="Cambria" w:hAnsi="Cambria"/>
          <w:b/>
          <w:sz w:val="20"/>
          <w:szCs w:val="20"/>
          <w:lang w:val="es-ES"/>
        </w:rPr>
        <w:footnoteReference w:id="73"/>
      </w:r>
      <w:r w:rsidRPr="00FF743B">
        <w:rPr>
          <w:rFonts w:ascii="Cambria" w:hAnsi="Cambria"/>
          <w:sz w:val="20"/>
          <w:szCs w:val="20"/>
          <w:lang w:val="es-ES"/>
        </w:rPr>
        <w:t>; entre otras medidas</w:t>
      </w:r>
      <w:r w:rsidRPr="00FF743B">
        <w:rPr>
          <w:rStyle w:val="FootnoteReference"/>
          <w:rFonts w:ascii="Cambria" w:hAnsi="Cambria"/>
          <w:b/>
          <w:sz w:val="20"/>
          <w:szCs w:val="20"/>
          <w:lang w:val="es-ES"/>
        </w:rPr>
        <w:footnoteReference w:id="74"/>
      </w:r>
      <w:r w:rsidRPr="00FF743B">
        <w:rPr>
          <w:rFonts w:ascii="Cambria" w:hAnsi="Cambria"/>
          <w:sz w:val="20"/>
          <w:szCs w:val="20"/>
          <w:lang w:val="es-ES"/>
        </w:rPr>
        <w:t>.</w:t>
      </w:r>
    </w:p>
    <w:p w:rsidR="003B7820" w:rsidRPr="00FF743B" w:rsidRDefault="003B7820" w:rsidP="00225F6F">
      <w:pPr>
        <w:jc w:val="both"/>
        <w:rPr>
          <w:rFonts w:ascii="Cambria" w:hAnsi="Cambria"/>
          <w:sz w:val="20"/>
          <w:szCs w:val="20"/>
          <w:lang w:val="es-ES"/>
        </w:rPr>
      </w:pPr>
    </w:p>
    <w:p w:rsidR="003B7820" w:rsidRPr="00FF743B" w:rsidRDefault="0007054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cuanto a la actuación del poder judicial, varios países informaron a la CIDH sobre el desarrollo y aplicación del concepto del control de convencionalidad para asegurar que los jueces y juezas revisen el cumplimiento de las medidas estatales con los compromisos internacionales en materia de derechos humanos, y compartieron ejemplos que así lo reflejan</w:t>
      </w:r>
      <w:r w:rsidRPr="00FF743B">
        <w:rPr>
          <w:rStyle w:val="FootnoteReference"/>
          <w:rFonts w:ascii="Cambria" w:hAnsi="Cambria"/>
          <w:b/>
          <w:sz w:val="20"/>
          <w:szCs w:val="20"/>
          <w:lang w:val="es-ES"/>
        </w:rPr>
        <w:footnoteReference w:id="75"/>
      </w:r>
      <w:r w:rsidR="00BA74C7" w:rsidRPr="00FF743B">
        <w:rPr>
          <w:rFonts w:ascii="Cambria" w:hAnsi="Cambria"/>
          <w:sz w:val="20"/>
          <w:szCs w:val="20"/>
          <w:lang w:val="es-ES"/>
        </w:rPr>
        <w:t xml:space="preserve">. </w:t>
      </w:r>
      <w:r w:rsidRPr="00FF743B">
        <w:rPr>
          <w:rFonts w:ascii="Cambria" w:hAnsi="Cambria"/>
          <w:sz w:val="20"/>
          <w:szCs w:val="20"/>
          <w:lang w:val="es-ES"/>
        </w:rPr>
        <w:t xml:space="preserve">Lineamientos y programas de capacitación han sido además desarrollados e implementados reflejando los contenidos de los estándares del sistema interamericano en países como </w:t>
      </w:r>
      <w:r w:rsidR="00BA74C7" w:rsidRPr="00FF743B">
        <w:rPr>
          <w:rFonts w:ascii="Cambria" w:hAnsi="Cambria"/>
          <w:sz w:val="20"/>
          <w:szCs w:val="20"/>
          <w:lang w:val="es-ES"/>
        </w:rPr>
        <w:t xml:space="preserve">Colombia, Guatemala y Uruguay. </w:t>
      </w:r>
      <w:r w:rsidRPr="00FF743B">
        <w:rPr>
          <w:rFonts w:ascii="Cambria" w:hAnsi="Cambria"/>
          <w:sz w:val="20"/>
          <w:szCs w:val="20"/>
          <w:lang w:val="es-ES"/>
        </w:rPr>
        <w:t>La CIDH asimismo ha destacado en sus informes anteriores ejemplos de sentencias judiciales adoptadas por distintos órganos del poder judicial haciendo referencia a estándares del sistema interamericano como la Convención Americana y la Convención de Belém do Pará y ejemplos fueron presentados en distintas respuestas a los cuestionarios</w:t>
      </w:r>
      <w:r w:rsidRPr="00FF743B">
        <w:rPr>
          <w:rStyle w:val="FootnoteReference"/>
          <w:rFonts w:ascii="Cambria" w:hAnsi="Cambria"/>
          <w:b/>
          <w:sz w:val="20"/>
          <w:szCs w:val="20"/>
          <w:lang w:val="es-ES"/>
        </w:rPr>
        <w:footnoteReference w:id="76"/>
      </w:r>
      <w:r w:rsidRPr="00FF743B">
        <w:rPr>
          <w:rFonts w:ascii="Cambria" w:hAnsi="Cambria"/>
          <w:sz w:val="20"/>
          <w:szCs w:val="20"/>
          <w:lang w:val="es-ES"/>
        </w:rPr>
        <w:t>.</w:t>
      </w:r>
    </w:p>
    <w:p w:rsidR="00AB6DD7" w:rsidRPr="00FF743B" w:rsidRDefault="00AB6DD7" w:rsidP="00225F6F">
      <w:pPr>
        <w:jc w:val="both"/>
        <w:rPr>
          <w:rFonts w:ascii="Cambria" w:hAnsi="Cambria"/>
          <w:b/>
          <w:sz w:val="20"/>
          <w:szCs w:val="20"/>
          <w:lang w:val="es-ES"/>
        </w:rPr>
      </w:pPr>
    </w:p>
    <w:p w:rsidR="003B7820" w:rsidRPr="00FF743B" w:rsidRDefault="0007054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Estos datos ilustran que el ratificar los instrumentos interamericanos puede ofrecer contribuciones al marco jurídico de los derechos humanos a nivel nacional y propender el desarrollo de una cultura consonante con los derechos humanos.  A su vez pueden aportar mayores herramientas para un Estado para incrementar el conocimiento de sus funcionarios públicos de sus obligaciones de derechos humanos, para elevar el entendimiento de los derechos humanos como un marco de actuación, y para promover una mayor inclusión de los derechos humanos en el discurso público.  </w:t>
      </w:r>
    </w:p>
    <w:p w:rsidR="00C12992" w:rsidRDefault="00C12992" w:rsidP="00225F6F">
      <w:pPr>
        <w:jc w:val="both"/>
        <w:rPr>
          <w:rFonts w:ascii="Cambria" w:hAnsi="Cambria"/>
          <w:sz w:val="20"/>
          <w:szCs w:val="20"/>
          <w:highlight w:val="yellow"/>
          <w:lang w:val="es-ES"/>
        </w:rPr>
      </w:pPr>
    </w:p>
    <w:p w:rsidR="00953AF4" w:rsidRDefault="00953AF4" w:rsidP="00225F6F">
      <w:pPr>
        <w:jc w:val="both"/>
        <w:rPr>
          <w:rFonts w:ascii="Cambria" w:hAnsi="Cambria"/>
          <w:sz w:val="20"/>
          <w:szCs w:val="20"/>
          <w:highlight w:val="yellow"/>
          <w:lang w:val="es-ES"/>
        </w:rPr>
      </w:pPr>
    </w:p>
    <w:p w:rsidR="00953AF4" w:rsidRDefault="00953AF4" w:rsidP="00225F6F">
      <w:pPr>
        <w:jc w:val="both"/>
        <w:rPr>
          <w:rFonts w:ascii="Cambria" w:hAnsi="Cambria"/>
          <w:sz w:val="20"/>
          <w:szCs w:val="20"/>
          <w:highlight w:val="yellow"/>
          <w:lang w:val="es-ES"/>
        </w:rPr>
      </w:pPr>
    </w:p>
    <w:p w:rsidR="00953AF4" w:rsidRPr="00FF743B" w:rsidRDefault="00953AF4" w:rsidP="00225F6F">
      <w:pPr>
        <w:jc w:val="both"/>
        <w:rPr>
          <w:rFonts w:ascii="Cambria" w:hAnsi="Cambria"/>
          <w:sz w:val="20"/>
          <w:szCs w:val="20"/>
          <w:highlight w:val="yellow"/>
          <w:lang w:val="es-ES"/>
        </w:rPr>
      </w:pPr>
    </w:p>
    <w:p w:rsidR="003B7820" w:rsidRPr="00FF743B" w:rsidRDefault="0007054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lastRenderedPageBreak/>
        <w:t xml:space="preserve">La CIDH a su vez exhorta a varios países a encontrar estrategias para superar posiciones históricas que han servido como impedimento para la ratificación de instrumentos interamericanos y para el cumplimiento pleno con sus obligaciones de derechos humanos.  </w:t>
      </w:r>
    </w:p>
    <w:p w:rsidR="00953AF4" w:rsidRPr="00FF743B" w:rsidRDefault="00953AF4" w:rsidP="00225F6F">
      <w:pPr>
        <w:jc w:val="both"/>
        <w:rPr>
          <w:rFonts w:ascii="Cambria" w:hAnsi="Cambria"/>
          <w:b/>
          <w:sz w:val="20"/>
          <w:szCs w:val="20"/>
          <w:lang w:val="es-ES"/>
        </w:rPr>
      </w:pPr>
    </w:p>
    <w:p w:rsidR="007A3740" w:rsidRPr="00FF743B" w:rsidRDefault="00F740A4"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Por ejemplo, </w:t>
      </w:r>
      <w:r w:rsidR="00773335" w:rsidRPr="00FF743B">
        <w:rPr>
          <w:rFonts w:ascii="Cambria" w:hAnsi="Cambria"/>
          <w:sz w:val="20"/>
          <w:szCs w:val="20"/>
          <w:lang w:val="es-ES"/>
        </w:rPr>
        <w:t xml:space="preserve">pese al apoyo amplio del gobierno de los Estados Unidos al trabajo de la CIDH y el sistema interamericano de derechos humanos, </w:t>
      </w:r>
      <w:r w:rsidR="00762D65" w:rsidRPr="00FF743B">
        <w:rPr>
          <w:rFonts w:ascii="Cambria" w:hAnsi="Cambria"/>
          <w:sz w:val="20"/>
          <w:szCs w:val="20"/>
          <w:lang w:val="es-ES"/>
        </w:rPr>
        <w:t xml:space="preserve">Estados Unidos de forma consistente ha manifestado ante la CIDH que la Declaración Americana y las recomendaciones emitidas bajo este instrumento </w:t>
      </w:r>
      <w:r w:rsidRPr="00FF743B">
        <w:rPr>
          <w:rFonts w:ascii="Cambria" w:hAnsi="Cambria"/>
          <w:sz w:val="20"/>
          <w:szCs w:val="20"/>
          <w:lang w:val="es-ES"/>
        </w:rPr>
        <w:t>no son vin</w:t>
      </w:r>
      <w:r w:rsidR="0096136A" w:rsidRPr="00FF743B">
        <w:rPr>
          <w:rFonts w:ascii="Cambria" w:hAnsi="Cambria"/>
          <w:sz w:val="20"/>
          <w:szCs w:val="20"/>
          <w:lang w:val="es-ES"/>
        </w:rPr>
        <w:t>culantes</w:t>
      </w:r>
      <w:r w:rsidR="002B5793" w:rsidRPr="00FF743B">
        <w:rPr>
          <w:rFonts w:ascii="Cambria" w:hAnsi="Cambria"/>
          <w:sz w:val="20"/>
          <w:szCs w:val="20"/>
          <w:lang w:val="es-ES"/>
        </w:rPr>
        <w:t xml:space="preserve">. </w:t>
      </w:r>
      <w:r w:rsidR="005E30C6" w:rsidRPr="00FF743B">
        <w:rPr>
          <w:rFonts w:ascii="Cambria" w:hAnsi="Cambria"/>
          <w:sz w:val="20"/>
          <w:szCs w:val="20"/>
          <w:lang w:val="es-ES"/>
        </w:rPr>
        <w:t>El gobierno de Estados Unidos ha aseverado lo siguiente sobre la Declaración Americana y su status jurídico ante el sistema interamericano de derechos humano</w:t>
      </w:r>
      <w:r w:rsidR="005B57E6">
        <w:rPr>
          <w:rFonts w:ascii="Cambria" w:hAnsi="Cambria"/>
          <w:sz w:val="20"/>
          <w:szCs w:val="20"/>
          <w:lang w:val="es-ES"/>
        </w:rPr>
        <w:t>:</w:t>
      </w:r>
    </w:p>
    <w:p w:rsidR="007A3740" w:rsidRPr="00225F6F" w:rsidRDefault="007A3740" w:rsidP="00225F6F">
      <w:pPr>
        <w:jc w:val="both"/>
        <w:rPr>
          <w:rFonts w:ascii="Cambria" w:hAnsi="Cambria"/>
          <w:sz w:val="20"/>
          <w:szCs w:val="20"/>
          <w:lang w:val="es-ES"/>
        </w:rPr>
      </w:pPr>
    </w:p>
    <w:p w:rsidR="007A3740" w:rsidRPr="00225F6F" w:rsidRDefault="007A3740" w:rsidP="00FB5DA4">
      <w:pPr>
        <w:ind w:left="979"/>
        <w:jc w:val="both"/>
        <w:rPr>
          <w:rFonts w:ascii="Cambria" w:hAnsi="Cambria"/>
          <w:sz w:val="20"/>
          <w:szCs w:val="20"/>
          <w:lang w:val="es-ES"/>
        </w:rPr>
      </w:pPr>
      <w:r w:rsidRPr="00225F6F">
        <w:rPr>
          <w:rFonts w:ascii="Cambria" w:hAnsi="Cambria"/>
          <w:sz w:val="20"/>
          <w:szCs w:val="20"/>
          <w:lang w:val="es-ES"/>
        </w:rPr>
        <w:t>(l)a Declaración Americana de los Derechos y Deberes del Hombre representa una noble enunciación de las aspiraciones  de los Estados Americanos en cuanto a los derechos humanos.</w:t>
      </w:r>
    </w:p>
    <w:p w:rsidR="00225F6F" w:rsidRDefault="00225F6F" w:rsidP="00FB5DA4">
      <w:pPr>
        <w:ind w:left="979"/>
        <w:jc w:val="both"/>
        <w:rPr>
          <w:rFonts w:ascii="Cambria" w:hAnsi="Cambria"/>
          <w:sz w:val="20"/>
          <w:szCs w:val="20"/>
          <w:lang w:val="es-ES"/>
        </w:rPr>
      </w:pPr>
    </w:p>
    <w:p w:rsidR="007A3740" w:rsidRPr="00225F6F" w:rsidRDefault="007A3740" w:rsidP="00FB5DA4">
      <w:pPr>
        <w:ind w:left="979"/>
        <w:jc w:val="both"/>
        <w:rPr>
          <w:rFonts w:ascii="Cambria" w:hAnsi="Cambria"/>
          <w:sz w:val="20"/>
          <w:szCs w:val="20"/>
          <w:lang w:val="es-ES"/>
        </w:rPr>
      </w:pPr>
      <w:r w:rsidRPr="00225F6F">
        <w:rPr>
          <w:rFonts w:ascii="Cambria" w:hAnsi="Cambria"/>
          <w:sz w:val="20"/>
          <w:szCs w:val="20"/>
          <w:lang w:val="es-ES"/>
        </w:rPr>
        <w:t>Sin embargo, a diferencia de la Convención Americana, no fue redactada como un instrumento jurídico y carece de la precisión necesaria para resolver complejas dudas legales. Su valor normativo estriba en ser una declaración de principios básicos de carácter moral y de carácter político y en ser la base para velar por el cumplimiento general de los derechos humanos por parte de los Estados Miembros; no en ser un conjunto de obligaciones vinculantes.</w:t>
      </w:r>
    </w:p>
    <w:p w:rsidR="00225F6F" w:rsidRDefault="00225F6F" w:rsidP="00FB5DA4">
      <w:pPr>
        <w:ind w:left="979"/>
        <w:jc w:val="both"/>
        <w:rPr>
          <w:rFonts w:ascii="Cambria" w:hAnsi="Cambria"/>
          <w:sz w:val="20"/>
          <w:szCs w:val="20"/>
          <w:lang w:val="es-ES"/>
        </w:rPr>
      </w:pPr>
    </w:p>
    <w:p w:rsidR="007A3740" w:rsidRPr="00225F6F" w:rsidRDefault="007A3740" w:rsidP="00FB5DA4">
      <w:pPr>
        <w:ind w:left="979"/>
        <w:jc w:val="both"/>
        <w:rPr>
          <w:rFonts w:ascii="Cambria" w:hAnsi="Cambria"/>
          <w:sz w:val="20"/>
          <w:szCs w:val="20"/>
          <w:lang w:val="es-ES"/>
        </w:rPr>
      </w:pPr>
      <w:r w:rsidRPr="00225F6F">
        <w:rPr>
          <w:rFonts w:ascii="Cambria" w:hAnsi="Cambria"/>
          <w:sz w:val="20"/>
          <w:szCs w:val="20"/>
          <w:lang w:val="es-ES"/>
        </w:rPr>
        <w:t>Los Estados Unidos reconocen las buenas intenciones de aquellos que intentan transformar la Declaración Americana de un enunciado de principios en un instrumento jurídico vinculante.  Pero las buenas intenciones no crean derecho. Debilitaría seriamente el proceso internacional de creación del derecho – por el cual los Estados soberanos voluntariamente asumen específicas obligaciones legales – el imponer obligaciones legales a los Estados a través de un proceso de “reinterpretación” o “inferencia” de un enunciado de principios no obligatorios (traducción no oficial hecha por la Secretaría de la Corte)</w:t>
      </w:r>
      <w:r w:rsidRPr="00225F6F">
        <w:rPr>
          <w:rStyle w:val="FootnoteReference"/>
          <w:rFonts w:ascii="Cambria" w:hAnsi="Cambria"/>
          <w:sz w:val="20"/>
          <w:szCs w:val="20"/>
          <w:lang w:val="es-ES"/>
        </w:rPr>
        <w:footnoteReference w:id="77"/>
      </w:r>
      <w:r w:rsidRPr="00225F6F">
        <w:rPr>
          <w:rFonts w:ascii="Cambria" w:hAnsi="Cambria"/>
          <w:sz w:val="20"/>
          <w:szCs w:val="20"/>
          <w:lang w:val="es-ES"/>
        </w:rPr>
        <w:t>.</w:t>
      </w:r>
    </w:p>
    <w:p w:rsidR="0067555B" w:rsidRPr="00225F6F" w:rsidRDefault="0067555B" w:rsidP="00225F6F">
      <w:pPr>
        <w:jc w:val="both"/>
        <w:rPr>
          <w:rFonts w:ascii="Cambria" w:hAnsi="Cambria"/>
          <w:sz w:val="20"/>
          <w:szCs w:val="20"/>
          <w:lang w:val="es-ES"/>
        </w:rPr>
      </w:pPr>
    </w:p>
    <w:p w:rsidR="007A3740" w:rsidRPr="00FF743B" w:rsidRDefault="00D307E2" w:rsidP="00D11F49">
      <w:pPr>
        <w:numPr>
          <w:ilvl w:val="3"/>
          <w:numId w:val="15"/>
        </w:numPr>
        <w:ind w:left="547" w:hanging="547"/>
        <w:jc w:val="both"/>
        <w:rPr>
          <w:rFonts w:ascii="Cambria" w:hAnsi="Cambria"/>
          <w:sz w:val="20"/>
          <w:szCs w:val="20"/>
          <w:lang w:val="es-ES"/>
        </w:rPr>
      </w:pPr>
      <w:r w:rsidRPr="00225F6F">
        <w:rPr>
          <w:rFonts w:ascii="Cambria" w:hAnsi="Cambria"/>
          <w:sz w:val="20"/>
          <w:szCs w:val="20"/>
          <w:lang w:val="es-ES"/>
        </w:rPr>
        <w:t>El gobierno</w:t>
      </w:r>
      <w:r w:rsidR="00E417E7" w:rsidRPr="00225F6F">
        <w:rPr>
          <w:rFonts w:ascii="Cambria" w:hAnsi="Cambria"/>
          <w:sz w:val="20"/>
          <w:szCs w:val="20"/>
          <w:lang w:val="es-ES"/>
        </w:rPr>
        <w:t xml:space="preserve"> de Estados Unidos</w:t>
      </w:r>
      <w:r w:rsidRPr="00225F6F">
        <w:rPr>
          <w:rFonts w:ascii="Cambria" w:hAnsi="Cambria"/>
          <w:sz w:val="20"/>
          <w:szCs w:val="20"/>
          <w:lang w:val="es-ES"/>
        </w:rPr>
        <w:t xml:space="preserve"> también ha</w:t>
      </w:r>
      <w:r w:rsidRPr="00FF743B">
        <w:rPr>
          <w:rFonts w:ascii="Cambria" w:hAnsi="Cambria"/>
          <w:sz w:val="20"/>
          <w:szCs w:val="20"/>
          <w:lang w:val="es-ES"/>
        </w:rPr>
        <w:t xml:space="preserve"> manifestado ante la CIDH que la Declaración </w:t>
      </w:r>
      <w:r w:rsidR="00BE775D" w:rsidRPr="00FF743B">
        <w:rPr>
          <w:rFonts w:ascii="Cambria" w:hAnsi="Cambria"/>
          <w:sz w:val="20"/>
          <w:szCs w:val="20"/>
          <w:lang w:val="es-ES"/>
        </w:rPr>
        <w:t>Americana es un “instrumento no-</w:t>
      </w:r>
      <w:r w:rsidRPr="00FF743B">
        <w:rPr>
          <w:rFonts w:ascii="Cambria" w:hAnsi="Cambria"/>
          <w:sz w:val="20"/>
          <w:szCs w:val="20"/>
          <w:lang w:val="es-ES"/>
        </w:rPr>
        <w:t>vinculante que por sí mismo no genera derechos o impone obligaciones legales sobre los Estados signatarios”</w:t>
      </w:r>
      <w:r w:rsidR="00E417E7" w:rsidRPr="00AB6DD7">
        <w:rPr>
          <w:rStyle w:val="FootnoteReference"/>
          <w:rFonts w:ascii="Cambria" w:hAnsi="Cambria"/>
          <w:sz w:val="20"/>
          <w:szCs w:val="20"/>
          <w:lang w:val="es-ES"/>
        </w:rPr>
        <w:footnoteReference w:id="78"/>
      </w:r>
      <w:r w:rsidRPr="00FF743B">
        <w:rPr>
          <w:rFonts w:ascii="Cambria" w:hAnsi="Cambria"/>
          <w:sz w:val="20"/>
          <w:szCs w:val="20"/>
          <w:lang w:val="es-ES"/>
        </w:rPr>
        <w:t xml:space="preserve"> y que </w:t>
      </w:r>
      <w:r w:rsidR="00F86030" w:rsidRPr="00FF743B">
        <w:rPr>
          <w:rFonts w:ascii="Cambria" w:hAnsi="Cambria"/>
          <w:sz w:val="20"/>
          <w:szCs w:val="20"/>
          <w:lang w:val="es-ES"/>
        </w:rPr>
        <w:t xml:space="preserve">no es fuente de obligaciones </w:t>
      </w:r>
      <w:r w:rsidR="00F2421A" w:rsidRPr="00FF743B">
        <w:rPr>
          <w:rFonts w:ascii="Cambria" w:hAnsi="Cambria"/>
          <w:sz w:val="20"/>
          <w:szCs w:val="20"/>
          <w:lang w:val="es-ES"/>
        </w:rPr>
        <w:t>afirmativas</w:t>
      </w:r>
      <w:r w:rsidR="00F86030" w:rsidRPr="00FF743B">
        <w:rPr>
          <w:rFonts w:ascii="Cambria" w:hAnsi="Cambria"/>
          <w:sz w:val="20"/>
          <w:szCs w:val="20"/>
          <w:lang w:val="es-ES"/>
        </w:rPr>
        <w:t xml:space="preserve"> como el ejercicio de la debida diligencia</w:t>
      </w:r>
      <w:r w:rsidR="00F86030" w:rsidRPr="00AB6DD7">
        <w:rPr>
          <w:rStyle w:val="FootnoteReference"/>
          <w:rFonts w:ascii="Cambria" w:hAnsi="Cambria"/>
          <w:sz w:val="20"/>
          <w:szCs w:val="20"/>
          <w:lang w:val="es-ES"/>
        </w:rPr>
        <w:footnoteReference w:id="79"/>
      </w:r>
      <w:r w:rsidR="00F2421A" w:rsidRPr="00FF743B">
        <w:rPr>
          <w:rFonts w:ascii="Cambria" w:hAnsi="Cambria"/>
          <w:sz w:val="20"/>
          <w:szCs w:val="20"/>
          <w:lang w:val="es-ES"/>
        </w:rPr>
        <w:t>.</w:t>
      </w:r>
      <w:r w:rsidR="009314CA" w:rsidRPr="00FF743B">
        <w:rPr>
          <w:rFonts w:ascii="Cambria" w:hAnsi="Cambria"/>
          <w:sz w:val="20"/>
          <w:szCs w:val="20"/>
          <w:lang w:val="es-ES"/>
        </w:rPr>
        <w:t xml:space="preserve">  </w:t>
      </w:r>
      <w:r w:rsidR="00BE775D" w:rsidRPr="00FF743B">
        <w:rPr>
          <w:rFonts w:ascii="Cambria" w:hAnsi="Cambria"/>
          <w:sz w:val="20"/>
          <w:szCs w:val="20"/>
          <w:lang w:val="es-ES"/>
        </w:rPr>
        <w:t xml:space="preserve"> Ante estos argumentos, la Comisión reitera que la Declaración Americana constituye una fuente de obligaciones jurídicas para todos los Estados Miembros de la OEA, incluyendo los que no han ratificado la Convención Americana, </w:t>
      </w:r>
      <w:r w:rsidR="00BE775D" w:rsidRPr="00FF743B">
        <w:rPr>
          <w:rFonts w:ascii="Cambria" w:hAnsi="Cambria"/>
          <w:sz w:val="20"/>
          <w:szCs w:val="20"/>
          <w:lang w:val="es-ES"/>
        </w:rPr>
        <w:lastRenderedPageBreak/>
        <w:t>como parte del sistema, la Carta de la OEA y también el Estatuto de la CIDH</w:t>
      </w:r>
      <w:r w:rsidR="00BE775D" w:rsidRPr="00AB6DD7">
        <w:rPr>
          <w:rStyle w:val="FootnoteReference"/>
          <w:rFonts w:ascii="Cambria" w:hAnsi="Cambria"/>
          <w:sz w:val="20"/>
          <w:szCs w:val="20"/>
          <w:lang w:val="es-ES"/>
        </w:rPr>
        <w:footnoteReference w:id="80"/>
      </w:r>
      <w:r w:rsidR="00BE775D" w:rsidRPr="00FF743B">
        <w:rPr>
          <w:rFonts w:ascii="Cambria" w:hAnsi="Cambria"/>
          <w:sz w:val="20"/>
          <w:szCs w:val="20"/>
          <w:lang w:val="es-ES"/>
        </w:rPr>
        <w:t>.   En su jurisprudencia, la CIDH ha establecido lo siguiente:</w:t>
      </w:r>
    </w:p>
    <w:p w:rsidR="007A3740" w:rsidRPr="00FF743B" w:rsidRDefault="007A3740" w:rsidP="00225F6F">
      <w:pPr>
        <w:jc w:val="both"/>
        <w:rPr>
          <w:rFonts w:ascii="Cambria" w:hAnsi="Cambria"/>
          <w:sz w:val="20"/>
          <w:szCs w:val="20"/>
          <w:lang w:val="es-ES"/>
        </w:rPr>
      </w:pPr>
    </w:p>
    <w:p w:rsidR="007A3740" w:rsidRPr="00225F6F" w:rsidRDefault="007A3740" w:rsidP="00FB5DA4">
      <w:pPr>
        <w:ind w:left="979"/>
        <w:jc w:val="both"/>
        <w:rPr>
          <w:rFonts w:ascii="Cambria" w:hAnsi="Cambria"/>
          <w:sz w:val="20"/>
          <w:szCs w:val="20"/>
          <w:lang w:val="es-ES"/>
        </w:rPr>
      </w:pPr>
      <w:r w:rsidRPr="00225F6F">
        <w:rPr>
          <w:rFonts w:ascii="Cambria" w:hAnsi="Cambria"/>
          <w:sz w:val="20"/>
          <w:szCs w:val="20"/>
          <w:lang w:val="es-ES"/>
        </w:rPr>
        <w:t>…..La Declaración Americana es reconocida como fuente de obligación jurídica para los Estados Miembros de la OEA, incluyendo a los Estados que no son parte de la Convención Americana de Derechos Humanos</w:t>
      </w:r>
      <w:r w:rsidRPr="00225F6F">
        <w:rPr>
          <w:rStyle w:val="FootnoteReference"/>
          <w:rFonts w:ascii="Cambria" w:hAnsi="Cambria"/>
          <w:sz w:val="20"/>
          <w:szCs w:val="20"/>
          <w:lang w:val="es-ES"/>
        </w:rPr>
        <w:footnoteReference w:id="81"/>
      </w:r>
      <w:r w:rsidRPr="00225F6F">
        <w:rPr>
          <w:rFonts w:ascii="Cambria" w:hAnsi="Cambria"/>
          <w:sz w:val="20"/>
          <w:szCs w:val="20"/>
          <w:lang w:val="es-ES"/>
        </w:rPr>
        <w:t>.  Se considera que estas obligaciones emanan de los deberes pertinentes a los derechos humanos de los Estados Miembros bajo la Carta de la OEA</w:t>
      </w:r>
      <w:r w:rsidRPr="00225F6F">
        <w:rPr>
          <w:rStyle w:val="FootnoteReference"/>
          <w:rFonts w:ascii="Cambria" w:hAnsi="Cambria"/>
          <w:sz w:val="20"/>
          <w:szCs w:val="20"/>
          <w:lang w:val="es-ES"/>
        </w:rPr>
        <w:footnoteReference w:id="82"/>
      </w:r>
      <w:r w:rsidRPr="00225F6F">
        <w:rPr>
          <w:rFonts w:ascii="Cambria" w:hAnsi="Cambria"/>
          <w:sz w:val="20"/>
          <w:szCs w:val="20"/>
          <w:lang w:val="es-ES"/>
        </w:rPr>
        <w:t>.  Los Estados miembros han acordado que el contenido de los principios generales de la Carta de la OEA está incorporado y es definido por la Declaración Americana</w:t>
      </w:r>
      <w:r w:rsidRPr="00225F6F">
        <w:rPr>
          <w:rStyle w:val="FootnoteReference"/>
          <w:rFonts w:ascii="Cambria" w:hAnsi="Cambria"/>
          <w:sz w:val="20"/>
          <w:szCs w:val="20"/>
          <w:lang w:val="es-ES"/>
        </w:rPr>
        <w:footnoteReference w:id="83"/>
      </w:r>
      <w:r w:rsidRPr="00225F6F">
        <w:rPr>
          <w:rFonts w:ascii="Cambria" w:hAnsi="Cambria"/>
          <w:sz w:val="20"/>
          <w:szCs w:val="20"/>
          <w:lang w:val="es-ES"/>
        </w:rPr>
        <w:t>, así como el estatus jurídico consuetudinario de los derechos protegidos por muchas de las disposiciones básicas de la Declaración</w:t>
      </w:r>
      <w:r w:rsidRPr="00225F6F">
        <w:rPr>
          <w:rStyle w:val="FootnoteReference"/>
          <w:rFonts w:ascii="Cambria" w:hAnsi="Cambria"/>
          <w:sz w:val="20"/>
          <w:szCs w:val="20"/>
          <w:lang w:val="es-ES"/>
        </w:rPr>
        <w:footnoteReference w:id="84"/>
      </w:r>
      <w:r w:rsidRPr="00225F6F">
        <w:rPr>
          <w:rFonts w:ascii="Cambria" w:hAnsi="Cambria"/>
          <w:sz w:val="20"/>
          <w:szCs w:val="20"/>
          <w:lang w:val="es-ES"/>
        </w:rPr>
        <w:t xml:space="preserve">.  </w:t>
      </w:r>
    </w:p>
    <w:p w:rsidR="007A3740" w:rsidRPr="00225F6F" w:rsidRDefault="007A3740" w:rsidP="00225F6F">
      <w:pPr>
        <w:ind w:left="720"/>
        <w:jc w:val="both"/>
        <w:rPr>
          <w:rFonts w:ascii="Cambria" w:hAnsi="Cambria"/>
          <w:sz w:val="20"/>
          <w:szCs w:val="20"/>
          <w:highlight w:val="yellow"/>
          <w:lang w:val="es-ES"/>
        </w:rPr>
      </w:pPr>
    </w:p>
    <w:p w:rsidR="007A3740" w:rsidRPr="00225F6F" w:rsidRDefault="007A3740" w:rsidP="00BF0A89">
      <w:pPr>
        <w:ind w:left="979"/>
        <w:jc w:val="both"/>
        <w:rPr>
          <w:rFonts w:ascii="Cambria" w:hAnsi="Cambria"/>
          <w:sz w:val="20"/>
          <w:szCs w:val="20"/>
          <w:lang w:val="es-ES"/>
        </w:rPr>
      </w:pPr>
      <w:r w:rsidRPr="00225F6F">
        <w:rPr>
          <w:rFonts w:ascii="Cambria" w:hAnsi="Cambria"/>
          <w:sz w:val="20"/>
          <w:szCs w:val="20"/>
          <w:lang w:val="es-ES"/>
        </w:rPr>
        <w:t>El sistema interamericano asimismo ha sostenido que la Declaración es fuente de obligaciones internacionales para todos los Estados miembros de la OEA, incluidos aquellos que han ratificado la Convención Americana</w:t>
      </w:r>
      <w:r w:rsidRPr="00225F6F">
        <w:rPr>
          <w:rStyle w:val="FootnoteReference"/>
          <w:rFonts w:ascii="Cambria" w:hAnsi="Cambria"/>
          <w:sz w:val="20"/>
          <w:szCs w:val="20"/>
          <w:lang w:val="es-ES"/>
        </w:rPr>
        <w:footnoteReference w:id="85"/>
      </w:r>
      <w:r w:rsidRPr="00225F6F">
        <w:rPr>
          <w:rFonts w:ascii="Cambria" w:hAnsi="Cambria"/>
          <w:sz w:val="20"/>
          <w:szCs w:val="20"/>
          <w:lang w:val="es-ES"/>
        </w:rPr>
        <w:t xml:space="preserve">.  La Declaración Americana es parte del marco de derechos humanos establecido por los Estados miembros de la OEA, el cual se refiere a las obligaciones y responsabilidades de los Estados, y les exige el abstenerse de respaldar, tolerar o participar en actos u omisiones que vulneren sus compromisos en materia de derechos humanos.  </w:t>
      </w:r>
    </w:p>
    <w:p w:rsidR="007A3740" w:rsidRPr="00FF743B" w:rsidRDefault="007A3740" w:rsidP="00225F6F">
      <w:pPr>
        <w:jc w:val="both"/>
        <w:rPr>
          <w:rFonts w:ascii="Cambria" w:hAnsi="Cambria"/>
          <w:sz w:val="20"/>
          <w:szCs w:val="20"/>
          <w:lang w:val="es-ES"/>
        </w:rPr>
      </w:pPr>
    </w:p>
    <w:p w:rsidR="007A3740" w:rsidRPr="00FF743B" w:rsidRDefault="00F740A4"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A su vez </w:t>
      </w:r>
      <w:r w:rsidR="00FA4670" w:rsidRPr="00FF743B">
        <w:rPr>
          <w:rFonts w:ascii="Cambria" w:hAnsi="Cambria"/>
          <w:sz w:val="20"/>
          <w:szCs w:val="20"/>
          <w:lang w:val="es-ES"/>
        </w:rPr>
        <w:t xml:space="preserve">Estados Unidos </w:t>
      </w:r>
      <w:r w:rsidRPr="00FF743B">
        <w:rPr>
          <w:rFonts w:ascii="Cambria" w:hAnsi="Cambria"/>
          <w:sz w:val="20"/>
          <w:szCs w:val="20"/>
          <w:lang w:val="es-ES"/>
        </w:rPr>
        <w:t>ha observado que considera que su legislación es más avanzada</w:t>
      </w:r>
      <w:r w:rsidR="006B7F63" w:rsidRPr="00FF743B">
        <w:rPr>
          <w:rFonts w:ascii="Cambria" w:hAnsi="Cambria"/>
          <w:sz w:val="20"/>
          <w:szCs w:val="20"/>
          <w:lang w:val="es-ES"/>
        </w:rPr>
        <w:t xml:space="preserve"> en ciertos temas</w:t>
      </w:r>
      <w:r w:rsidRPr="00FF743B">
        <w:rPr>
          <w:rFonts w:ascii="Cambria" w:hAnsi="Cambria"/>
          <w:sz w:val="20"/>
          <w:szCs w:val="20"/>
          <w:lang w:val="es-ES"/>
        </w:rPr>
        <w:t xml:space="preserve"> que las disposiciones contenidas en instrumentos </w:t>
      </w:r>
      <w:r w:rsidR="00BC458A" w:rsidRPr="00FF743B">
        <w:rPr>
          <w:rFonts w:ascii="Cambria" w:hAnsi="Cambria"/>
          <w:sz w:val="20"/>
          <w:szCs w:val="20"/>
          <w:lang w:val="es-ES"/>
        </w:rPr>
        <w:t xml:space="preserve">como la Convención Americana. </w:t>
      </w:r>
      <w:r w:rsidR="00946EE0" w:rsidRPr="00FF743B">
        <w:rPr>
          <w:rFonts w:ascii="Cambria" w:hAnsi="Cambria"/>
          <w:sz w:val="20"/>
          <w:szCs w:val="20"/>
          <w:lang w:val="es-ES"/>
        </w:rPr>
        <w:t>Diversos académicos</w:t>
      </w:r>
      <w:r w:rsidR="0096136A" w:rsidRPr="00FF743B">
        <w:rPr>
          <w:rFonts w:ascii="Cambria" w:hAnsi="Cambria"/>
          <w:sz w:val="20"/>
          <w:szCs w:val="20"/>
          <w:lang w:val="es-ES"/>
        </w:rPr>
        <w:t xml:space="preserve"> ha</w:t>
      </w:r>
      <w:r w:rsidR="00946EE0" w:rsidRPr="00FF743B">
        <w:rPr>
          <w:rFonts w:ascii="Cambria" w:hAnsi="Cambria"/>
          <w:sz w:val="20"/>
          <w:szCs w:val="20"/>
          <w:lang w:val="es-ES"/>
        </w:rPr>
        <w:t>n</w:t>
      </w:r>
      <w:r w:rsidR="0096136A" w:rsidRPr="00FF743B">
        <w:rPr>
          <w:rFonts w:ascii="Cambria" w:hAnsi="Cambria"/>
          <w:sz w:val="20"/>
          <w:szCs w:val="20"/>
          <w:lang w:val="es-ES"/>
        </w:rPr>
        <w:t xml:space="preserve"> escrito bastante sobre preocupaciones también derivadas del federalismo, la posible interferencia de asuntos internacionales con materias doméstica</w:t>
      </w:r>
      <w:r w:rsidR="00D90644" w:rsidRPr="00FF743B">
        <w:rPr>
          <w:rFonts w:ascii="Cambria" w:hAnsi="Cambria"/>
          <w:sz w:val="20"/>
          <w:szCs w:val="20"/>
          <w:lang w:val="es-ES"/>
        </w:rPr>
        <w:t>s</w:t>
      </w:r>
      <w:r w:rsidR="00946EE0" w:rsidRPr="00FF743B">
        <w:rPr>
          <w:rFonts w:ascii="Cambria" w:hAnsi="Cambria"/>
          <w:sz w:val="20"/>
          <w:szCs w:val="20"/>
          <w:lang w:val="es-ES"/>
        </w:rPr>
        <w:t>,</w:t>
      </w:r>
      <w:r w:rsidR="00D90644" w:rsidRPr="00FF743B">
        <w:rPr>
          <w:rFonts w:ascii="Cambria" w:hAnsi="Cambria"/>
          <w:sz w:val="20"/>
          <w:szCs w:val="20"/>
          <w:lang w:val="es-ES"/>
        </w:rPr>
        <w:t xml:space="preserve"> y la coherencia de interpretación </w:t>
      </w:r>
      <w:r w:rsidR="00D90644" w:rsidRPr="00FF743B">
        <w:rPr>
          <w:rFonts w:ascii="Cambria" w:hAnsi="Cambria"/>
          <w:sz w:val="20"/>
          <w:szCs w:val="20"/>
          <w:lang w:val="es-ES"/>
        </w:rPr>
        <w:lastRenderedPageBreak/>
        <w:t>entre disposiciones de la Convención A</w:t>
      </w:r>
      <w:r w:rsidR="00D91C08" w:rsidRPr="00FF743B">
        <w:rPr>
          <w:rFonts w:ascii="Cambria" w:hAnsi="Cambria"/>
          <w:sz w:val="20"/>
          <w:szCs w:val="20"/>
          <w:lang w:val="es-ES"/>
        </w:rPr>
        <w:t xml:space="preserve">mericana y la </w:t>
      </w:r>
      <w:r w:rsidR="00D90644" w:rsidRPr="00FF743B">
        <w:rPr>
          <w:rFonts w:ascii="Cambria" w:hAnsi="Cambria"/>
          <w:sz w:val="20"/>
          <w:szCs w:val="20"/>
          <w:lang w:val="es-ES"/>
        </w:rPr>
        <w:t>legislación interna en los Estados Unidos</w:t>
      </w:r>
      <w:r w:rsidR="00C77120" w:rsidRPr="00FF743B">
        <w:rPr>
          <w:rStyle w:val="FootnoteReference"/>
          <w:rFonts w:ascii="Cambria" w:hAnsi="Cambria"/>
          <w:b/>
          <w:sz w:val="20"/>
          <w:szCs w:val="20"/>
          <w:lang w:val="es-ES"/>
        </w:rPr>
        <w:footnoteReference w:id="86"/>
      </w:r>
      <w:r w:rsidR="00D90644" w:rsidRPr="00FF743B">
        <w:rPr>
          <w:rFonts w:ascii="Cambria" w:hAnsi="Cambria"/>
          <w:sz w:val="20"/>
          <w:szCs w:val="20"/>
          <w:lang w:val="es-ES"/>
        </w:rPr>
        <w:t xml:space="preserve">. </w:t>
      </w:r>
      <w:r w:rsidR="00946EE0" w:rsidRPr="00FF743B">
        <w:rPr>
          <w:rFonts w:ascii="Cambria" w:hAnsi="Cambria"/>
          <w:sz w:val="20"/>
          <w:szCs w:val="20"/>
          <w:lang w:val="es-ES"/>
        </w:rPr>
        <w:t xml:space="preserve">  </w:t>
      </w:r>
      <w:r w:rsidR="0051158D" w:rsidRPr="00FF743B">
        <w:rPr>
          <w:rFonts w:ascii="Cambria" w:hAnsi="Cambria"/>
          <w:sz w:val="20"/>
          <w:szCs w:val="20"/>
          <w:lang w:val="es-ES"/>
        </w:rPr>
        <w:t xml:space="preserve"> </w:t>
      </w:r>
    </w:p>
    <w:p w:rsidR="0067555B" w:rsidRPr="00FF743B" w:rsidRDefault="0067555B" w:rsidP="00225F6F">
      <w:pPr>
        <w:jc w:val="both"/>
        <w:rPr>
          <w:rFonts w:ascii="Cambria" w:hAnsi="Cambria"/>
          <w:sz w:val="20"/>
          <w:szCs w:val="20"/>
          <w:lang w:val="es-ES"/>
        </w:rPr>
      </w:pPr>
    </w:p>
    <w:p w:rsidR="007A3740" w:rsidRPr="00FF743B" w:rsidRDefault="00865171"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Sobre Canadá, la CIDH ha recibido información sobre preocupaciones vinculadas con la supuesta incompatibilidad entre el derecho canadiense y las disposiciones de la Convención Americana.  Este tema fue explorado por el Comité de Derechos Humanos del Senado canadiense, quien publicó en mayo del 2003 un informe concluyendo que no hay razones contundentes para que Canadá no ratifique la Convención Americana</w:t>
      </w:r>
      <w:r w:rsidRPr="00AB6DD7">
        <w:rPr>
          <w:rStyle w:val="FootnoteReference"/>
          <w:rFonts w:ascii="Cambria" w:hAnsi="Cambria"/>
          <w:sz w:val="20"/>
          <w:szCs w:val="20"/>
          <w:lang w:val="es-ES"/>
        </w:rPr>
        <w:footnoteReference w:id="87"/>
      </w:r>
      <w:r w:rsidRPr="00AB6DD7">
        <w:rPr>
          <w:rFonts w:ascii="Cambria" w:hAnsi="Cambria"/>
          <w:sz w:val="20"/>
          <w:szCs w:val="20"/>
          <w:lang w:val="es-ES"/>
        </w:rPr>
        <w:t>.</w:t>
      </w:r>
      <w:r w:rsidRPr="00FF743B">
        <w:rPr>
          <w:rFonts w:ascii="Cambria" w:hAnsi="Cambria"/>
          <w:sz w:val="20"/>
          <w:szCs w:val="20"/>
          <w:lang w:val="es-ES"/>
        </w:rPr>
        <w:t xml:space="preserve">  En el marco de la elaboración del referido informe, el Comité recibió información de actores estatales y no estatales sobre conflictos entre la legislación canadiense y las siguientes disposiciones consagradas en la Convención Americana: el alcance del derecho a la vida bajo el artículo 4(1); el derecho a la libertad de expresión bajo el artículo 13; el derecho a la propiedad indígena bajo el artículo 21; y el derecho a la igualdad bajo el artículo 24, entre otras bajo el mismo instrumento</w:t>
      </w:r>
      <w:r w:rsidRPr="00AB6DD7">
        <w:rPr>
          <w:rStyle w:val="FootnoteReference"/>
          <w:rFonts w:ascii="Cambria" w:hAnsi="Cambria"/>
          <w:sz w:val="20"/>
          <w:szCs w:val="20"/>
          <w:lang w:val="es-ES"/>
        </w:rPr>
        <w:footnoteReference w:id="88"/>
      </w:r>
      <w:r w:rsidRPr="00AB6DD7">
        <w:rPr>
          <w:rFonts w:ascii="Cambria" w:hAnsi="Cambria"/>
          <w:sz w:val="20"/>
          <w:szCs w:val="20"/>
          <w:lang w:val="es-ES"/>
        </w:rPr>
        <w:t>.</w:t>
      </w:r>
      <w:r w:rsidRPr="00FF743B">
        <w:rPr>
          <w:rFonts w:ascii="Cambria" w:hAnsi="Cambria"/>
          <w:sz w:val="20"/>
          <w:szCs w:val="20"/>
          <w:lang w:val="es-ES"/>
        </w:rPr>
        <w:t xml:space="preserve">  Otros obstáculos discutidos a la ratificación de la Convención Americana fueron el potencial limitado de impacto dado el marco jurídico extenso que tiene Canadá protegiendo los derechos humanos, y la necesidad de reservaciones si fuera ratificada la Convención Americana</w:t>
      </w:r>
      <w:r w:rsidRPr="00AB6DD7">
        <w:rPr>
          <w:rStyle w:val="FootnoteReference"/>
          <w:rFonts w:ascii="Cambria" w:hAnsi="Cambria"/>
          <w:sz w:val="20"/>
          <w:szCs w:val="20"/>
          <w:lang w:val="es-ES"/>
        </w:rPr>
        <w:footnoteReference w:id="89"/>
      </w:r>
      <w:r w:rsidRPr="00FF743B">
        <w:rPr>
          <w:rFonts w:ascii="Cambria" w:hAnsi="Cambria"/>
          <w:sz w:val="20"/>
          <w:szCs w:val="20"/>
          <w:lang w:val="es-ES"/>
        </w:rPr>
        <w:t>.  Sin embargo, consideró que esos obstáculos son superables</w:t>
      </w:r>
      <w:r w:rsidRPr="00AB6DD7">
        <w:rPr>
          <w:rStyle w:val="FootnoteReference"/>
          <w:rFonts w:ascii="Cambria" w:hAnsi="Cambria"/>
          <w:sz w:val="20"/>
          <w:szCs w:val="20"/>
          <w:lang w:val="es-ES"/>
        </w:rPr>
        <w:footnoteReference w:id="90"/>
      </w:r>
      <w:r w:rsidRPr="00AB6DD7">
        <w:rPr>
          <w:rFonts w:ascii="Cambria" w:hAnsi="Cambria"/>
          <w:sz w:val="20"/>
          <w:szCs w:val="20"/>
          <w:lang w:val="es-ES"/>
        </w:rPr>
        <w:t>.</w:t>
      </w:r>
      <w:r w:rsidRPr="00FF743B">
        <w:rPr>
          <w:rFonts w:ascii="Cambria" w:hAnsi="Cambria"/>
          <w:sz w:val="20"/>
          <w:szCs w:val="20"/>
          <w:lang w:val="es-ES"/>
        </w:rPr>
        <w:t xml:space="preserve"> </w:t>
      </w:r>
    </w:p>
    <w:p w:rsidR="007A3740" w:rsidRPr="00FF743B" w:rsidRDefault="007A3740" w:rsidP="00225F6F">
      <w:pPr>
        <w:jc w:val="both"/>
        <w:rPr>
          <w:rFonts w:ascii="Cambria" w:hAnsi="Cambria"/>
          <w:sz w:val="20"/>
          <w:szCs w:val="20"/>
          <w:lang w:val="es-ES"/>
        </w:rPr>
      </w:pPr>
    </w:p>
    <w:p w:rsidR="007A3740" w:rsidRPr="00FF743B" w:rsidRDefault="00865171"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El Comité a su vez identificó una serie de ventajas si la Convención Americana fuera ratificada por Canadá, incluyendo: el fortalecimiento del sistema interamericano de derechos humanos y el liderazgo y la credibilidad canadiense en dicho marco; la habilidad de poder nominar más candidatas y candidatos a puestos en la CIDH y en la Corte; el  incremento en la protección de los derechos humanos de los </w:t>
      </w:r>
      <w:r w:rsidRPr="00FF743B">
        <w:rPr>
          <w:rFonts w:ascii="Cambria" w:hAnsi="Cambria"/>
          <w:sz w:val="20"/>
          <w:szCs w:val="20"/>
          <w:lang w:val="es-ES"/>
        </w:rPr>
        <w:lastRenderedPageBreak/>
        <w:t xml:space="preserve">canadienses; y el contribuir a que otros Estados que tienen un régimen jurídico de </w:t>
      </w:r>
      <w:r w:rsidRPr="00FF743B">
        <w:rPr>
          <w:rFonts w:ascii="Cambria" w:hAnsi="Cambria"/>
          <w:i/>
          <w:sz w:val="20"/>
          <w:szCs w:val="20"/>
          <w:lang w:val="es-ES"/>
        </w:rPr>
        <w:t>common law</w:t>
      </w:r>
      <w:r w:rsidRPr="00FF743B">
        <w:rPr>
          <w:rFonts w:ascii="Cambria" w:hAnsi="Cambria"/>
          <w:sz w:val="20"/>
          <w:szCs w:val="20"/>
          <w:lang w:val="es-ES"/>
        </w:rPr>
        <w:t xml:space="preserve"> como los Estados Unidos ratifiquen la Convención Americana</w:t>
      </w:r>
      <w:r w:rsidRPr="00AB6DD7">
        <w:rPr>
          <w:rStyle w:val="FootnoteReference"/>
          <w:rFonts w:ascii="Cambria" w:hAnsi="Cambria"/>
          <w:sz w:val="20"/>
          <w:szCs w:val="20"/>
          <w:lang w:val="es-ES"/>
        </w:rPr>
        <w:footnoteReference w:id="91"/>
      </w:r>
      <w:r w:rsidRPr="00FF743B">
        <w:rPr>
          <w:rFonts w:ascii="Cambria" w:hAnsi="Cambria"/>
          <w:sz w:val="20"/>
          <w:szCs w:val="20"/>
          <w:lang w:val="es-ES"/>
        </w:rPr>
        <w:t>. La CIDH por su parte ha recomendado a Canadá su adhesión a la Convención Americana y otros instrumentos interamericanos</w:t>
      </w:r>
      <w:r w:rsidRPr="00AB6DD7">
        <w:rPr>
          <w:rStyle w:val="FootnoteReference"/>
          <w:rFonts w:ascii="Cambria" w:hAnsi="Cambria"/>
          <w:sz w:val="20"/>
          <w:szCs w:val="20"/>
          <w:lang w:val="es-ES"/>
        </w:rPr>
        <w:footnoteReference w:id="92"/>
      </w:r>
      <w:r w:rsidRPr="00AB6DD7">
        <w:rPr>
          <w:rFonts w:ascii="Cambria" w:hAnsi="Cambria"/>
          <w:sz w:val="20"/>
          <w:szCs w:val="20"/>
          <w:lang w:val="es-ES"/>
        </w:rPr>
        <w:t>.</w:t>
      </w:r>
      <w:r w:rsidRPr="00FF743B">
        <w:rPr>
          <w:rFonts w:ascii="Cambria" w:hAnsi="Cambria"/>
          <w:sz w:val="20"/>
          <w:szCs w:val="20"/>
          <w:lang w:val="es-ES"/>
        </w:rPr>
        <w:t xml:space="preserve">    </w:t>
      </w:r>
    </w:p>
    <w:p w:rsidR="0067555B" w:rsidRPr="00FF743B" w:rsidRDefault="0067555B" w:rsidP="00225F6F">
      <w:pPr>
        <w:jc w:val="both"/>
        <w:rPr>
          <w:rFonts w:ascii="Cambria" w:hAnsi="Cambria"/>
          <w:sz w:val="20"/>
          <w:szCs w:val="20"/>
          <w:lang w:val="es-ES"/>
        </w:rPr>
      </w:pPr>
    </w:p>
    <w:p w:rsidR="007A3740" w:rsidRPr="00FF743B" w:rsidRDefault="00865171"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Por su parte, el CARICOM ha manifestado de forma pública que hay ciertos factores que inciden en el nivel bajo de ratificación de la Convención Americana por parte de Estados del Caribe de habla-inglesa</w:t>
      </w:r>
      <w:r w:rsidRPr="00FF743B">
        <w:rPr>
          <w:rStyle w:val="FootnoteReference"/>
          <w:rFonts w:ascii="Cambria" w:hAnsi="Cambria"/>
          <w:b/>
          <w:sz w:val="20"/>
          <w:szCs w:val="20"/>
          <w:lang w:val="es-ES"/>
        </w:rPr>
        <w:footnoteReference w:id="93"/>
      </w:r>
      <w:r w:rsidRPr="00FF743B">
        <w:rPr>
          <w:rFonts w:ascii="Cambria" w:hAnsi="Cambria"/>
          <w:sz w:val="20"/>
          <w:szCs w:val="20"/>
          <w:lang w:val="es-ES"/>
        </w:rPr>
        <w:t>.  Varios Estados que integran el CARICOM consideran que han ingresado a la OEA de forma reciente y, en consecuencia, perciben que las áreas de énfasis de la CIDH son distintas a las del CARICOM, que existe un desconocimiento amplio del sistema interamericano en esta región, que tanto la CIDH como la Corte deberían tener mayor representación de estos países, y que dichos países no tienen los recursos necesarios para participar debidamente en las actividades de ambos órganos</w:t>
      </w:r>
      <w:r w:rsidRPr="00FF743B">
        <w:rPr>
          <w:rStyle w:val="FootnoteReference"/>
          <w:rFonts w:ascii="Cambria" w:hAnsi="Cambria"/>
          <w:b/>
          <w:sz w:val="20"/>
          <w:szCs w:val="20"/>
          <w:lang w:val="es-ES"/>
        </w:rPr>
        <w:footnoteReference w:id="94"/>
      </w:r>
      <w:r w:rsidRPr="00FF743B">
        <w:rPr>
          <w:rFonts w:ascii="Cambria" w:hAnsi="Cambria"/>
          <w:sz w:val="20"/>
          <w:szCs w:val="20"/>
          <w:lang w:val="es-ES"/>
        </w:rPr>
        <w:t>. De forma histórica, la CIDH ha recibido información sobre preocupaciones vinculadas con la imposición de la pena de muerte</w:t>
      </w:r>
      <w:r w:rsidRPr="00FF743B">
        <w:rPr>
          <w:rStyle w:val="FootnoteReference"/>
          <w:rFonts w:ascii="Cambria" w:hAnsi="Cambria"/>
          <w:b/>
          <w:sz w:val="20"/>
          <w:szCs w:val="20"/>
          <w:lang w:val="es-ES"/>
        </w:rPr>
        <w:footnoteReference w:id="95"/>
      </w:r>
      <w:r w:rsidRPr="00FF743B">
        <w:rPr>
          <w:rFonts w:ascii="Cambria" w:hAnsi="Cambria"/>
          <w:sz w:val="20"/>
          <w:szCs w:val="20"/>
          <w:lang w:val="es-ES"/>
        </w:rPr>
        <w:t xml:space="preserve"> y el marco normativo que regula la protección de las comunidades LGBTI. </w:t>
      </w:r>
    </w:p>
    <w:p w:rsidR="00225F6F" w:rsidRDefault="00225F6F" w:rsidP="00225F6F">
      <w:pPr>
        <w:jc w:val="both"/>
        <w:rPr>
          <w:rFonts w:ascii="Cambria" w:hAnsi="Cambria"/>
          <w:b/>
          <w:sz w:val="20"/>
          <w:szCs w:val="20"/>
          <w:highlight w:val="yellow"/>
          <w:lang w:val="es-ES"/>
        </w:rPr>
      </w:pPr>
    </w:p>
    <w:p w:rsidR="00F0147A" w:rsidRDefault="00F0147A" w:rsidP="00225F6F">
      <w:pPr>
        <w:jc w:val="both"/>
        <w:rPr>
          <w:rFonts w:ascii="Cambria" w:hAnsi="Cambria"/>
          <w:b/>
          <w:sz w:val="20"/>
          <w:szCs w:val="20"/>
          <w:highlight w:val="yellow"/>
          <w:lang w:val="es-ES"/>
        </w:rPr>
      </w:pPr>
    </w:p>
    <w:p w:rsidR="00F0147A" w:rsidRDefault="00F0147A" w:rsidP="00225F6F">
      <w:pPr>
        <w:jc w:val="both"/>
        <w:rPr>
          <w:rFonts w:ascii="Cambria" w:hAnsi="Cambria"/>
          <w:b/>
          <w:sz w:val="20"/>
          <w:szCs w:val="20"/>
          <w:highlight w:val="yellow"/>
          <w:lang w:val="es-ES"/>
        </w:rPr>
      </w:pPr>
    </w:p>
    <w:p w:rsidR="00F0147A" w:rsidRDefault="00F0147A" w:rsidP="00225F6F">
      <w:pPr>
        <w:jc w:val="both"/>
        <w:rPr>
          <w:rFonts w:ascii="Cambria" w:hAnsi="Cambria"/>
          <w:b/>
          <w:sz w:val="20"/>
          <w:szCs w:val="20"/>
          <w:highlight w:val="yellow"/>
          <w:lang w:val="es-ES"/>
        </w:rPr>
      </w:pPr>
    </w:p>
    <w:p w:rsidR="007A3740" w:rsidRPr="00FF743B" w:rsidRDefault="00865171"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lastRenderedPageBreak/>
        <w:t>Sin embargo, es importante para la CIDH destacar que todos los países de habla inglesa del Caribe han ratificado la Convención de Belém do Pará y han adoptado legislación sobre la violencia contra las mujeres</w:t>
      </w:r>
      <w:r w:rsidRPr="00FF743B">
        <w:rPr>
          <w:rStyle w:val="FootnoteReference"/>
          <w:rFonts w:ascii="Cambria" w:hAnsi="Cambria"/>
          <w:b/>
          <w:sz w:val="20"/>
          <w:szCs w:val="20"/>
          <w:lang w:val="es-ES"/>
        </w:rPr>
        <w:footnoteReference w:id="96"/>
      </w:r>
      <w:r w:rsidRPr="00FF743B">
        <w:rPr>
          <w:rFonts w:ascii="Cambria" w:hAnsi="Cambria"/>
          <w:sz w:val="20"/>
          <w:szCs w:val="20"/>
          <w:lang w:val="es-ES"/>
        </w:rPr>
        <w:t>, lo cual evidencia el potencial de la región para lograr una participación más substancial en el sistema interamericano de derechos humanos.</w:t>
      </w:r>
      <w:r w:rsidR="007A3740" w:rsidRPr="00FF743B">
        <w:rPr>
          <w:rFonts w:ascii="Cambria" w:hAnsi="Cambria"/>
          <w:sz w:val="20"/>
          <w:szCs w:val="20"/>
          <w:lang w:val="es-ES"/>
        </w:rPr>
        <w:t xml:space="preserve"> </w:t>
      </w:r>
      <w:r w:rsidRPr="00FF743B">
        <w:rPr>
          <w:rFonts w:ascii="Cambria" w:hAnsi="Cambria"/>
          <w:sz w:val="20"/>
          <w:szCs w:val="20"/>
          <w:lang w:val="es-ES"/>
        </w:rPr>
        <w:t xml:space="preserve">La Comisión a su vez aprovecha la oportunidad para destacar que la </w:t>
      </w:r>
      <w:r w:rsidR="00D33E40" w:rsidRPr="00FF743B">
        <w:rPr>
          <w:rFonts w:ascii="Cambria" w:hAnsi="Cambria"/>
          <w:sz w:val="20"/>
          <w:szCs w:val="20"/>
          <w:lang w:val="es-ES"/>
        </w:rPr>
        <w:t>Convención Americana es consistente con las obligaciones ya contraídas por los Estados Caribeños bajo la Declaración Americana</w:t>
      </w:r>
      <w:r w:rsidR="004A5ADC" w:rsidRPr="00FF743B">
        <w:rPr>
          <w:rFonts w:ascii="Cambria" w:hAnsi="Cambria"/>
          <w:sz w:val="20"/>
          <w:szCs w:val="20"/>
          <w:lang w:val="es-ES"/>
        </w:rPr>
        <w:t xml:space="preserve"> y las contenidas en </w:t>
      </w:r>
      <w:r w:rsidR="00D33E40" w:rsidRPr="00FF743B">
        <w:rPr>
          <w:rFonts w:ascii="Cambria" w:hAnsi="Cambria"/>
          <w:sz w:val="20"/>
          <w:szCs w:val="20"/>
          <w:lang w:val="es-ES"/>
        </w:rPr>
        <w:t>los instrumentos universales que han ratificado</w:t>
      </w:r>
      <w:r w:rsidR="004A5ADC" w:rsidRPr="00FF743B">
        <w:rPr>
          <w:rFonts w:ascii="Cambria" w:hAnsi="Cambria"/>
          <w:sz w:val="20"/>
          <w:szCs w:val="20"/>
          <w:lang w:val="es-ES"/>
        </w:rPr>
        <w:t>. También los principios reflejados en la Convención Americana</w:t>
      </w:r>
      <w:r w:rsidR="00D33E40" w:rsidRPr="00FF743B">
        <w:rPr>
          <w:rFonts w:ascii="Cambria" w:hAnsi="Cambria"/>
          <w:sz w:val="20"/>
          <w:szCs w:val="20"/>
          <w:lang w:val="es-ES"/>
        </w:rPr>
        <w:t xml:space="preserve"> son consonantes</w:t>
      </w:r>
      <w:r w:rsidR="004A5ADC" w:rsidRPr="00FF743B">
        <w:rPr>
          <w:rFonts w:ascii="Cambria" w:hAnsi="Cambria"/>
          <w:sz w:val="20"/>
          <w:szCs w:val="20"/>
          <w:lang w:val="es-ES"/>
        </w:rPr>
        <w:t xml:space="preserve"> con varias disposiciones de las</w:t>
      </w:r>
      <w:r w:rsidR="00D33E40" w:rsidRPr="00FF743B">
        <w:rPr>
          <w:rFonts w:ascii="Cambria" w:hAnsi="Cambria"/>
          <w:sz w:val="20"/>
          <w:szCs w:val="20"/>
          <w:lang w:val="es-ES"/>
        </w:rPr>
        <w:t xml:space="preserve"> constituciones nacionales</w:t>
      </w:r>
      <w:r w:rsidR="004A5ADC" w:rsidRPr="00FF743B">
        <w:rPr>
          <w:rFonts w:ascii="Cambria" w:hAnsi="Cambria"/>
          <w:sz w:val="20"/>
          <w:szCs w:val="20"/>
          <w:lang w:val="es-ES"/>
        </w:rPr>
        <w:t xml:space="preserve"> de los Estados caribeños</w:t>
      </w:r>
      <w:r w:rsidR="00D33E40" w:rsidRPr="00FF743B">
        <w:rPr>
          <w:rFonts w:ascii="Cambria" w:hAnsi="Cambria"/>
          <w:sz w:val="20"/>
          <w:szCs w:val="20"/>
          <w:lang w:val="es-ES"/>
        </w:rPr>
        <w:t xml:space="preserve">.  El ratificar la Convención Americana a su vez ofrecería a los países Caribeños la oportunidad de tener un rol más influyente y visible </w:t>
      </w:r>
      <w:r w:rsidR="00A23F57" w:rsidRPr="00FF743B">
        <w:rPr>
          <w:rFonts w:ascii="Cambria" w:hAnsi="Cambria"/>
          <w:sz w:val="20"/>
          <w:szCs w:val="20"/>
          <w:lang w:val="es-ES"/>
        </w:rPr>
        <w:t>en el ámbito de los derechos humanos</w:t>
      </w:r>
      <w:r w:rsidR="00D33E40" w:rsidRPr="00FF743B">
        <w:rPr>
          <w:rFonts w:ascii="Cambria" w:hAnsi="Cambria"/>
          <w:sz w:val="20"/>
          <w:szCs w:val="20"/>
          <w:lang w:val="es-ES"/>
        </w:rPr>
        <w:t xml:space="preserve"> en las Américas en general.   </w:t>
      </w:r>
    </w:p>
    <w:p w:rsidR="007A3740" w:rsidRPr="00FF743B" w:rsidRDefault="007A3740" w:rsidP="00225F6F">
      <w:pPr>
        <w:jc w:val="both"/>
        <w:rPr>
          <w:rFonts w:ascii="Cambria" w:hAnsi="Cambria"/>
          <w:sz w:val="20"/>
          <w:szCs w:val="20"/>
          <w:lang w:val="es-ES"/>
        </w:rPr>
      </w:pPr>
    </w:p>
    <w:p w:rsidR="0017530B" w:rsidRDefault="004908C8"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CIDH, como lo ha hecho en el pasado, reitera su disposición de dialogar con países sobre los diversos obstáculos que e</w:t>
      </w:r>
      <w:r w:rsidR="00DA3E2C" w:rsidRPr="00FF743B">
        <w:rPr>
          <w:rFonts w:ascii="Cambria" w:hAnsi="Cambria"/>
          <w:sz w:val="20"/>
          <w:szCs w:val="20"/>
          <w:lang w:val="es-ES"/>
        </w:rPr>
        <w:t>nfrentan para ratificar los</w:t>
      </w:r>
      <w:r w:rsidRPr="00FF743B">
        <w:rPr>
          <w:rFonts w:ascii="Cambria" w:hAnsi="Cambria"/>
          <w:sz w:val="20"/>
          <w:szCs w:val="20"/>
          <w:lang w:val="es-ES"/>
        </w:rPr>
        <w:t xml:space="preserve"> instrumentos interamericanos</w:t>
      </w:r>
      <w:r w:rsidR="00666635" w:rsidRPr="00FF743B">
        <w:rPr>
          <w:rFonts w:ascii="Cambria" w:hAnsi="Cambria"/>
          <w:sz w:val="20"/>
          <w:szCs w:val="20"/>
          <w:lang w:val="es-ES"/>
        </w:rPr>
        <w:t xml:space="preserve"> con miras a superarlos</w:t>
      </w:r>
      <w:r w:rsidRPr="00FF743B">
        <w:rPr>
          <w:rFonts w:ascii="Cambria" w:hAnsi="Cambria"/>
          <w:sz w:val="20"/>
          <w:szCs w:val="20"/>
          <w:lang w:val="es-ES"/>
        </w:rPr>
        <w:t xml:space="preserve">. </w:t>
      </w:r>
      <w:r w:rsidR="00070547" w:rsidRPr="00FF743B">
        <w:rPr>
          <w:rFonts w:ascii="Cambria" w:hAnsi="Cambria"/>
          <w:sz w:val="20"/>
          <w:szCs w:val="20"/>
          <w:lang w:val="es-ES"/>
        </w:rPr>
        <w:t xml:space="preserve"> Inclusive en países con gran institucionalidad democrática y un marco regulatorio de derechos humanos sólido, entidades del Estado han reiterado que la ratificación de tratados internacionales e interamericanos y el reconocimiento de la jurisdicción de la Corte pueden ofrecer a las personas otro nivel de protección no ofrecido por tribunales domésticos</w:t>
      </w:r>
      <w:r w:rsidR="00070547" w:rsidRPr="00FF743B">
        <w:rPr>
          <w:rStyle w:val="FootnoteReference"/>
          <w:rFonts w:ascii="Cambria" w:hAnsi="Cambria"/>
          <w:b/>
          <w:sz w:val="20"/>
          <w:szCs w:val="20"/>
          <w:lang w:val="es-ES"/>
        </w:rPr>
        <w:footnoteReference w:id="97"/>
      </w:r>
      <w:r w:rsidR="00BA36EF" w:rsidRPr="00FF743B">
        <w:rPr>
          <w:rFonts w:ascii="Cambria" w:hAnsi="Cambria"/>
          <w:sz w:val="20"/>
          <w:szCs w:val="20"/>
          <w:lang w:val="es-ES"/>
        </w:rPr>
        <w:t xml:space="preserve">. </w:t>
      </w:r>
      <w:r w:rsidR="00070547" w:rsidRPr="00FF743B">
        <w:rPr>
          <w:rFonts w:ascii="Cambria" w:hAnsi="Cambria"/>
          <w:sz w:val="20"/>
          <w:szCs w:val="20"/>
          <w:lang w:val="es-ES"/>
        </w:rPr>
        <w:t>También provee la oportunidad de que los Estados examinen el impacto en la práctica de su legislación, políticas y prácticas, con miras a mejorar su respuesta a situaciones violatorias de los derechos humanos, y de informar a su ciudadanía y la comunidad internacional de sus esfuerzos</w:t>
      </w:r>
      <w:r w:rsidR="00070547" w:rsidRPr="00FF743B">
        <w:rPr>
          <w:rStyle w:val="FootnoteReference"/>
          <w:rFonts w:ascii="Cambria" w:hAnsi="Cambria"/>
          <w:b/>
          <w:sz w:val="20"/>
          <w:szCs w:val="20"/>
          <w:lang w:val="es-ES"/>
        </w:rPr>
        <w:footnoteReference w:id="98"/>
      </w:r>
      <w:r w:rsidR="00070547" w:rsidRPr="00FF743B">
        <w:rPr>
          <w:rFonts w:ascii="Cambria" w:hAnsi="Cambria"/>
          <w:sz w:val="20"/>
          <w:szCs w:val="20"/>
          <w:lang w:val="es-ES"/>
        </w:rPr>
        <w:t xml:space="preserve">.  </w:t>
      </w:r>
    </w:p>
    <w:p w:rsidR="006A0F4C" w:rsidRDefault="006A0F4C" w:rsidP="00225F6F">
      <w:pPr>
        <w:pStyle w:val="ListParagraph"/>
        <w:rPr>
          <w:rFonts w:ascii="Cambria" w:hAnsi="Cambria"/>
          <w:sz w:val="20"/>
          <w:szCs w:val="20"/>
          <w:lang w:val="es-ES"/>
        </w:rPr>
        <w:sectPr w:rsidR="006A0F4C" w:rsidSect="0054614D">
          <w:headerReference w:type="default" r:id="rId23"/>
          <w:footerReference w:type="default" r:id="rId24"/>
          <w:type w:val="oddPage"/>
          <w:pgSz w:w="10325" w:h="14573" w:code="13"/>
          <w:pgMar w:top="1152" w:right="1152" w:bottom="1152" w:left="1440" w:header="720" w:footer="720" w:gutter="0"/>
          <w:cols w:space="720"/>
          <w:docGrid w:linePitch="326"/>
        </w:sectPr>
      </w:pPr>
    </w:p>
    <w:p w:rsidR="00225F6F" w:rsidRPr="00074647" w:rsidRDefault="006A0F4C" w:rsidP="00867F93">
      <w:pPr>
        <w:pStyle w:val="ListParagraph"/>
        <w:ind w:left="0"/>
        <w:jc w:val="center"/>
        <w:rPr>
          <w:rFonts w:ascii="Cambria" w:hAnsi="Cambria"/>
          <w:sz w:val="56"/>
          <w:szCs w:val="56"/>
          <w:lang w:val="es-ES"/>
        </w:rPr>
        <w:sectPr w:rsidR="00225F6F" w:rsidRPr="00074647" w:rsidSect="00543111">
          <w:headerReference w:type="default" r:id="rId25"/>
          <w:footerReference w:type="default" r:id="rId26"/>
          <w:type w:val="oddPage"/>
          <w:pgSz w:w="10325" w:h="14573" w:code="13"/>
          <w:pgMar w:top="1152" w:right="1152" w:bottom="1152" w:left="1440" w:header="432" w:footer="432" w:gutter="0"/>
          <w:cols w:space="720"/>
          <w:vAlign w:val="center"/>
          <w:docGrid w:linePitch="326"/>
        </w:sectPr>
      </w:pPr>
      <w:r w:rsidRPr="00BC4658">
        <w:rPr>
          <w:rFonts w:ascii="Cambria" w:hAnsi="Cambria"/>
          <w:color w:val="808080"/>
          <w:spacing w:val="-10"/>
          <w:sz w:val="44"/>
          <w:szCs w:val="44"/>
          <w:lang w:val="es-ES"/>
        </w:rPr>
        <w:lastRenderedPageBreak/>
        <w:t xml:space="preserve">CAPÍTULO </w:t>
      </w:r>
      <w:r w:rsidR="00576F27" w:rsidRPr="00BC4658">
        <w:rPr>
          <w:rFonts w:ascii="Cambria" w:hAnsi="Cambria"/>
          <w:color w:val="808080"/>
          <w:spacing w:val="-10"/>
          <w:sz w:val="44"/>
          <w:szCs w:val="44"/>
          <w:lang w:val="es-ES"/>
        </w:rPr>
        <w:t>3</w:t>
      </w:r>
      <w:r w:rsidRPr="00BC4658">
        <w:rPr>
          <w:rFonts w:ascii="Cambria" w:hAnsi="Cambria"/>
          <w:color w:val="4A442A"/>
          <w:spacing w:val="-10"/>
          <w:sz w:val="44"/>
          <w:szCs w:val="44"/>
          <w:lang w:val="es-ES"/>
        </w:rPr>
        <w:br/>
      </w:r>
      <w:r w:rsidRPr="00BC4658">
        <w:rPr>
          <w:rFonts w:ascii="Cambria" w:hAnsi="Cambria"/>
          <w:color w:val="4A442A"/>
          <w:spacing w:val="-10"/>
          <w:sz w:val="52"/>
          <w:szCs w:val="52"/>
          <w:lang w:val="es-ES"/>
        </w:rPr>
        <w:t>APORTE DE LA UNIVERSALIDAD: EJEMPLOS</w:t>
      </w:r>
    </w:p>
    <w:p w:rsidR="00D11F49" w:rsidRPr="00F0147A" w:rsidRDefault="00D11F49" w:rsidP="00D11F49">
      <w:pPr>
        <w:rPr>
          <w:rFonts w:ascii="Cambria" w:hAnsi="Cambria"/>
          <w:color w:val="4A442A"/>
          <w:sz w:val="32"/>
          <w:szCs w:val="32"/>
          <w:lang w:val="es-ES"/>
        </w:rPr>
      </w:pPr>
      <w:bookmarkStart w:id="7" w:name="_Toc392951577"/>
    </w:p>
    <w:p w:rsidR="00D11F49" w:rsidRPr="00F0147A" w:rsidRDefault="00D11F49" w:rsidP="00D11F49">
      <w:pPr>
        <w:rPr>
          <w:rFonts w:ascii="Cambria" w:hAnsi="Cambria"/>
          <w:color w:val="4A442A"/>
          <w:sz w:val="32"/>
          <w:szCs w:val="32"/>
          <w:lang w:val="es-ES"/>
        </w:rPr>
      </w:pPr>
    </w:p>
    <w:p w:rsidR="0017530B" w:rsidRPr="00C12992" w:rsidRDefault="0017530B" w:rsidP="00225F6F">
      <w:pPr>
        <w:pStyle w:val="Heading1"/>
        <w:rPr>
          <w:color w:val="4A442A"/>
        </w:rPr>
      </w:pPr>
      <w:r w:rsidRPr="00C12992">
        <w:rPr>
          <w:color w:val="4A442A"/>
        </w:rPr>
        <w:t>APORTES DE LA UNIVERSALIDAD: EJEMPLOS</w:t>
      </w:r>
      <w:bookmarkEnd w:id="7"/>
    </w:p>
    <w:p w:rsidR="0017530B" w:rsidRDefault="0017530B" w:rsidP="00225F6F">
      <w:pPr>
        <w:jc w:val="both"/>
        <w:rPr>
          <w:sz w:val="20"/>
          <w:szCs w:val="20"/>
          <w:lang w:val="es-ES"/>
        </w:rPr>
      </w:pPr>
    </w:p>
    <w:p w:rsidR="006A0F4C" w:rsidRDefault="006A0F4C" w:rsidP="00225F6F">
      <w:pPr>
        <w:jc w:val="both"/>
        <w:rPr>
          <w:sz w:val="20"/>
          <w:szCs w:val="20"/>
          <w:lang w:val="es-ES"/>
        </w:rPr>
      </w:pPr>
    </w:p>
    <w:p w:rsidR="006A0F4C" w:rsidRDefault="006A0F4C" w:rsidP="00225F6F">
      <w:pPr>
        <w:jc w:val="both"/>
        <w:rPr>
          <w:sz w:val="20"/>
          <w:szCs w:val="20"/>
          <w:lang w:val="es-ES"/>
        </w:rPr>
      </w:pPr>
    </w:p>
    <w:p w:rsidR="006A0F4C" w:rsidRPr="006A0F4C" w:rsidRDefault="006A0F4C" w:rsidP="00225F6F">
      <w:pPr>
        <w:jc w:val="both"/>
        <w:rPr>
          <w:sz w:val="20"/>
          <w:szCs w:val="20"/>
          <w:lang w:val="es-ES"/>
        </w:rPr>
      </w:pPr>
    </w:p>
    <w:p w:rsidR="0017530B" w:rsidRPr="00FF743B" w:rsidRDefault="00744C6D"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CIDH identifica</w:t>
      </w:r>
      <w:r w:rsidR="008F579F" w:rsidRPr="00FF743B">
        <w:rPr>
          <w:rFonts w:ascii="Cambria" w:hAnsi="Cambria"/>
          <w:sz w:val="20"/>
          <w:szCs w:val="20"/>
          <w:lang w:val="es-ES"/>
        </w:rPr>
        <w:t xml:space="preserve"> en esta sección</w:t>
      </w:r>
      <w:r w:rsidRPr="00FF743B">
        <w:rPr>
          <w:rFonts w:ascii="Cambria" w:hAnsi="Cambria"/>
          <w:sz w:val="20"/>
          <w:szCs w:val="20"/>
          <w:lang w:val="es-ES"/>
        </w:rPr>
        <w:t xml:space="preserve"> tres momentos fundamentales en donde la universalidad y la ratificación de instrumentos interamericanos han constitui</w:t>
      </w:r>
      <w:r w:rsidR="00032AEC" w:rsidRPr="00FF743B">
        <w:rPr>
          <w:rFonts w:ascii="Cambria" w:hAnsi="Cambria"/>
          <w:sz w:val="20"/>
          <w:szCs w:val="20"/>
          <w:lang w:val="es-ES"/>
        </w:rPr>
        <w:t>do un aporte importante en el proceso de</w:t>
      </w:r>
      <w:r w:rsidR="008F579F" w:rsidRPr="00FF743B">
        <w:rPr>
          <w:rFonts w:ascii="Cambria" w:hAnsi="Cambria"/>
          <w:sz w:val="20"/>
          <w:szCs w:val="20"/>
          <w:lang w:val="es-ES"/>
        </w:rPr>
        <w:t xml:space="preserve"> crear </w:t>
      </w:r>
      <w:r w:rsidRPr="00FF743B">
        <w:rPr>
          <w:rFonts w:ascii="Cambria" w:hAnsi="Cambria"/>
          <w:sz w:val="20"/>
          <w:szCs w:val="20"/>
          <w:lang w:val="es-ES"/>
        </w:rPr>
        <w:t>condiciones</w:t>
      </w:r>
      <w:r w:rsidR="008F579F" w:rsidRPr="00FF743B">
        <w:rPr>
          <w:rFonts w:ascii="Cambria" w:hAnsi="Cambria"/>
          <w:sz w:val="20"/>
          <w:szCs w:val="20"/>
          <w:lang w:val="es-ES"/>
        </w:rPr>
        <w:t xml:space="preserve"> más favorables para</w:t>
      </w:r>
      <w:r w:rsidRPr="00FF743B">
        <w:rPr>
          <w:rFonts w:ascii="Cambria" w:hAnsi="Cambria"/>
          <w:sz w:val="20"/>
          <w:szCs w:val="20"/>
          <w:lang w:val="es-ES"/>
        </w:rPr>
        <w:t xml:space="preserve"> la protección de los derechos humanos en las Américas. </w:t>
      </w:r>
      <w:r w:rsidR="00845B51" w:rsidRPr="00FF743B">
        <w:rPr>
          <w:rFonts w:ascii="Cambria" w:hAnsi="Cambria"/>
          <w:sz w:val="20"/>
          <w:szCs w:val="20"/>
          <w:lang w:val="es-ES"/>
        </w:rPr>
        <w:t xml:space="preserve"> </w:t>
      </w:r>
      <w:r w:rsidR="00101D80" w:rsidRPr="00FF743B">
        <w:rPr>
          <w:rFonts w:ascii="Cambria" w:hAnsi="Cambria"/>
          <w:sz w:val="20"/>
          <w:szCs w:val="20"/>
          <w:lang w:val="es-ES"/>
        </w:rPr>
        <w:t xml:space="preserve"> La</w:t>
      </w:r>
      <w:r w:rsidR="00845B51" w:rsidRPr="00FF743B">
        <w:rPr>
          <w:rFonts w:ascii="Cambria" w:hAnsi="Cambria"/>
          <w:sz w:val="20"/>
          <w:szCs w:val="20"/>
          <w:lang w:val="es-ES"/>
        </w:rPr>
        <w:t xml:space="preserve"> CIDH</w:t>
      </w:r>
      <w:r w:rsidR="008F579F" w:rsidRPr="00FF743B">
        <w:rPr>
          <w:rFonts w:ascii="Cambria" w:hAnsi="Cambria"/>
          <w:sz w:val="20"/>
          <w:szCs w:val="20"/>
          <w:lang w:val="es-ES"/>
        </w:rPr>
        <w:t xml:space="preserve"> entiende que estas contribuciones fueron ilustradas durante</w:t>
      </w:r>
      <w:r w:rsidR="00101D80" w:rsidRPr="00FF743B">
        <w:rPr>
          <w:rFonts w:ascii="Cambria" w:hAnsi="Cambria"/>
          <w:sz w:val="20"/>
          <w:szCs w:val="20"/>
          <w:lang w:val="es-ES"/>
        </w:rPr>
        <w:t>: i)</w:t>
      </w:r>
      <w:r w:rsidR="008F579F" w:rsidRPr="00FF743B">
        <w:rPr>
          <w:rFonts w:ascii="Cambria" w:hAnsi="Cambria"/>
          <w:sz w:val="20"/>
          <w:szCs w:val="20"/>
          <w:lang w:val="es-ES"/>
        </w:rPr>
        <w:t xml:space="preserve"> la transición de las dictaduras y regímenes represivos a la democracia</w:t>
      </w:r>
      <w:r w:rsidR="00DA4AE5" w:rsidRPr="00FF743B">
        <w:rPr>
          <w:rFonts w:ascii="Cambria" w:hAnsi="Cambria"/>
          <w:sz w:val="20"/>
          <w:szCs w:val="20"/>
          <w:lang w:val="es-ES"/>
        </w:rPr>
        <w:t xml:space="preserve"> en países de América Latina</w:t>
      </w:r>
      <w:r w:rsidR="008F579F" w:rsidRPr="00FF743B">
        <w:rPr>
          <w:rFonts w:ascii="Cambria" w:hAnsi="Cambria"/>
          <w:sz w:val="20"/>
          <w:szCs w:val="20"/>
          <w:lang w:val="es-ES"/>
        </w:rPr>
        <w:t xml:space="preserve">, </w:t>
      </w:r>
      <w:r w:rsidR="00101D80" w:rsidRPr="00FF743B">
        <w:rPr>
          <w:rFonts w:ascii="Cambria" w:hAnsi="Cambria"/>
          <w:sz w:val="20"/>
          <w:szCs w:val="20"/>
          <w:lang w:val="es-ES"/>
        </w:rPr>
        <w:t xml:space="preserve">ii) </w:t>
      </w:r>
      <w:r w:rsidR="008F579F" w:rsidRPr="00FF743B">
        <w:rPr>
          <w:rFonts w:ascii="Cambria" w:hAnsi="Cambria"/>
          <w:sz w:val="20"/>
          <w:szCs w:val="20"/>
          <w:lang w:val="es-ES"/>
        </w:rPr>
        <w:t>durante la consolidación de la democracia y un Estado de Derecho inclusivo</w:t>
      </w:r>
      <w:r w:rsidR="00DA4AE5" w:rsidRPr="00FF743B">
        <w:rPr>
          <w:rFonts w:ascii="Cambria" w:hAnsi="Cambria"/>
          <w:sz w:val="20"/>
          <w:szCs w:val="20"/>
          <w:lang w:val="es-ES"/>
        </w:rPr>
        <w:t>,</w:t>
      </w:r>
      <w:r w:rsidR="008F579F" w:rsidRPr="00FF743B">
        <w:rPr>
          <w:rFonts w:ascii="Cambria" w:hAnsi="Cambria"/>
          <w:sz w:val="20"/>
          <w:szCs w:val="20"/>
          <w:lang w:val="es-ES"/>
        </w:rPr>
        <w:t xml:space="preserve"> y </w:t>
      </w:r>
      <w:r w:rsidR="00101D80" w:rsidRPr="00FF743B">
        <w:rPr>
          <w:rFonts w:ascii="Cambria" w:hAnsi="Cambria"/>
          <w:sz w:val="20"/>
          <w:szCs w:val="20"/>
          <w:lang w:val="es-ES"/>
        </w:rPr>
        <w:t xml:space="preserve">iii) </w:t>
      </w:r>
      <w:r w:rsidR="008F579F" w:rsidRPr="00FF743B">
        <w:rPr>
          <w:rFonts w:ascii="Cambria" w:hAnsi="Cambria"/>
          <w:sz w:val="20"/>
          <w:szCs w:val="20"/>
          <w:lang w:val="es-ES"/>
        </w:rPr>
        <w:t xml:space="preserve">en el proceso actual de fortalecimiento de la institucionalidad democrática. </w:t>
      </w:r>
      <w:r w:rsidR="00845B51" w:rsidRPr="00FF743B">
        <w:rPr>
          <w:rFonts w:ascii="Cambria" w:hAnsi="Cambria"/>
          <w:sz w:val="20"/>
          <w:szCs w:val="20"/>
          <w:lang w:val="es-ES"/>
        </w:rPr>
        <w:t>En estos tres momentos, se ve una incidencia tangible de los instrumentos interamericanos en el diseño de constitucio</w:t>
      </w:r>
      <w:r w:rsidR="008F579F" w:rsidRPr="00FF743B">
        <w:rPr>
          <w:rFonts w:ascii="Cambria" w:hAnsi="Cambria"/>
          <w:sz w:val="20"/>
          <w:szCs w:val="20"/>
          <w:lang w:val="es-ES"/>
        </w:rPr>
        <w:t>nes, leyes y políticas públicas,</w:t>
      </w:r>
      <w:r w:rsidR="00684AA4" w:rsidRPr="00FF743B">
        <w:rPr>
          <w:rFonts w:ascii="Cambria" w:hAnsi="Cambria"/>
          <w:sz w:val="20"/>
          <w:szCs w:val="20"/>
          <w:lang w:val="es-ES"/>
        </w:rPr>
        <w:t xml:space="preserve"> en la creación de instituciones </w:t>
      </w:r>
      <w:r w:rsidR="00845B51" w:rsidRPr="00FF743B">
        <w:rPr>
          <w:rFonts w:ascii="Cambria" w:hAnsi="Cambria"/>
          <w:sz w:val="20"/>
          <w:szCs w:val="20"/>
          <w:lang w:val="es-ES"/>
        </w:rPr>
        <w:t>conducentes con los estándares internacionales en materia de derechos humanos, y en la adopción de sentencias judiciales</w:t>
      </w:r>
      <w:r w:rsidR="008F579F" w:rsidRPr="00FF743B">
        <w:rPr>
          <w:rFonts w:ascii="Cambria" w:hAnsi="Cambria"/>
          <w:sz w:val="20"/>
          <w:szCs w:val="20"/>
          <w:lang w:val="es-ES"/>
        </w:rPr>
        <w:t xml:space="preserve"> propendiendo el respeto por el marco internacional de los derechos humanos</w:t>
      </w:r>
      <w:r w:rsidR="00845B51" w:rsidRPr="00FF743B">
        <w:rPr>
          <w:rFonts w:ascii="Cambria" w:hAnsi="Cambria"/>
          <w:sz w:val="20"/>
          <w:szCs w:val="20"/>
          <w:lang w:val="es-ES"/>
        </w:rPr>
        <w:t xml:space="preserve">. Por otro lado, se </w:t>
      </w:r>
      <w:r w:rsidR="00032AEC" w:rsidRPr="00FF743B">
        <w:rPr>
          <w:rFonts w:ascii="Cambria" w:hAnsi="Cambria"/>
          <w:sz w:val="20"/>
          <w:szCs w:val="20"/>
          <w:lang w:val="es-ES"/>
        </w:rPr>
        <w:t>puede detectar una ampliación de la utilización de las herramientas de monitoreo y defensa que ofrecen los órganos del sistema interamericano por parte de la sociedad civil y otros sectores.</w:t>
      </w:r>
    </w:p>
    <w:p w:rsidR="00F81F4C" w:rsidRPr="00FF743B" w:rsidRDefault="00F81F4C" w:rsidP="00225F6F">
      <w:pPr>
        <w:jc w:val="both"/>
        <w:rPr>
          <w:rFonts w:ascii="Cambria" w:hAnsi="Cambria"/>
          <w:sz w:val="20"/>
          <w:szCs w:val="20"/>
          <w:lang w:val="es-ES"/>
        </w:rPr>
      </w:pPr>
    </w:p>
    <w:p w:rsidR="0017530B" w:rsidRPr="00747F82" w:rsidRDefault="0017530B" w:rsidP="00225F6F">
      <w:pPr>
        <w:jc w:val="both"/>
        <w:rPr>
          <w:rFonts w:ascii="Cambria" w:hAnsi="Cambria"/>
          <w:i/>
          <w:lang w:val="es-ES"/>
        </w:rPr>
      </w:pPr>
      <w:r w:rsidRPr="00747F82">
        <w:rPr>
          <w:rFonts w:ascii="Cambria" w:hAnsi="Cambria"/>
          <w:i/>
          <w:lang w:val="es-ES"/>
        </w:rPr>
        <w:t>Dictaduras, regímenes represivos, y transiciones a la democracia</w:t>
      </w:r>
    </w:p>
    <w:p w:rsidR="0017530B" w:rsidRPr="00FF743B" w:rsidRDefault="0017530B" w:rsidP="00225F6F">
      <w:pPr>
        <w:jc w:val="both"/>
        <w:rPr>
          <w:rFonts w:ascii="Cambria" w:hAnsi="Cambria"/>
          <w:sz w:val="20"/>
          <w:szCs w:val="20"/>
          <w:lang w:val="es-ES"/>
        </w:rPr>
      </w:pPr>
    </w:p>
    <w:p w:rsidR="0017530B" w:rsidRPr="00FF743B" w:rsidRDefault="00A45C6D"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CIDH </w:t>
      </w:r>
      <w:r w:rsidR="00876EE6" w:rsidRPr="00FF743B">
        <w:rPr>
          <w:rFonts w:ascii="Cambria" w:hAnsi="Cambria"/>
          <w:sz w:val="20"/>
          <w:szCs w:val="20"/>
          <w:lang w:val="es-ES"/>
        </w:rPr>
        <w:t>tuvo un rol activo en vislumbrar y documentar violaciones a los derechos humanos ocurridas durante regímenes represivos a través de las Américas, contribuyendo a abrir un camino facilitador de las condiciones</w:t>
      </w:r>
      <w:r w:rsidR="00BA74C7" w:rsidRPr="00FF743B">
        <w:rPr>
          <w:rFonts w:ascii="Cambria" w:hAnsi="Cambria"/>
          <w:sz w:val="20"/>
          <w:szCs w:val="20"/>
          <w:lang w:val="es-ES"/>
        </w:rPr>
        <w:t xml:space="preserve"> propicias para la democracia. </w:t>
      </w:r>
      <w:r w:rsidR="00876EE6" w:rsidRPr="00FF743B">
        <w:rPr>
          <w:rFonts w:ascii="Cambria" w:hAnsi="Cambria"/>
          <w:sz w:val="20"/>
          <w:szCs w:val="20"/>
          <w:lang w:val="es-ES"/>
        </w:rPr>
        <w:t>El rol de los instrumentos interameric</w:t>
      </w:r>
      <w:r w:rsidR="008F579F" w:rsidRPr="00FF743B">
        <w:rPr>
          <w:rFonts w:ascii="Cambria" w:hAnsi="Cambria"/>
          <w:sz w:val="20"/>
          <w:szCs w:val="20"/>
          <w:lang w:val="es-ES"/>
        </w:rPr>
        <w:t>anos en este sentido fue significativo</w:t>
      </w:r>
      <w:r w:rsidR="00876EE6" w:rsidRPr="00FF743B">
        <w:rPr>
          <w:rFonts w:ascii="Cambria" w:hAnsi="Cambria"/>
          <w:sz w:val="20"/>
          <w:szCs w:val="20"/>
          <w:lang w:val="es-ES"/>
        </w:rPr>
        <w:t xml:space="preserve">.  </w:t>
      </w:r>
    </w:p>
    <w:p w:rsidR="0017530B" w:rsidRPr="00FF743B" w:rsidRDefault="0017530B" w:rsidP="00225F6F">
      <w:pPr>
        <w:jc w:val="both"/>
        <w:rPr>
          <w:rFonts w:ascii="Cambria" w:hAnsi="Cambria"/>
          <w:sz w:val="20"/>
          <w:szCs w:val="20"/>
          <w:lang w:val="es-ES"/>
        </w:rPr>
      </w:pPr>
    </w:p>
    <w:p w:rsidR="0017530B" w:rsidRPr="00FF743B" w:rsidRDefault="00876EE6"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el caso de Argentina en particular, en donde gobernó una junta militar entre el 1976 y el 1983, la CIDH llevó a cabo una visita histórica entre el </w:t>
      </w:r>
      <w:r w:rsidR="00B50437" w:rsidRPr="00FF743B">
        <w:rPr>
          <w:rFonts w:ascii="Cambria" w:hAnsi="Cambria"/>
          <w:sz w:val="20"/>
          <w:szCs w:val="20"/>
          <w:lang w:val="es-ES"/>
        </w:rPr>
        <w:t>6 y 20 de septiembre de 1979, en donde documentó una serie de violaciones de derec</w:t>
      </w:r>
      <w:r w:rsidR="00BA74C7" w:rsidRPr="00FF743B">
        <w:rPr>
          <w:rFonts w:ascii="Cambria" w:hAnsi="Cambria"/>
          <w:sz w:val="20"/>
          <w:szCs w:val="20"/>
          <w:lang w:val="es-ES"/>
        </w:rPr>
        <w:t xml:space="preserve">hos humanos graves, generales y </w:t>
      </w:r>
      <w:r w:rsidR="00B50437" w:rsidRPr="00FF743B">
        <w:rPr>
          <w:rFonts w:ascii="Cambria" w:hAnsi="Cambria"/>
          <w:sz w:val="20"/>
          <w:szCs w:val="20"/>
          <w:lang w:val="es-ES"/>
        </w:rPr>
        <w:t xml:space="preserve">sistemáticas </w:t>
      </w:r>
      <w:r w:rsidR="00A17852" w:rsidRPr="00FF743B">
        <w:rPr>
          <w:rFonts w:ascii="Cambria" w:hAnsi="Cambria"/>
          <w:sz w:val="20"/>
          <w:szCs w:val="20"/>
          <w:lang w:val="es-ES"/>
        </w:rPr>
        <w:t>bajo la Declaración Americana</w:t>
      </w:r>
      <w:r w:rsidR="008F579F" w:rsidRPr="00FF743B">
        <w:rPr>
          <w:rStyle w:val="FootnoteReference"/>
          <w:rFonts w:ascii="Cambria" w:hAnsi="Cambria" w:cs="Arial"/>
          <w:b/>
          <w:sz w:val="20"/>
          <w:szCs w:val="20"/>
          <w:lang w:val="es-ES"/>
        </w:rPr>
        <w:footnoteReference w:id="99"/>
      </w:r>
      <w:r w:rsidR="00BA74C7" w:rsidRPr="00FF743B">
        <w:rPr>
          <w:rFonts w:ascii="Cambria" w:hAnsi="Cambria"/>
          <w:sz w:val="20"/>
          <w:szCs w:val="20"/>
          <w:lang w:val="es-ES"/>
        </w:rPr>
        <w:t xml:space="preserve">. </w:t>
      </w:r>
      <w:r w:rsidR="008F579F" w:rsidRPr="00FF743B">
        <w:rPr>
          <w:rFonts w:ascii="Cambria" w:hAnsi="Cambria"/>
          <w:sz w:val="20"/>
          <w:szCs w:val="20"/>
          <w:lang w:val="es-ES"/>
        </w:rPr>
        <w:t>La CIDH verificó</w:t>
      </w:r>
      <w:r w:rsidR="00A17852" w:rsidRPr="00FF743B">
        <w:rPr>
          <w:rFonts w:ascii="Cambria" w:hAnsi="Cambria"/>
          <w:sz w:val="20"/>
          <w:szCs w:val="20"/>
          <w:lang w:val="es-ES"/>
        </w:rPr>
        <w:t xml:space="preserve"> la desaparición de miles de personas sin rastro, el empleo sistemático de torturas y otros tratos crueles, inhumanos y degradantes contra personas consideradas como subversivas, la muerte de numerosos hombres y mujeres después de su detención, la suspensión de derechos políticos, limitaciones a la </w:t>
      </w:r>
      <w:r w:rsidR="00A17852" w:rsidRPr="00FF743B">
        <w:rPr>
          <w:rFonts w:ascii="Cambria" w:hAnsi="Cambria"/>
          <w:sz w:val="20"/>
          <w:szCs w:val="20"/>
          <w:lang w:val="es-ES"/>
        </w:rPr>
        <w:lastRenderedPageBreak/>
        <w:t>libertad de expresión</w:t>
      </w:r>
      <w:r w:rsidR="00A45C6D" w:rsidRPr="00FF743B">
        <w:rPr>
          <w:rFonts w:ascii="Cambria" w:hAnsi="Cambria"/>
          <w:sz w:val="20"/>
          <w:szCs w:val="20"/>
          <w:lang w:val="es-ES"/>
        </w:rPr>
        <w:t>,</w:t>
      </w:r>
      <w:r w:rsidR="00A17852" w:rsidRPr="00FF743B">
        <w:rPr>
          <w:rFonts w:ascii="Cambria" w:hAnsi="Cambria"/>
          <w:sz w:val="20"/>
          <w:szCs w:val="20"/>
          <w:lang w:val="es-ES"/>
        </w:rPr>
        <w:t xml:space="preserve"> y obstáculos apremiantes enfrentados por organizaciones que traba</w:t>
      </w:r>
      <w:r w:rsidR="008F579F" w:rsidRPr="00FF743B">
        <w:rPr>
          <w:rFonts w:ascii="Cambria" w:hAnsi="Cambria"/>
          <w:sz w:val="20"/>
          <w:szCs w:val="20"/>
          <w:lang w:val="es-ES"/>
        </w:rPr>
        <w:t>jaba</w:t>
      </w:r>
      <w:r w:rsidR="00A17852" w:rsidRPr="00FF743B">
        <w:rPr>
          <w:rFonts w:ascii="Cambria" w:hAnsi="Cambria"/>
          <w:sz w:val="20"/>
          <w:szCs w:val="20"/>
          <w:lang w:val="es-ES"/>
        </w:rPr>
        <w:t>n en la defensa de los dere</w:t>
      </w:r>
      <w:r w:rsidR="00BA74C7" w:rsidRPr="00FF743B">
        <w:rPr>
          <w:rFonts w:ascii="Cambria" w:hAnsi="Cambria"/>
          <w:sz w:val="20"/>
          <w:szCs w:val="20"/>
          <w:lang w:val="es-ES"/>
        </w:rPr>
        <w:t xml:space="preserve">chos humanos en dicho contexto.  </w:t>
      </w:r>
      <w:r w:rsidRPr="00FF743B">
        <w:rPr>
          <w:rFonts w:ascii="Cambria" w:hAnsi="Cambria"/>
          <w:sz w:val="20"/>
          <w:szCs w:val="20"/>
          <w:lang w:val="es-ES"/>
        </w:rPr>
        <w:t xml:space="preserve">En el caso de Perú, la CIDH </w:t>
      </w:r>
      <w:r w:rsidR="002F4E04" w:rsidRPr="00FF743B">
        <w:rPr>
          <w:rFonts w:ascii="Cambria" w:hAnsi="Cambria"/>
          <w:sz w:val="20"/>
          <w:szCs w:val="20"/>
          <w:lang w:val="es-ES"/>
        </w:rPr>
        <w:t xml:space="preserve">también </w:t>
      </w:r>
      <w:r w:rsidRPr="00FF743B">
        <w:rPr>
          <w:rFonts w:ascii="Cambria" w:hAnsi="Cambria"/>
          <w:sz w:val="20"/>
          <w:szCs w:val="20"/>
          <w:lang w:val="es-ES"/>
        </w:rPr>
        <w:t>desempeñó un trabajo activo en denunciar violaciones a los derechos humanos y el debilitamiento del Estado de Derecho en el país durante el gobierno autoritario de Fujimori-Mones, ilustrado por los resultados de visitas a Perú en el 1993 y el 1998.   En su informe de país publicado por la CIDH en el 2000, la CIDH se refirió en sus reflexiones finales a la desnaturalización del Estado de Derecho en el Perú y su afectación al corolario fundamental de los derechos humanos</w:t>
      </w:r>
      <w:r w:rsidR="002F4E04" w:rsidRPr="00FF743B">
        <w:rPr>
          <w:rFonts w:ascii="Cambria" w:hAnsi="Cambria"/>
          <w:sz w:val="20"/>
          <w:szCs w:val="20"/>
          <w:lang w:val="es-ES"/>
        </w:rPr>
        <w:t xml:space="preserve"> cobijado por la Convención Americana, ilustrado en el</w:t>
      </w:r>
      <w:r w:rsidRPr="00FF743B">
        <w:rPr>
          <w:rFonts w:ascii="Cambria" w:hAnsi="Cambria"/>
          <w:sz w:val="20"/>
          <w:szCs w:val="20"/>
          <w:lang w:val="es-ES"/>
        </w:rPr>
        <w:t xml:space="preserve"> sometimiento del Poder Ejecutivo a los demás poderes del Estado; al problema de la impunidad; las restricciones a la libertad de expresión y a los derechos políticos, y en general, a la situación de desamparo en que se encontraban las personas frente al Poder Ejecutivo peruano</w:t>
      </w:r>
      <w:r w:rsidR="00901782" w:rsidRPr="00FF743B">
        <w:rPr>
          <w:rStyle w:val="FootnoteReference"/>
          <w:rFonts w:ascii="Cambria" w:hAnsi="Cambria" w:cs="Arial"/>
          <w:b/>
          <w:sz w:val="20"/>
          <w:szCs w:val="20"/>
          <w:lang w:val="es-ES"/>
        </w:rPr>
        <w:footnoteReference w:id="100"/>
      </w:r>
      <w:r w:rsidRPr="00FF743B">
        <w:rPr>
          <w:rFonts w:ascii="Cambria" w:hAnsi="Cambria"/>
          <w:sz w:val="20"/>
          <w:szCs w:val="20"/>
          <w:lang w:val="es-ES"/>
        </w:rPr>
        <w:t xml:space="preserve">.  </w:t>
      </w:r>
    </w:p>
    <w:p w:rsidR="0017530B" w:rsidRPr="00FF743B" w:rsidRDefault="0017530B" w:rsidP="00225F6F">
      <w:pPr>
        <w:jc w:val="both"/>
        <w:rPr>
          <w:rFonts w:ascii="Cambria" w:hAnsi="Cambria"/>
          <w:sz w:val="20"/>
          <w:szCs w:val="20"/>
          <w:lang w:val="es-ES"/>
        </w:rPr>
      </w:pPr>
    </w:p>
    <w:p w:rsidR="0017530B" w:rsidRPr="00FF743B" w:rsidRDefault="00901782"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Estas visitas de la CIDH sirvieron para documentar la realidad que se vivía en estos países durante los </w:t>
      </w:r>
      <w:r w:rsidR="008F579F" w:rsidRPr="00FF743B">
        <w:rPr>
          <w:rFonts w:ascii="Cambria" w:hAnsi="Cambria"/>
          <w:sz w:val="20"/>
          <w:szCs w:val="20"/>
          <w:lang w:val="es-ES"/>
        </w:rPr>
        <w:t>regímenes</w:t>
      </w:r>
      <w:r w:rsidRPr="00FF743B">
        <w:rPr>
          <w:rFonts w:ascii="Cambria" w:hAnsi="Cambria"/>
          <w:sz w:val="20"/>
          <w:szCs w:val="20"/>
          <w:lang w:val="es-ES"/>
        </w:rPr>
        <w:t xml:space="preserve"> referidos, y </w:t>
      </w:r>
      <w:r w:rsidR="008F579F" w:rsidRPr="00FF743B">
        <w:rPr>
          <w:rFonts w:ascii="Cambria" w:hAnsi="Cambria"/>
          <w:sz w:val="20"/>
          <w:szCs w:val="20"/>
          <w:lang w:val="es-ES"/>
        </w:rPr>
        <w:t xml:space="preserve">aumentaron la visibilidad de las violaciones ocurridas a nivel internacional, </w:t>
      </w:r>
      <w:r w:rsidRPr="00FF743B">
        <w:rPr>
          <w:rFonts w:ascii="Cambria" w:hAnsi="Cambria"/>
          <w:sz w:val="20"/>
          <w:szCs w:val="20"/>
          <w:lang w:val="es-ES"/>
        </w:rPr>
        <w:t xml:space="preserve">lo que contribuyó a </w:t>
      </w:r>
      <w:r w:rsidR="00BA74C7" w:rsidRPr="00FF743B">
        <w:rPr>
          <w:rFonts w:ascii="Cambria" w:hAnsi="Cambria"/>
          <w:sz w:val="20"/>
          <w:szCs w:val="20"/>
          <w:lang w:val="es-ES"/>
        </w:rPr>
        <w:t>la transición a la democracia en</w:t>
      </w:r>
      <w:r w:rsidRPr="00FF743B">
        <w:rPr>
          <w:rFonts w:ascii="Cambria" w:hAnsi="Cambria"/>
          <w:sz w:val="20"/>
          <w:szCs w:val="20"/>
          <w:lang w:val="es-ES"/>
        </w:rPr>
        <w:t xml:space="preserve"> estos dos países. </w:t>
      </w:r>
      <w:r w:rsidR="00BA74C7" w:rsidRPr="00FF743B">
        <w:rPr>
          <w:rFonts w:ascii="Cambria" w:hAnsi="Cambria"/>
          <w:sz w:val="20"/>
          <w:szCs w:val="20"/>
          <w:lang w:val="es-ES"/>
        </w:rPr>
        <w:t xml:space="preserve"> </w:t>
      </w:r>
      <w:r w:rsidR="008F579F" w:rsidRPr="00FF743B">
        <w:rPr>
          <w:rFonts w:ascii="Cambria" w:hAnsi="Cambria"/>
          <w:sz w:val="20"/>
          <w:szCs w:val="20"/>
          <w:lang w:val="es-ES"/>
        </w:rPr>
        <w:t>Asimismo sirvieron para contribuir al fortalecimiento de mecanismos de derechos humanos locales y de defensores de los derechos humanos y brindaron esperanza para la</w:t>
      </w:r>
      <w:r w:rsidR="00BA74C7" w:rsidRPr="00FF743B">
        <w:rPr>
          <w:rFonts w:ascii="Cambria" w:hAnsi="Cambria"/>
          <w:sz w:val="20"/>
          <w:szCs w:val="20"/>
          <w:lang w:val="es-ES"/>
        </w:rPr>
        <w:t xml:space="preserve">s víctimas de estos regímenes. </w:t>
      </w:r>
      <w:r w:rsidRPr="00FF743B">
        <w:rPr>
          <w:rFonts w:ascii="Cambria" w:hAnsi="Cambria"/>
          <w:sz w:val="20"/>
          <w:szCs w:val="20"/>
          <w:lang w:val="es-ES"/>
        </w:rPr>
        <w:t>En el caso de Argentina en particular, el proceso de transición a la democracia abrió a su vez el camino para desarrollar un marco normativo que avanzara</w:t>
      </w:r>
      <w:r w:rsidR="00054E79" w:rsidRPr="00FF743B">
        <w:rPr>
          <w:rFonts w:ascii="Cambria" w:hAnsi="Cambria"/>
          <w:sz w:val="20"/>
          <w:szCs w:val="20"/>
          <w:lang w:val="es-ES"/>
        </w:rPr>
        <w:t xml:space="preserve"> los derechos humanos, mediante la ratificación de instrumentos como la Convención Americana</w:t>
      </w:r>
      <w:r w:rsidR="003F517F" w:rsidRPr="00FF743B">
        <w:rPr>
          <w:rFonts w:ascii="Cambria" w:hAnsi="Cambria"/>
          <w:sz w:val="20"/>
          <w:szCs w:val="20"/>
          <w:lang w:val="es-ES"/>
        </w:rPr>
        <w:t xml:space="preserve"> el 5 de septiembre </w:t>
      </w:r>
      <w:r w:rsidR="00054E79" w:rsidRPr="00FF743B">
        <w:rPr>
          <w:rFonts w:ascii="Cambria" w:hAnsi="Cambria"/>
          <w:sz w:val="20"/>
          <w:szCs w:val="20"/>
          <w:lang w:val="es-ES"/>
        </w:rPr>
        <w:t>de 1984 y la aceptación de la competencia de la Corte en la misma fecha</w:t>
      </w:r>
      <w:r w:rsidR="00E70DB8" w:rsidRPr="00FF743B">
        <w:rPr>
          <w:rStyle w:val="FootnoteReference"/>
          <w:rFonts w:ascii="Cambria" w:hAnsi="Cambria" w:cs="Arial"/>
          <w:b/>
          <w:sz w:val="20"/>
          <w:szCs w:val="20"/>
          <w:lang w:val="es-ES"/>
        </w:rPr>
        <w:footnoteReference w:id="101"/>
      </w:r>
      <w:r w:rsidR="00054E79" w:rsidRPr="00FF743B">
        <w:rPr>
          <w:rFonts w:ascii="Cambria" w:hAnsi="Cambria"/>
          <w:sz w:val="20"/>
          <w:szCs w:val="20"/>
          <w:lang w:val="es-ES"/>
        </w:rPr>
        <w:t xml:space="preserve">. </w:t>
      </w:r>
      <w:r w:rsidR="00E70DB8" w:rsidRPr="00FF743B">
        <w:rPr>
          <w:rFonts w:ascii="Cambria" w:hAnsi="Cambria"/>
          <w:sz w:val="20"/>
          <w:szCs w:val="20"/>
          <w:lang w:val="es-ES"/>
        </w:rPr>
        <w:t xml:space="preserve"> </w:t>
      </w:r>
    </w:p>
    <w:p w:rsidR="0017530B" w:rsidRPr="00FF743B" w:rsidRDefault="0017530B" w:rsidP="00225F6F">
      <w:pPr>
        <w:jc w:val="both"/>
        <w:rPr>
          <w:rFonts w:ascii="Cambria" w:hAnsi="Cambria"/>
          <w:b/>
          <w:sz w:val="20"/>
          <w:szCs w:val="20"/>
          <w:lang w:val="es-ES"/>
        </w:rPr>
      </w:pPr>
    </w:p>
    <w:p w:rsidR="0017530B" w:rsidRPr="00FF743B" w:rsidRDefault="00E70DB8"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También el involucramiento del sistema interamericano de derechos humanos en estos países abrió la puerta para una serie de decisiones de la CIDH y de la Corte Interamericana reconociendo que las leyes de amnistía por violaciones graves a los derechos humanos son contrarias</w:t>
      </w:r>
      <w:r w:rsidR="001C7881" w:rsidRPr="00FF743B">
        <w:rPr>
          <w:rFonts w:ascii="Cambria" w:hAnsi="Cambria"/>
          <w:sz w:val="20"/>
          <w:szCs w:val="20"/>
          <w:lang w:val="es-ES"/>
        </w:rPr>
        <w:t xml:space="preserve"> a las disposiciones de la Convención Americana y </w:t>
      </w:r>
      <w:r w:rsidRPr="00FF743B">
        <w:rPr>
          <w:rFonts w:ascii="Cambria" w:hAnsi="Cambria"/>
          <w:sz w:val="20"/>
          <w:szCs w:val="20"/>
          <w:lang w:val="es-ES"/>
        </w:rPr>
        <w:t>al derecho internacional de los derechos humanos</w:t>
      </w:r>
      <w:r w:rsidR="001917DA" w:rsidRPr="00FF743B">
        <w:rPr>
          <w:rStyle w:val="FootnoteReference"/>
          <w:rFonts w:ascii="Cambria" w:hAnsi="Cambria" w:cs="Arial"/>
          <w:b/>
          <w:sz w:val="20"/>
          <w:szCs w:val="20"/>
          <w:lang w:val="es-ES"/>
        </w:rPr>
        <w:footnoteReference w:id="102"/>
      </w:r>
      <w:r w:rsidRPr="00FF743B">
        <w:rPr>
          <w:rFonts w:ascii="Cambria" w:hAnsi="Cambria"/>
          <w:sz w:val="20"/>
          <w:szCs w:val="20"/>
          <w:lang w:val="es-ES"/>
        </w:rPr>
        <w:t>.  En este sentido,</w:t>
      </w:r>
      <w:r w:rsidR="001C7881" w:rsidRPr="00FF743B">
        <w:rPr>
          <w:rFonts w:ascii="Cambria" w:hAnsi="Cambria"/>
          <w:sz w:val="20"/>
          <w:szCs w:val="20"/>
          <w:lang w:val="es-ES"/>
        </w:rPr>
        <w:t xml:space="preserve"> dichas decisiones </w:t>
      </w:r>
      <w:r w:rsidRPr="00FF743B">
        <w:rPr>
          <w:rFonts w:ascii="Cambria" w:hAnsi="Cambria"/>
          <w:sz w:val="20"/>
          <w:szCs w:val="20"/>
          <w:lang w:val="es-ES"/>
        </w:rPr>
        <w:t>realzaron el principio de que el acceso a la justicia es un componente fundamental del Estado de Derecho y de la institucionalidad democrática</w:t>
      </w:r>
      <w:r w:rsidR="008F579F" w:rsidRPr="00FF743B">
        <w:rPr>
          <w:rFonts w:ascii="Cambria" w:hAnsi="Cambria"/>
          <w:sz w:val="20"/>
          <w:szCs w:val="20"/>
          <w:lang w:val="es-ES"/>
        </w:rPr>
        <w:t>,</w:t>
      </w:r>
      <w:r w:rsidR="00EC6F11" w:rsidRPr="00FF743B">
        <w:rPr>
          <w:rFonts w:ascii="Cambria" w:hAnsi="Cambria"/>
          <w:sz w:val="20"/>
          <w:szCs w:val="20"/>
          <w:lang w:val="es-ES"/>
        </w:rPr>
        <w:t xml:space="preserve"> y la necesidad de no dejar impunes graves violaciones a los derechos humanos</w:t>
      </w:r>
      <w:r w:rsidR="00601E83" w:rsidRPr="00FF743B">
        <w:rPr>
          <w:rStyle w:val="FootnoteReference"/>
          <w:rFonts w:ascii="Cambria" w:hAnsi="Cambria" w:cs="Arial"/>
          <w:b/>
          <w:sz w:val="20"/>
          <w:szCs w:val="20"/>
          <w:lang w:val="es-ES"/>
        </w:rPr>
        <w:footnoteReference w:id="103"/>
      </w:r>
      <w:r w:rsidR="00EC6F11" w:rsidRPr="00FF743B">
        <w:rPr>
          <w:rFonts w:ascii="Cambria" w:hAnsi="Cambria"/>
          <w:sz w:val="20"/>
          <w:szCs w:val="20"/>
          <w:lang w:val="es-ES"/>
        </w:rPr>
        <w:t>.</w:t>
      </w:r>
    </w:p>
    <w:p w:rsidR="0017530B" w:rsidRPr="00747F82" w:rsidRDefault="0017530B" w:rsidP="00225F6F">
      <w:pPr>
        <w:jc w:val="both"/>
        <w:rPr>
          <w:rFonts w:ascii="Cambria" w:hAnsi="Cambria"/>
          <w:i/>
          <w:lang w:val="es-ES"/>
        </w:rPr>
      </w:pPr>
      <w:r w:rsidRPr="00747F82">
        <w:rPr>
          <w:rFonts w:ascii="Cambria" w:hAnsi="Cambria"/>
          <w:i/>
          <w:lang w:val="es-ES"/>
        </w:rPr>
        <w:lastRenderedPageBreak/>
        <w:t>Desafíos a la consolidación de la democracia: personas y sectores en situación de exclusión y discriminación</w:t>
      </w:r>
    </w:p>
    <w:p w:rsidR="0017530B" w:rsidRPr="00FF743B" w:rsidRDefault="0017530B" w:rsidP="00225F6F">
      <w:pPr>
        <w:jc w:val="both"/>
        <w:rPr>
          <w:lang w:val="es-ES"/>
        </w:rPr>
      </w:pPr>
    </w:p>
    <w:p w:rsidR="0017530B" w:rsidRPr="00FF743B" w:rsidRDefault="00B976F2"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Uno de los desafíos fundamentales de la consolidación de las democracias en el hemisferio es la discriminación histórica</w:t>
      </w:r>
      <w:r w:rsidR="00E72E99" w:rsidRPr="00FF743B">
        <w:rPr>
          <w:rFonts w:ascii="Cambria" w:hAnsi="Cambria"/>
          <w:sz w:val="20"/>
          <w:szCs w:val="20"/>
          <w:lang w:val="es-ES"/>
        </w:rPr>
        <w:t xml:space="preserve"> y la situación de exclusión </w:t>
      </w:r>
      <w:r w:rsidR="008F579F" w:rsidRPr="00FF743B">
        <w:rPr>
          <w:rFonts w:ascii="Cambria" w:hAnsi="Cambria"/>
          <w:sz w:val="20"/>
          <w:szCs w:val="20"/>
          <w:lang w:val="es-ES"/>
        </w:rPr>
        <w:t>que han sufrido y aún viven</w:t>
      </w:r>
      <w:r w:rsidRPr="00FF743B">
        <w:rPr>
          <w:rFonts w:ascii="Cambria" w:hAnsi="Cambria"/>
          <w:sz w:val="20"/>
          <w:szCs w:val="20"/>
          <w:lang w:val="es-ES"/>
        </w:rPr>
        <w:t xml:space="preserve"> una diversidad de colectividades, grupos y personas en las Américas en base a diversos factores como su sexo, raza, etnia, y</w:t>
      </w:r>
      <w:r w:rsidR="00C7012E" w:rsidRPr="00FF743B">
        <w:rPr>
          <w:rFonts w:ascii="Cambria" w:hAnsi="Cambria"/>
          <w:sz w:val="20"/>
          <w:szCs w:val="20"/>
          <w:lang w:val="es-ES"/>
        </w:rPr>
        <w:t xml:space="preserve"> edad, entre otros.  Este problema</w:t>
      </w:r>
      <w:r w:rsidRPr="00FF743B">
        <w:rPr>
          <w:rFonts w:ascii="Cambria" w:hAnsi="Cambria"/>
          <w:sz w:val="20"/>
          <w:szCs w:val="20"/>
          <w:lang w:val="es-ES"/>
        </w:rPr>
        <w:t xml:space="preserve"> es reflejado en la cantidad de instrumentos interamericanos </w:t>
      </w:r>
      <w:r w:rsidR="00C7012E" w:rsidRPr="00FF743B">
        <w:rPr>
          <w:rFonts w:ascii="Cambria" w:hAnsi="Cambria"/>
          <w:sz w:val="20"/>
          <w:szCs w:val="20"/>
          <w:lang w:val="es-ES"/>
        </w:rPr>
        <w:t xml:space="preserve">e internacionales </w:t>
      </w:r>
      <w:r w:rsidRPr="00FF743B">
        <w:rPr>
          <w:rFonts w:ascii="Cambria" w:hAnsi="Cambria"/>
          <w:sz w:val="20"/>
          <w:szCs w:val="20"/>
          <w:lang w:val="es-ES"/>
        </w:rPr>
        <w:t>que los Estados han adoptado protegiendo a personas en particular riesgo a violaciones de sus derechos humanos</w:t>
      </w:r>
      <w:r w:rsidR="00CA0CDB" w:rsidRPr="00FF743B">
        <w:rPr>
          <w:rStyle w:val="FootnoteReference"/>
          <w:rFonts w:ascii="Cambria" w:hAnsi="Cambria"/>
          <w:b/>
          <w:sz w:val="20"/>
          <w:szCs w:val="20"/>
          <w:lang w:val="es-ES"/>
        </w:rPr>
        <w:footnoteReference w:id="104"/>
      </w:r>
      <w:r w:rsidRPr="00FF743B">
        <w:rPr>
          <w:rFonts w:ascii="Cambria" w:hAnsi="Cambria"/>
          <w:sz w:val="20"/>
          <w:szCs w:val="20"/>
          <w:lang w:val="es-ES"/>
        </w:rPr>
        <w:t xml:space="preserve">.  </w:t>
      </w:r>
      <w:r w:rsidR="00600A64" w:rsidRPr="00FF743B">
        <w:rPr>
          <w:rFonts w:ascii="Cambria" w:hAnsi="Cambria"/>
          <w:sz w:val="20"/>
          <w:szCs w:val="20"/>
          <w:lang w:val="es-ES"/>
        </w:rPr>
        <w:t xml:space="preserve"> La ratificación de </w:t>
      </w:r>
      <w:r w:rsidR="00C7012E" w:rsidRPr="00FF743B">
        <w:rPr>
          <w:rFonts w:ascii="Cambria" w:hAnsi="Cambria"/>
          <w:sz w:val="20"/>
          <w:szCs w:val="20"/>
          <w:lang w:val="es-ES"/>
        </w:rPr>
        <w:t>instrumentos interamericanos ha</w:t>
      </w:r>
      <w:r w:rsidR="00600A64" w:rsidRPr="00FF743B">
        <w:rPr>
          <w:rFonts w:ascii="Cambria" w:hAnsi="Cambria"/>
          <w:sz w:val="20"/>
          <w:szCs w:val="20"/>
          <w:lang w:val="es-ES"/>
        </w:rPr>
        <w:t xml:space="preserve"> sido un factor fundamental para promover el desarrollo de estándares y jurisprudencia orientada a la protección de sectores históricamente discriminado</w:t>
      </w:r>
      <w:r w:rsidR="00C7012E" w:rsidRPr="00FF743B">
        <w:rPr>
          <w:rFonts w:ascii="Cambria" w:hAnsi="Cambria"/>
          <w:sz w:val="20"/>
          <w:szCs w:val="20"/>
          <w:lang w:val="es-ES"/>
        </w:rPr>
        <w:t>s</w:t>
      </w:r>
      <w:r w:rsidR="00600A64" w:rsidRPr="00FF743B">
        <w:rPr>
          <w:rFonts w:ascii="Cambria" w:hAnsi="Cambria"/>
          <w:sz w:val="20"/>
          <w:szCs w:val="20"/>
          <w:lang w:val="es-ES"/>
        </w:rPr>
        <w:t xml:space="preserve">, </w:t>
      </w:r>
      <w:r w:rsidR="00C7012E" w:rsidRPr="00FF743B">
        <w:rPr>
          <w:rFonts w:ascii="Cambria" w:hAnsi="Cambria"/>
          <w:sz w:val="20"/>
          <w:szCs w:val="20"/>
          <w:lang w:val="es-ES"/>
        </w:rPr>
        <w:t xml:space="preserve">así fijando </w:t>
      </w:r>
      <w:r w:rsidR="00600A64" w:rsidRPr="00FF743B">
        <w:rPr>
          <w:rFonts w:ascii="Cambria" w:hAnsi="Cambria"/>
          <w:sz w:val="20"/>
          <w:szCs w:val="20"/>
          <w:lang w:val="es-ES"/>
        </w:rPr>
        <w:t>pautas jurídicas para el desarrollo de legislación, políticas y p</w:t>
      </w:r>
      <w:r w:rsidR="00C7012E" w:rsidRPr="00FF743B">
        <w:rPr>
          <w:rFonts w:ascii="Cambria" w:hAnsi="Cambria"/>
          <w:sz w:val="20"/>
          <w:szCs w:val="20"/>
          <w:lang w:val="es-ES"/>
        </w:rPr>
        <w:t xml:space="preserve">rogramas, y </w:t>
      </w:r>
      <w:r w:rsidR="00600A64" w:rsidRPr="00FF743B">
        <w:rPr>
          <w:rFonts w:ascii="Cambria" w:hAnsi="Cambria"/>
          <w:sz w:val="20"/>
          <w:szCs w:val="20"/>
          <w:lang w:val="es-ES"/>
        </w:rPr>
        <w:t>la respuesta de la administración de la justicia hacia casos involucrando a estos sectores.</w:t>
      </w:r>
    </w:p>
    <w:p w:rsidR="0017530B" w:rsidRPr="00FF743B" w:rsidRDefault="0017530B" w:rsidP="00225F6F">
      <w:pPr>
        <w:jc w:val="both"/>
        <w:rPr>
          <w:rFonts w:ascii="Cambria" w:hAnsi="Cambria"/>
          <w:sz w:val="20"/>
          <w:szCs w:val="20"/>
          <w:lang w:val="es-ES"/>
        </w:rPr>
      </w:pPr>
    </w:p>
    <w:p w:rsidR="0017530B" w:rsidRPr="00FF743B" w:rsidRDefault="00B976F2"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Entre ellos, es importante destacar la Convención de Belém do Pará,</w:t>
      </w:r>
      <w:r w:rsidR="00C7012E" w:rsidRPr="00FF743B">
        <w:rPr>
          <w:rFonts w:ascii="Cambria" w:hAnsi="Cambria"/>
          <w:sz w:val="20"/>
          <w:szCs w:val="20"/>
          <w:lang w:val="es-ES"/>
        </w:rPr>
        <w:t xml:space="preserve"> el instrumento más ratificado del sistema interamericano, contando con 32 Estados partes</w:t>
      </w:r>
      <w:r w:rsidR="00C7012E" w:rsidRPr="00FF743B">
        <w:rPr>
          <w:rStyle w:val="FootnoteReference"/>
          <w:rFonts w:ascii="Cambria" w:hAnsi="Cambria"/>
          <w:b/>
          <w:sz w:val="20"/>
          <w:szCs w:val="20"/>
          <w:lang w:val="es-ES"/>
        </w:rPr>
        <w:footnoteReference w:id="105"/>
      </w:r>
      <w:r w:rsidR="001029AC" w:rsidRPr="00FF743B">
        <w:rPr>
          <w:rFonts w:ascii="Cambria" w:hAnsi="Cambria"/>
          <w:sz w:val="20"/>
          <w:szCs w:val="20"/>
          <w:lang w:val="es-ES"/>
        </w:rPr>
        <w:t>.  La CIDH considera que el</w:t>
      </w:r>
      <w:r w:rsidR="00C7012E" w:rsidRPr="00FF743B">
        <w:rPr>
          <w:rFonts w:ascii="Cambria" w:hAnsi="Cambria"/>
          <w:sz w:val="20"/>
          <w:szCs w:val="20"/>
          <w:lang w:val="es-ES"/>
        </w:rPr>
        <w:t xml:space="preserve"> número elevado de </w:t>
      </w:r>
      <w:r w:rsidR="001029AC" w:rsidRPr="00FF743B">
        <w:rPr>
          <w:rFonts w:ascii="Cambria" w:hAnsi="Cambria"/>
          <w:sz w:val="20"/>
          <w:szCs w:val="20"/>
          <w:lang w:val="es-ES"/>
        </w:rPr>
        <w:t xml:space="preserve">ratificaciones y </w:t>
      </w:r>
      <w:r w:rsidR="00C7012E" w:rsidRPr="00FF743B">
        <w:rPr>
          <w:rFonts w:ascii="Cambria" w:hAnsi="Cambria"/>
          <w:sz w:val="20"/>
          <w:szCs w:val="20"/>
          <w:lang w:val="es-ES"/>
        </w:rPr>
        <w:t xml:space="preserve">adhesiones de este instrumento refleja un consenso regional </w:t>
      </w:r>
      <w:r w:rsidR="00E72E99" w:rsidRPr="00FF743B">
        <w:rPr>
          <w:rFonts w:ascii="Cambria" w:hAnsi="Cambria"/>
          <w:sz w:val="20"/>
          <w:szCs w:val="20"/>
          <w:lang w:val="es-ES"/>
        </w:rPr>
        <w:t>sobre la gravedad del problema de la violencia contra las mujeres,</w:t>
      </w:r>
      <w:r w:rsidR="00FE4FBE" w:rsidRPr="00FF743B">
        <w:rPr>
          <w:rFonts w:ascii="Cambria" w:hAnsi="Cambria"/>
          <w:sz w:val="20"/>
          <w:szCs w:val="20"/>
          <w:lang w:val="es-ES"/>
        </w:rPr>
        <w:t xml:space="preserve"> la discriminación que la sustenta,</w:t>
      </w:r>
      <w:r w:rsidR="00E72E99" w:rsidRPr="00FF743B">
        <w:rPr>
          <w:rFonts w:ascii="Cambria" w:hAnsi="Cambria"/>
          <w:sz w:val="20"/>
          <w:szCs w:val="20"/>
          <w:lang w:val="es-ES"/>
        </w:rPr>
        <w:t xml:space="preserve"> y la necesidad de adoptar estrategias integrales para prevenirl</w:t>
      </w:r>
      <w:r w:rsidR="00FE4FBE" w:rsidRPr="00FF743B">
        <w:rPr>
          <w:rFonts w:ascii="Cambria" w:hAnsi="Cambria"/>
          <w:sz w:val="20"/>
          <w:szCs w:val="20"/>
          <w:lang w:val="es-ES"/>
        </w:rPr>
        <w:t xml:space="preserve">a, sancionarla y erradicarla.  </w:t>
      </w:r>
      <w:r w:rsidR="00E72E99" w:rsidRPr="00FF743B">
        <w:rPr>
          <w:rFonts w:ascii="Cambria" w:hAnsi="Cambria"/>
          <w:sz w:val="20"/>
          <w:szCs w:val="20"/>
          <w:lang w:val="es-ES"/>
        </w:rPr>
        <w:t xml:space="preserve">La CIDH </w:t>
      </w:r>
      <w:r w:rsidR="00600A64" w:rsidRPr="00FF743B">
        <w:rPr>
          <w:rFonts w:ascii="Cambria" w:hAnsi="Cambria"/>
          <w:sz w:val="20"/>
          <w:szCs w:val="20"/>
          <w:lang w:val="es-ES"/>
        </w:rPr>
        <w:t xml:space="preserve">asimismo </w:t>
      </w:r>
      <w:r w:rsidR="00E72E99" w:rsidRPr="00FF743B">
        <w:rPr>
          <w:rFonts w:ascii="Cambria" w:hAnsi="Cambria"/>
          <w:sz w:val="20"/>
          <w:szCs w:val="20"/>
          <w:lang w:val="es-ES"/>
        </w:rPr>
        <w:t>ha recibido de forma histórica información de tanto actores estatales como no estatales verificando la contribución</w:t>
      </w:r>
      <w:r w:rsidR="00600A64" w:rsidRPr="00FF743B">
        <w:rPr>
          <w:rFonts w:ascii="Cambria" w:hAnsi="Cambria"/>
          <w:sz w:val="20"/>
          <w:szCs w:val="20"/>
          <w:lang w:val="es-ES"/>
        </w:rPr>
        <w:t xml:space="preserve"> tangible</w:t>
      </w:r>
      <w:r w:rsidR="00E72E99" w:rsidRPr="00FF743B">
        <w:rPr>
          <w:rFonts w:ascii="Cambria" w:hAnsi="Cambria"/>
          <w:sz w:val="20"/>
          <w:szCs w:val="20"/>
          <w:lang w:val="es-ES"/>
        </w:rPr>
        <w:t xml:space="preserve"> de este instrumento</w:t>
      </w:r>
      <w:r w:rsidR="00600A64" w:rsidRPr="00FF743B">
        <w:rPr>
          <w:rFonts w:ascii="Cambria" w:hAnsi="Cambria"/>
          <w:sz w:val="20"/>
          <w:szCs w:val="20"/>
          <w:lang w:val="es-ES"/>
        </w:rPr>
        <w:t xml:space="preserve"> a cambios significativos en la legislación, políticas públicas y programas nacionales </w:t>
      </w:r>
      <w:r w:rsidR="00600A64" w:rsidRPr="00FF743B">
        <w:rPr>
          <w:rFonts w:ascii="Cambria" w:hAnsi="Cambria"/>
          <w:sz w:val="20"/>
          <w:szCs w:val="20"/>
          <w:lang w:val="es-ES"/>
        </w:rPr>
        <w:lastRenderedPageBreak/>
        <w:t>sobre violencia contra las mujeres</w:t>
      </w:r>
      <w:r w:rsidR="001029AC" w:rsidRPr="00FF743B">
        <w:rPr>
          <w:rStyle w:val="FootnoteReference"/>
          <w:rFonts w:ascii="Cambria" w:hAnsi="Cambria"/>
          <w:b/>
          <w:sz w:val="20"/>
          <w:szCs w:val="20"/>
          <w:lang w:val="es-ES"/>
        </w:rPr>
        <w:footnoteReference w:id="106"/>
      </w:r>
      <w:r w:rsidR="00932E7C" w:rsidRPr="00FF743B">
        <w:rPr>
          <w:rFonts w:ascii="Cambria" w:hAnsi="Cambria"/>
          <w:sz w:val="20"/>
          <w:szCs w:val="20"/>
          <w:lang w:val="es-ES"/>
        </w:rPr>
        <w:t xml:space="preserve">. </w:t>
      </w:r>
      <w:r w:rsidR="00600A64" w:rsidRPr="00FF743B">
        <w:rPr>
          <w:rFonts w:ascii="Cambria" w:hAnsi="Cambria"/>
          <w:sz w:val="20"/>
          <w:szCs w:val="20"/>
          <w:lang w:val="es-ES"/>
        </w:rPr>
        <w:t xml:space="preserve">La adopción de dicho instrumento, así como de la CEDAW y el precedente internacional sobre este tema, ha servido para insertar la violencia contra las mujeres como elemento fijo del discurso nacional sobre temas de género, llevando a un reconocimiento público de parte de los Estados de la gravedad de este </w:t>
      </w:r>
      <w:r w:rsidR="00E65524" w:rsidRPr="00FF743B">
        <w:rPr>
          <w:rFonts w:ascii="Cambria" w:hAnsi="Cambria"/>
          <w:sz w:val="20"/>
          <w:szCs w:val="20"/>
          <w:lang w:val="es-ES"/>
        </w:rPr>
        <w:t>problema de derechos humanos</w:t>
      </w:r>
      <w:r w:rsidR="00CF3EEC" w:rsidRPr="00FF743B">
        <w:rPr>
          <w:rStyle w:val="FootnoteReference"/>
          <w:rFonts w:ascii="Cambria" w:hAnsi="Cambria"/>
          <w:b/>
          <w:sz w:val="20"/>
          <w:szCs w:val="20"/>
          <w:lang w:val="es-ES"/>
        </w:rPr>
        <w:footnoteReference w:id="107"/>
      </w:r>
      <w:r w:rsidR="00E65524" w:rsidRPr="00FF743B">
        <w:rPr>
          <w:rFonts w:ascii="Cambria" w:hAnsi="Cambria"/>
          <w:sz w:val="20"/>
          <w:szCs w:val="20"/>
          <w:lang w:val="es-ES"/>
        </w:rPr>
        <w:t>.  Es importante sin embargo reconocer que aún existe una brecha significativa entre los pasos formales adoptados por los Estados</w:t>
      </w:r>
      <w:r w:rsidR="00D32090" w:rsidRPr="00FF743B">
        <w:rPr>
          <w:rFonts w:ascii="Cambria" w:hAnsi="Cambria"/>
          <w:sz w:val="20"/>
          <w:szCs w:val="20"/>
          <w:lang w:val="es-ES"/>
        </w:rPr>
        <w:t xml:space="preserve"> después de la ratificación de</w:t>
      </w:r>
      <w:r w:rsidR="00E65524" w:rsidRPr="00FF743B">
        <w:rPr>
          <w:rFonts w:ascii="Cambria" w:hAnsi="Cambria"/>
          <w:sz w:val="20"/>
          <w:szCs w:val="20"/>
          <w:lang w:val="es-ES"/>
        </w:rPr>
        <w:t xml:space="preserve"> este instrumento y la realidad diaria de las mujeres en las Américas</w:t>
      </w:r>
      <w:r w:rsidR="00E65524" w:rsidRPr="00FF743B">
        <w:rPr>
          <w:rStyle w:val="FootnoteReference"/>
          <w:rFonts w:ascii="Cambria" w:hAnsi="Cambria"/>
          <w:b/>
          <w:sz w:val="20"/>
          <w:szCs w:val="20"/>
          <w:lang w:val="es-ES"/>
        </w:rPr>
        <w:footnoteReference w:id="108"/>
      </w:r>
      <w:r w:rsidR="00E65524" w:rsidRPr="00FF743B">
        <w:rPr>
          <w:rFonts w:ascii="Cambria" w:hAnsi="Cambria"/>
          <w:sz w:val="20"/>
          <w:szCs w:val="20"/>
          <w:lang w:val="es-ES"/>
        </w:rPr>
        <w:t xml:space="preserve">.     </w:t>
      </w:r>
    </w:p>
    <w:p w:rsidR="0017530B" w:rsidRPr="00FF743B" w:rsidRDefault="0017530B" w:rsidP="00225F6F">
      <w:pPr>
        <w:jc w:val="both"/>
        <w:rPr>
          <w:rFonts w:ascii="Cambria" w:hAnsi="Cambria"/>
          <w:sz w:val="20"/>
          <w:szCs w:val="20"/>
          <w:lang w:val="es-ES"/>
        </w:rPr>
      </w:pPr>
    </w:p>
    <w:p w:rsidR="0017530B" w:rsidRPr="00FF743B" w:rsidRDefault="00600A64"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Convención </w:t>
      </w:r>
      <w:r w:rsidR="00C7012E" w:rsidRPr="00FF743B">
        <w:rPr>
          <w:rFonts w:ascii="Cambria" w:hAnsi="Cambria"/>
          <w:sz w:val="20"/>
          <w:szCs w:val="20"/>
          <w:lang w:val="es-ES"/>
        </w:rPr>
        <w:t xml:space="preserve">de Belém do Pará </w:t>
      </w:r>
      <w:r w:rsidRPr="00FF743B">
        <w:rPr>
          <w:rFonts w:ascii="Cambria" w:hAnsi="Cambria"/>
          <w:sz w:val="20"/>
          <w:szCs w:val="20"/>
          <w:lang w:val="es-ES"/>
        </w:rPr>
        <w:t>a su vez ha sido una herramienta importante para el desarrollo de estándares jurídicos y jurisprudencia sobre el tema de la violencia contra las mujeres en el marco del sistema interamericano, incluyendo decisiones</w:t>
      </w:r>
      <w:r w:rsidR="00A11CE9" w:rsidRPr="00FF743B">
        <w:rPr>
          <w:rFonts w:ascii="Cambria" w:hAnsi="Cambria"/>
          <w:sz w:val="20"/>
          <w:szCs w:val="20"/>
          <w:lang w:val="es-ES"/>
        </w:rPr>
        <w:t xml:space="preserve"> paradigmáticas</w:t>
      </w:r>
      <w:r w:rsidR="0073127A" w:rsidRPr="00FF743B">
        <w:rPr>
          <w:rFonts w:ascii="Cambria" w:hAnsi="Cambria"/>
          <w:sz w:val="20"/>
          <w:szCs w:val="20"/>
          <w:lang w:val="es-ES"/>
        </w:rPr>
        <w:t xml:space="preserve"> </w:t>
      </w:r>
      <w:r w:rsidRPr="00FF743B">
        <w:rPr>
          <w:rFonts w:ascii="Cambria" w:hAnsi="Cambria"/>
          <w:sz w:val="20"/>
          <w:szCs w:val="20"/>
          <w:lang w:val="es-ES"/>
        </w:rPr>
        <w:t>como las e</w:t>
      </w:r>
      <w:r w:rsidR="00C7012E" w:rsidRPr="00FF743B">
        <w:rPr>
          <w:rFonts w:ascii="Cambria" w:hAnsi="Cambria"/>
          <w:sz w:val="20"/>
          <w:szCs w:val="20"/>
          <w:lang w:val="es-ES"/>
        </w:rPr>
        <w:t xml:space="preserve">mitidas </w:t>
      </w:r>
      <w:r w:rsidRPr="00FF743B">
        <w:rPr>
          <w:rFonts w:ascii="Cambria" w:hAnsi="Cambria"/>
          <w:sz w:val="20"/>
          <w:szCs w:val="20"/>
          <w:lang w:val="es-ES"/>
        </w:rPr>
        <w:t xml:space="preserve">por la CIDH en el caso de </w:t>
      </w:r>
      <w:r w:rsidRPr="00FF743B">
        <w:rPr>
          <w:rFonts w:ascii="Cambria" w:hAnsi="Cambria"/>
          <w:i/>
          <w:sz w:val="20"/>
          <w:szCs w:val="20"/>
          <w:lang w:val="es-ES"/>
        </w:rPr>
        <w:t xml:space="preserve">Maria da </w:t>
      </w:r>
      <w:r w:rsidRPr="00FF743B">
        <w:rPr>
          <w:rFonts w:ascii="Cambria" w:hAnsi="Cambria"/>
          <w:sz w:val="20"/>
          <w:szCs w:val="20"/>
          <w:lang w:val="es-ES"/>
        </w:rPr>
        <w:t>Penha</w:t>
      </w:r>
      <w:r w:rsidRPr="00FF743B">
        <w:rPr>
          <w:rFonts w:ascii="Cambria" w:hAnsi="Cambria"/>
          <w:i/>
          <w:sz w:val="20"/>
          <w:szCs w:val="20"/>
          <w:lang w:val="es-ES"/>
        </w:rPr>
        <w:t xml:space="preserve"> Maia Fernandes</w:t>
      </w:r>
      <w:r w:rsidRPr="00FF743B">
        <w:rPr>
          <w:rFonts w:ascii="Cambria" w:hAnsi="Cambria"/>
          <w:sz w:val="20"/>
          <w:szCs w:val="20"/>
          <w:lang w:val="es-ES"/>
        </w:rPr>
        <w:t xml:space="preserve"> </w:t>
      </w:r>
      <w:r w:rsidRPr="00FF743B">
        <w:rPr>
          <w:rFonts w:ascii="Cambria" w:hAnsi="Cambria"/>
          <w:i/>
          <w:sz w:val="20"/>
          <w:szCs w:val="20"/>
          <w:lang w:val="es-ES"/>
        </w:rPr>
        <w:t>vs. Brasil</w:t>
      </w:r>
      <w:r w:rsidR="000E12A4" w:rsidRPr="00FE59E1">
        <w:rPr>
          <w:rStyle w:val="FootnoteReference"/>
          <w:rFonts w:ascii="Cambria" w:hAnsi="Cambria"/>
          <w:sz w:val="20"/>
          <w:szCs w:val="20"/>
          <w:lang w:val="es-ES"/>
        </w:rPr>
        <w:footnoteReference w:id="109"/>
      </w:r>
      <w:r w:rsidRPr="00FF743B">
        <w:rPr>
          <w:rFonts w:ascii="Cambria" w:hAnsi="Cambria"/>
          <w:sz w:val="20"/>
          <w:szCs w:val="20"/>
          <w:lang w:val="es-ES"/>
        </w:rPr>
        <w:t xml:space="preserve"> y la sentencia </w:t>
      </w:r>
      <w:r w:rsidR="00C7012E" w:rsidRPr="00FF743B">
        <w:rPr>
          <w:rFonts w:ascii="Cambria" w:hAnsi="Cambria"/>
          <w:sz w:val="20"/>
          <w:szCs w:val="20"/>
          <w:lang w:val="es-ES"/>
        </w:rPr>
        <w:t xml:space="preserve">de la Corte Interamericana </w:t>
      </w:r>
      <w:r w:rsidRPr="00FF743B">
        <w:rPr>
          <w:rFonts w:ascii="Cambria" w:hAnsi="Cambria"/>
          <w:sz w:val="20"/>
          <w:szCs w:val="20"/>
          <w:lang w:val="es-ES"/>
        </w:rPr>
        <w:t xml:space="preserve">en el caso de </w:t>
      </w:r>
      <w:r w:rsidR="00A11CE9" w:rsidRPr="00FF743B">
        <w:rPr>
          <w:rFonts w:ascii="Cambria" w:hAnsi="Cambria"/>
          <w:i/>
          <w:sz w:val="20"/>
          <w:szCs w:val="20"/>
          <w:lang w:val="es-ES"/>
        </w:rPr>
        <w:t>Claudia Ivette Gonzalez y Otras (“Campo Algodonero”)</w:t>
      </w:r>
      <w:r w:rsidR="0073127A" w:rsidRPr="00FE59E1">
        <w:rPr>
          <w:rStyle w:val="FootnoteReference"/>
          <w:rFonts w:ascii="Cambria" w:hAnsi="Cambria"/>
          <w:sz w:val="20"/>
          <w:szCs w:val="20"/>
          <w:lang w:val="es-ES"/>
        </w:rPr>
        <w:footnoteReference w:id="110"/>
      </w:r>
      <w:r w:rsidR="00A11CE9" w:rsidRPr="00FE59E1">
        <w:rPr>
          <w:rFonts w:ascii="Cambria" w:hAnsi="Cambria"/>
          <w:sz w:val="20"/>
          <w:szCs w:val="20"/>
          <w:lang w:val="es-ES"/>
        </w:rPr>
        <w:t>.</w:t>
      </w:r>
      <w:r w:rsidR="00932E7C" w:rsidRPr="00FE59E1">
        <w:rPr>
          <w:rFonts w:ascii="Cambria" w:hAnsi="Cambria"/>
          <w:sz w:val="20"/>
          <w:szCs w:val="20"/>
          <w:lang w:val="es-ES"/>
        </w:rPr>
        <w:t xml:space="preserve"> </w:t>
      </w:r>
      <w:r w:rsidR="00E65524" w:rsidRPr="00FF743B">
        <w:rPr>
          <w:rFonts w:ascii="Cambria" w:hAnsi="Cambria"/>
          <w:sz w:val="20"/>
          <w:szCs w:val="20"/>
          <w:lang w:val="es-ES"/>
        </w:rPr>
        <w:t xml:space="preserve">La CIDH asimismo ha reconocido como un avance importante sentencias </w:t>
      </w:r>
      <w:r w:rsidR="00C7012E" w:rsidRPr="00FF743B">
        <w:rPr>
          <w:rFonts w:ascii="Cambria" w:hAnsi="Cambria"/>
          <w:sz w:val="20"/>
          <w:szCs w:val="20"/>
          <w:lang w:val="es-ES"/>
        </w:rPr>
        <w:t xml:space="preserve">judiciales domésticas </w:t>
      </w:r>
      <w:r w:rsidR="00E65524" w:rsidRPr="00FF743B">
        <w:rPr>
          <w:rFonts w:ascii="Cambria" w:hAnsi="Cambria"/>
          <w:sz w:val="20"/>
          <w:szCs w:val="20"/>
          <w:lang w:val="es-ES"/>
        </w:rPr>
        <w:t xml:space="preserve">en donde se hace referencia a la Convención de Belém do Pará, entre otros instrumentos </w:t>
      </w:r>
      <w:r w:rsidR="00E65524" w:rsidRPr="00FF743B">
        <w:rPr>
          <w:rFonts w:ascii="Cambria" w:hAnsi="Cambria"/>
          <w:sz w:val="20"/>
          <w:szCs w:val="20"/>
          <w:lang w:val="es-ES"/>
        </w:rPr>
        <w:lastRenderedPageBreak/>
        <w:t>interamericanos, para sentar estándares jurídicos en asuntos relacio</w:t>
      </w:r>
      <w:r w:rsidR="00D32090" w:rsidRPr="00FF743B">
        <w:rPr>
          <w:rFonts w:ascii="Cambria" w:hAnsi="Cambria"/>
          <w:sz w:val="20"/>
          <w:szCs w:val="20"/>
          <w:lang w:val="es-ES"/>
        </w:rPr>
        <w:t>nados con los derechos humanos</w:t>
      </w:r>
      <w:r w:rsidR="00D32090" w:rsidRPr="00FE59E1">
        <w:rPr>
          <w:rStyle w:val="FootnoteReference"/>
          <w:rFonts w:ascii="Cambria" w:hAnsi="Cambria"/>
          <w:sz w:val="20"/>
          <w:szCs w:val="20"/>
          <w:lang w:val="es-ES"/>
        </w:rPr>
        <w:footnoteReference w:id="111"/>
      </w:r>
      <w:r w:rsidR="00D32090" w:rsidRPr="00FF743B">
        <w:rPr>
          <w:rFonts w:ascii="Cambria" w:hAnsi="Cambria"/>
          <w:sz w:val="20"/>
          <w:szCs w:val="20"/>
          <w:lang w:val="es-ES"/>
        </w:rPr>
        <w:t>.</w:t>
      </w:r>
    </w:p>
    <w:p w:rsidR="0017530B" w:rsidRPr="00FF743B" w:rsidRDefault="0017530B" w:rsidP="00225F6F">
      <w:pPr>
        <w:jc w:val="both"/>
        <w:rPr>
          <w:rFonts w:ascii="Cambria" w:hAnsi="Cambria"/>
          <w:b/>
          <w:sz w:val="20"/>
          <w:szCs w:val="20"/>
          <w:lang w:val="es-ES"/>
        </w:rPr>
      </w:pPr>
    </w:p>
    <w:p w:rsidR="0017530B" w:rsidRPr="00FF743B" w:rsidRDefault="00266964"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Es importante destacar</w:t>
      </w:r>
      <w:r w:rsidR="00523F86" w:rsidRPr="00FF743B">
        <w:rPr>
          <w:rFonts w:ascii="Cambria" w:hAnsi="Cambria"/>
          <w:sz w:val="20"/>
          <w:szCs w:val="20"/>
          <w:lang w:val="es-ES"/>
        </w:rPr>
        <w:t xml:space="preserve"> a su vez </w:t>
      </w:r>
      <w:r w:rsidRPr="00FF743B">
        <w:rPr>
          <w:rFonts w:ascii="Cambria" w:hAnsi="Cambria"/>
          <w:sz w:val="20"/>
          <w:szCs w:val="20"/>
          <w:lang w:val="es-ES"/>
        </w:rPr>
        <w:t xml:space="preserve">desarrollos pertinentes a grupos </w:t>
      </w:r>
      <w:r w:rsidR="00FE4FBE" w:rsidRPr="00FF743B">
        <w:rPr>
          <w:rFonts w:ascii="Cambria" w:hAnsi="Cambria"/>
          <w:sz w:val="20"/>
          <w:szCs w:val="20"/>
          <w:lang w:val="es-ES"/>
        </w:rPr>
        <w:t>y colectividades afectada</w:t>
      </w:r>
      <w:r w:rsidRPr="00FF743B">
        <w:rPr>
          <w:rFonts w:ascii="Cambria" w:hAnsi="Cambria"/>
          <w:sz w:val="20"/>
          <w:szCs w:val="20"/>
          <w:lang w:val="es-ES"/>
        </w:rPr>
        <w:t>s por la discriminació</w:t>
      </w:r>
      <w:r w:rsidR="00523F86" w:rsidRPr="00FF743B">
        <w:rPr>
          <w:rFonts w:ascii="Cambria" w:hAnsi="Cambria"/>
          <w:sz w:val="20"/>
          <w:szCs w:val="20"/>
          <w:lang w:val="es-ES"/>
        </w:rPr>
        <w:t>n en la aplicación de la Convención Americana</w:t>
      </w:r>
      <w:r w:rsidRPr="00FF743B">
        <w:rPr>
          <w:rFonts w:ascii="Cambria" w:hAnsi="Cambria"/>
          <w:sz w:val="20"/>
          <w:szCs w:val="20"/>
          <w:lang w:val="es-ES"/>
        </w:rPr>
        <w:t xml:space="preserve">. </w:t>
      </w:r>
    </w:p>
    <w:p w:rsidR="0017530B" w:rsidRPr="00FF743B" w:rsidRDefault="0017530B" w:rsidP="00225F6F">
      <w:pPr>
        <w:jc w:val="both"/>
        <w:rPr>
          <w:rFonts w:ascii="Cambria" w:hAnsi="Cambria"/>
          <w:sz w:val="20"/>
          <w:szCs w:val="20"/>
          <w:lang w:val="es-ES"/>
        </w:rPr>
      </w:pPr>
    </w:p>
    <w:p w:rsidR="0017530B" w:rsidRPr="00FF743B" w:rsidRDefault="00266964"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Por ejemplo, </w:t>
      </w:r>
      <w:r w:rsidR="00F41887" w:rsidRPr="00FF743B">
        <w:rPr>
          <w:rFonts w:ascii="Cambria" w:hAnsi="Cambria"/>
          <w:sz w:val="20"/>
          <w:szCs w:val="20"/>
          <w:lang w:val="es-ES"/>
        </w:rPr>
        <w:t xml:space="preserve">la ratificación por los Estados de la Convención Americana ha ofrecido la oportunidad a la CIDH y </w:t>
      </w:r>
      <w:r w:rsidR="00C7012E" w:rsidRPr="00FF743B">
        <w:rPr>
          <w:rFonts w:ascii="Cambria" w:hAnsi="Cambria"/>
          <w:sz w:val="20"/>
          <w:szCs w:val="20"/>
          <w:lang w:val="es-ES"/>
        </w:rPr>
        <w:t xml:space="preserve">a </w:t>
      </w:r>
      <w:r w:rsidR="00F41887" w:rsidRPr="00FF743B">
        <w:rPr>
          <w:rFonts w:ascii="Cambria" w:hAnsi="Cambria"/>
          <w:sz w:val="20"/>
          <w:szCs w:val="20"/>
          <w:lang w:val="es-ES"/>
        </w:rPr>
        <w:t>la Corte de desarrollar un precedente jurídico sólido sobre los derechos de los pueblos indígenas</w:t>
      </w:r>
      <w:r w:rsidR="00C7012E" w:rsidRPr="00FF743B">
        <w:rPr>
          <w:rFonts w:ascii="Cambria" w:hAnsi="Cambria"/>
          <w:sz w:val="20"/>
          <w:szCs w:val="20"/>
          <w:lang w:val="es-ES"/>
        </w:rPr>
        <w:t>,</w:t>
      </w:r>
      <w:r w:rsidR="00F41887" w:rsidRPr="00FF743B">
        <w:rPr>
          <w:rFonts w:ascii="Cambria" w:hAnsi="Cambria"/>
          <w:sz w:val="20"/>
          <w:szCs w:val="20"/>
          <w:lang w:val="es-ES"/>
        </w:rPr>
        <w:t xml:space="preserve"> incluyendo decisiones</w:t>
      </w:r>
      <w:r w:rsidR="00EB73F7" w:rsidRPr="00FF743B">
        <w:rPr>
          <w:rFonts w:ascii="Cambria" w:hAnsi="Cambria"/>
          <w:sz w:val="20"/>
          <w:szCs w:val="20"/>
          <w:lang w:val="es-ES"/>
        </w:rPr>
        <w:t xml:space="preserve"> y pautas</w:t>
      </w:r>
      <w:r w:rsidR="00F41887" w:rsidRPr="00FF743B">
        <w:rPr>
          <w:rFonts w:ascii="Cambria" w:hAnsi="Cambria"/>
          <w:sz w:val="20"/>
          <w:szCs w:val="20"/>
          <w:lang w:val="es-ES"/>
        </w:rPr>
        <w:t xml:space="preserve"> </w:t>
      </w:r>
      <w:r w:rsidR="00EB73F7" w:rsidRPr="00FF743B">
        <w:rPr>
          <w:rFonts w:ascii="Cambria" w:hAnsi="Cambria"/>
          <w:sz w:val="20"/>
          <w:szCs w:val="20"/>
          <w:lang w:val="es-ES"/>
        </w:rPr>
        <w:t xml:space="preserve">para los Estados </w:t>
      </w:r>
      <w:r w:rsidR="00F41887" w:rsidRPr="00FF743B">
        <w:rPr>
          <w:rFonts w:ascii="Cambria" w:hAnsi="Cambria"/>
          <w:sz w:val="20"/>
          <w:szCs w:val="20"/>
          <w:lang w:val="es-ES"/>
        </w:rPr>
        <w:t>sobre el contenido del derecho a la propiedad bajo el artículo 21 de la Convención Americana</w:t>
      </w:r>
      <w:r w:rsidR="00EB73F7" w:rsidRPr="00FF743B">
        <w:rPr>
          <w:rFonts w:ascii="Cambria" w:hAnsi="Cambria"/>
          <w:sz w:val="20"/>
          <w:szCs w:val="20"/>
          <w:lang w:val="es-ES"/>
        </w:rPr>
        <w:t xml:space="preserve"> en beneficio de los pueblos</w:t>
      </w:r>
      <w:r w:rsidR="00EB73F7" w:rsidRPr="00FE59E1">
        <w:rPr>
          <w:rStyle w:val="FootnoteReference"/>
          <w:rFonts w:ascii="Cambria" w:hAnsi="Cambria"/>
          <w:sz w:val="20"/>
          <w:szCs w:val="20"/>
          <w:lang w:val="es-ES"/>
        </w:rPr>
        <w:footnoteReference w:id="112"/>
      </w:r>
      <w:r w:rsidR="00C7012E" w:rsidRPr="00FF743B">
        <w:rPr>
          <w:rFonts w:ascii="Cambria" w:hAnsi="Cambria"/>
          <w:sz w:val="20"/>
          <w:szCs w:val="20"/>
          <w:lang w:val="es-ES"/>
        </w:rPr>
        <w:t>.  Ha</w:t>
      </w:r>
      <w:r w:rsidR="00A552EC" w:rsidRPr="00FF743B">
        <w:rPr>
          <w:rFonts w:ascii="Cambria" w:hAnsi="Cambria"/>
          <w:sz w:val="20"/>
          <w:szCs w:val="20"/>
          <w:lang w:val="es-ES"/>
        </w:rPr>
        <w:t xml:space="preserve"> facilitado</w:t>
      </w:r>
      <w:r w:rsidR="00C7012E" w:rsidRPr="00FF743B">
        <w:rPr>
          <w:rFonts w:ascii="Cambria" w:hAnsi="Cambria"/>
          <w:sz w:val="20"/>
          <w:szCs w:val="20"/>
          <w:lang w:val="es-ES"/>
        </w:rPr>
        <w:t xml:space="preserve"> a su vez</w:t>
      </w:r>
      <w:r w:rsidR="00A552EC" w:rsidRPr="00FF743B">
        <w:rPr>
          <w:rFonts w:ascii="Cambria" w:hAnsi="Cambria"/>
          <w:sz w:val="20"/>
          <w:szCs w:val="20"/>
          <w:lang w:val="es-ES"/>
        </w:rPr>
        <w:t xml:space="preserve"> que se esté desar</w:t>
      </w:r>
      <w:r w:rsidR="004309C5" w:rsidRPr="00FF743B">
        <w:rPr>
          <w:rFonts w:ascii="Cambria" w:hAnsi="Cambria"/>
          <w:sz w:val="20"/>
          <w:szCs w:val="20"/>
          <w:lang w:val="es-ES"/>
        </w:rPr>
        <w:t xml:space="preserve">rollando un precedente importante </w:t>
      </w:r>
      <w:r w:rsidR="00A552EC" w:rsidRPr="00FF743B">
        <w:rPr>
          <w:rFonts w:ascii="Cambria" w:hAnsi="Cambria"/>
          <w:sz w:val="20"/>
          <w:szCs w:val="20"/>
          <w:lang w:val="es-ES"/>
        </w:rPr>
        <w:t>sobre otros grupos como</w:t>
      </w:r>
      <w:r w:rsidR="004309C5" w:rsidRPr="00FF743B">
        <w:rPr>
          <w:rFonts w:ascii="Cambria" w:hAnsi="Cambria"/>
          <w:sz w:val="20"/>
          <w:szCs w:val="20"/>
          <w:lang w:val="es-ES"/>
        </w:rPr>
        <w:t xml:space="preserve"> los niños, los afrodescendientes y las comunidades LGBTI, entre otros</w:t>
      </w:r>
      <w:r w:rsidR="007A29DE" w:rsidRPr="00FE59E1">
        <w:rPr>
          <w:rStyle w:val="FootnoteReference"/>
          <w:rFonts w:ascii="Cambria" w:hAnsi="Cambria"/>
          <w:sz w:val="20"/>
          <w:szCs w:val="20"/>
          <w:lang w:val="es-ES"/>
        </w:rPr>
        <w:footnoteReference w:id="113"/>
      </w:r>
      <w:r w:rsidR="004309C5" w:rsidRPr="00FE59E1">
        <w:rPr>
          <w:rFonts w:ascii="Cambria" w:hAnsi="Cambria"/>
          <w:sz w:val="20"/>
          <w:szCs w:val="20"/>
          <w:lang w:val="es-ES"/>
        </w:rPr>
        <w:t>.</w:t>
      </w:r>
      <w:r w:rsidR="00FD4D52" w:rsidRPr="00FF743B">
        <w:rPr>
          <w:rFonts w:ascii="Cambria" w:hAnsi="Cambria"/>
          <w:sz w:val="20"/>
          <w:szCs w:val="20"/>
          <w:lang w:val="es-ES"/>
        </w:rPr>
        <w:t xml:space="preserve">  También </w:t>
      </w:r>
      <w:r w:rsidR="00C7012E" w:rsidRPr="00FF743B">
        <w:rPr>
          <w:rFonts w:ascii="Cambria" w:hAnsi="Cambria"/>
          <w:sz w:val="20"/>
          <w:szCs w:val="20"/>
          <w:lang w:val="es-ES"/>
        </w:rPr>
        <w:t>ha creado las condiciones para</w:t>
      </w:r>
      <w:r w:rsidR="003632C0" w:rsidRPr="00FF743B">
        <w:rPr>
          <w:rFonts w:ascii="Cambria" w:hAnsi="Cambria"/>
          <w:sz w:val="20"/>
          <w:szCs w:val="20"/>
          <w:lang w:val="es-ES"/>
        </w:rPr>
        <w:t xml:space="preserve"> que la CIDH lleve </w:t>
      </w:r>
      <w:r w:rsidR="00FD4D52" w:rsidRPr="00FF743B">
        <w:rPr>
          <w:rFonts w:ascii="Cambria" w:hAnsi="Cambria"/>
          <w:sz w:val="20"/>
          <w:szCs w:val="20"/>
          <w:lang w:val="es-ES"/>
        </w:rPr>
        <w:t xml:space="preserve">a </w:t>
      </w:r>
      <w:r w:rsidR="003632C0" w:rsidRPr="00FF743B">
        <w:rPr>
          <w:rFonts w:ascii="Cambria" w:hAnsi="Cambria"/>
          <w:sz w:val="20"/>
          <w:szCs w:val="20"/>
          <w:lang w:val="es-ES"/>
        </w:rPr>
        <w:t>cabo una serie de visitas de trabajo especializadas a países sobre colectividades específicas, incluyendo recomendaciones</w:t>
      </w:r>
      <w:r w:rsidR="00C7012E" w:rsidRPr="00FF743B">
        <w:rPr>
          <w:rFonts w:ascii="Cambria" w:hAnsi="Cambria"/>
          <w:sz w:val="20"/>
          <w:szCs w:val="20"/>
          <w:lang w:val="es-ES"/>
        </w:rPr>
        <w:t xml:space="preserve"> orientadas a los Estados</w:t>
      </w:r>
      <w:r w:rsidR="003632C0" w:rsidRPr="00FF743B">
        <w:rPr>
          <w:rFonts w:ascii="Cambria" w:hAnsi="Cambria"/>
          <w:sz w:val="20"/>
          <w:szCs w:val="20"/>
          <w:lang w:val="es-ES"/>
        </w:rPr>
        <w:t xml:space="preserve"> de cómo mejor cumplir sus obligaciones de derechos humanos</w:t>
      </w:r>
      <w:r w:rsidR="00046E47" w:rsidRPr="00FE59E1">
        <w:rPr>
          <w:rStyle w:val="FootnoteReference"/>
          <w:rFonts w:ascii="Cambria" w:hAnsi="Cambria"/>
          <w:sz w:val="20"/>
          <w:szCs w:val="20"/>
          <w:lang w:val="es-ES"/>
        </w:rPr>
        <w:footnoteReference w:id="114"/>
      </w:r>
      <w:r w:rsidR="003632C0" w:rsidRPr="00FF743B">
        <w:rPr>
          <w:rFonts w:ascii="Cambria" w:hAnsi="Cambria"/>
          <w:sz w:val="20"/>
          <w:szCs w:val="20"/>
          <w:lang w:val="es-ES"/>
        </w:rPr>
        <w:t>.</w:t>
      </w:r>
      <w:r w:rsidR="00951E6D" w:rsidRPr="00FF743B">
        <w:rPr>
          <w:rFonts w:ascii="Cambria" w:hAnsi="Cambria"/>
          <w:sz w:val="20"/>
          <w:szCs w:val="20"/>
          <w:lang w:val="es-ES"/>
        </w:rPr>
        <w:t xml:space="preserve">  </w:t>
      </w:r>
    </w:p>
    <w:p w:rsidR="0017530B" w:rsidRPr="00FF743B" w:rsidRDefault="0017530B" w:rsidP="00225F6F">
      <w:pPr>
        <w:jc w:val="both"/>
        <w:rPr>
          <w:rFonts w:ascii="Cambria" w:hAnsi="Cambria"/>
          <w:b/>
          <w:sz w:val="20"/>
          <w:szCs w:val="20"/>
          <w:lang w:val="es-ES"/>
        </w:rPr>
      </w:pPr>
    </w:p>
    <w:p w:rsidR="00A359CF" w:rsidRPr="00FF743B" w:rsidRDefault="002308AB"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La CIDH a su vez ha recibido información sobre desarrollos jurídicos importantes a nivel nacional para proteger los derechos de grupos y colectividades en situación de vulnerabilidad influenciados por la Convención Americana y otros instrumentos interamericanos.  </w:t>
      </w:r>
      <w:r w:rsidR="00951E6D" w:rsidRPr="00FF743B">
        <w:rPr>
          <w:rFonts w:ascii="Cambria" w:hAnsi="Cambria"/>
          <w:sz w:val="20"/>
          <w:szCs w:val="20"/>
          <w:lang w:val="es-ES"/>
        </w:rPr>
        <w:t>En Colombia, por ejemplo, el precedente del sistema interamericano adoptado bajo la Convención Americana ha sido un referente importante para el actuar activo de la Corte Constitucional en el emitir una</w:t>
      </w:r>
      <w:r w:rsidRPr="00FF743B">
        <w:rPr>
          <w:rFonts w:ascii="Cambria" w:hAnsi="Cambria"/>
          <w:sz w:val="20"/>
          <w:szCs w:val="20"/>
          <w:lang w:val="es-ES"/>
        </w:rPr>
        <w:t xml:space="preserve"> serie de sentencias con el objetivo de</w:t>
      </w:r>
      <w:r w:rsidR="00951E6D" w:rsidRPr="00FF743B">
        <w:rPr>
          <w:rFonts w:ascii="Cambria" w:hAnsi="Cambria"/>
          <w:sz w:val="20"/>
          <w:szCs w:val="20"/>
          <w:lang w:val="es-ES"/>
        </w:rPr>
        <w:t xml:space="preserve"> proteger de manera especia</w:t>
      </w:r>
      <w:r w:rsidRPr="00FF743B">
        <w:rPr>
          <w:rFonts w:ascii="Cambria" w:hAnsi="Cambria"/>
          <w:sz w:val="20"/>
          <w:szCs w:val="20"/>
          <w:lang w:val="es-ES"/>
        </w:rPr>
        <w:t xml:space="preserve">l a la población desplazada y de </w:t>
      </w:r>
      <w:r w:rsidR="00951E6D" w:rsidRPr="00FF743B">
        <w:rPr>
          <w:rFonts w:ascii="Cambria" w:hAnsi="Cambria"/>
          <w:sz w:val="20"/>
          <w:szCs w:val="20"/>
          <w:lang w:val="es-ES"/>
        </w:rPr>
        <w:t>satisfacer sus necesidades básicas</w:t>
      </w:r>
      <w:r w:rsidR="00951E6D" w:rsidRPr="00FE59E1">
        <w:rPr>
          <w:rStyle w:val="FootnoteReference"/>
          <w:rFonts w:ascii="Cambria" w:hAnsi="Cambria"/>
          <w:sz w:val="20"/>
          <w:szCs w:val="20"/>
          <w:lang w:val="es-ES"/>
        </w:rPr>
        <w:footnoteReference w:id="115"/>
      </w:r>
      <w:r w:rsidR="00951E6D" w:rsidRPr="00FF743B">
        <w:rPr>
          <w:rFonts w:ascii="Cambria" w:hAnsi="Cambria"/>
          <w:sz w:val="20"/>
          <w:szCs w:val="20"/>
          <w:lang w:val="es-ES"/>
        </w:rPr>
        <w:t xml:space="preserve">.   </w:t>
      </w:r>
    </w:p>
    <w:p w:rsidR="00F0147A" w:rsidRDefault="00F0147A" w:rsidP="00225F6F">
      <w:pPr>
        <w:rPr>
          <w:rFonts w:ascii="Cambria" w:hAnsi="Cambria"/>
          <w:i/>
          <w:lang w:val="es-ES"/>
        </w:rPr>
      </w:pPr>
    </w:p>
    <w:p w:rsidR="00A359CF" w:rsidRPr="00747F82" w:rsidRDefault="00A359CF" w:rsidP="00225F6F">
      <w:pPr>
        <w:rPr>
          <w:rFonts w:ascii="Cambria" w:hAnsi="Cambria"/>
          <w:i/>
          <w:lang w:val="es-ES"/>
        </w:rPr>
      </w:pPr>
      <w:r w:rsidRPr="00747F82">
        <w:rPr>
          <w:rFonts w:ascii="Cambria" w:hAnsi="Cambria"/>
          <w:i/>
          <w:lang w:val="es-ES"/>
        </w:rPr>
        <w:t>Fortalecimiento de la institucionalidad democrática y la capacidad de respuesta</w:t>
      </w:r>
    </w:p>
    <w:p w:rsidR="00A359CF" w:rsidRPr="00FF743B" w:rsidRDefault="00A359CF" w:rsidP="00225F6F">
      <w:pPr>
        <w:jc w:val="both"/>
        <w:rPr>
          <w:lang w:val="es-ES"/>
        </w:rPr>
      </w:pPr>
    </w:p>
    <w:p w:rsidR="00A359CF" w:rsidRPr="00FF743B" w:rsidRDefault="00784A12"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Un tema ligado al anterior es la fortaleza de las instituciones que conforman el Estado de Derecho </w:t>
      </w:r>
      <w:r w:rsidR="00C7012E" w:rsidRPr="00FF743B">
        <w:rPr>
          <w:rFonts w:ascii="Cambria" w:hAnsi="Cambria"/>
          <w:sz w:val="20"/>
          <w:szCs w:val="20"/>
          <w:lang w:val="es-ES"/>
        </w:rPr>
        <w:t xml:space="preserve">en una democracia </w:t>
      </w:r>
      <w:r w:rsidRPr="00FF743B">
        <w:rPr>
          <w:rFonts w:ascii="Cambria" w:hAnsi="Cambria"/>
          <w:sz w:val="20"/>
          <w:szCs w:val="20"/>
          <w:lang w:val="es-ES"/>
        </w:rPr>
        <w:t>y su capacidad de respuesta y prevención a violaciones de derechos humanos.  La CIDH ha recibido inform</w:t>
      </w:r>
      <w:r w:rsidR="00801665" w:rsidRPr="00FF743B">
        <w:rPr>
          <w:rFonts w:ascii="Cambria" w:hAnsi="Cambria"/>
          <w:sz w:val="20"/>
          <w:szCs w:val="20"/>
          <w:lang w:val="es-ES"/>
        </w:rPr>
        <w:t>ación consistente apuntando a có</w:t>
      </w:r>
      <w:r w:rsidRPr="00FF743B">
        <w:rPr>
          <w:rFonts w:ascii="Cambria" w:hAnsi="Cambria"/>
          <w:sz w:val="20"/>
          <w:szCs w:val="20"/>
          <w:lang w:val="es-ES"/>
        </w:rPr>
        <w:t>mo la ratificación de los instrumentos interamericanos de prote</w:t>
      </w:r>
      <w:r w:rsidR="00E40BF3" w:rsidRPr="00FF743B">
        <w:rPr>
          <w:rFonts w:ascii="Cambria" w:hAnsi="Cambria"/>
          <w:sz w:val="20"/>
          <w:szCs w:val="20"/>
          <w:lang w:val="es-ES"/>
        </w:rPr>
        <w:t>cción ha sido un paso</w:t>
      </w:r>
      <w:r w:rsidRPr="00FF743B">
        <w:rPr>
          <w:rFonts w:ascii="Cambria" w:hAnsi="Cambria"/>
          <w:sz w:val="20"/>
          <w:szCs w:val="20"/>
          <w:lang w:val="es-ES"/>
        </w:rPr>
        <w:t xml:space="preserve"> importante para el actuar de instituciones claves </w:t>
      </w:r>
      <w:r w:rsidR="00391EA0" w:rsidRPr="00FF743B">
        <w:rPr>
          <w:rFonts w:ascii="Cambria" w:hAnsi="Cambria"/>
          <w:sz w:val="20"/>
          <w:szCs w:val="20"/>
          <w:lang w:val="es-ES"/>
        </w:rPr>
        <w:t xml:space="preserve">frente a problemas graves de derechos humanos </w:t>
      </w:r>
      <w:r w:rsidR="00951E6D" w:rsidRPr="00FF743B">
        <w:rPr>
          <w:rFonts w:ascii="Cambria" w:hAnsi="Cambria"/>
          <w:sz w:val="20"/>
          <w:szCs w:val="20"/>
          <w:lang w:val="es-ES"/>
        </w:rPr>
        <w:t xml:space="preserve">en los siete países que han ratificado todos los instrumentos interamericanos.  </w:t>
      </w:r>
      <w:r w:rsidR="00112477" w:rsidRPr="00FF743B">
        <w:rPr>
          <w:rFonts w:ascii="Cambria" w:hAnsi="Cambria"/>
          <w:sz w:val="20"/>
          <w:szCs w:val="20"/>
          <w:lang w:val="es-ES"/>
        </w:rPr>
        <w:t xml:space="preserve">En esta sección, la CIDH destaca esfuerzos de estos </w:t>
      </w:r>
      <w:r w:rsidR="005A356A" w:rsidRPr="00FF743B">
        <w:rPr>
          <w:rFonts w:ascii="Cambria" w:hAnsi="Cambria"/>
          <w:sz w:val="20"/>
          <w:szCs w:val="20"/>
          <w:lang w:val="es-ES"/>
        </w:rPr>
        <w:t xml:space="preserve">siete </w:t>
      </w:r>
      <w:r w:rsidR="00112477" w:rsidRPr="00FF743B">
        <w:rPr>
          <w:rFonts w:ascii="Cambria" w:hAnsi="Cambria"/>
          <w:sz w:val="20"/>
          <w:szCs w:val="20"/>
          <w:lang w:val="es-ES"/>
        </w:rPr>
        <w:t>países en desarrollar un marco normativo, político</w:t>
      </w:r>
      <w:r w:rsidR="001366D5" w:rsidRPr="00FF743B">
        <w:rPr>
          <w:rFonts w:ascii="Cambria" w:hAnsi="Cambria"/>
          <w:sz w:val="20"/>
          <w:szCs w:val="20"/>
          <w:lang w:val="es-ES"/>
        </w:rPr>
        <w:t>,</w:t>
      </w:r>
      <w:r w:rsidR="00112477" w:rsidRPr="00FF743B">
        <w:rPr>
          <w:rFonts w:ascii="Cambria" w:hAnsi="Cambria"/>
          <w:sz w:val="20"/>
          <w:szCs w:val="20"/>
          <w:lang w:val="es-ES"/>
        </w:rPr>
        <w:t xml:space="preserve"> e institucional avanzando</w:t>
      </w:r>
      <w:r w:rsidR="00FB5FE8" w:rsidRPr="00FF743B">
        <w:rPr>
          <w:rFonts w:ascii="Cambria" w:hAnsi="Cambria"/>
          <w:sz w:val="20"/>
          <w:szCs w:val="20"/>
          <w:lang w:val="es-ES"/>
        </w:rPr>
        <w:t xml:space="preserve"> los derechos humanos. </w:t>
      </w:r>
      <w:r w:rsidR="00057EFD" w:rsidRPr="00FF743B">
        <w:rPr>
          <w:rFonts w:ascii="Cambria" w:hAnsi="Cambria"/>
          <w:sz w:val="20"/>
          <w:szCs w:val="20"/>
          <w:lang w:val="es-ES"/>
        </w:rPr>
        <w:t xml:space="preserve"> Estas medidas</w:t>
      </w:r>
      <w:r w:rsidR="00FB5FE8" w:rsidRPr="00FF743B">
        <w:rPr>
          <w:rFonts w:ascii="Cambria" w:hAnsi="Cambria"/>
          <w:sz w:val="20"/>
          <w:szCs w:val="20"/>
          <w:lang w:val="es-ES"/>
        </w:rPr>
        <w:t xml:space="preserve"> han sido </w:t>
      </w:r>
      <w:r w:rsidR="00057EFD" w:rsidRPr="00FF743B">
        <w:rPr>
          <w:rFonts w:ascii="Cambria" w:hAnsi="Cambria"/>
          <w:sz w:val="20"/>
          <w:szCs w:val="20"/>
          <w:lang w:val="es-ES"/>
        </w:rPr>
        <w:t>documentada</w:t>
      </w:r>
      <w:r w:rsidR="003B2770" w:rsidRPr="00FF743B">
        <w:rPr>
          <w:rFonts w:ascii="Cambria" w:hAnsi="Cambria"/>
          <w:sz w:val="20"/>
          <w:szCs w:val="20"/>
          <w:lang w:val="es-ES"/>
        </w:rPr>
        <w:t>s en las respuestas presentadas al cuestionario circulado por la CIDH y</w:t>
      </w:r>
      <w:r w:rsidR="00057EFD" w:rsidRPr="00FF743B">
        <w:rPr>
          <w:rFonts w:ascii="Cambria" w:hAnsi="Cambria"/>
          <w:sz w:val="20"/>
          <w:szCs w:val="20"/>
          <w:lang w:val="es-ES"/>
        </w:rPr>
        <w:t xml:space="preserve"> en pronunciamientos </w:t>
      </w:r>
      <w:r w:rsidR="00FB5FE8" w:rsidRPr="00FF743B">
        <w:rPr>
          <w:rFonts w:ascii="Cambria" w:hAnsi="Cambria"/>
          <w:sz w:val="20"/>
          <w:szCs w:val="20"/>
          <w:lang w:val="es-ES"/>
        </w:rPr>
        <w:t>de la CIDH y del</w:t>
      </w:r>
      <w:r w:rsidR="003B2770" w:rsidRPr="00FF743B">
        <w:rPr>
          <w:rFonts w:ascii="Cambria" w:hAnsi="Cambria"/>
          <w:sz w:val="20"/>
          <w:szCs w:val="20"/>
          <w:lang w:val="es-ES"/>
        </w:rPr>
        <w:t xml:space="preserve"> sistema universal de los derechos humanos.  </w:t>
      </w:r>
      <w:r w:rsidR="00112477" w:rsidRPr="00FF743B">
        <w:rPr>
          <w:rFonts w:ascii="Cambria" w:hAnsi="Cambria"/>
          <w:sz w:val="20"/>
          <w:szCs w:val="20"/>
          <w:lang w:val="es-ES"/>
        </w:rPr>
        <w:t xml:space="preserve">  </w:t>
      </w:r>
      <w:r w:rsidR="00951E6D" w:rsidRPr="00FF743B">
        <w:rPr>
          <w:rFonts w:ascii="Cambria" w:hAnsi="Cambria"/>
          <w:sz w:val="20"/>
          <w:szCs w:val="20"/>
          <w:lang w:val="es-ES"/>
        </w:rPr>
        <w:t xml:space="preserve"> </w:t>
      </w:r>
      <w:r w:rsidR="003B2770" w:rsidRPr="00FF743B">
        <w:rPr>
          <w:rFonts w:ascii="Cambria" w:hAnsi="Cambria"/>
          <w:sz w:val="20"/>
          <w:szCs w:val="20"/>
          <w:lang w:val="es-ES"/>
        </w:rPr>
        <w:t xml:space="preserve"> </w:t>
      </w:r>
    </w:p>
    <w:p w:rsidR="00A359CF" w:rsidRPr="00FF743B" w:rsidRDefault="00A359CF" w:rsidP="00225F6F">
      <w:pPr>
        <w:jc w:val="both"/>
        <w:rPr>
          <w:rFonts w:ascii="Cambria" w:hAnsi="Cambria"/>
          <w:sz w:val="20"/>
          <w:szCs w:val="20"/>
          <w:lang w:val="es-ES"/>
        </w:rPr>
      </w:pPr>
    </w:p>
    <w:p w:rsidR="00A359CF" w:rsidRPr="00FF743B" w:rsidRDefault="00E40BF3"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En su re</w:t>
      </w:r>
      <w:r w:rsidR="001366D5" w:rsidRPr="00FF743B">
        <w:rPr>
          <w:rFonts w:ascii="Cambria" w:hAnsi="Cambria"/>
          <w:sz w:val="20"/>
          <w:szCs w:val="20"/>
          <w:lang w:val="es-ES"/>
        </w:rPr>
        <w:t>s</w:t>
      </w:r>
      <w:r w:rsidRPr="00FF743B">
        <w:rPr>
          <w:rFonts w:ascii="Cambria" w:hAnsi="Cambria"/>
          <w:sz w:val="20"/>
          <w:szCs w:val="20"/>
          <w:lang w:val="es-ES"/>
        </w:rPr>
        <w:t xml:space="preserve">puesta al cuestionario, </w:t>
      </w:r>
      <w:r w:rsidRPr="00FF743B">
        <w:rPr>
          <w:rFonts w:ascii="Cambria" w:hAnsi="Cambria"/>
          <w:b/>
          <w:sz w:val="20"/>
          <w:szCs w:val="20"/>
          <w:lang w:val="es-ES"/>
        </w:rPr>
        <w:t>Argentina</w:t>
      </w:r>
      <w:r w:rsidRPr="00FF743B">
        <w:rPr>
          <w:rFonts w:ascii="Cambria" w:hAnsi="Cambria"/>
          <w:sz w:val="20"/>
          <w:szCs w:val="20"/>
          <w:lang w:val="es-ES"/>
        </w:rPr>
        <w:t xml:space="preserve"> </w:t>
      </w:r>
      <w:r w:rsidR="0026200A" w:rsidRPr="00FF743B">
        <w:rPr>
          <w:rFonts w:ascii="Cambria" w:hAnsi="Cambria"/>
          <w:sz w:val="20"/>
          <w:szCs w:val="20"/>
          <w:lang w:val="es-ES"/>
        </w:rPr>
        <w:t>presenta ejemplos de cómo los estándares del sistema interamericano pertinentes a los derechos de las mujeres, niñ</w:t>
      </w:r>
      <w:r w:rsidR="00DD392F" w:rsidRPr="00FF743B">
        <w:rPr>
          <w:rFonts w:ascii="Cambria" w:hAnsi="Cambria"/>
          <w:sz w:val="20"/>
          <w:szCs w:val="20"/>
          <w:lang w:val="es-ES"/>
        </w:rPr>
        <w:t>os, y personas con discapacidad han sido incorporados en leyes y en polí</w:t>
      </w:r>
      <w:r w:rsidR="001366D5" w:rsidRPr="00FF743B">
        <w:rPr>
          <w:rFonts w:ascii="Cambria" w:hAnsi="Cambria"/>
          <w:sz w:val="20"/>
          <w:szCs w:val="20"/>
          <w:lang w:val="es-ES"/>
        </w:rPr>
        <w:t>ticas públicas.  También informa</w:t>
      </w:r>
      <w:r w:rsidR="00DD392F" w:rsidRPr="00FF743B">
        <w:rPr>
          <w:rFonts w:ascii="Cambria" w:hAnsi="Cambria"/>
          <w:sz w:val="20"/>
          <w:szCs w:val="20"/>
          <w:lang w:val="es-ES"/>
        </w:rPr>
        <w:t xml:space="preserve"> sobre la creación de instituciones para asegurar el avance de los derechos humanos con perspectiva de género, como la Oficina de la Mujer en el Poder Judicial.</w:t>
      </w:r>
      <w:r w:rsidR="0026200A" w:rsidRPr="00FF743B">
        <w:rPr>
          <w:rFonts w:ascii="Cambria" w:hAnsi="Cambria"/>
          <w:sz w:val="20"/>
          <w:szCs w:val="20"/>
          <w:lang w:val="es-ES"/>
        </w:rPr>
        <w:t xml:space="preserve"> </w:t>
      </w:r>
      <w:r w:rsidR="00DD392F" w:rsidRPr="00FF743B">
        <w:rPr>
          <w:rFonts w:ascii="Cambria" w:hAnsi="Cambria"/>
          <w:sz w:val="20"/>
          <w:szCs w:val="20"/>
          <w:lang w:val="es-ES"/>
        </w:rPr>
        <w:t xml:space="preserve"> </w:t>
      </w:r>
      <w:r w:rsidR="0026200A" w:rsidRPr="00FF743B">
        <w:rPr>
          <w:rFonts w:ascii="Cambria" w:hAnsi="Cambria"/>
          <w:sz w:val="20"/>
          <w:szCs w:val="20"/>
          <w:lang w:val="es-ES"/>
        </w:rPr>
        <w:t>Asimismo presenta ejemplos de cómo el concepto del control de convencionalidad ha sido aplicado por tribunales domésticos a fin de asegurar que los jueces y juezas revisen el cumplimiento de las medidas estatales con los compromisos internacionales en materia de derechos humanos.</w:t>
      </w:r>
    </w:p>
    <w:p w:rsidR="00A359CF" w:rsidRPr="00FF743B" w:rsidRDefault="00A359CF" w:rsidP="00225F6F">
      <w:pPr>
        <w:jc w:val="both"/>
        <w:rPr>
          <w:rFonts w:ascii="Cambria" w:hAnsi="Cambria"/>
          <w:sz w:val="20"/>
          <w:szCs w:val="20"/>
          <w:lang w:val="es-ES"/>
        </w:rPr>
      </w:pPr>
    </w:p>
    <w:p w:rsidR="00A359CF" w:rsidRPr="00FF743B" w:rsidRDefault="00FB5FE8" w:rsidP="00D11F49">
      <w:pPr>
        <w:numPr>
          <w:ilvl w:val="3"/>
          <w:numId w:val="15"/>
        </w:numPr>
        <w:ind w:left="547" w:hanging="547"/>
        <w:jc w:val="both"/>
        <w:rPr>
          <w:rFonts w:ascii="Cambria" w:hAnsi="Cambria"/>
          <w:sz w:val="20"/>
          <w:szCs w:val="20"/>
          <w:lang w:val="es-ES"/>
        </w:rPr>
      </w:pPr>
      <w:r w:rsidRPr="00FF743B">
        <w:rPr>
          <w:rFonts w:ascii="Cambria" w:hAnsi="Cambria"/>
          <w:b/>
          <w:sz w:val="20"/>
          <w:szCs w:val="20"/>
          <w:lang w:val="es-ES"/>
        </w:rPr>
        <w:t>Costa Rica</w:t>
      </w:r>
      <w:r w:rsidR="002308AB" w:rsidRPr="00FF743B">
        <w:rPr>
          <w:rFonts w:ascii="Cambria" w:hAnsi="Cambria"/>
          <w:sz w:val="20"/>
          <w:szCs w:val="20"/>
          <w:lang w:val="es-ES"/>
        </w:rPr>
        <w:t xml:space="preserve"> asimismo</w:t>
      </w:r>
      <w:r w:rsidRPr="00FF743B">
        <w:rPr>
          <w:rFonts w:ascii="Cambria" w:hAnsi="Cambria"/>
          <w:sz w:val="20"/>
          <w:szCs w:val="20"/>
          <w:lang w:val="es-ES"/>
        </w:rPr>
        <w:t xml:space="preserve"> informó a la CIDH</w:t>
      </w:r>
      <w:r w:rsidR="002308AB" w:rsidRPr="00FF743B">
        <w:rPr>
          <w:rFonts w:ascii="Cambria" w:hAnsi="Cambria"/>
          <w:sz w:val="20"/>
          <w:szCs w:val="20"/>
          <w:lang w:val="es-ES"/>
        </w:rPr>
        <w:t xml:space="preserve"> en su respuesta al cuestionario</w:t>
      </w:r>
      <w:r w:rsidRPr="00FF743B">
        <w:rPr>
          <w:rFonts w:ascii="Cambria" w:hAnsi="Cambria"/>
          <w:sz w:val="20"/>
          <w:szCs w:val="20"/>
          <w:lang w:val="es-ES"/>
        </w:rPr>
        <w:t xml:space="preserve"> sobre una serie de leyes, políticas e instituciones adoptadas y creadas como un esfuerzo para avanzar la protección de los derechos humanos en el país, incluyendo la Ley General de Migración y Extranjería (2009), la Política Nacional para la Niñez y la Adolescencia (2009-2021); la Política Respetuosa de la Diversidad Sexual en el Poder Judicial (2011); la Política Nacional en Discapacidad (2011-2021); y la creación de unidades para la igualdad de género en el sector público, entre otras.  Es destacable asimismo la adopción de una política nacional para una </w:t>
      </w:r>
      <w:r w:rsidRPr="00FF743B">
        <w:rPr>
          <w:rFonts w:ascii="Cambria" w:hAnsi="Cambria"/>
          <w:i/>
          <w:sz w:val="20"/>
          <w:szCs w:val="20"/>
          <w:lang w:val="es-ES"/>
        </w:rPr>
        <w:t>Sociedad Libre de Racismo, Discriminación Racial y Xenofobia</w:t>
      </w:r>
      <w:r w:rsidRPr="00FF743B">
        <w:rPr>
          <w:rFonts w:ascii="Cambria" w:hAnsi="Cambria"/>
          <w:sz w:val="20"/>
          <w:szCs w:val="20"/>
          <w:lang w:val="es-ES"/>
        </w:rPr>
        <w:t xml:space="preserve"> en diciembre 2013, con el fin de que el </w:t>
      </w:r>
      <w:r w:rsidRPr="00FF743B">
        <w:rPr>
          <w:rFonts w:ascii="Cambria" w:hAnsi="Cambria"/>
          <w:sz w:val="20"/>
          <w:szCs w:val="20"/>
          <w:lang w:val="es-ES"/>
        </w:rPr>
        <w:lastRenderedPageBreak/>
        <w:t>Estado adopte medidas eficaces que propicien la garantía de los derechos humanos de los pueblos indígenas, afrodescendientes, migrantes y refugiados, entre otros grupos</w:t>
      </w:r>
      <w:r w:rsidRPr="00FF743B">
        <w:rPr>
          <w:rStyle w:val="FootnoteReference"/>
          <w:rFonts w:ascii="Cambria" w:hAnsi="Cambria"/>
          <w:b/>
          <w:sz w:val="20"/>
          <w:szCs w:val="20"/>
          <w:lang w:val="es-ES"/>
        </w:rPr>
        <w:footnoteReference w:id="116"/>
      </w:r>
      <w:r w:rsidRPr="00FF743B">
        <w:rPr>
          <w:rFonts w:ascii="Cambria" w:hAnsi="Cambria"/>
          <w:sz w:val="20"/>
          <w:szCs w:val="20"/>
          <w:lang w:val="es-ES"/>
        </w:rPr>
        <w:t xml:space="preserve">.   </w:t>
      </w:r>
    </w:p>
    <w:p w:rsidR="00A359CF" w:rsidRPr="00FF743B" w:rsidRDefault="00A359CF" w:rsidP="00225F6F">
      <w:pPr>
        <w:jc w:val="both"/>
        <w:rPr>
          <w:rFonts w:ascii="Cambria" w:hAnsi="Cambria"/>
          <w:b/>
          <w:sz w:val="20"/>
          <w:szCs w:val="20"/>
          <w:lang w:val="es-ES"/>
        </w:rPr>
      </w:pPr>
    </w:p>
    <w:p w:rsidR="00A359CF" w:rsidRPr="00FF743B" w:rsidRDefault="0041176F"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Ecuador</w:t>
      </w:r>
      <w:r w:rsidRPr="00FF743B">
        <w:rPr>
          <w:rFonts w:ascii="Cambria" w:hAnsi="Cambria"/>
          <w:sz w:val="20"/>
          <w:szCs w:val="20"/>
          <w:lang w:val="es-ES"/>
        </w:rPr>
        <w:t>, se reconoce la aprobación pública en el 2008 de un nuevo marco constitucional guiado por los derechos humanos y sus obligaciones internacionales</w:t>
      </w:r>
      <w:r w:rsidRPr="00FF743B">
        <w:rPr>
          <w:rStyle w:val="FootnoteReference"/>
          <w:rFonts w:ascii="Cambria" w:hAnsi="Cambria"/>
          <w:b/>
          <w:sz w:val="20"/>
          <w:szCs w:val="20"/>
          <w:lang w:val="es-ES"/>
        </w:rPr>
        <w:footnoteReference w:id="117"/>
      </w:r>
      <w:r w:rsidR="00C71AFB" w:rsidRPr="00FF743B">
        <w:rPr>
          <w:rFonts w:ascii="Cambria" w:hAnsi="Cambria"/>
          <w:sz w:val="20"/>
          <w:szCs w:val="20"/>
          <w:lang w:val="es-ES"/>
        </w:rPr>
        <w:t xml:space="preserve">. </w:t>
      </w:r>
      <w:r w:rsidRPr="00FF743B">
        <w:rPr>
          <w:rFonts w:ascii="Cambria" w:hAnsi="Cambria"/>
          <w:sz w:val="20"/>
          <w:szCs w:val="20"/>
          <w:lang w:val="es-ES"/>
        </w:rPr>
        <w:t>Dicha reforma constitucional ha sido acogida como un avance positivo por varios órganos de tratados de las Naciones Unidas, incluyendo el Comité de Derechos Humanos y el Comité de Derechos Económicos, Sociales y Culturales, en su reconocimiento de los principios de la igualdad y la no discriminación, y su consagración de un conjunto de derechos significativo para diversas poblaciones como los pueblos indígenas, y han llamado al Estado de Ecuador a adoptar todos los medios posibles para implementar estas disposiciones de forma adecuada</w:t>
      </w:r>
      <w:r w:rsidRPr="00FF743B">
        <w:rPr>
          <w:rStyle w:val="FootnoteReference"/>
          <w:rFonts w:ascii="Cambria" w:hAnsi="Cambria"/>
          <w:b/>
          <w:sz w:val="20"/>
          <w:szCs w:val="20"/>
          <w:lang w:val="es-ES"/>
        </w:rPr>
        <w:footnoteReference w:id="118"/>
      </w:r>
    </w:p>
    <w:p w:rsidR="00A359CF" w:rsidRPr="00FF743B" w:rsidRDefault="00A359CF" w:rsidP="00225F6F">
      <w:pPr>
        <w:jc w:val="both"/>
        <w:rPr>
          <w:rFonts w:ascii="Cambria" w:hAnsi="Cambria"/>
          <w:sz w:val="20"/>
          <w:szCs w:val="20"/>
          <w:lang w:val="es-ES"/>
        </w:rPr>
      </w:pPr>
    </w:p>
    <w:p w:rsidR="00A359CF" w:rsidRPr="00FF743B" w:rsidRDefault="0041176F" w:rsidP="00D11F49">
      <w:pPr>
        <w:numPr>
          <w:ilvl w:val="3"/>
          <w:numId w:val="15"/>
        </w:numPr>
        <w:ind w:left="547" w:hanging="547"/>
        <w:jc w:val="both"/>
        <w:rPr>
          <w:rStyle w:val="apple-converted-space"/>
          <w:rFonts w:ascii="Cambria" w:hAnsi="Cambria"/>
          <w:sz w:val="20"/>
          <w:szCs w:val="20"/>
          <w:lang w:val="es-ES"/>
        </w:rPr>
      </w:pPr>
      <w:r w:rsidRPr="00FF743B">
        <w:rPr>
          <w:rFonts w:ascii="Cambria" w:hAnsi="Cambria"/>
          <w:sz w:val="20"/>
          <w:szCs w:val="20"/>
          <w:lang w:val="es-ES"/>
        </w:rPr>
        <w:t xml:space="preserve">El Estado de </w:t>
      </w:r>
      <w:r w:rsidRPr="00FF743B">
        <w:rPr>
          <w:rFonts w:ascii="Cambria" w:hAnsi="Cambria"/>
          <w:b/>
          <w:sz w:val="20"/>
          <w:szCs w:val="20"/>
          <w:lang w:val="es-ES"/>
        </w:rPr>
        <w:t>México</w:t>
      </w:r>
      <w:r w:rsidRPr="00FF743B">
        <w:rPr>
          <w:rFonts w:ascii="Cambria" w:hAnsi="Cambria"/>
          <w:sz w:val="20"/>
          <w:szCs w:val="20"/>
          <w:lang w:val="es-ES"/>
        </w:rPr>
        <w:t xml:space="preserve"> informó a la CIDH en su respuesta al cuestionario </w:t>
      </w:r>
      <w:r w:rsidR="00C7012E" w:rsidRPr="00FF743B">
        <w:rPr>
          <w:rFonts w:ascii="Cambria" w:hAnsi="Cambria"/>
          <w:sz w:val="20"/>
          <w:szCs w:val="20"/>
          <w:lang w:val="es-ES"/>
        </w:rPr>
        <w:t>sobre la</w:t>
      </w:r>
      <w:r w:rsidR="000825FF" w:rsidRPr="00FF743B">
        <w:rPr>
          <w:rFonts w:ascii="Cambria" w:hAnsi="Cambria"/>
          <w:sz w:val="20"/>
          <w:szCs w:val="20"/>
          <w:lang w:val="es-ES"/>
        </w:rPr>
        <w:t xml:space="preserve"> influencia de la ratificación de la Convención Americana y de la adopción de estas sentencias en dos desarrollos fundamentales en el país</w:t>
      </w:r>
      <w:r w:rsidR="00C214AF" w:rsidRPr="00FF743B">
        <w:rPr>
          <w:rFonts w:ascii="Cambria" w:hAnsi="Cambria"/>
          <w:sz w:val="20"/>
          <w:szCs w:val="20"/>
          <w:lang w:val="es-ES"/>
        </w:rPr>
        <w:t xml:space="preserve"> para el avance los derechos humanos</w:t>
      </w:r>
      <w:r w:rsidR="00BC631C" w:rsidRPr="00FF743B">
        <w:rPr>
          <w:rStyle w:val="FootnoteReference"/>
          <w:rFonts w:ascii="Cambria" w:hAnsi="Cambria"/>
          <w:b/>
          <w:sz w:val="20"/>
          <w:szCs w:val="20"/>
          <w:lang w:val="es-ES"/>
        </w:rPr>
        <w:footnoteReference w:id="119"/>
      </w:r>
      <w:r w:rsidR="005A356A" w:rsidRPr="00FF743B">
        <w:rPr>
          <w:rFonts w:ascii="Cambria" w:hAnsi="Cambria"/>
          <w:sz w:val="20"/>
          <w:szCs w:val="20"/>
          <w:lang w:val="es-ES"/>
        </w:rPr>
        <w:t xml:space="preserve">.  </w:t>
      </w:r>
      <w:r w:rsidR="000825FF" w:rsidRPr="00FF743B">
        <w:rPr>
          <w:rFonts w:ascii="Cambria" w:hAnsi="Cambria"/>
          <w:sz w:val="20"/>
          <w:szCs w:val="20"/>
          <w:lang w:val="es-ES"/>
        </w:rPr>
        <w:t xml:space="preserve">Uno, fue la reforma constitucional adoptada en el 2011, la cual elevó a rango constitucional los derechos humanos </w:t>
      </w:r>
      <w:r w:rsidR="00C7012E" w:rsidRPr="00FF743B">
        <w:rPr>
          <w:rFonts w:ascii="Cambria" w:hAnsi="Cambria"/>
          <w:sz w:val="20"/>
          <w:szCs w:val="20"/>
          <w:lang w:val="es-ES"/>
        </w:rPr>
        <w:t xml:space="preserve">contenidos </w:t>
      </w:r>
      <w:r w:rsidR="000825FF" w:rsidRPr="00FF743B">
        <w:rPr>
          <w:rFonts w:ascii="Cambria" w:hAnsi="Cambria"/>
          <w:sz w:val="20"/>
          <w:szCs w:val="20"/>
          <w:lang w:val="es-ES"/>
        </w:rPr>
        <w:t>en los tratados internacionales suscritos por México</w:t>
      </w:r>
      <w:r w:rsidR="000825FF" w:rsidRPr="00FF743B">
        <w:rPr>
          <w:rStyle w:val="FootnoteReference"/>
          <w:rFonts w:ascii="Cambria" w:hAnsi="Cambria"/>
          <w:b/>
          <w:sz w:val="20"/>
          <w:szCs w:val="20"/>
          <w:lang w:val="es-ES"/>
        </w:rPr>
        <w:footnoteReference w:id="120"/>
      </w:r>
      <w:r w:rsidR="005A356A" w:rsidRPr="00FF743B">
        <w:rPr>
          <w:rFonts w:ascii="Cambria" w:hAnsi="Cambria"/>
          <w:sz w:val="20"/>
          <w:szCs w:val="20"/>
          <w:lang w:val="es-ES"/>
        </w:rPr>
        <w:t xml:space="preserve">.  </w:t>
      </w:r>
      <w:r w:rsidR="000825FF" w:rsidRPr="00FF743B">
        <w:rPr>
          <w:rFonts w:ascii="Cambria" w:hAnsi="Cambria"/>
          <w:sz w:val="20"/>
          <w:szCs w:val="20"/>
          <w:lang w:val="es-ES"/>
        </w:rPr>
        <w:t>Se</w:t>
      </w:r>
      <w:r w:rsidR="005A356A" w:rsidRPr="00FF743B">
        <w:rPr>
          <w:rFonts w:ascii="Cambria" w:hAnsi="Cambria"/>
          <w:sz w:val="20"/>
          <w:szCs w:val="20"/>
          <w:lang w:val="es-ES"/>
        </w:rPr>
        <w:t xml:space="preserve">gundo, </w:t>
      </w:r>
      <w:r w:rsidR="00827BCF" w:rsidRPr="00FF743B">
        <w:rPr>
          <w:rFonts w:ascii="Cambria" w:hAnsi="Cambria"/>
          <w:sz w:val="20"/>
          <w:szCs w:val="20"/>
          <w:lang w:val="es-ES"/>
        </w:rPr>
        <w:t xml:space="preserve">la CIDH ha sido informada de </w:t>
      </w:r>
      <w:r w:rsidR="00827BCF" w:rsidRPr="00FF743B">
        <w:rPr>
          <w:rFonts w:ascii="Cambria" w:hAnsi="Cambria"/>
          <w:sz w:val="20"/>
          <w:szCs w:val="20"/>
          <w:lang w:val="es-ES"/>
        </w:rPr>
        <w:lastRenderedPageBreak/>
        <w:t xml:space="preserve">forma </w:t>
      </w:r>
      <w:r w:rsidR="000825FF" w:rsidRPr="00FF743B">
        <w:rPr>
          <w:rFonts w:ascii="Cambria" w:hAnsi="Cambria"/>
          <w:sz w:val="20"/>
          <w:szCs w:val="20"/>
          <w:lang w:val="es-ES"/>
        </w:rPr>
        <w:t>reciente</w:t>
      </w:r>
      <w:r w:rsidR="00827BCF" w:rsidRPr="00FF743B">
        <w:rPr>
          <w:rFonts w:ascii="Cambria" w:hAnsi="Cambria"/>
          <w:sz w:val="20"/>
          <w:szCs w:val="20"/>
          <w:lang w:val="es-ES"/>
        </w:rPr>
        <w:t xml:space="preserve"> sobre la</w:t>
      </w:r>
      <w:r w:rsidR="000825FF" w:rsidRPr="00FF743B">
        <w:rPr>
          <w:rFonts w:ascii="Cambria" w:hAnsi="Cambria"/>
          <w:sz w:val="20"/>
          <w:szCs w:val="20"/>
          <w:lang w:val="es-ES"/>
        </w:rPr>
        <w:t xml:space="preserve"> aprobación de reformas al Código de Justicia Militar por parte del Congreso mexicano, mediante las cuales se restringen los alcances de la jurisdicción militar. Según estas reformas, los casos de violaciones a derechos humanos de personas civiles cometidas por militares serán juzgados exclusivamente por el sistema de justicia civil y no por tribunales castrenses</w:t>
      </w:r>
      <w:r w:rsidR="009C13BF" w:rsidRPr="00FF743B">
        <w:rPr>
          <w:rStyle w:val="FootnoteReference"/>
          <w:rFonts w:ascii="Cambria" w:hAnsi="Cambria"/>
          <w:b/>
          <w:sz w:val="20"/>
          <w:szCs w:val="20"/>
          <w:lang w:val="es-ES"/>
        </w:rPr>
        <w:footnoteReference w:id="121"/>
      </w:r>
      <w:r w:rsidR="000825FF" w:rsidRPr="00FF743B">
        <w:rPr>
          <w:rFonts w:ascii="Cambria" w:hAnsi="Cambria"/>
          <w:sz w:val="20"/>
          <w:szCs w:val="20"/>
          <w:lang w:val="es-ES"/>
        </w:rPr>
        <w:t xml:space="preserve">.  La CIDH </w:t>
      </w:r>
      <w:r w:rsidR="00827BCF" w:rsidRPr="00FF743B">
        <w:rPr>
          <w:rFonts w:ascii="Cambria" w:hAnsi="Cambria"/>
          <w:sz w:val="20"/>
          <w:szCs w:val="20"/>
          <w:lang w:val="es-ES"/>
        </w:rPr>
        <w:t>v</w:t>
      </w:r>
      <w:r w:rsidR="00C214AF" w:rsidRPr="00FF743B">
        <w:rPr>
          <w:rFonts w:ascii="Cambria" w:hAnsi="Cambria"/>
          <w:sz w:val="20"/>
          <w:szCs w:val="20"/>
          <w:lang w:val="es-ES"/>
        </w:rPr>
        <w:t>aloró de forma pública</w:t>
      </w:r>
      <w:r w:rsidR="000825FF" w:rsidRPr="00FF743B">
        <w:rPr>
          <w:rFonts w:ascii="Cambria" w:hAnsi="Cambria"/>
          <w:sz w:val="20"/>
          <w:szCs w:val="20"/>
          <w:lang w:val="es-ES"/>
        </w:rPr>
        <w:t xml:space="preserve"> esta reforma como un paso importante para la protección de los derechos fundamentales en México y en el cumplimiento de sus obligaciones internacionales en materia de derechos humanos, principalmente en lo referente a las garantías del derecho a la verdad, a la justicia y a la reparación par las víctimas y sus familiares</w:t>
      </w:r>
      <w:r w:rsidR="00BE4D8D" w:rsidRPr="00FF743B">
        <w:rPr>
          <w:rStyle w:val="FootnoteReference"/>
          <w:rFonts w:ascii="Cambria" w:hAnsi="Cambria"/>
          <w:b/>
          <w:sz w:val="20"/>
          <w:szCs w:val="20"/>
          <w:lang w:val="es-ES"/>
        </w:rPr>
        <w:footnoteReference w:id="122"/>
      </w:r>
      <w:r w:rsidR="006F19D7" w:rsidRPr="00FF743B">
        <w:rPr>
          <w:rFonts w:ascii="Cambria" w:hAnsi="Cambria"/>
          <w:sz w:val="20"/>
          <w:szCs w:val="20"/>
          <w:lang w:val="es-ES"/>
        </w:rPr>
        <w:t xml:space="preserve">.  La CIDH también valoró el 22 de julio de 2014 de forma positiva el retiro de reservas por parte del Estado de México a tres instrumentos adoptados en el marco de la OEA, incluyendo la </w:t>
      </w:r>
      <w:r w:rsidR="006F19D7" w:rsidRPr="00FF743B">
        <w:rPr>
          <w:rFonts w:ascii="Cambria" w:hAnsi="Cambria" w:cs="Tahoma"/>
          <w:sz w:val="20"/>
          <w:szCs w:val="20"/>
          <w:shd w:val="clear" w:color="auto" w:fill="FFFFFF"/>
          <w:lang w:val="es-ES"/>
        </w:rPr>
        <w:t>Convención sobre Condiciones de los Extranjeros, la Convención Interamericana sobre Desaparición Forzada de Personas, y la Declaración para el Reconocimiento de la Competencia Contenciosa de la Corte Interamericana de Derechos Humanos</w:t>
      </w:r>
      <w:r w:rsidR="006F19D7" w:rsidRPr="00FF743B">
        <w:rPr>
          <w:rStyle w:val="FootnoteReference"/>
          <w:rFonts w:ascii="Cambria" w:hAnsi="Cambria" w:cs="Tahoma"/>
          <w:b/>
          <w:sz w:val="20"/>
          <w:szCs w:val="20"/>
          <w:shd w:val="clear" w:color="auto" w:fill="FFFFFF"/>
          <w:lang w:val="es-ES"/>
        </w:rPr>
        <w:footnoteReference w:id="123"/>
      </w:r>
      <w:r w:rsidR="006F19D7" w:rsidRPr="00FF743B">
        <w:rPr>
          <w:rFonts w:ascii="Cambria" w:hAnsi="Cambria" w:cs="Tahoma"/>
          <w:sz w:val="20"/>
          <w:szCs w:val="20"/>
          <w:shd w:val="clear" w:color="auto" w:fill="FFFFFF"/>
          <w:lang w:val="es-ES"/>
        </w:rPr>
        <w:t xml:space="preserve">.   </w:t>
      </w:r>
      <w:r w:rsidR="006F19D7" w:rsidRPr="00FF743B">
        <w:rPr>
          <w:rStyle w:val="apple-converted-space"/>
          <w:rFonts w:ascii="Cambria" w:hAnsi="Cambria" w:cs="Tahoma"/>
          <w:sz w:val="20"/>
          <w:szCs w:val="20"/>
          <w:shd w:val="clear" w:color="auto" w:fill="FFFFFF"/>
          <w:lang w:val="es-ES"/>
        </w:rPr>
        <w:t> </w:t>
      </w:r>
    </w:p>
    <w:p w:rsidR="00A359CF" w:rsidRPr="00FF743B" w:rsidRDefault="00A359CF" w:rsidP="00225F6F">
      <w:pPr>
        <w:jc w:val="both"/>
        <w:rPr>
          <w:rStyle w:val="apple-converted-space"/>
          <w:rFonts w:ascii="Cambria" w:hAnsi="Cambria"/>
          <w:sz w:val="20"/>
          <w:szCs w:val="20"/>
          <w:lang w:val="es-ES"/>
        </w:rPr>
      </w:pPr>
    </w:p>
    <w:p w:rsidR="00A359CF" w:rsidRPr="00FF743B" w:rsidRDefault="00E072EE"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Panamá</w:t>
      </w:r>
      <w:r w:rsidRPr="00FF743B">
        <w:rPr>
          <w:rFonts w:ascii="Cambria" w:hAnsi="Cambria"/>
          <w:sz w:val="20"/>
          <w:szCs w:val="20"/>
          <w:lang w:val="es-ES"/>
        </w:rPr>
        <w:t xml:space="preserve">, la Corte Suprema de Justicia ha establecido a través de su jurisprudencia que la Constitución Política debe ser interpretada de manera sistemática con varias disposiciones de la Convención Americana, dado que dicho instrumento amplía el catálogo de derechos y </w:t>
      </w:r>
      <w:r w:rsidR="00682D63" w:rsidRPr="00FF743B">
        <w:rPr>
          <w:rFonts w:ascii="Cambria" w:hAnsi="Cambria"/>
          <w:sz w:val="20"/>
          <w:szCs w:val="20"/>
          <w:lang w:val="es-ES"/>
        </w:rPr>
        <w:t>garantías fundamentales previsto</w:t>
      </w:r>
      <w:r w:rsidRPr="00FF743B">
        <w:rPr>
          <w:rFonts w:ascii="Cambria" w:hAnsi="Cambria"/>
          <w:sz w:val="20"/>
          <w:szCs w:val="20"/>
          <w:lang w:val="es-ES"/>
        </w:rPr>
        <w:t>s en la Constitución como mínimos</w:t>
      </w:r>
      <w:r w:rsidR="00E8552A" w:rsidRPr="00FF743B">
        <w:rPr>
          <w:rStyle w:val="FootnoteReference"/>
          <w:rFonts w:ascii="Cambria" w:hAnsi="Cambria"/>
          <w:b/>
          <w:sz w:val="20"/>
          <w:szCs w:val="20"/>
          <w:lang w:val="es-ES"/>
        </w:rPr>
        <w:footnoteReference w:id="124"/>
      </w:r>
      <w:r w:rsidR="008C5636" w:rsidRPr="00FF743B">
        <w:rPr>
          <w:rFonts w:ascii="Cambria" w:hAnsi="Cambria"/>
          <w:sz w:val="20"/>
          <w:szCs w:val="20"/>
          <w:lang w:val="es-ES"/>
        </w:rPr>
        <w:t xml:space="preserve">.  </w:t>
      </w:r>
      <w:r w:rsidR="00AE4928" w:rsidRPr="00FF743B">
        <w:rPr>
          <w:rFonts w:ascii="Cambria" w:hAnsi="Cambria"/>
          <w:sz w:val="20"/>
          <w:szCs w:val="20"/>
          <w:lang w:val="es-ES"/>
        </w:rPr>
        <w:t xml:space="preserve">Asimismo el Estado ha consagrado el principio de </w:t>
      </w:r>
      <w:r w:rsidR="00682D63" w:rsidRPr="00FF743B">
        <w:rPr>
          <w:rFonts w:ascii="Cambria" w:hAnsi="Cambria"/>
          <w:sz w:val="20"/>
          <w:szCs w:val="20"/>
          <w:lang w:val="es-ES"/>
        </w:rPr>
        <w:t xml:space="preserve">la </w:t>
      </w:r>
      <w:r w:rsidR="00AE4928" w:rsidRPr="00FF743B">
        <w:rPr>
          <w:rFonts w:ascii="Cambria" w:hAnsi="Cambria"/>
          <w:sz w:val="20"/>
          <w:szCs w:val="20"/>
          <w:lang w:val="es-ES"/>
        </w:rPr>
        <w:t>no discrimi</w:t>
      </w:r>
      <w:r w:rsidR="00682D63" w:rsidRPr="00FF743B">
        <w:rPr>
          <w:rFonts w:ascii="Cambria" w:hAnsi="Cambria"/>
          <w:sz w:val="20"/>
          <w:szCs w:val="20"/>
          <w:lang w:val="es-ES"/>
        </w:rPr>
        <w:t>nación en su C</w:t>
      </w:r>
      <w:r w:rsidR="00AE4928" w:rsidRPr="00FF743B">
        <w:rPr>
          <w:rFonts w:ascii="Cambria" w:hAnsi="Cambria"/>
          <w:sz w:val="20"/>
          <w:szCs w:val="20"/>
          <w:lang w:val="es-ES"/>
        </w:rPr>
        <w:t>onstitución y marco normativo, adoptando legisl</w:t>
      </w:r>
      <w:r w:rsidR="00682D63" w:rsidRPr="00FF743B">
        <w:rPr>
          <w:rFonts w:ascii="Cambria" w:hAnsi="Cambria"/>
          <w:sz w:val="20"/>
          <w:szCs w:val="20"/>
          <w:lang w:val="es-ES"/>
        </w:rPr>
        <w:t>ación nacional y estableciendo</w:t>
      </w:r>
      <w:r w:rsidR="00AE4928" w:rsidRPr="00FF743B">
        <w:rPr>
          <w:rFonts w:ascii="Cambria" w:hAnsi="Cambria"/>
          <w:sz w:val="20"/>
          <w:szCs w:val="20"/>
          <w:lang w:val="es-ES"/>
        </w:rPr>
        <w:t xml:space="preserve"> mecanismos, políticas y prácticas nacionales tendientes a la igualdad racial y </w:t>
      </w:r>
      <w:r w:rsidR="00423C46" w:rsidRPr="00FF743B">
        <w:rPr>
          <w:rFonts w:ascii="Cambria" w:hAnsi="Cambria"/>
          <w:sz w:val="20"/>
          <w:szCs w:val="20"/>
          <w:lang w:val="es-ES"/>
        </w:rPr>
        <w:t>de género, entre otros temas</w:t>
      </w:r>
      <w:r w:rsidR="004F1227" w:rsidRPr="00FF743B">
        <w:rPr>
          <w:rStyle w:val="FootnoteReference"/>
          <w:rFonts w:ascii="Cambria" w:hAnsi="Cambria"/>
          <w:b/>
          <w:sz w:val="20"/>
          <w:szCs w:val="20"/>
          <w:lang w:val="es-ES"/>
        </w:rPr>
        <w:footnoteReference w:id="125"/>
      </w:r>
      <w:r w:rsidR="00423C46" w:rsidRPr="00FF743B">
        <w:rPr>
          <w:rFonts w:ascii="Cambria" w:hAnsi="Cambria"/>
          <w:sz w:val="20"/>
          <w:szCs w:val="20"/>
          <w:lang w:val="es-ES"/>
        </w:rPr>
        <w:t>.</w:t>
      </w:r>
    </w:p>
    <w:p w:rsidR="00A359CF" w:rsidRDefault="00A359CF" w:rsidP="00225F6F">
      <w:pPr>
        <w:jc w:val="both"/>
        <w:rPr>
          <w:rFonts w:ascii="Cambria" w:hAnsi="Cambria"/>
          <w:sz w:val="20"/>
          <w:szCs w:val="20"/>
          <w:lang w:val="es-ES"/>
        </w:rPr>
      </w:pPr>
    </w:p>
    <w:p w:rsidR="00F0147A" w:rsidRDefault="00F0147A" w:rsidP="00225F6F">
      <w:pPr>
        <w:jc w:val="both"/>
        <w:rPr>
          <w:rFonts w:ascii="Cambria" w:hAnsi="Cambria"/>
          <w:sz w:val="20"/>
          <w:szCs w:val="20"/>
          <w:lang w:val="es-ES"/>
        </w:rPr>
      </w:pPr>
    </w:p>
    <w:p w:rsidR="00F0147A" w:rsidRDefault="00F0147A" w:rsidP="00225F6F">
      <w:pPr>
        <w:jc w:val="both"/>
        <w:rPr>
          <w:rFonts w:ascii="Cambria" w:hAnsi="Cambria"/>
          <w:sz w:val="20"/>
          <w:szCs w:val="20"/>
          <w:lang w:val="es-ES"/>
        </w:rPr>
      </w:pPr>
    </w:p>
    <w:p w:rsidR="00F0147A" w:rsidRDefault="00F0147A" w:rsidP="00225F6F">
      <w:pPr>
        <w:jc w:val="both"/>
        <w:rPr>
          <w:rFonts w:ascii="Cambria" w:hAnsi="Cambria"/>
          <w:sz w:val="20"/>
          <w:szCs w:val="20"/>
          <w:lang w:val="es-ES"/>
        </w:rPr>
      </w:pPr>
    </w:p>
    <w:p w:rsidR="00F0147A" w:rsidRDefault="00F0147A" w:rsidP="00225F6F">
      <w:pPr>
        <w:jc w:val="both"/>
        <w:rPr>
          <w:rFonts w:ascii="Cambria" w:hAnsi="Cambria"/>
          <w:sz w:val="20"/>
          <w:szCs w:val="20"/>
          <w:lang w:val="es-ES"/>
        </w:rPr>
      </w:pPr>
    </w:p>
    <w:p w:rsidR="00F0147A" w:rsidRDefault="00F0147A" w:rsidP="00225F6F">
      <w:pPr>
        <w:jc w:val="both"/>
        <w:rPr>
          <w:rFonts w:ascii="Cambria" w:hAnsi="Cambria"/>
          <w:sz w:val="20"/>
          <w:szCs w:val="20"/>
          <w:lang w:val="es-ES"/>
        </w:rPr>
      </w:pPr>
    </w:p>
    <w:p w:rsidR="00F0147A" w:rsidRPr="00FF743B" w:rsidRDefault="00F0147A" w:rsidP="00225F6F">
      <w:pPr>
        <w:jc w:val="both"/>
        <w:rPr>
          <w:rFonts w:ascii="Cambria" w:hAnsi="Cambria"/>
          <w:sz w:val="20"/>
          <w:szCs w:val="20"/>
          <w:lang w:val="es-ES"/>
        </w:rPr>
      </w:pPr>
    </w:p>
    <w:p w:rsidR="00A359CF" w:rsidRPr="00FF743B" w:rsidRDefault="00E072EE"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w:t>
      </w:r>
      <w:r w:rsidRPr="00FF743B">
        <w:rPr>
          <w:rFonts w:ascii="Cambria" w:hAnsi="Cambria"/>
          <w:b/>
          <w:sz w:val="20"/>
          <w:szCs w:val="20"/>
          <w:lang w:val="es-ES"/>
        </w:rPr>
        <w:t>Paraguay</w:t>
      </w:r>
      <w:r w:rsidRPr="00FF743B">
        <w:rPr>
          <w:rFonts w:ascii="Cambria" w:hAnsi="Cambria"/>
          <w:sz w:val="20"/>
          <w:szCs w:val="20"/>
          <w:lang w:val="es-ES"/>
        </w:rPr>
        <w:t xml:space="preserve">, </w:t>
      </w:r>
      <w:r w:rsidR="00C214AF" w:rsidRPr="00FF743B">
        <w:rPr>
          <w:rFonts w:ascii="Cambria" w:hAnsi="Cambria"/>
          <w:sz w:val="20"/>
          <w:szCs w:val="20"/>
          <w:lang w:val="es-ES"/>
        </w:rPr>
        <w:t xml:space="preserve">el Comité de Derechos Humanos de las Naciones Unidas a su vez reconoció el año pasado los esfuerzos de Paraguay de elaborar indicadores </w:t>
      </w:r>
      <w:r w:rsidR="00C214AF" w:rsidRPr="00FF743B">
        <w:rPr>
          <w:rFonts w:ascii="Cambria" w:hAnsi="Cambria" w:cs="Frutiger 47LightCn"/>
          <w:color w:val="000000"/>
          <w:sz w:val="20"/>
          <w:szCs w:val="20"/>
          <w:lang w:val="es-ES"/>
        </w:rPr>
        <w:t xml:space="preserve">de derechos humanos para monitorear la situación general en el país y el </w:t>
      </w:r>
      <w:r w:rsidR="00C214AF" w:rsidRPr="00B90612">
        <w:rPr>
          <w:rFonts w:ascii="Cambria" w:hAnsi="Cambria"/>
          <w:sz w:val="20"/>
          <w:szCs w:val="20"/>
          <w:lang w:val="es-ES"/>
        </w:rPr>
        <w:t>impacto</w:t>
      </w:r>
      <w:r w:rsidR="00C214AF" w:rsidRPr="00FF743B">
        <w:rPr>
          <w:rFonts w:ascii="Cambria" w:hAnsi="Cambria" w:cs="Frutiger 47LightCn"/>
          <w:color w:val="000000"/>
          <w:sz w:val="20"/>
          <w:szCs w:val="20"/>
          <w:lang w:val="es-ES"/>
        </w:rPr>
        <w:t xml:space="preserve"> de las políticas públicas en la materia</w:t>
      </w:r>
      <w:r w:rsidR="00C214AF" w:rsidRPr="00FF743B">
        <w:rPr>
          <w:rStyle w:val="FootnoteReference"/>
          <w:rFonts w:ascii="Cambria" w:hAnsi="Cambria" w:cs="Frutiger 47LightCn"/>
          <w:b/>
          <w:color w:val="000000"/>
          <w:sz w:val="20"/>
          <w:szCs w:val="20"/>
          <w:lang w:val="es-ES"/>
        </w:rPr>
        <w:footnoteReference w:id="126"/>
      </w:r>
      <w:r w:rsidR="00C214AF" w:rsidRPr="00FF743B">
        <w:rPr>
          <w:rFonts w:ascii="Cambria" w:hAnsi="Cambria" w:cs="Frutiger 47LightCn"/>
          <w:color w:val="000000"/>
          <w:sz w:val="20"/>
          <w:szCs w:val="20"/>
          <w:lang w:val="es-ES"/>
        </w:rPr>
        <w:t xml:space="preserve">.   </w:t>
      </w:r>
      <w:r w:rsidR="00C214AF" w:rsidRPr="00FF743B">
        <w:rPr>
          <w:rFonts w:ascii="Cambria" w:hAnsi="Cambria"/>
          <w:sz w:val="20"/>
          <w:szCs w:val="20"/>
          <w:lang w:val="es-ES"/>
        </w:rPr>
        <w:t>A</w:t>
      </w:r>
      <w:r w:rsidR="00285BD7" w:rsidRPr="00FF743B">
        <w:rPr>
          <w:rFonts w:ascii="Cambria" w:hAnsi="Cambria"/>
          <w:sz w:val="20"/>
          <w:szCs w:val="20"/>
          <w:lang w:val="es-ES"/>
        </w:rPr>
        <w:t xml:space="preserve">simismo, la CIDH </w:t>
      </w:r>
      <w:r w:rsidR="00C214AF" w:rsidRPr="00FF743B">
        <w:rPr>
          <w:rFonts w:ascii="Cambria" w:hAnsi="Cambria"/>
          <w:sz w:val="20"/>
          <w:szCs w:val="20"/>
          <w:lang w:val="es-ES"/>
        </w:rPr>
        <w:t xml:space="preserve">ha recibido información sobre como </w:t>
      </w:r>
      <w:r w:rsidRPr="00FF743B">
        <w:rPr>
          <w:rFonts w:ascii="Cambria" w:hAnsi="Cambria"/>
          <w:sz w:val="20"/>
          <w:szCs w:val="20"/>
          <w:lang w:val="es-ES"/>
        </w:rPr>
        <w:t>el poder judicial ha creado una unidad de derechos humanos enfocando su labor en la respuesta de la administración de la justicia hacia áreas prioritarias como los derechos de las mujeres, las niñas, los pueblos indígenas y otros sectores, y el Ministerio Público cuenta con una Dirección de Derechos Humanos</w:t>
      </w:r>
      <w:r w:rsidR="00ED3F2C" w:rsidRPr="00FF743B">
        <w:rPr>
          <w:rStyle w:val="FootnoteReference"/>
          <w:rFonts w:ascii="Cambria" w:hAnsi="Cambria"/>
          <w:b/>
          <w:sz w:val="20"/>
          <w:szCs w:val="20"/>
          <w:lang w:val="es-ES"/>
        </w:rPr>
        <w:footnoteReference w:id="127"/>
      </w:r>
      <w:r w:rsidR="00A90752" w:rsidRPr="00FF743B">
        <w:rPr>
          <w:rFonts w:ascii="Cambria" w:hAnsi="Cambria"/>
          <w:sz w:val="20"/>
          <w:szCs w:val="20"/>
          <w:lang w:val="es-ES"/>
        </w:rPr>
        <w:t xml:space="preserve">.  </w:t>
      </w:r>
    </w:p>
    <w:p w:rsidR="00A359CF" w:rsidRPr="00FF743B" w:rsidRDefault="00A359CF" w:rsidP="00225F6F">
      <w:pPr>
        <w:jc w:val="both"/>
        <w:rPr>
          <w:rFonts w:ascii="Cambria" w:hAnsi="Cambria"/>
          <w:b/>
          <w:sz w:val="20"/>
          <w:szCs w:val="20"/>
          <w:lang w:val="es-ES"/>
        </w:rPr>
      </w:pPr>
    </w:p>
    <w:p w:rsidR="00410A88" w:rsidRPr="00FF743B" w:rsidRDefault="0041176F"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En su respuesta al cuestionario, el Estado de </w:t>
      </w:r>
      <w:r w:rsidRPr="00FF743B">
        <w:rPr>
          <w:rFonts w:ascii="Cambria" w:hAnsi="Cambria"/>
          <w:b/>
          <w:sz w:val="20"/>
          <w:szCs w:val="20"/>
          <w:lang w:val="es-ES"/>
        </w:rPr>
        <w:t>Uruguay</w:t>
      </w:r>
      <w:r w:rsidRPr="00FF743B">
        <w:rPr>
          <w:rFonts w:ascii="Cambria" w:hAnsi="Cambria"/>
          <w:sz w:val="20"/>
          <w:szCs w:val="20"/>
          <w:lang w:val="es-ES"/>
        </w:rPr>
        <w:t xml:space="preserve"> proporcionó ejemplos de un número significativo de leyes adoptadas con miras a incorporar en su ordenamiento jurídico los estándares universales e interamericanos de derechos humanos, disponiendo la legalización del matrimonio entre personas del mismo sexo, sancionando el acoso sexual en el empleo, promoviendo la adopción de acciones afirmativas para fortalecer la participación de las poblaciones afrodescendientes en las esferas educativas y laborales, entre otros temas.  Asimismo </w:t>
      </w:r>
      <w:r w:rsidR="00E072EE" w:rsidRPr="00FF743B">
        <w:rPr>
          <w:rFonts w:ascii="Cambria" w:hAnsi="Cambria"/>
          <w:sz w:val="20"/>
          <w:szCs w:val="20"/>
          <w:lang w:val="es-ES"/>
        </w:rPr>
        <w:t>se creó una Institución Nacional de Derechos Humanos y Defensoría del Pueblo (INDDHH) en el 2008 con un mandato de promoción, defensa y protección de los derechos humanos</w:t>
      </w:r>
      <w:r w:rsidR="00A70FB6" w:rsidRPr="00FF743B">
        <w:rPr>
          <w:rStyle w:val="FootnoteReference"/>
          <w:rFonts w:ascii="Cambria" w:hAnsi="Cambria"/>
          <w:b/>
          <w:sz w:val="20"/>
          <w:szCs w:val="20"/>
          <w:lang w:val="es-ES"/>
        </w:rPr>
        <w:footnoteReference w:id="128"/>
      </w:r>
      <w:r w:rsidR="00E072EE" w:rsidRPr="00FF743B">
        <w:rPr>
          <w:rFonts w:ascii="Cambria" w:hAnsi="Cambria"/>
          <w:sz w:val="20"/>
          <w:szCs w:val="20"/>
          <w:lang w:val="es-ES"/>
        </w:rPr>
        <w:t>.</w:t>
      </w:r>
      <w:r w:rsidR="00A70FB6" w:rsidRPr="00FF743B">
        <w:rPr>
          <w:rFonts w:ascii="Cambria" w:hAnsi="Cambria"/>
          <w:sz w:val="20"/>
          <w:szCs w:val="20"/>
          <w:lang w:val="es-ES"/>
        </w:rPr>
        <w:t xml:space="preserve">  </w:t>
      </w:r>
    </w:p>
    <w:p w:rsidR="00747F82" w:rsidRDefault="00747F82" w:rsidP="00225F6F">
      <w:pPr>
        <w:jc w:val="both"/>
        <w:rPr>
          <w:lang w:val="es-ES"/>
        </w:rPr>
        <w:sectPr w:rsidR="00747F82" w:rsidSect="0054614D">
          <w:headerReference w:type="default" r:id="rId27"/>
          <w:footerReference w:type="default" r:id="rId28"/>
          <w:type w:val="oddPage"/>
          <w:pgSz w:w="10325" w:h="14573" w:code="13"/>
          <w:pgMar w:top="1152" w:right="1152" w:bottom="1152" w:left="1440" w:header="720" w:footer="720" w:gutter="0"/>
          <w:cols w:space="720"/>
          <w:docGrid w:linePitch="326"/>
        </w:sectPr>
      </w:pPr>
    </w:p>
    <w:p w:rsidR="00747F82" w:rsidRPr="00674ED9" w:rsidRDefault="00747F82" w:rsidP="00747F82">
      <w:pPr>
        <w:jc w:val="center"/>
        <w:rPr>
          <w:sz w:val="56"/>
          <w:szCs w:val="56"/>
          <w:lang w:val="es-ES"/>
        </w:rPr>
        <w:sectPr w:rsidR="00747F82" w:rsidRPr="00674ED9" w:rsidSect="00543111">
          <w:headerReference w:type="default" r:id="rId29"/>
          <w:footerReference w:type="default" r:id="rId30"/>
          <w:type w:val="oddPage"/>
          <w:pgSz w:w="10325" w:h="14573" w:code="13"/>
          <w:pgMar w:top="1152" w:right="1152" w:bottom="1152" w:left="1440" w:header="432" w:footer="432" w:gutter="0"/>
          <w:cols w:space="720"/>
          <w:vAlign w:val="center"/>
          <w:docGrid w:linePitch="326"/>
        </w:sectPr>
      </w:pPr>
      <w:r w:rsidRPr="00BC4658">
        <w:rPr>
          <w:rFonts w:ascii="Cambria" w:hAnsi="Cambria"/>
          <w:color w:val="808080"/>
          <w:spacing w:val="-10"/>
          <w:sz w:val="44"/>
          <w:szCs w:val="44"/>
          <w:lang w:val="es-ES"/>
        </w:rPr>
        <w:lastRenderedPageBreak/>
        <w:t xml:space="preserve">CAPÍTULO </w:t>
      </w:r>
      <w:r w:rsidR="00A92890" w:rsidRPr="00BC4658">
        <w:rPr>
          <w:rFonts w:ascii="Cambria" w:hAnsi="Cambria"/>
          <w:color w:val="808080"/>
          <w:spacing w:val="-10"/>
          <w:sz w:val="44"/>
          <w:szCs w:val="44"/>
          <w:lang w:val="es-ES"/>
        </w:rPr>
        <w:t>4</w:t>
      </w:r>
      <w:r w:rsidRPr="00BC4658">
        <w:rPr>
          <w:rFonts w:ascii="Cambria" w:hAnsi="Cambria"/>
          <w:color w:val="808080"/>
          <w:spacing w:val="-10"/>
          <w:sz w:val="44"/>
          <w:szCs w:val="44"/>
          <w:lang w:val="es-ES"/>
        </w:rPr>
        <w:br/>
      </w:r>
      <w:r w:rsidRPr="00BC4658">
        <w:rPr>
          <w:rFonts w:ascii="Cambria" w:hAnsi="Cambria"/>
          <w:color w:val="4A442A"/>
          <w:spacing w:val="-10"/>
          <w:sz w:val="52"/>
          <w:szCs w:val="52"/>
          <w:lang w:val="es-ES"/>
        </w:rPr>
        <w:t xml:space="preserve">CONCLUSIONES, RECOMENDACIONES Y PASOS </w:t>
      </w:r>
      <w:r w:rsidR="00BC4658">
        <w:rPr>
          <w:rFonts w:ascii="Cambria" w:hAnsi="Cambria"/>
          <w:color w:val="4A442A"/>
          <w:spacing w:val="-10"/>
          <w:sz w:val="52"/>
          <w:szCs w:val="52"/>
          <w:lang w:val="es-ES"/>
        </w:rPr>
        <w:br/>
      </w:r>
      <w:r w:rsidRPr="00BC4658">
        <w:rPr>
          <w:rFonts w:ascii="Cambria" w:hAnsi="Cambria"/>
          <w:color w:val="4A442A"/>
          <w:spacing w:val="-10"/>
          <w:sz w:val="52"/>
          <w:szCs w:val="52"/>
          <w:lang w:val="es-ES"/>
        </w:rPr>
        <w:t>AL FUTURO</w:t>
      </w:r>
    </w:p>
    <w:p w:rsidR="00D11F49" w:rsidRPr="00F0147A" w:rsidRDefault="00D11F49" w:rsidP="00D11F49">
      <w:pPr>
        <w:rPr>
          <w:rFonts w:ascii="Cambria" w:hAnsi="Cambria"/>
          <w:color w:val="4A442A"/>
          <w:sz w:val="32"/>
          <w:szCs w:val="32"/>
          <w:lang w:val="es-ES"/>
        </w:rPr>
      </w:pPr>
      <w:bookmarkStart w:id="8" w:name="_Toc392951578"/>
    </w:p>
    <w:p w:rsidR="00D11F49" w:rsidRPr="00F0147A" w:rsidRDefault="00D11F49" w:rsidP="00D11F49">
      <w:pPr>
        <w:rPr>
          <w:rFonts w:ascii="Cambria" w:hAnsi="Cambria"/>
          <w:color w:val="4A442A"/>
          <w:sz w:val="32"/>
          <w:szCs w:val="32"/>
          <w:lang w:val="es-ES"/>
        </w:rPr>
      </w:pPr>
    </w:p>
    <w:p w:rsidR="00410A88" w:rsidRPr="00C12992" w:rsidRDefault="00410A88" w:rsidP="00BF0A89">
      <w:pPr>
        <w:pStyle w:val="Heading1"/>
        <w:ind w:left="0" w:firstLine="0"/>
        <w:rPr>
          <w:color w:val="4A442A"/>
        </w:rPr>
      </w:pPr>
      <w:r w:rsidRPr="00C12992">
        <w:rPr>
          <w:color w:val="4A442A"/>
        </w:rPr>
        <w:t>CONCLUSIONES, RECOMENDACIONES Y PASOS FUTUROS</w:t>
      </w:r>
      <w:bookmarkEnd w:id="8"/>
    </w:p>
    <w:p w:rsidR="00410A88" w:rsidRDefault="00410A88" w:rsidP="00225F6F">
      <w:pPr>
        <w:ind w:left="360"/>
        <w:jc w:val="both"/>
        <w:rPr>
          <w:sz w:val="20"/>
          <w:szCs w:val="20"/>
          <w:lang w:val="es-ES"/>
        </w:rPr>
      </w:pPr>
    </w:p>
    <w:p w:rsidR="00747F82" w:rsidRDefault="00747F82" w:rsidP="00225F6F">
      <w:pPr>
        <w:ind w:left="360"/>
        <w:jc w:val="both"/>
        <w:rPr>
          <w:sz w:val="20"/>
          <w:szCs w:val="20"/>
          <w:lang w:val="es-ES"/>
        </w:rPr>
      </w:pPr>
    </w:p>
    <w:p w:rsidR="00747F82" w:rsidRDefault="00747F82" w:rsidP="00225F6F">
      <w:pPr>
        <w:ind w:left="360"/>
        <w:jc w:val="both"/>
        <w:rPr>
          <w:sz w:val="20"/>
          <w:szCs w:val="20"/>
          <w:lang w:val="es-ES"/>
        </w:rPr>
      </w:pPr>
    </w:p>
    <w:p w:rsidR="00747F82" w:rsidRPr="00747F82" w:rsidRDefault="00747F82" w:rsidP="00225F6F">
      <w:pPr>
        <w:ind w:left="360"/>
        <w:jc w:val="both"/>
        <w:rPr>
          <w:sz w:val="20"/>
          <w:szCs w:val="20"/>
          <w:lang w:val="es-ES"/>
        </w:rPr>
      </w:pPr>
    </w:p>
    <w:p w:rsidR="002D69E5" w:rsidRPr="00FF743B" w:rsidRDefault="004C11D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La CIDH concluye este informe poniéndose a disposición d</w:t>
      </w:r>
      <w:r w:rsidR="003730C5" w:rsidRPr="00FF743B">
        <w:rPr>
          <w:rFonts w:ascii="Cambria" w:hAnsi="Cambria"/>
          <w:sz w:val="20"/>
          <w:szCs w:val="20"/>
          <w:lang w:val="es-ES"/>
        </w:rPr>
        <w:t>e los Estados a fin de apoyar en la búsqueda de</w:t>
      </w:r>
      <w:r w:rsidRPr="00FF743B">
        <w:rPr>
          <w:rFonts w:ascii="Cambria" w:hAnsi="Cambria"/>
          <w:sz w:val="20"/>
          <w:szCs w:val="20"/>
          <w:lang w:val="es-ES"/>
        </w:rPr>
        <w:t xml:space="preserve"> soluciones a los obstáculos que impiden la ratificación universal de los instrumentos interamericanos.  </w:t>
      </w:r>
    </w:p>
    <w:p w:rsidR="002D69E5" w:rsidRPr="00FF743B" w:rsidRDefault="002D69E5" w:rsidP="00225F6F">
      <w:pPr>
        <w:jc w:val="both"/>
        <w:rPr>
          <w:rFonts w:ascii="Cambria" w:hAnsi="Cambria"/>
          <w:sz w:val="20"/>
          <w:szCs w:val="20"/>
          <w:lang w:val="es-ES"/>
        </w:rPr>
      </w:pPr>
    </w:p>
    <w:p w:rsidR="002D69E5" w:rsidRPr="00FF743B" w:rsidRDefault="004C11D7"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 xml:space="preserve">A su vez, </w:t>
      </w:r>
      <w:r w:rsidR="00D01A51" w:rsidRPr="00FF743B">
        <w:rPr>
          <w:rFonts w:ascii="Cambria" w:hAnsi="Cambria"/>
          <w:sz w:val="20"/>
          <w:szCs w:val="20"/>
          <w:lang w:val="es-ES"/>
        </w:rPr>
        <w:t>la CIDH aprovecha esta</w:t>
      </w:r>
      <w:r w:rsidRPr="00FF743B">
        <w:rPr>
          <w:rFonts w:ascii="Cambria" w:hAnsi="Cambria"/>
          <w:sz w:val="20"/>
          <w:szCs w:val="20"/>
          <w:lang w:val="es-ES"/>
        </w:rPr>
        <w:t xml:space="preserve"> oportunidad para reiterar que la ratificación es sólo un paso hacia la satisfacción plena de la protección de los derechos humanos en el hemisferio.  Factores como la voluntad política, la fortaleza de actuación de la sociedad civil</w:t>
      </w:r>
      <w:r w:rsidR="003730C5" w:rsidRPr="00FF743B">
        <w:rPr>
          <w:rFonts w:ascii="Cambria" w:hAnsi="Cambria"/>
          <w:sz w:val="20"/>
          <w:szCs w:val="20"/>
          <w:lang w:val="es-ES"/>
        </w:rPr>
        <w:t xml:space="preserve">, la capacidad de </w:t>
      </w:r>
      <w:r w:rsidR="0005455B" w:rsidRPr="00FF743B">
        <w:rPr>
          <w:rFonts w:ascii="Cambria" w:hAnsi="Cambria"/>
          <w:sz w:val="20"/>
          <w:szCs w:val="20"/>
          <w:lang w:val="es-ES"/>
        </w:rPr>
        <w:t xml:space="preserve">prevención y </w:t>
      </w:r>
      <w:r w:rsidR="003730C5" w:rsidRPr="00FF743B">
        <w:rPr>
          <w:rFonts w:ascii="Cambria" w:hAnsi="Cambria"/>
          <w:sz w:val="20"/>
          <w:szCs w:val="20"/>
          <w:lang w:val="es-ES"/>
        </w:rPr>
        <w:t>respuesta de las instituciones</w:t>
      </w:r>
      <w:r w:rsidR="0005455B" w:rsidRPr="00FF743B">
        <w:rPr>
          <w:rFonts w:ascii="Cambria" w:hAnsi="Cambria"/>
          <w:sz w:val="20"/>
          <w:szCs w:val="20"/>
          <w:lang w:val="es-ES"/>
        </w:rPr>
        <w:t xml:space="preserve"> estatales</w:t>
      </w:r>
      <w:r w:rsidR="003730C5" w:rsidRPr="00FF743B">
        <w:rPr>
          <w:rFonts w:ascii="Cambria" w:hAnsi="Cambria"/>
          <w:sz w:val="20"/>
          <w:szCs w:val="20"/>
          <w:lang w:val="es-ES"/>
        </w:rPr>
        <w:t>,</w:t>
      </w:r>
      <w:r w:rsidRPr="00FF743B">
        <w:rPr>
          <w:rFonts w:ascii="Cambria" w:hAnsi="Cambria"/>
          <w:sz w:val="20"/>
          <w:szCs w:val="20"/>
          <w:lang w:val="es-ES"/>
        </w:rPr>
        <w:t xml:space="preserve"> </w:t>
      </w:r>
      <w:r w:rsidR="003730C5" w:rsidRPr="00FF743B">
        <w:rPr>
          <w:rFonts w:ascii="Cambria" w:hAnsi="Cambria"/>
          <w:sz w:val="20"/>
          <w:szCs w:val="20"/>
          <w:lang w:val="es-ES"/>
        </w:rPr>
        <w:t xml:space="preserve">el conocimiento por el público general de sus derechos humanos, </w:t>
      </w:r>
      <w:r w:rsidRPr="00FF743B">
        <w:rPr>
          <w:rFonts w:ascii="Cambria" w:hAnsi="Cambria"/>
          <w:sz w:val="20"/>
          <w:szCs w:val="20"/>
          <w:lang w:val="es-ES"/>
        </w:rPr>
        <w:t>y la creación de condiciones propicias para el ejercicio de los derechos humanos son fundamentales pa</w:t>
      </w:r>
      <w:r w:rsidR="003730C5" w:rsidRPr="00FF743B">
        <w:rPr>
          <w:rFonts w:ascii="Cambria" w:hAnsi="Cambria"/>
          <w:sz w:val="20"/>
          <w:szCs w:val="20"/>
          <w:lang w:val="es-ES"/>
        </w:rPr>
        <w:t xml:space="preserve">ra lograr un cumplimiento de las obligaciones contenidas en los instrumentos interamericanos.  </w:t>
      </w:r>
      <w:r w:rsidR="007E1F84" w:rsidRPr="00FF743B">
        <w:rPr>
          <w:rFonts w:ascii="Cambria" w:hAnsi="Cambria"/>
          <w:sz w:val="20"/>
          <w:szCs w:val="20"/>
          <w:lang w:val="es-ES"/>
        </w:rPr>
        <w:t xml:space="preserve"> </w:t>
      </w:r>
    </w:p>
    <w:p w:rsidR="002D69E5" w:rsidRPr="00FF743B" w:rsidRDefault="002D69E5" w:rsidP="00225F6F">
      <w:pPr>
        <w:jc w:val="both"/>
        <w:rPr>
          <w:rFonts w:ascii="Cambria" w:hAnsi="Cambria"/>
          <w:sz w:val="20"/>
          <w:szCs w:val="20"/>
          <w:lang w:val="es-ES"/>
        </w:rPr>
      </w:pPr>
    </w:p>
    <w:p w:rsidR="0005455B" w:rsidRPr="00FF743B" w:rsidRDefault="003730C5" w:rsidP="00D11F49">
      <w:pPr>
        <w:numPr>
          <w:ilvl w:val="3"/>
          <w:numId w:val="15"/>
        </w:numPr>
        <w:ind w:left="547" w:hanging="547"/>
        <w:jc w:val="both"/>
        <w:rPr>
          <w:rFonts w:ascii="Cambria" w:hAnsi="Cambria"/>
          <w:sz w:val="20"/>
          <w:szCs w:val="20"/>
          <w:lang w:val="es-ES"/>
        </w:rPr>
      </w:pPr>
      <w:r w:rsidRPr="00FF743B">
        <w:rPr>
          <w:rFonts w:ascii="Cambria" w:hAnsi="Cambria"/>
          <w:sz w:val="20"/>
          <w:szCs w:val="20"/>
          <w:lang w:val="es-ES"/>
        </w:rPr>
        <w:t>Con estas considerac</w:t>
      </w:r>
      <w:r w:rsidR="0005455B" w:rsidRPr="00FF743B">
        <w:rPr>
          <w:rFonts w:ascii="Cambria" w:hAnsi="Cambria"/>
          <w:sz w:val="20"/>
          <w:szCs w:val="20"/>
          <w:lang w:val="es-ES"/>
        </w:rPr>
        <w:t xml:space="preserve">iones en mente, la CIDH concluye este informe con </w:t>
      </w:r>
      <w:r w:rsidRPr="00FF743B">
        <w:rPr>
          <w:rFonts w:ascii="Cambria" w:hAnsi="Cambria"/>
          <w:sz w:val="20"/>
          <w:szCs w:val="20"/>
          <w:lang w:val="es-ES"/>
        </w:rPr>
        <w:t>un grupo de recomendaciones</w:t>
      </w:r>
      <w:r w:rsidR="0005455B" w:rsidRPr="00FF743B">
        <w:rPr>
          <w:rFonts w:ascii="Cambria" w:hAnsi="Cambria"/>
          <w:sz w:val="20"/>
          <w:szCs w:val="20"/>
          <w:lang w:val="es-ES"/>
        </w:rPr>
        <w:t xml:space="preserve"> destinadas a los Estados con miras a la ratificación pronta</w:t>
      </w:r>
      <w:r w:rsidRPr="00FF743B">
        <w:rPr>
          <w:rFonts w:ascii="Cambria" w:hAnsi="Cambria"/>
          <w:sz w:val="20"/>
          <w:szCs w:val="20"/>
          <w:lang w:val="es-ES"/>
        </w:rPr>
        <w:t xml:space="preserve"> de </w:t>
      </w:r>
      <w:r w:rsidR="0005455B" w:rsidRPr="00FF743B">
        <w:rPr>
          <w:rFonts w:ascii="Cambria" w:hAnsi="Cambria"/>
          <w:sz w:val="20"/>
          <w:szCs w:val="20"/>
          <w:lang w:val="es-ES"/>
        </w:rPr>
        <w:t xml:space="preserve">todos </w:t>
      </w:r>
      <w:r w:rsidRPr="00FF743B">
        <w:rPr>
          <w:rFonts w:ascii="Cambria" w:hAnsi="Cambria"/>
          <w:sz w:val="20"/>
          <w:szCs w:val="20"/>
          <w:lang w:val="es-ES"/>
        </w:rPr>
        <w:t>los instrumentos interamericanos</w:t>
      </w:r>
      <w:r w:rsidR="0005455B" w:rsidRPr="00FF743B">
        <w:rPr>
          <w:rFonts w:ascii="Cambria" w:hAnsi="Cambria"/>
          <w:sz w:val="20"/>
          <w:szCs w:val="20"/>
          <w:lang w:val="es-ES"/>
        </w:rPr>
        <w:t>. La CIDH recomienda que los Estados:</w:t>
      </w:r>
    </w:p>
    <w:p w:rsidR="003730C5" w:rsidRPr="00FF743B" w:rsidRDefault="003730C5" w:rsidP="00225F6F">
      <w:pPr>
        <w:ind w:firstLine="720"/>
        <w:jc w:val="both"/>
        <w:rPr>
          <w:rFonts w:ascii="Cambria" w:hAnsi="Cambria"/>
          <w:sz w:val="20"/>
          <w:szCs w:val="20"/>
          <w:lang w:val="es-ES"/>
        </w:rPr>
      </w:pPr>
    </w:p>
    <w:p w:rsidR="0005455B" w:rsidRDefault="0024154A"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t>Empleen esfuerzos concretos</w:t>
      </w:r>
      <w:r w:rsidR="0005455B" w:rsidRPr="00FF743B">
        <w:rPr>
          <w:rFonts w:ascii="Cambria" w:hAnsi="Cambria"/>
          <w:sz w:val="20"/>
          <w:szCs w:val="20"/>
          <w:lang w:val="es-ES"/>
        </w:rPr>
        <w:t xml:space="preserve"> para ratificar los nueve instrumentos que conforman el sistema interamericano sin dilación.</w:t>
      </w:r>
    </w:p>
    <w:p w:rsidR="00674ED9" w:rsidRPr="00FF743B" w:rsidRDefault="00674ED9" w:rsidP="00674ED9">
      <w:pPr>
        <w:jc w:val="both"/>
        <w:rPr>
          <w:rFonts w:ascii="Cambria" w:hAnsi="Cambria"/>
          <w:sz w:val="20"/>
          <w:szCs w:val="20"/>
          <w:lang w:val="es-ES"/>
        </w:rPr>
      </w:pPr>
    </w:p>
    <w:p w:rsidR="004C11D7" w:rsidRDefault="005A1DDF"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t>F</w:t>
      </w:r>
      <w:r w:rsidR="0005455B" w:rsidRPr="00FF743B">
        <w:rPr>
          <w:rFonts w:ascii="Cambria" w:hAnsi="Cambria"/>
          <w:sz w:val="20"/>
          <w:szCs w:val="20"/>
          <w:lang w:val="es-ES"/>
        </w:rPr>
        <w:t>aciliten</w:t>
      </w:r>
      <w:r w:rsidR="003730C5" w:rsidRPr="00FF743B">
        <w:rPr>
          <w:rFonts w:ascii="Cambria" w:hAnsi="Cambria"/>
          <w:sz w:val="20"/>
          <w:szCs w:val="20"/>
          <w:lang w:val="es-ES"/>
        </w:rPr>
        <w:t xml:space="preserve"> las condiciones necesarias para que la CIDH organice visitas de trabajo y actividades promocionales con miras a difundir conocimiento sobre el contenido de los instrumentos interamericanos y el proceso de ratificación que los mismos conllevan.   </w:t>
      </w:r>
    </w:p>
    <w:p w:rsidR="00674ED9" w:rsidRPr="00FF743B" w:rsidRDefault="00674ED9" w:rsidP="00674ED9">
      <w:pPr>
        <w:jc w:val="both"/>
        <w:rPr>
          <w:rFonts w:ascii="Cambria" w:hAnsi="Cambria"/>
          <w:sz w:val="20"/>
          <w:szCs w:val="20"/>
          <w:lang w:val="es-ES"/>
        </w:rPr>
      </w:pPr>
    </w:p>
    <w:p w:rsidR="005A1DDF" w:rsidRDefault="0005455B"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t>Adopten</w:t>
      </w:r>
      <w:r w:rsidR="005A1DDF" w:rsidRPr="00FF743B">
        <w:rPr>
          <w:rFonts w:ascii="Cambria" w:hAnsi="Cambria"/>
          <w:sz w:val="20"/>
          <w:szCs w:val="20"/>
          <w:lang w:val="es-ES"/>
        </w:rPr>
        <w:t xml:space="preserve"> medidas para informar al público en general sobre los instrumentos interamericanos vigentes en el país y </w:t>
      </w:r>
      <w:r w:rsidR="0024154A" w:rsidRPr="00FF743B">
        <w:rPr>
          <w:rFonts w:ascii="Cambria" w:hAnsi="Cambria"/>
          <w:sz w:val="20"/>
          <w:szCs w:val="20"/>
          <w:lang w:val="es-ES"/>
        </w:rPr>
        <w:t xml:space="preserve">para fortalecer </w:t>
      </w:r>
      <w:r w:rsidR="005A1DDF" w:rsidRPr="00FF743B">
        <w:rPr>
          <w:rFonts w:ascii="Cambria" w:hAnsi="Cambria"/>
          <w:sz w:val="20"/>
          <w:szCs w:val="20"/>
          <w:lang w:val="es-ES"/>
        </w:rPr>
        <w:t>programas de capacitación destinados a funcionarios públicos.</w:t>
      </w:r>
    </w:p>
    <w:p w:rsidR="00674ED9" w:rsidRPr="00FF743B" w:rsidRDefault="00674ED9" w:rsidP="00674ED9">
      <w:pPr>
        <w:jc w:val="both"/>
        <w:rPr>
          <w:rFonts w:ascii="Cambria" w:hAnsi="Cambria"/>
          <w:sz w:val="20"/>
          <w:szCs w:val="20"/>
          <w:lang w:val="es-ES"/>
        </w:rPr>
      </w:pPr>
    </w:p>
    <w:p w:rsidR="005A1DDF" w:rsidRDefault="0005455B"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t>Contemplen</w:t>
      </w:r>
      <w:r w:rsidR="005A1DDF" w:rsidRPr="00FF743B">
        <w:rPr>
          <w:rFonts w:ascii="Cambria" w:hAnsi="Cambria"/>
          <w:sz w:val="20"/>
          <w:szCs w:val="20"/>
          <w:lang w:val="es-ES"/>
        </w:rPr>
        <w:t xml:space="preserve"> la posibilidad de organizar eventos regionales incluyendo a todos los Estados </w:t>
      </w:r>
      <w:r w:rsidR="0024154A" w:rsidRPr="00FF743B">
        <w:rPr>
          <w:rFonts w:ascii="Cambria" w:hAnsi="Cambria"/>
          <w:sz w:val="20"/>
          <w:szCs w:val="20"/>
          <w:lang w:val="es-ES"/>
        </w:rPr>
        <w:t xml:space="preserve">Miembros de la OEA </w:t>
      </w:r>
      <w:r w:rsidR="005A1DDF" w:rsidRPr="00FF743B">
        <w:rPr>
          <w:rFonts w:ascii="Cambria" w:hAnsi="Cambria"/>
          <w:sz w:val="20"/>
          <w:szCs w:val="20"/>
          <w:lang w:val="es-ES"/>
        </w:rPr>
        <w:t>para compartir</w:t>
      </w:r>
      <w:r w:rsidRPr="00FF743B">
        <w:rPr>
          <w:rFonts w:ascii="Cambria" w:hAnsi="Cambria"/>
          <w:sz w:val="20"/>
          <w:szCs w:val="20"/>
          <w:lang w:val="es-ES"/>
        </w:rPr>
        <w:t xml:space="preserve"> experiencias y estrategias a fin de</w:t>
      </w:r>
      <w:r w:rsidR="005A1DDF" w:rsidRPr="00FF743B">
        <w:rPr>
          <w:rFonts w:ascii="Cambria" w:hAnsi="Cambria"/>
          <w:sz w:val="20"/>
          <w:szCs w:val="20"/>
          <w:lang w:val="es-ES"/>
        </w:rPr>
        <w:t xml:space="preserve"> superar los obstáculos a la ratificación universal.</w:t>
      </w:r>
    </w:p>
    <w:p w:rsidR="00674ED9" w:rsidRPr="00FF743B" w:rsidRDefault="00674ED9" w:rsidP="00674ED9">
      <w:pPr>
        <w:jc w:val="both"/>
        <w:rPr>
          <w:rFonts w:ascii="Cambria" w:hAnsi="Cambria"/>
          <w:sz w:val="20"/>
          <w:szCs w:val="20"/>
          <w:lang w:val="es-ES"/>
        </w:rPr>
      </w:pPr>
    </w:p>
    <w:p w:rsidR="003730C5" w:rsidRDefault="0005455B"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t>Informen</w:t>
      </w:r>
      <w:r w:rsidR="005A1DDF" w:rsidRPr="00FF743B">
        <w:rPr>
          <w:rFonts w:ascii="Cambria" w:hAnsi="Cambria"/>
          <w:sz w:val="20"/>
          <w:szCs w:val="20"/>
          <w:lang w:val="es-ES"/>
        </w:rPr>
        <w:t xml:space="preserve"> de forma periódica en el proceso de preparación del Capítulo IV(A) del informe anual </w:t>
      </w:r>
      <w:r w:rsidR="009F24A7" w:rsidRPr="00FF743B">
        <w:rPr>
          <w:rFonts w:ascii="Cambria" w:hAnsi="Cambria"/>
          <w:sz w:val="20"/>
          <w:szCs w:val="20"/>
          <w:lang w:val="es-ES"/>
        </w:rPr>
        <w:t xml:space="preserve"> y </w:t>
      </w:r>
      <w:r w:rsidR="0026200A" w:rsidRPr="00FF743B">
        <w:rPr>
          <w:rFonts w:ascii="Cambria" w:hAnsi="Cambria"/>
          <w:sz w:val="20"/>
          <w:szCs w:val="20"/>
          <w:lang w:val="es-ES"/>
        </w:rPr>
        <w:t xml:space="preserve">en respuesta a </w:t>
      </w:r>
      <w:r w:rsidR="009F24A7" w:rsidRPr="00FF743B">
        <w:rPr>
          <w:rFonts w:ascii="Cambria" w:hAnsi="Cambria"/>
          <w:sz w:val="20"/>
          <w:szCs w:val="20"/>
          <w:lang w:val="es-ES"/>
        </w:rPr>
        <w:t>solicitudes de información de la CIDH</w:t>
      </w:r>
      <w:r w:rsidR="0026200A" w:rsidRPr="00FF743B">
        <w:rPr>
          <w:rFonts w:ascii="Cambria" w:hAnsi="Cambria"/>
          <w:sz w:val="20"/>
          <w:szCs w:val="20"/>
          <w:lang w:val="es-ES"/>
        </w:rPr>
        <w:t>,</w:t>
      </w:r>
      <w:r w:rsidR="009F24A7" w:rsidRPr="00FF743B">
        <w:rPr>
          <w:rFonts w:ascii="Cambria" w:hAnsi="Cambria"/>
          <w:sz w:val="20"/>
          <w:szCs w:val="20"/>
          <w:lang w:val="es-ES"/>
        </w:rPr>
        <w:t xml:space="preserve"> </w:t>
      </w:r>
      <w:r w:rsidR="005A1DDF" w:rsidRPr="00FF743B">
        <w:rPr>
          <w:rFonts w:ascii="Cambria" w:hAnsi="Cambria"/>
          <w:sz w:val="20"/>
          <w:szCs w:val="20"/>
          <w:lang w:val="es-ES"/>
        </w:rPr>
        <w:t>sobre avances y obstáculos en la ratificación de instrumentos interamericanos</w:t>
      </w:r>
      <w:r w:rsidR="0026200A" w:rsidRPr="00FF743B">
        <w:rPr>
          <w:rFonts w:ascii="Cambria" w:hAnsi="Cambria"/>
          <w:sz w:val="20"/>
          <w:szCs w:val="20"/>
          <w:lang w:val="es-ES"/>
        </w:rPr>
        <w:t>,</w:t>
      </w:r>
      <w:r w:rsidR="005A1DDF" w:rsidRPr="00FF743B">
        <w:rPr>
          <w:rFonts w:ascii="Cambria" w:hAnsi="Cambria"/>
          <w:sz w:val="20"/>
          <w:szCs w:val="20"/>
          <w:lang w:val="es-ES"/>
        </w:rPr>
        <w:t xml:space="preserve"> y en la implementación de las obligaciones contenidas en los mismos.</w:t>
      </w:r>
    </w:p>
    <w:p w:rsidR="00674ED9" w:rsidRPr="00FF743B" w:rsidRDefault="00674ED9" w:rsidP="00674ED9">
      <w:pPr>
        <w:jc w:val="both"/>
        <w:rPr>
          <w:rFonts w:ascii="Cambria" w:hAnsi="Cambria"/>
          <w:sz w:val="20"/>
          <w:szCs w:val="20"/>
          <w:lang w:val="es-ES"/>
        </w:rPr>
      </w:pPr>
    </w:p>
    <w:p w:rsidR="005A1DDF" w:rsidRDefault="005A1DDF"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lastRenderedPageBreak/>
        <w:t>Partici</w:t>
      </w:r>
      <w:r w:rsidR="0005455B" w:rsidRPr="00FF743B">
        <w:rPr>
          <w:rFonts w:ascii="Cambria" w:hAnsi="Cambria"/>
          <w:sz w:val="20"/>
          <w:szCs w:val="20"/>
          <w:lang w:val="es-ES"/>
        </w:rPr>
        <w:t>pen</w:t>
      </w:r>
      <w:r w:rsidR="009F24A7" w:rsidRPr="00FF743B">
        <w:rPr>
          <w:rFonts w:ascii="Cambria" w:hAnsi="Cambria"/>
          <w:sz w:val="20"/>
          <w:szCs w:val="20"/>
          <w:lang w:val="es-ES"/>
        </w:rPr>
        <w:t xml:space="preserve"> en audiencias periódicas</w:t>
      </w:r>
      <w:r w:rsidRPr="00FF743B">
        <w:rPr>
          <w:rFonts w:ascii="Cambria" w:hAnsi="Cambria"/>
          <w:sz w:val="20"/>
          <w:szCs w:val="20"/>
          <w:lang w:val="es-ES"/>
        </w:rPr>
        <w:t xml:space="preserve"> organizada</w:t>
      </w:r>
      <w:r w:rsidR="009F24A7" w:rsidRPr="00FF743B">
        <w:rPr>
          <w:rFonts w:ascii="Cambria" w:hAnsi="Cambria"/>
          <w:sz w:val="20"/>
          <w:szCs w:val="20"/>
          <w:lang w:val="es-ES"/>
        </w:rPr>
        <w:t>s</w:t>
      </w:r>
      <w:r w:rsidRPr="00FF743B">
        <w:rPr>
          <w:rFonts w:ascii="Cambria" w:hAnsi="Cambria"/>
          <w:sz w:val="20"/>
          <w:szCs w:val="20"/>
          <w:lang w:val="es-ES"/>
        </w:rPr>
        <w:t xml:space="preserve"> por la CIDH de oficio para dialogar sobre avances y obstáculos en materia de ratificación de los instrumentos interamericanos.</w:t>
      </w:r>
    </w:p>
    <w:p w:rsidR="00674ED9" w:rsidRPr="00FF743B" w:rsidRDefault="00674ED9" w:rsidP="00674ED9">
      <w:pPr>
        <w:jc w:val="both"/>
        <w:rPr>
          <w:rFonts w:ascii="Cambria" w:hAnsi="Cambria"/>
          <w:sz w:val="20"/>
          <w:szCs w:val="20"/>
          <w:lang w:val="es-ES"/>
        </w:rPr>
      </w:pPr>
    </w:p>
    <w:p w:rsidR="003D3BBE" w:rsidRPr="00FF743B" w:rsidRDefault="0005455B" w:rsidP="00225F6F">
      <w:pPr>
        <w:numPr>
          <w:ilvl w:val="0"/>
          <w:numId w:val="30"/>
        </w:numPr>
        <w:ind w:left="1440" w:hanging="720"/>
        <w:jc w:val="both"/>
        <w:rPr>
          <w:rFonts w:ascii="Cambria" w:hAnsi="Cambria"/>
          <w:sz w:val="20"/>
          <w:szCs w:val="20"/>
          <w:lang w:val="es-ES"/>
        </w:rPr>
      </w:pPr>
      <w:r w:rsidRPr="00FF743B">
        <w:rPr>
          <w:rFonts w:ascii="Cambria" w:hAnsi="Cambria"/>
          <w:sz w:val="20"/>
          <w:szCs w:val="20"/>
          <w:lang w:val="es-ES"/>
        </w:rPr>
        <w:t>Incorporen</w:t>
      </w:r>
      <w:r w:rsidR="003D3BBE" w:rsidRPr="00FF743B">
        <w:rPr>
          <w:rFonts w:ascii="Cambria" w:hAnsi="Cambria"/>
          <w:sz w:val="20"/>
          <w:szCs w:val="20"/>
          <w:lang w:val="es-ES"/>
        </w:rPr>
        <w:t xml:space="preserve"> a personas, grupos y colectividades históricamente expuestas a formas de discriminación y exclusión en el diálogo nacional sobre la ratificación de in</w:t>
      </w:r>
      <w:r w:rsidRPr="00FF743B">
        <w:rPr>
          <w:rFonts w:ascii="Cambria" w:hAnsi="Cambria"/>
          <w:sz w:val="20"/>
          <w:szCs w:val="20"/>
          <w:lang w:val="es-ES"/>
        </w:rPr>
        <w:t>strumentos interamericanos y consideren</w:t>
      </w:r>
      <w:r w:rsidR="003D3BBE" w:rsidRPr="00FF743B">
        <w:rPr>
          <w:rFonts w:ascii="Cambria" w:hAnsi="Cambria"/>
          <w:sz w:val="20"/>
          <w:szCs w:val="20"/>
          <w:lang w:val="es-ES"/>
        </w:rPr>
        <w:t xml:space="preserve"> sus necesidades específicas en procesos relacionados.</w:t>
      </w:r>
    </w:p>
    <w:p w:rsidR="006C3E27" w:rsidRPr="00FF743B" w:rsidRDefault="006C3E27" w:rsidP="00225F6F">
      <w:pPr>
        <w:jc w:val="both"/>
        <w:rPr>
          <w:rFonts w:ascii="Cambria" w:hAnsi="Cambria"/>
          <w:sz w:val="20"/>
          <w:szCs w:val="20"/>
          <w:lang w:val="es-ES"/>
        </w:rPr>
      </w:pPr>
    </w:p>
    <w:p w:rsidR="00412909" w:rsidRDefault="00412909" w:rsidP="00225F6F">
      <w:pPr>
        <w:rPr>
          <w:rFonts w:ascii="Cambria" w:hAnsi="Cambria"/>
          <w:sz w:val="20"/>
          <w:szCs w:val="20"/>
          <w:lang w:val="es-ES"/>
        </w:rPr>
        <w:sectPr w:rsidR="00412909" w:rsidSect="0054614D">
          <w:headerReference w:type="default" r:id="rId31"/>
          <w:footerReference w:type="default" r:id="rId32"/>
          <w:type w:val="oddPage"/>
          <w:pgSz w:w="10325" w:h="14573" w:code="13"/>
          <w:pgMar w:top="1152" w:right="1152" w:bottom="1152" w:left="1440" w:header="720" w:footer="720" w:gutter="0"/>
          <w:cols w:space="720"/>
          <w:docGrid w:linePitch="326"/>
        </w:sectPr>
      </w:pPr>
    </w:p>
    <w:p w:rsidR="00412909" w:rsidRPr="00674ED9" w:rsidRDefault="00412909" w:rsidP="00412909">
      <w:pPr>
        <w:jc w:val="center"/>
        <w:rPr>
          <w:rFonts w:ascii="Cambria" w:hAnsi="Cambria"/>
          <w:color w:val="4A442A"/>
          <w:spacing w:val="-10"/>
          <w:sz w:val="56"/>
          <w:szCs w:val="56"/>
          <w:lang w:val="es-ES"/>
        </w:rPr>
        <w:sectPr w:rsidR="00412909" w:rsidRPr="00674ED9" w:rsidSect="00543111">
          <w:headerReference w:type="default" r:id="rId33"/>
          <w:footerReference w:type="default" r:id="rId34"/>
          <w:type w:val="oddPage"/>
          <w:pgSz w:w="10325" w:h="14573" w:code="13"/>
          <w:pgMar w:top="1152" w:right="1152" w:bottom="1152" w:left="1440" w:header="432" w:footer="432" w:gutter="0"/>
          <w:cols w:space="720"/>
          <w:vAlign w:val="center"/>
          <w:docGrid w:linePitch="326"/>
        </w:sectPr>
      </w:pPr>
      <w:r w:rsidRPr="00BC4658">
        <w:rPr>
          <w:rFonts w:ascii="Cambria" w:hAnsi="Cambria"/>
          <w:color w:val="808080"/>
          <w:spacing w:val="-10"/>
          <w:sz w:val="44"/>
          <w:szCs w:val="44"/>
          <w:lang w:val="es-ES"/>
        </w:rPr>
        <w:lastRenderedPageBreak/>
        <w:t>ANEXO</w:t>
      </w:r>
      <w:r w:rsidRPr="007D798D">
        <w:rPr>
          <w:rFonts w:ascii="Cambria" w:hAnsi="Cambria"/>
          <w:color w:val="808080"/>
          <w:spacing w:val="-10"/>
          <w:sz w:val="56"/>
          <w:szCs w:val="56"/>
          <w:lang w:val="es-ES"/>
        </w:rPr>
        <w:br/>
      </w:r>
      <w:r w:rsidRPr="00BC4658">
        <w:rPr>
          <w:rFonts w:ascii="Cambria" w:hAnsi="Cambria"/>
          <w:color w:val="4A442A"/>
          <w:spacing w:val="-10"/>
          <w:sz w:val="52"/>
          <w:szCs w:val="52"/>
          <w:lang w:val="es-ES"/>
        </w:rPr>
        <w:t xml:space="preserve">ESTADO DE </w:t>
      </w:r>
      <w:r w:rsidR="008B2EEC" w:rsidRPr="00BC4658">
        <w:rPr>
          <w:rFonts w:ascii="Cambria" w:hAnsi="Cambria"/>
          <w:color w:val="4A442A"/>
          <w:spacing w:val="-10"/>
          <w:sz w:val="52"/>
          <w:szCs w:val="52"/>
          <w:lang w:val="es-ES"/>
        </w:rPr>
        <w:t xml:space="preserve">RATIFICACIÓN </w:t>
      </w:r>
      <w:r w:rsidR="00BC4658">
        <w:rPr>
          <w:rFonts w:ascii="Cambria" w:hAnsi="Cambria"/>
          <w:color w:val="4A442A"/>
          <w:spacing w:val="-10"/>
          <w:sz w:val="52"/>
          <w:szCs w:val="52"/>
          <w:lang w:val="es-ES"/>
        </w:rPr>
        <w:br/>
      </w:r>
      <w:r w:rsidR="008B2EEC" w:rsidRPr="00BC4658">
        <w:rPr>
          <w:rFonts w:ascii="Cambria" w:hAnsi="Cambria"/>
          <w:color w:val="4A442A"/>
          <w:spacing w:val="-10"/>
          <w:sz w:val="52"/>
          <w:szCs w:val="52"/>
          <w:lang w:val="es-ES"/>
        </w:rPr>
        <w:t>DE INSTRUMENTOS INTERAMERICANOS</w:t>
      </w:r>
    </w:p>
    <w:p w:rsidR="00010F0D" w:rsidRPr="00D33D25" w:rsidRDefault="00010F0D" w:rsidP="00010F0D">
      <w:pPr>
        <w:pStyle w:val="titulosCuadros"/>
        <w:rPr>
          <w:color w:val="auto"/>
        </w:rPr>
      </w:pPr>
      <w:bookmarkStart w:id="9" w:name="_Toc388345186"/>
      <w:bookmarkStart w:id="10" w:name="_Toc388345650"/>
      <w:bookmarkStart w:id="11" w:name="_Toc388363456"/>
      <w:r w:rsidRPr="00D33D25">
        <w:rPr>
          <w:color w:val="auto"/>
        </w:rPr>
        <w:lastRenderedPageBreak/>
        <w:t xml:space="preserve">B-32: CONVENCIÓN AMERICANA SOBRE DERECHOS HUMANOS </w:t>
      </w:r>
      <w:r w:rsidRPr="00D33D25">
        <w:rPr>
          <w:color w:val="auto"/>
        </w:rPr>
        <w:br/>
        <w:t>"PACTO DE SAN JOSÉ DE COSTA RICA"</w:t>
      </w:r>
      <w:bookmarkEnd w:id="9"/>
      <w:bookmarkEnd w:id="10"/>
      <w:bookmarkEnd w:id="11"/>
    </w:p>
    <w:p w:rsidR="00010F0D" w:rsidRDefault="00010F0D" w:rsidP="00010F0D">
      <w:pPr>
        <w:tabs>
          <w:tab w:val="left" w:pos="360"/>
        </w:tabs>
        <w:suppressAutoHyphens/>
        <w:jc w:val="center"/>
        <w:rPr>
          <w:rFonts w:ascii="Cambria" w:hAnsi="Cambria"/>
          <w:b/>
          <w:spacing w:val="-2"/>
          <w:sz w:val="16"/>
          <w:szCs w:val="18"/>
          <w:lang w:val="es-ES"/>
        </w:rPr>
      </w:pPr>
    </w:p>
    <w:p w:rsidR="00010F0D" w:rsidRPr="00010F0D" w:rsidRDefault="00010F0D" w:rsidP="00010F0D">
      <w:pPr>
        <w:tabs>
          <w:tab w:val="left" w:pos="360"/>
        </w:tabs>
        <w:suppressAutoHyphens/>
        <w:jc w:val="center"/>
        <w:rPr>
          <w:rFonts w:ascii="Cambria" w:hAnsi="Cambria"/>
          <w:spacing w:val="-2"/>
          <w:sz w:val="16"/>
          <w:szCs w:val="18"/>
          <w:lang w:val="es-ES"/>
        </w:rPr>
      </w:pPr>
      <w:r w:rsidRPr="00010F0D">
        <w:rPr>
          <w:rFonts w:ascii="Cambria" w:hAnsi="Cambria"/>
          <w:spacing w:val="-2"/>
          <w:sz w:val="16"/>
          <w:szCs w:val="18"/>
          <w:lang w:val="es-ES"/>
        </w:rPr>
        <w:t>Adoptado en San José, Costa Rica, el 22 de noviembre de 1969, en la</w:t>
      </w:r>
    </w:p>
    <w:p w:rsidR="00010F0D" w:rsidRPr="00010F0D" w:rsidRDefault="00010F0D" w:rsidP="00010F0D">
      <w:pPr>
        <w:tabs>
          <w:tab w:val="left" w:pos="360"/>
        </w:tabs>
        <w:suppressAutoHyphens/>
        <w:jc w:val="center"/>
        <w:rPr>
          <w:rFonts w:ascii="Cambria" w:hAnsi="Cambria"/>
          <w:spacing w:val="-2"/>
          <w:sz w:val="16"/>
          <w:szCs w:val="18"/>
          <w:lang w:val="es-ES"/>
        </w:rPr>
      </w:pPr>
      <w:r w:rsidRPr="00010F0D">
        <w:rPr>
          <w:rFonts w:ascii="Cambria" w:hAnsi="Cambria"/>
          <w:spacing w:val="-2"/>
          <w:sz w:val="16"/>
          <w:szCs w:val="18"/>
          <w:lang w:val="es-ES"/>
        </w:rPr>
        <w:t>Conferencia Especializada Interamericana sobre Derechos Humanos</w:t>
      </w:r>
    </w:p>
    <w:p w:rsidR="00010F0D" w:rsidRPr="00010F0D" w:rsidRDefault="00010F0D" w:rsidP="00010F0D">
      <w:pPr>
        <w:tabs>
          <w:tab w:val="left" w:pos="360"/>
        </w:tabs>
        <w:suppressAutoHyphens/>
        <w:jc w:val="both"/>
        <w:rPr>
          <w:rFonts w:ascii="Cambria" w:hAnsi="Cambria"/>
          <w:spacing w:val="-2"/>
          <w:sz w:val="18"/>
          <w:szCs w:val="18"/>
          <w:lang w:val="es-ES"/>
        </w:rPr>
      </w:pPr>
    </w:p>
    <w:p w:rsidR="00010F0D" w:rsidRPr="00010F0D" w:rsidRDefault="00010F0D" w:rsidP="00010F0D">
      <w:pPr>
        <w:tabs>
          <w:tab w:val="left" w:pos="360"/>
        </w:tabs>
        <w:suppressAutoHyphens/>
        <w:ind w:left="1440" w:hanging="810"/>
        <w:jc w:val="both"/>
        <w:rPr>
          <w:rFonts w:ascii="Cambria" w:hAnsi="Cambria"/>
          <w:spacing w:val="-2"/>
          <w:sz w:val="16"/>
          <w:szCs w:val="18"/>
          <w:lang w:val="es-ES"/>
        </w:rPr>
      </w:pPr>
      <w:r w:rsidRPr="00010F0D">
        <w:rPr>
          <w:rFonts w:ascii="Cambria" w:hAnsi="Cambria"/>
          <w:spacing w:val="-2"/>
          <w:sz w:val="16"/>
          <w:szCs w:val="18"/>
          <w:lang w:val="es-ES"/>
        </w:rPr>
        <w:t>ENTRADA EN VIGOR:</w:t>
      </w:r>
      <w:r w:rsidRPr="00010F0D">
        <w:rPr>
          <w:rFonts w:ascii="Cambria" w:hAnsi="Cambria"/>
          <w:spacing w:val="-2"/>
          <w:sz w:val="16"/>
          <w:szCs w:val="18"/>
          <w:lang w:val="es-ES"/>
        </w:rPr>
        <w:tab/>
      </w:r>
      <w:r w:rsidRPr="00010F0D">
        <w:rPr>
          <w:rFonts w:ascii="Cambria" w:hAnsi="Cambria"/>
          <w:spacing w:val="-2"/>
          <w:sz w:val="16"/>
          <w:szCs w:val="18"/>
          <w:lang w:val="es-ES"/>
        </w:rPr>
        <w:tab/>
        <w:t>18 de julio de 1978, conforme al Artículo 74.2 de la Convención.</w:t>
      </w:r>
    </w:p>
    <w:p w:rsidR="00010F0D" w:rsidRPr="00010F0D" w:rsidRDefault="00010F0D" w:rsidP="00010F0D">
      <w:pPr>
        <w:tabs>
          <w:tab w:val="left" w:pos="360"/>
        </w:tabs>
        <w:suppressAutoHyphens/>
        <w:ind w:left="1440" w:hanging="810"/>
        <w:jc w:val="both"/>
        <w:rPr>
          <w:rFonts w:ascii="Cambria" w:hAnsi="Cambria"/>
          <w:spacing w:val="-2"/>
          <w:sz w:val="16"/>
          <w:szCs w:val="18"/>
          <w:lang w:val="es-ES"/>
        </w:rPr>
      </w:pPr>
      <w:r w:rsidRPr="00010F0D">
        <w:rPr>
          <w:rFonts w:ascii="Cambria" w:hAnsi="Cambria"/>
          <w:spacing w:val="-2"/>
          <w:sz w:val="16"/>
          <w:szCs w:val="18"/>
          <w:lang w:val="es-ES"/>
        </w:rPr>
        <w:t>DEPOSITARIO:</w:t>
      </w:r>
      <w:r w:rsidRPr="00010F0D">
        <w:rPr>
          <w:rFonts w:ascii="Cambria" w:hAnsi="Cambria"/>
          <w:spacing w:val="-2"/>
          <w:sz w:val="16"/>
          <w:szCs w:val="18"/>
          <w:lang w:val="es-ES"/>
        </w:rPr>
        <w:tab/>
      </w:r>
      <w:r w:rsidRPr="00010F0D">
        <w:rPr>
          <w:rFonts w:ascii="Cambria" w:hAnsi="Cambria"/>
          <w:spacing w:val="-2"/>
          <w:sz w:val="16"/>
          <w:szCs w:val="18"/>
          <w:lang w:val="es-ES"/>
        </w:rPr>
        <w:tab/>
        <w:t>Secretaría General OEA (Instrumento original y ratificaciones).</w:t>
      </w:r>
    </w:p>
    <w:p w:rsidR="00010F0D" w:rsidRPr="00010F0D" w:rsidRDefault="00010F0D" w:rsidP="00010F0D">
      <w:pPr>
        <w:tabs>
          <w:tab w:val="left" w:pos="360"/>
        </w:tabs>
        <w:suppressAutoHyphens/>
        <w:ind w:left="1440" w:hanging="810"/>
        <w:jc w:val="both"/>
        <w:rPr>
          <w:rFonts w:ascii="Cambria" w:hAnsi="Cambria"/>
          <w:spacing w:val="-2"/>
          <w:sz w:val="16"/>
          <w:szCs w:val="18"/>
          <w:lang w:val="pt-BR"/>
        </w:rPr>
      </w:pPr>
      <w:r w:rsidRPr="00010F0D">
        <w:rPr>
          <w:rFonts w:ascii="Cambria" w:hAnsi="Cambria"/>
          <w:spacing w:val="-2"/>
          <w:sz w:val="16"/>
          <w:szCs w:val="18"/>
          <w:lang w:val="pt-BR"/>
        </w:rPr>
        <w:t>TEXTO:</w:t>
      </w:r>
      <w:r w:rsidRPr="00010F0D">
        <w:rPr>
          <w:rFonts w:ascii="Cambria" w:hAnsi="Cambria"/>
          <w:spacing w:val="-2"/>
          <w:sz w:val="16"/>
          <w:szCs w:val="18"/>
          <w:lang w:val="pt-BR"/>
        </w:rPr>
        <w:tab/>
      </w:r>
      <w:r w:rsidRPr="00010F0D">
        <w:rPr>
          <w:rFonts w:ascii="Cambria" w:hAnsi="Cambria"/>
          <w:spacing w:val="-2"/>
          <w:sz w:val="16"/>
          <w:szCs w:val="18"/>
          <w:lang w:val="pt-BR"/>
        </w:rPr>
        <w:tab/>
      </w:r>
      <w:r w:rsidRPr="00010F0D">
        <w:rPr>
          <w:rFonts w:ascii="Cambria" w:hAnsi="Cambria"/>
          <w:spacing w:val="-2"/>
          <w:sz w:val="16"/>
          <w:szCs w:val="18"/>
          <w:lang w:val="pt-BR"/>
        </w:rPr>
        <w:tab/>
        <w:t>Serie sobre tratados, OEA, Nº 36.</w:t>
      </w:r>
    </w:p>
    <w:p w:rsidR="00010F0D" w:rsidRPr="00010F0D" w:rsidRDefault="00010F0D" w:rsidP="00010F0D">
      <w:pPr>
        <w:tabs>
          <w:tab w:val="left" w:pos="360"/>
        </w:tabs>
        <w:suppressAutoHyphens/>
        <w:ind w:left="1440" w:hanging="810"/>
        <w:jc w:val="both"/>
        <w:rPr>
          <w:rFonts w:ascii="Cambria" w:hAnsi="Cambria"/>
          <w:sz w:val="16"/>
          <w:szCs w:val="18"/>
          <w:lang w:val="pt-BR"/>
        </w:rPr>
      </w:pPr>
      <w:r w:rsidRPr="00010F0D">
        <w:rPr>
          <w:rFonts w:ascii="Cambria" w:hAnsi="Cambria"/>
          <w:sz w:val="16"/>
          <w:szCs w:val="18"/>
          <w:lang w:val="pt-BR"/>
        </w:rPr>
        <w:t>REGISTRO ONU:</w:t>
      </w:r>
      <w:r w:rsidRPr="00010F0D">
        <w:rPr>
          <w:rFonts w:ascii="Cambria" w:hAnsi="Cambria"/>
          <w:sz w:val="16"/>
          <w:szCs w:val="18"/>
          <w:lang w:val="pt-BR"/>
        </w:rPr>
        <w:tab/>
      </w:r>
      <w:r w:rsidRPr="00010F0D">
        <w:rPr>
          <w:rFonts w:ascii="Cambria" w:hAnsi="Cambria"/>
          <w:sz w:val="16"/>
          <w:szCs w:val="18"/>
          <w:lang w:val="pt-BR"/>
        </w:rPr>
        <w:tab/>
        <w:t>27 de agosto de 1979, Nº 17955</w:t>
      </w:r>
    </w:p>
    <w:p w:rsidR="00412909" w:rsidRPr="00822F05" w:rsidRDefault="00C00004" w:rsidP="00412909">
      <w:pPr>
        <w:jc w:val="center"/>
        <w:rPr>
          <w:rFonts w:ascii="Cambria" w:hAnsi="Cambria"/>
          <w:sz w:val="20"/>
          <w:szCs w:val="20"/>
          <w:lang w:val="pt-BR"/>
        </w:rPr>
      </w:pPr>
      <w:r>
        <w:rPr>
          <w:rFonts w:ascii="Cambria" w:hAnsi="Cambria"/>
          <w:noProof/>
          <w:sz w:val="20"/>
          <w:szCs w:val="20"/>
          <w:lang w:val="en-US"/>
        </w:rPr>
        <w:pict>
          <v:shape id="_x0000_s1037" type="#_x0000_t75" style="position:absolute;left:0;text-align:left;margin-left:-11.7pt;margin-top:14.5pt;width:443.4pt;height:513.15pt;z-index:-9" wrapcoords="-38 0 -38 21567 21600 21567 21600 0 -38 0">
            <v:imagedata r:id="rId35" o:title="B-32"/>
            <w10:wrap type="tight"/>
          </v:shape>
        </w:pict>
      </w:r>
    </w:p>
    <w:p w:rsidR="00010F0D" w:rsidRPr="00D33D25" w:rsidRDefault="00010F0D" w:rsidP="00010F0D">
      <w:pPr>
        <w:pStyle w:val="titulosCuadros"/>
        <w:rPr>
          <w:color w:val="auto"/>
        </w:rPr>
      </w:pPr>
      <w:bookmarkStart w:id="12" w:name="_Toc388345189"/>
      <w:bookmarkStart w:id="13" w:name="_Toc388345653"/>
      <w:bookmarkStart w:id="14" w:name="_Toc388363459"/>
      <w:r w:rsidRPr="00C40DFD">
        <w:br w:type="page"/>
      </w:r>
      <w:r w:rsidRPr="00D33D25">
        <w:rPr>
          <w:color w:val="auto"/>
        </w:rPr>
        <w:lastRenderedPageBreak/>
        <w:t>A-51: CONVENCIÓN INTERAMERICANA PARA PREVENIR Y SANCIONAR LA TORTURA</w:t>
      </w:r>
      <w:bookmarkEnd w:id="12"/>
      <w:bookmarkEnd w:id="13"/>
      <w:bookmarkEnd w:id="14"/>
    </w:p>
    <w:p w:rsidR="002635CB" w:rsidRDefault="002635CB" w:rsidP="00010F0D">
      <w:pPr>
        <w:tabs>
          <w:tab w:val="left" w:pos="360"/>
        </w:tabs>
        <w:suppressAutoHyphens/>
        <w:jc w:val="center"/>
        <w:rPr>
          <w:rFonts w:ascii="Cambria" w:hAnsi="Cambria"/>
          <w:spacing w:val="-3"/>
          <w:sz w:val="16"/>
          <w:szCs w:val="18"/>
          <w:lang w:val="es-ES"/>
        </w:rPr>
      </w:pPr>
    </w:p>
    <w:p w:rsidR="00010F0D" w:rsidRPr="00010F0D" w:rsidRDefault="00010F0D" w:rsidP="00010F0D">
      <w:pPr>
        <w:tabs>
          <w:tab w:val="left" w:pos="360"/>
        </w:tabs>
        <w:suppressAutoHyphens/>
        <w:jc w:val="center"/>
        <w:rPr>
          <w:rFonts w:ascii="Cambria" w:hAnsi="Cambria"/>
          <w:spacing w:val="-3"/>
          <w:sz w:val="16"/>
          <w:szCs w:val="18"/>
          <w:lang w:val="es-ES"/>
        </w:rPr>
      </w:pPr>
      <w:r w:rsidRPr="00010F0D">
        <w:rPr>
          <w:rFonts w:ascii="Cambria" w:hAnsi="Cambria"/>
          <w:spacing w:val="-3"/>
          <w:sz w:val="16"/>
          <w:szCs w:val="18"/>
          <w:lang w:val="es-ES"/>
        </w:rPr>
        <w:t xml:space="preserve">Adoptado en Cartagena de Indias, Colombia, el 9 de diciembre de 1985 </w:t>
      </w:r>
    </w:p>
    <w:p w:rsidR="00010F0D" w:rsidRPr="00010F0D" w:rsidRDefault="00010F0D" w:rsidP="00010F0D">
      <w:pPr>
        <w:tabs>
          <w:tab w:val="left" w:pos="360"/>
        </w:tabs>
        <w:suppressAutoHyphens/>
        <w:jc w:val="center"/>
        <w:rPr>
          <w:rFonts w:ascii="Cambria" w:hAnsi="Cambria"/>
          <w:spacing w:val="-3"/>
          <w:sz w:val="16"/>
          <w:szCs w:val="18"/>
          <w:lang w:val="es-ES"/>
        </w:rPr>
      </w:pPr>
      <w:r w:rsidRPr="00010F0D">
        <w:rPr>
          <w:rFonts w:ascii="Cambria" w:hAnsi="Cambria"/>
          <w:spacing w:val="-3"/>
          <w:sz w:val="16"/>
          <w:szCs w:val="18"/>
          <w:lang w:val="es-ES"/>
        </w:rPr>
        <w:t>en el decimoquinto período ordinario de sesiones de la Asamblea General</w:t>
      </w:r>
    </w:p>
    <w:p w:rsidR="00010F0D" w:rsidRPr="00010F0D" w:rsidRDefault="00010F0D" w:rsidP="00010F0D">
      <w:pPr>
        <w:tabs>
          <w:tab w:val="left" w:pos="360"/>
        </w:tabs>
        <w:suppressAutoHyphens/>
        <w:jc w:val="both"/>
        <w:rPr>
          <w:rFonts w:ascii="Cambria" w:hAnsi="Cambria"/>
          <w:spacing w:val="-3"/>
          <w:sz w:val="18"/>
          <w:szCs w:val="18"/>
          <w:lang w:val="es-ES"/>
        </w:rPr>
      </w:pPr>
    </w:p>
    <w:p w:rsidR="00010F0D" w:rsidRPr="00010F0D" w:rsidRDefault="00010F0D" w:rsidP="00010F0D">
      <w:pPr>
        <w:tabs>
          <w:tab w:val="left" w:pos="360"/>
        </w:tabs>
        <w:suppressAutoHyphens/>
        <w:ind w:left="1440" w:hanging="900"/>
        <w:jc w:val="both"/>
        <w:rPr>
          <w:rFonts w:ascii="Cambria" w:hAnsi="Cambria"/>
          <w:spacing w:val="-3"/>
          <w:sz w:val="16"/>
          <w:szCs w:val="18"/>
          <w:lang w:val="es-ES"/>
        </w:rPr>
      </w:pPr>
      <w:r w:rsidRPr="00010F0D">
        <w:rPr>
          <w:rFonts w:ascii="Cambria" w:hAnsi="Cambria"/>
          <w:spacing w:val="-3"/>
          <w:sz w:val="16"/>
          <w:szCs w:val="18"/>
          <w:lang w:val="es-ES"/>
        </w:rPr>
        <w:t>ENTRADA EN VIGOR:</w:t>
      </w:r>
      <w:r w:rsidRPr="00010F0D">
        <w:rPr>
          <w:rFonts w:ascii="Cambria" w:hAnsi="Cambria"/>
          <w:spacing w:val="-3"/>
          <w:sz w:val="16"/>
          <w:szCs w:val="18"/>
          <w:lang w:val="es-ES"/>
        </w:rPr>
        <w:tab/>
      </w:r>
      <w:r w:rsidRPr="00010F0D">
        <w:rPr>
          <w:rFonts w:ascii="Cambria" w:hAnsi="Cambria"/>
          <w:spacing w:val="-3"/>
          <w:sz w:val="16"/>
          <w:szCs w:val="18"/>
          <w:lang w:val="es-ES"/>
        </w:rPr>
        <w:tab/>
        <w:t>28 de febrero de 1987, conforme al Artículo 22 de la Convención.</w:t>
      </w:r>
    </w:p>
    <w:p w:rsidR="00010F0D" w:rsidRPr="00010F0D" w:rsidRDefault="00010F0D" w:rsidP="00010F0D">
      <w:pPr>
        <w:tabs>
          <w:tab w:val="left" w:pos="360"/>
        </w:tabs>
        <w:suppressAutoHyphens/>
        <w:ind w:left="1440" w:hanging="900"/>
        <w:jc w:val="both"/>
        <w:rPr>
          <w:rFonts w:ascii="Cambria" w:hAnsi="Cambria"/>
          <w:spacing w:val="-3"/>
          <w:sz w:val="16"/>
          <w:szCs w:val="18"/>
          <w:lang w:val="es-ES"/>
        </w:rPr>
      </w:pPr>
      <w:r w:rsidRPr="00010F0D">
        <w:rPr>
          <w:rFonts w:ascii="Cambria" w:hAnsi="Cambria"/>
          <w:spacing w:val="-3"/>
          <w:sz w:val="16"/>
          <w:szCs w:val="18"/>
          <w:lang w:val="es-ES"/>
        </w:rPr>
        <w:t>DEPOSITARIO:</w:t>
      </w:r>
      <w:r w:rsidRPr="00010F0D">
        <w:rPr>
          <w:rFonts w:ascii="Cambria" w:hAnsi="Cambria"/>
          <w:spacing w:val="-3"/>
          <w:sz w:val="16"/>
          <w:szCs w:val="18"/>
          <w:lang w:val="es-ES"/>
        </w:rPr>
        <w:tab/>
      </w:r>
      <w:r w:rsidRPr="00010F0D">
        <w:rPr>
          <w:rFonts w:ascii="Cambria" w:hAnsi="Cambria"/>
          <w:spacing w:val="-3"/>
          <w:sz w:val="16"/>
          <w:szCs w:val="18"/>
          <w:lang w:val="es-ES"/>
        </w:rPr>
        <w:tab/>
        <w:t>Secretaría General OEA (Instrumento original y ratificaciones).</w:t>
      </w:r>
    </w:p>
    <w:p w:rsidR="00010F0D" w:rsidRPr="00010F0D" w:rsidRDefault="00010F0D" w:rsidP="00010F0D">
      <w:pPr>
        <w:tabs>
          <w:tab w:val="left" w:pos="360"/>
        </w:tabs>
        <w:suppressAutoHyphens/>
        <w:ind w:left="1440" w:hanging="900"/>
        <w:jc w:val="both"/>
        <w:rPr>
          <w:rFonts w:ascii="Cambria" w:hAnsi="Cambria"/>
          <w:spacing w:val="-3"/>
          <w:sz w:val="20"/>
          <w:lang w:val="es-ES"/>
        </w:rPr>
      </w:pPr>
      <w:r w:rsidRPr="00010F0D">
        <w:rPr>
          <w:rFonts w:ascii="Cambria" w:hAnsi="Cambria"/>
          <w:spacing w:val="-3"/>
          <w:sz w:val="16"/>
          <w:szCs w:val="18"/>
          <w:lang w:val="es-ES"/>
        </w:rPr>
        <w:t>TEXTO:</w:t>
      </w:r>
      <w:r w:rsidRPr="00010F0D">
        <w:rPr>
          <w:rFonts w:ascii="Cambria" w:hAnsi="Cambria"/>
          <w:spacing w:val="-3"/>
          <w:sz w:val="16"/>
          <w:szCs w:val="18"/>
          <w:lang w:val="es-ES"/>
        </w:rPr>
        <w:tab/>
      </w:r>
      <w:r w:rsidRPr="00010F0D">
        <w:rPr>
          <w:rFonts w:ascii="Cambria" w:hAnsi="Cambria"/>
          <w:spacing w:val="-3"/>
          <w:sz w:val="16"/>
          <w:szCs w:val="18"/>
          <w:lang w:val="es-ES"/>
        </w:rPr>
        <w:tab/>
      </w:r>
      <w:r w:rsidRPr="00010F0D">
        <w:rPr>
          <w:rFonts w:ascii="Cambria" w:hAnsi="Cambria"/>
          <w:spacing w:val="-3"/>
          <w:sz w:val="16"/>
          <w:szCs w:val="18"/>
          <w:lang w:val="es-ES"/>
        </w:rPr>
        <w:tab/>
        <w:t>Serie sobre Tratados, OEA, No. 67.</w:t>
      </w:r>
    </w:p>
    <w:p w:rsidR="00822F05" w:rsidRDefault="00822F05" w:rsidP="002635CB">
      <w:pPr>
        <w:pStyle w:val="titulosCuadros"/>
        <w:rPr>
          <w:sz w:val="20"/>
          <w:szCs w:val="20"/>
        </w:rPr>
      </w:pPr>
    </w:p>
    <w:p w:rsidR="00010F0D" w:rsidRPr="00A36C6A" w:rsidRDefault="00C00004" w:rsidP="002635CB">
      <w:pPr>
        <w:pStyle w:val="titulosCuadros"/>
        <w:rPr>
          <w:color w:val="auto"/>
          <w:sz w:val="20"/>
          <w:szCs w:val="20"/>
        </w:rPr>
      </w:pPr>
      <w:r>
        <w:rPr>
          <w:noProof/>
        </w:rPr>
        <w:pict>
          <v:shape id="_x0000_s1064" type="#_x0000_t75" style="position:absolute;left:0;text-align:left;margin-left:12.65pt;margin-top:0;width:360.6pt;height:498.8pt;z-index:-2;mso-position-horizontal:absolute;mso-position-horizontal-relative:text;mso-position-vertical:top;mso-position-vertical-relative:text;mso-width-relative:page;mso-height-relative:page" wrapcoords="-45 0 -45 21568 21600 21568 21600 0 -45 0">
            <v:imagedata r:id="rId36" o:title="A-51"/>
            <w10:wrap type="tight"/>
          </v:shape>
        </w:pict>
      </w:r>
      <w:r w:rsidR="00010F0D" w:rsidRPr="00896A5A">
        <w:rPr>
          <w:sz w:val="20"/>
          <w:szCs w:val="20"/>
        </w:rPr>
        <w:br w:type="page"/>
      </w:r>
      <w:r w:rsidR="00010F0D" w:rsidRPr="00A36C6A">
        <w:rPr>
          <w:color w:val="auto"/>
          <w:sz w:val="20"/>
          <w:szCs w:val="20"/>
        </w:rPr>
        <w:lastRenderedPageBreak/>
        <w:t xml:space="preserve">A-52: PROTOCOLO ADICIONAL A LA CONVENCIÓN AMERICANA SOBRE DERECHOS HUMANOS EN MATERIA DE DERECHOS ECONÓMICOS, </w:t>
      </w:r>
      <w:r w:rsidR="00010F0D" w:rsidRPr="00A36C6A">
        <w:rPr>
          <w:color w:val="auto"/>
          <w:sz w:val="20"/>
          <w:szCs w:val="20"/>
        </w:rPr>
        <w:br/>
        <w:t>SOCIALES Y CULTURALES "PROTOCOLO DE SAN SALVADOR"</w:t>
      </w:r>
    </w:p>
    <w:p w:rsidR="002635CB" w:rsidRDefault="002635CB" w:rsidP="00010F0D">
      <w:pPr>
        <w:tabs>
          <w:tab w:val="left" w:pos="360"/>
        </w:tabs>
        <w:suppressAutoHyphens/>
        <w:jc w:val="center"/>
        <w:rPr>
          <w:rFonts w:ascii="Cambria" w:hAnsi="Cambria"/>
          <w:spacing w:val="-3"/>
          <w:sz w:val="16"/>
          <w:szCs w:val="18"/>
          <w:lang w:val="es-ES"/>
        </w:rPr>
      </w:pPr>
    </w:p>
    <w:p w:rsidR="00010F0D" w:rsidRPr="00010F0D" w:rsidRDefault="00010F0D" w:rsidP="00010F0D">
      <w:pPr>
        <w:tabs>
          <w:tab w:val="left" w:pos="360"/>
        </w:tabs>
        <w:suppressAutoHyphens/>
        <w:jc w:val="center"/>
        <w:rPr>
          <w:rFonts w:ascii="Cambria" w:hAnsi="Cambria"/>
          <w:spacing w:val="-3"/>
          <w:sz w:val="16"/>
          <w:szCs w:val="18"/>
          <w:lang w:val="es-ES"/>
        </w:rPr>
      </w:pPr>
      <w:r w:rsidRPr="00010F0D">
        <w:rPr>
          <w:rFonts w:ascii="Cambria" w:hAnsi="Cambria"/>
          <w:spacing w:val="-3"/>
          <w:sz w:val="16"/>
          <w:szCs w:val="18"/>
          <w:lang w:val="es-ES"/>
        </w:rPr>
        <w:t>Adoptado en San Salvador, El Salvador, el 17 de noviembre de 1988,</w:t>
      </w:r>
    </w:p>
    <w:p w:rsidR="00010F0D" w:rsidRPr="00010F0D" w:rsidRDefault="00010F0D" w:rsidP="00010F0D">
      <w:pPr>
        <w:tabs>
          <w:tab w:val="left" w:pos="360"/>
        </w:tabs>
        <w:suppressAutoHyphens/>
        <w:jc w:val="center"/>
        <w:rPr>
          <w:rFonts w:ascii="Cambria" w:hAnsi="Cambria"/>
          <w:spacing w:val="-3"/>
          <w:sz w:val="16"/>
          <w:szCs w:val="18"/>
          <w:lang w:val="es-ES"/>
        </w:rPr>
      </w:pPr>
      <w:r w:rsidRPr="00010F0D">
        <w:rPr>
          <w:rFonts w:ascii="Cambria" w:hAnsi="Cambria"/>
          <w:spacing w:val="-3"/>
          <w:sz w:val="16"/>
          <w:szCs w:val="18"/>
          <w:lang w:val="es-ES"/>
        </w:rPr>
        <w:t>en el decimoctavo período ordinario de sesiones de la Asamblea General</w:t>
      </w:r>
    </w:p>
    <w:p w:rsidR="00010F0D" w:rsidRPr="00010F0D" w:rsidRDefault="00010F0D" w:rsidP="00010F0D">
      <w:pPr>
        <w:tabs>
          <w:tab w:val="left" w:pos="360"/>
        </w:tabs>
        <w:suppressAutoHyphens/>
        <w:jc w:val="both"/>
        <w:rPr>
          <w:rFonts w:ascii="Cambria" w:hAnsi="Cambria"/>
          <w:spacing w:val="-3"/>
          <w:sz w:val="18"/>
          <w:szCs w:val="18"/>
          <w:lang w:val="es-ES"/>
        </w:rPr>
      </w:pPr>
    </w:p>
    <w:p w:rsidR="00010F0D" w:rsidRPr="00010F0D" w:rsidRDefault="00010F0D" w:rsidP="00010F0D">
      <w:pPr>
        <w:tabs>
          <w:tab w:val="left" w:pos="630"/>
        </w:tabs>
        <w:suppressAutoHyphens/>
        <w:ind w:left="540"/>
        <w:jc w:val="both"/>
        <w:rPr>
          <w:rFonts w:ascii="Cambria" w:hAnsi="Cambria"/>
          <w:spacing w:val="-3"/>
          <w:sz w:val="16"/>
          <w:szCs w:val="18"/>
          <w:lang w:val="es-ES"/>
        </w:rPr>
      </w:pPr>
      <w:r w:rsidRPr="00010F0D">
        <w:rPr>
          <w:rFonts w:ascii="Cambria" w:hAnsi="Cambria"/>
          <w:spacing w:val="-3"/>
          <w:sz w:val="16"/>
          <w:szCs w:val="18"/>
          <w:lang w:val="es-ES"/>
        </w:rPr>
        <w:t>ENTRADA EN VIGOR:</w:t>
      </w:r>
      <w:r w:rsidRPr="00010F0D">
        <w:rPr>
          <w:rFonts w:ascii="Cambria" w:hAnsi="Cambria"/>
          <w:spacing w:val="-3"/>
          <w:sz w:val="16"/>
          <w:szCs w:val="18"/>
          <w:lang w:val="es-ES"/>
        </w:rPr>
        <w:tab/>
      </w:r>
      <w:r w:rsidRPr="00010F0D">
        <w:rPr>
          <w:rFonts w:ascii="Cambria" w:hAnsi="Cambria"/>
          <w:spacing w:val="-3"/>
          <w:sz w:val="16"/>
          <w:szCs w:val="18"/>
          <w:lang w:val="es-ES"/>
        </w:rPr>
        <w:tab/>
        <w:t>16 de noviembre de 1999.</w:t>
      </w:r>
    </w:p>
    <w:p w:rsidR="00010F0D" w:rsidRPr="00010F0D" w:rsidRDefault="00010F0D" w:rsidP="00010F0D">
      <w:pPr>
        <w:tabs>
          <w:tab w:val="left" w:pos="630"/>
        </w:tabs>
        <w:suppressAutoHyphens/>
        <w:ind w:left="540"/>
        <w:jc w:val="both"/>
        <w:rPr>
          <w:rFonts w:ascii="Cambria" w:hAnsi="Cambria"/>
          <w:spacing w:val="-3"/>
          <w:sz w:val="16"/>
          <w:szCs w:val="18"/>
          <w:lang w:val="es-ES"/>
        </w:rPr>
      </w:pPr>
      <w:r w:rsidRPr="00010F0D">
        <w:rPr>
          <w:rFonts w:ascii="Cambria" w:hAnsi="Cambria"/>
          <w:spacing w:val="-3"/>
          <w:sz w:val="16"/>
          <w:szCs w:val="18"/>
          <w:lang w:val="es-ES"/>
        </w:rPr>
        <w:t>DEPOSITARIO:</w:t>
      </w:r>
      <w:r w:rsidRPr="00010F0D">
        <w:rPr>
          <w:rFonts w:ascii="Cambria" w:hAnsi="Cambria"/>
          <w:spacing w:val="-3"/>
          <w:sz w:val="16"/>
          <w:szCs w:val="18"/>
          <w:lang w:val="es-ES"/>
        </w:rPr>
        <w:tab/>
        <w:t xml:space="preserve">  </w:t>
      </w:r>
      <w:r w:rsidRPr="00010F0D">
        <w:rPr>
          <w:rFonts w:ascii="Cambria" w:hAnsi="Cambria"/>
          <w:spacing w:val="-3"/>
          <w:sz w:val="16"/>
          <w:szCs w:val="18"/>
          <w:lang w:val="es-ES"/>
        </w:rPr>
        <w:tab/>
        <w:t>Secretaría General OEA (Instrumento original y ratificaciones).</w:t>
      </w:r>
    </w:p>
    <w:p w:rsidR="00010F0D" w:rsidRPr="00010F0D" w:rsidRDefault="00010F0D" w:rsidP="00010F0D">
      <w:pPr>
        <w:tabs>
          <w:tab w:val="left" w:pos="630"/>
        </w:tabs>
        <w:suppressAutoHyphens/>
        <w:ind w:left="540"/>
        <w:jc w:val="both"/>
        <w:rPr>
          <w:rFonts w:ascii="Cambria" w:hAnsi="Cambria"/>
          <w:spacing w:val="-3"/>
          <w:sz w:val="16"/>
          <w:szCs w:val="18"/>
          <w:lang w:val="es-ES"/>
        </w:rPr>
      </w:pPr>
      <w:r w:rsidRPr="00010F0D">
        <w:rPr>
          <w:rFonts w:ascii="Cambria" w:hAnsi="Cambria"/>
          <w:spacing w:val="-3"/>
          <w:sz w:val="16"/>
          <w:szCs w:val="18"/>
          <w:lang w:val="es-ES"/>
        </w:rPr>
        <w:t>TEXTO:</w:t>
      </w:r>
      <w:r w:rsidRPr="00010F0D">
        <w:rPr>
          <w:rFonts w:ascii="Cambria" w:hAnsi="Cambria"/>
          <w:spacing w:val="-3"/>
          <w:sz w:val="16"/>
          <w:szCs w:val="18"/>
          <w:lang w:val="es-ES"/>
        </w:rPr>
        <w:tab/>
      </w:r>
      <w:r w:rsidRPr="00010F0D">
        <w:rPr>
          <w:rFonts w:ascii="Cambria" w:hAnsi="Cambria"/>
          <w:spacing w:val="-3"/>
          <w:sz w:val="16"/>
          <w:szCs w:val="18"/>
          <w:lang w:val="es-ES"/>
        </w:rPr>
        <w:tab/>
      </w:r>
      <w:r w:rsidRPr="00010F0D">
        <w:rPr>
          <w:rFonts w:ascii="Cambria" w:hAnsi="Cambria"/>
          <w:spacing w:val="-3"/>
          <w:sz w:val="16"/>
          <w:szCs w:val="18"/>
          <w:lang w:val="es-ES"/>
        </w:rPr>
        <w:tab/>
        <w:t>Serie sobre Tratados, OEA, No. 69.</w:t>
      </w:r>
    </w:p>
    <w:p w:rsidR="002C530F" w:rsidRPr="00745C57" w:rsidRDefault="002C530F" w:rsidP="002C530F">
      <w:pPr>
        <w:pStyle w:val="NormalWeb"/>
        <w:tabs>
          <w:tab w:val="left" w:pos="360"/>
        </w:tabs>
        <w:spacing w:before="0" w:beforeAutospacing="0" w:after="0" w:afterAutospacing="0"/>
        <w:rPr>
          <w:lang w:val="es-ES"/>
        </w:rPr>
      </w:pPr>
      <w:bookmarkStart w:id="15" w:name="_Toc388345193"/>
      <w:bookmarkStart w:id="16" w:name="_Toc388345657"/>
      <w:bookmarkStart w:id="17" w:name="_Toc388363465"/>
    </w:p>
    <w:p w:rsidR="00997718" w:rsidRPr="00C40DFD" w:rsidRDefault="00C00004" w:rsidP="00BC4658">
      <w:pPr>
        <w:pStyle w:val="NormalWeb"/>
        <w:tabs>
          <w:tab w:val="left" w:pos="360"/>
        </w:tabs>
        <w:spacing w:before="0" w:beforeAutospacing="0" w:after="0" w:afterAutospacing="0"/>
        <w:jc w:val="center"/>
        <w:rPr>
          <w:lang w:val="es-ES"/>
        </w:rPr>
      </w:pPr>
      <w:r>
        <w:rPr>
          <w:noProof/>
        </w:rPr>
        <w:pict>
          <v:shape id="_x0000_s1065" type="#_x0000_t75" style="position:absolute;left:0;text-align:left;margin-left:29.95pt;margin-top:0;width:341.9pt;height:472.9pt;z-index:-1;mso-position-horizontal:absolute;mso-position-horizontal-relative:text;mso-position-vertical:top;mso-position-vertical-relative:text;mso-width-relative:page;mso-height-relative:page" wrapcoords="-46 0 -46 21567 21600 21567 21600 0 -46 0">
            <v:imagedata r:id="rId37" o:title="A-52"/>
            <w10:wrap type="tight"/>
          </v:shape>
        </w:pict>
      </w:r>
    </w:p>
    <w:p w:rsidR="00997718" w:rsidRPr="00C40DFD" w:rsidRDefault="00997718" w:rsidP="002C530F">
      <w:pPr>
        <w:pStyle w:val="NormalWeb"/>
        <w:tabs>
          <w:tab w:val="left" w:pos="360"/>
        </w:tabs>
        <w:spacing w:before="0" w:beforeAutospacing="0" w:after="0" w:afterAutospacing="0"/>
        <w:rPr>
          <w:lang w:val="es-ES"/>
        </w:rPr>
        <w:sectPr w:rsidR="00997718" w:rsidRPr="00C40DFD" w:rsidSect="00543111">
          <w:headerReference w:type="even" r:id="rId38"/>
          <w:headerReference w:type="default" r:id="rId39"/>
          <w:footerReference w:type="even" r:id="rId40"/>
          <w:footerReference w:type="default" r:id="rId41"/>
          <w:headerReference w:type="first" r:id="rId42"/>
          <w:footerReference w:type="first" r:id="rId43"/>
          <w:pgSz w:w="10325" w:h="14573" w:code="13"/>
          <w:pgMar w:top="1152" w:right="1152" w:bottom="1152" w:left="1440" w:header="432" w:footer="432" w:gutter="0"/>
          <w:cols w:space="720"/>
          <w:docGrid w:linePitch="326"/>
        </w:sectPr>
      </w:pPr>
    </w:p>
    <w:p w:rsidR="00010F0D" w:rsidRPr="0010711E" w:rsidRDefault="00010F0D" w:rsidP="002C530F">
      <w:pPr>
        <w:pStyle w:val="NormalWeb"/>
        <w:tabs>
          <w:tab w:val="left" w:pos="360"/>
        </w:tabs>
        <w:spacing w:before="0" w:beforeAutospacing="0" w:after="0" w:afterAutospacing="0"/>
        <w:jc w:val="center"/>
        <w:rPr>
          <w:rFonts w:ascii="Cambria" w:hAnsi="Cambria"/>
          <w:b/>
          <w:sz w:val="20"/>
          <w:szCs w:val="20"/>
          <w:lang w:val="es-ES"/>
        </w:rPr>
      </w:pPr>
      <w:r w:rsidRPr="0010711E">
        <w:rPr>
          <w:rFonts w:ascii="Cambria" w:hAnsi="Cambria"/>
          <w:b/>
          <w:sz w:val="20"/>
          <w:szCs w:val="20"/>
          <w:lang w:val="es-ES"/>
        </w:rPr>
        <w:lastRenderedPageBreak/>
        <w:t xml:space="preserve">A-53: PROTOCOLO A LA CONVENCIÓN AMERICANA SOBRE </w:t>
      </w:r>
      <w:r w:rsidRPr="0010711E">
        <w:rPr>
          <w:rFonts w:ascii="Cambria" w:hAnsi="Cambria"/>
          <w:b/>
          <w:sz w:val="20"/>
          <w:szCs w:val="20"/>
          <w:lang w:val="es-ES"/>
        </w:rPr>
        <w:br/>
        <w:t>DERECHOS HUMANOS RELATIVO A LA ABOLICIÓN DE LA PENA DE MUERTE</w:t>
      </w:r>
      <w:bookmarkEnd w:id="15"/>
      <w:bookmarkEnd w:id="16"/>
      <w:bookmarkEnd w:id="17"/>
    </w:p>
    <w:p w:rsidR="00010F0D" w:rsidRPr="0010711E" w:rsidRDefault="00010F0D" w:rsidP="002C530F">
      <w:pPr>
        <w:tabs>
          <w:tab w:val="left" w:pos="360"/>
        </w:tabs>
        <w:suppressAutoHyphens/>
        <w:jc w:val="center"/>
        <w:rPr>
          <w:rFonts w:ascii="Cambria" w:hAnsi="Cambria"/>
          <w:b/>
          <w:spacing w:val="-3"/>
          <w:sz w:val="20"/>
          <w:szCs w:val="20"/>
          <w:lang w:val="es-ES"/>
        </w:rPr>
      </w:pPr>
    </w:p>
    <w:p w:rsidR="00010F0D" w:rsidRPr="002635CB" w:rsidRDefault="00010F0D" w:rsidP="00010F0D">
      <w:pPr>
        <w:tabs>
          <w:tab w:val="left" w:pos="360"/>
        </w:tabs>
        <w:suppressAutoHyphens/>
        <w:jc w:val="center"/>
        <w:rPr>
          <w:rFonts w:ascii="Cambria" w:hAnsi="Cambria"/>
          <w:spacing w:val="-3"/>
          <w:sz w:val="16"/>
          <w:szCs w:val="18"/>
          <w:lang w:val="es-ES"/>
        </w:rPr>
      </w:pPr>
      <w:r w:rsidRPr="002635CB">
        <w:rPr>
          <w:rFonts w:ascii="Cambria" w:hAnsi="Cambria"/>
          <w:spacing w:val="-3"/>
          <w:sz w:val="16"/>
          <w:szCs w:val="18"/>
          <w:lang w:val="es-ES"/>
        </w:rPr>
        <w:t>Adoptado en Asunción, Paraguay, el 8 de junio de 1990,</w:t>
      </w:r>
    </w:p>
    <w:p w:rsidR="00010F0D" w:rsidRPr="002635CB" w:rsidRDefault="00010F0D" w:rsidP="00010F0D">
      <w:pPr>
        <w:tabs>
          <w:tab w:val="left" w:pos="360"/>
        </w:tabs>
        <w:suppressAutoHyphens/>
        <w:jc w:val="center"/>
        <w:rPr>
          <w:rFonts w:ascii="Cambria" w:hAnsi="Cambria"/>
          <w:spacing w:val="-3"/>
          <w:sz w:val="16"/>
          <w:szCs w:val="18"/>
          <w:lang w:val="es-ES"/>
        </w:rPr>
      </w:pPr>
      <w:r w:rsidRPr="002635CB">
        <w:rPr>
          <w:rFonts w:ascii="Cambria" w:hAnsi="Cambria"/>
          <w:spacing w:val="-3"/>
          <w:sz w:val="16"/>
          <w:szCs w:val="18"/>
          <w:lang w:val="es-ES"/>
        </w:rPr>
        <w:t>en el vigésimo período ordinario de sesiones de la Asamblea General</w:t>
      </w:r>
    </w:p>
    <w:p w:rsidR="00010F0D" w:rsidRPr="002635CB" w:rsidRDefault="00010F0D" w:rsidP="00010F0D">
      <w:pPr>
        <w:tabs>
          <w:tab w:val="left" w:pos="360"/>
        </w:tabs>
        <w:suppressAutoHyphens/>
        <w:jc w:val="both"/>
        <w:rPr>
          <w:rFonts w:ascii="Cambria" w:hAnsi="Cambria"/>
          <w:spacing w:val="-3"/>
          <w:sz w:val="18"/>
          <w:szCs w:val="18"/>
          <w:lang w:val="es-ES"/>
        </w:rPr>
      </w:pPr>
    </w:p>
    <w:p w:rsidR="00010F0D" w:rsidRPr="002635CB" w:rsidRDefault="00010F0D" w:rsidP="00010F0D">
      <w:pPr>
        <w:tabs>
          <w:tab w:val="left" w:pos="360"/>
        </w:tabs>
        <w:suppressAutoHyphens/>
        <w:ind w:firstLine="630"/>
        <w:jc w:val="both"/>
        <w:rPr>
          <w:rFonts w:ascii="Cambria" w:hAnsi="Cambria"/>
          <w:spacing w:val="-3"/>
          <w:sz w:val="16"/>
          <w:szCs w:val="18"/>
          <w:lang w:val="es-ES"/>
        </w:rPr>
      </w:pPr>
      <w:r w:rsidRPr="002635CB">
        <w:rPr>
          <w:rFonts w:ascii="Cambria" w:hAnsi="Cambria"/>
          <w:spacing w:val="-3"/>
          <w:sz w:val="16"/>
          <w:szCs w:val="18"/>
          <w:lang w:val="es-ES"/>
        </w:rPr>
        <w:t>ENTRADA EN VIGOR:</w:t>
      </w:r>
      <w:r w:rsidRPr="002635CB">
        <w:rPr>
          <w:rFonts w:ascii="Cambria" w:hAnsi="Cambria"/>
          <w:spacing w:val="-3"/>
          <w:sz w:val="16"/>
          <w:szCs w:val="18"/>
          <w:lang w:val="es-ES"/>
        </w:rPr>
        <w:tab/>
      </w:r>
      <w:r w:rsidRPr="002635CB">
        <w:rPr>
          <w:rFonts w:ascii="Cambria" w:hAnsi="Cambria"/>
          <w:spacing w:val="-3"/>
          <w:sz w:val="16"/>
          <w:szCs w:val="18"/>
          <w:lang w:val="es-ES"/>
        </w:rPr>
        <w:tab/>
        <w:t>28 de agosto de 1991, conforme el artículo 4 de la Convención.</w:t>
      </w:r>
    </w:p>
    <w:p w:rsidR="00010F0D" w:rsidRPr="002635CB" w:rsidRDefault="00010F0D" w:rsidP="00010F0D">
      <w:pPr>
        <w:pStyle w:val="BodyTextIndent"/>
        <w:tabs>
          <w:tab w:val="left" w:pos="360"/>
        </w:tabs>
        <w:spacing w:after="0"/>
        <w:ind w:left="0" w:firstLine="630"/>
        <w:rPr>
          <w:rFonts w:ascii="Cambria" w:hAnsi="Cambria"/>
          <w:b w:val="0"/>
          <w:sz w:val="16"/>
          <w:szCs w:val="18"/>
          <w:lang w:val="es-ES"/>
        </w:rPr>
      </w:pPr>
      <w:r w:rsidRPr="002635CB">
        <w:rPr>
          <w:rFonts w:ascii="Cambria" w:hAnsi="Cambria"/>
          <w:b w:val="0"/>
          <w:sz w:val="16"/>
          <w:szCs w:val="18"/>
          <w:lang w:val="es-ES"/>
        </w:rPr>
        <w:t>DEPOSITARIO:</w:t>
      </w:r>
      <w:r w:rsidRPr="002635CB">
        <w:rPr>
          <w:rFonts w:ascii="Cambria" w:hAnsi="Cambria"/>
          <w:b w:val="0"/>
          <w:sz w:val="16"/>
          <w:szCs w:val="18"/>
          <w:lang w:val="es-ES"/>
        </w:rPr>
        <w:tab/>
      </w:r>
      <w:r w:rsidRPr="002635CB">
        <w:rPr>
          <w:rFonts w:ascii="Cambria" w:hAnsi="Cambria"/>
          <w:b w:val="0"/>
          <w:sz w:val="16"/>
          <w:szCs w:val="18"/>
          <w:lang w:val="es-ES"/>
        </w:rPr>
        <w:tab/>
        <w:t>Secretaría General OEA (Instrumento original y ratificaciones).</w:t>
      </w:r>
    </w:p>
    <w:p w:rsidR="00010F0D" w:rsidRPr="002635CB" w:rsidRDefault="00C00004" w:rsidP="00010F0D">
      <w:pPr>
        <w:tabs>
          <w:tab w:val="left" w:pos="360"/>
        </w:tabs>
        <w:suppressAutoHyphens/>
        <w:ind w:firstLine="630"/>
        <w:jc w:val="both"/>
        <w:rPr>
          <w:rFonts w:ascii="Cambria" w:hAnsi="Cambria"/>
          <w:spacing w:val="-3"/>
          <w:sz w:val="16"/>
          <w:szCs w:val="18"/>
          <w:lang w:val="es-ES"/>
        </w:rPr>
      </w:pPr>
      <w:r>
        <w:rPr>
          <w:noProof/>
        </w:rPr>
        <w:pict>
          <v:shape id="_x0000_s1056" type="#_x0000_t75" style="position:absolute;left:0;text-align:left;margin-left:17.25pt;margin-top:27.9pt;width:343.85pt;height:475.35pt;z-index:-6;mso-position-horizontal-relative:text;mso-position-vertical-relative:text;mso-width-relative:page;mso-height-relative:page" wrapcoords="-45 0 -45 21568 21600 21568 21600 0 -45 0">
            <v:imagedata r:id="rId44" o:title="A-53"/>
            <w10:wrap type="tight"/>
          </v:shape>
        </w:pict>
      </w:r>
      <w:r w:rsidR="00010F0D" w:rsidRPr="002635CB">
        <w:rPr>
          <w:rFonts w:ascii="Cambria" w:hAnsi="Cambria"/>
          <w:spacing w:val="-3"/>
          <w:sz w:val="16"/>
          <w:szCs w:val="18"/>
          <w:lang w:val="es-ES"/>
        </w:rPr>
        <w:t xml:space="preserve">TEXTO:       </w:t>
      </w:r>
      <w:r w:rsidR="00010F0D" w:rsidRPr="002635CB">
        <w:rPr>
          <w:rFonts w:ascii="Cambria" w:hAnsi="Cambria"/>
          <w:spacing w:val="-3"/>
          <w:sz w:val="16"/>
          <w:szCs w:val="18"/>
          <w:lang w:val="es-ES"/>
        </w:rPr>
        <w:tab/>
      </w:r>
      <w:r w:rsidR="00010F0D" w:rsidRPr="002635CB">
        <w:rPr>
          <w:rFonts w:ascii="Cambria" w:hAnsi="Cambria"/>
          <w:spacing w:val="-3"/>
          <w:sz w:val="16"/>
          <w:szCs w:val="18"/>
          <w:lang w:val="es-ES"/>
        </w:rPr>
        <w:tab/>
      </w:r>
      <w:r w:rsidR="00010F0D" w:rsidRPr="002635CB">
        <w:rPr>
          <w:rFonts w:ascii="Cambria" w:hAnsi="Cambria"/>
          <w:spacing w:val="-3"/>
          <w:sz w:val="16"/>
          <w:szCs w:val="18"/>
          <w:lang w:val="es-ES"/>
        </w:rPr>
        <w:tab/>
        <w:t>Serie sobre Tratados, OEA, No. 73.</w:t>
      </w:r>
    </w:p>
    <w:p w:rsidR="00010F0D" w:rsidRPr="002635CB" w:rsidRDefault="00010F0D" w:rsidP="00010F0D">
      <w:pPr>
        <w:tabs>
          <w:tab w:val="left" w:pos="360"/>
        </w:tabs>
        <w:suppressAutoHyphens/>
        <w:ind w:firstLine="630"/>
        <w:jc w:val="both"/>
        <w:rPr>
          <w:rFonts w:ascii="Cambria" w:hAnsi="Cambria"/>
          <w:spacing w:val="-3"/>
          <w:sz w:val="16"/>
          <w:szCs w:val="18"/>
          <w:lang w:val="es-ES"/>
        </w:rPr>
      </w:pPr>
      <w:r w:rsidRPr="002635CB">
        <w:rPr>
          <w:rFonts w:ascii="Cambria" w:hAnsi="Cambria"/>
          <w:spacing w:val="-3"/>
          <w:sz w:val="16"/>
          <w:szCs w:val="18"/>
          <w:lang w:val="es-ES"/>
        </w:rPr>
        <w:t>REGISTRO ONU:</w:t>
      </w:r>
    </w:p>
    <w:p w:rsidR="002C530F" w:rsidRPr="003740AA" w:rsidRDefault="002C530F" w:rsidP="002C530F">
      <w:pPr>
        <w:tabs>
          <w:tab w:val="left" w:pos="360"/>
        </w:tabs>
        <w:suppressAutoHyphens/>
        <w:jc w:val="center"/>
        <w:rPr>
          <w:rFonts w:ascii="Cambria" w:hAnsi="Cambria"/>
          <w:b/>
          <w:spacing w:val="-3"/>
          <w:sz w:val="18"/>
          <w:szCs w:val="18"/>
          <w:lang w:val="es-ES"/>
        </w:rPr>
      </w:pPr>
    </w:p>
    <w:p w:rsidR="00010F0D" w:rsidRPr="00A36C6A" w:rsidRDefault="00003FF7" w:rsidP="00010F0D">
      <w:pPr>
        <w:pStyle w:val="titulosCuadros"/>
        <w:rPr>
          <w:color w:val="auto"/>
          <w:sz w:val="20"/>
          <w:szCs w:val="20"/>
        </w:rPr>
      </w:pPr>
      <w:r>
        <w:br w:type="page"/>
      </w:r>
      <w:r w:rsidR="00010F0D" w:rsidRPr="00A36C6A">
        <w:rPr>
          <w:color w:val="auto"/>
          <w:sz w:val="20"/>
          <w:szCs w:val="20"/>
        </w:rPr>
        <w:lastRenderedPageBreak/>
        <w:t xml:space="preserve">A-61: CONVENCIÓN INTERAMERICANA PARA PREVENIR, SANCIONAR Y ERRADICAR </w:t>
      </w:r>
      <w:r w:rsidR="00010F0D" w:rsidRPr="00A36C6A">
        <w:rPr>
          <w:color w:val="auto"/>
          <w:sz w:val="20"/>
          <w:szCs w:val="20"/>
        </w:rPr>
        <w:br/>
        <w:t>LA VIOLENCIA CONTRA LA MUJER "CONVENCIÓN DE BELÉM DO PARA"</w:t>
      </w:r>
    </w:p>
    <w:p w:rsidR="00010F0D" w:rsidRDefault="00010F0D" w:rsidP="00010F0D">
      <w:pPr>
        <w:tabs>
          <w:tab w:val="left" w:pos="360"/>
        </w:tabs>
        <w:suppressAutoHyphens/>
        <w:jc w:val="center"/>
        <w:rPr>
          <w:rFonts w:ascii="Cambria" w:hAnsi="Cambria"/>
          <w:b/>
          <w:spacing w:val="-2"/>
          <w:sz w:val="16"/>
          <w:szCs w:val="18"/>
          <w:lang w:val="es-ES"/>
        </w:rPr>
      </w:pPr>
    </w:p>
    <w:p w:rsidR="00010F0D" w:rsidRPr="002635CB" w:rsidRDefault="00010F0D" w:rsidP="00010F0D">
      <w:pPr>
        <w:tabs>
          <w:tab w:val="left" w:pos="360"/>
        </w:tabs>
        <w:suppressAutoHyphens/>
        <w:jc w:val="center"/>
        <w:rPr>
          <w:rFonts w:ascii="Cambria" w:hAnsi="Cambria"/>
          <w:spacing w:val="-2"/>
          <w:sz w:val="16"/>
          <w:szCs w:val="18"/>
          <w:lang w:val="es-ES"/>
        </w:rPr>
      </w:pPr>
      <w:r w:rsidRPr="002635CB">
        <w:rPr>
          <w:rFonts w:ascii="Cambria" w:hAnsi="Cambria"/>
          <w:spacing w:val="-2"/>
          <w:sz w:val="16"/>
          <w:szCs w:val="18"/>
          <w:lang w:val="es-ES"/>
        </w:rPr>
        <w:t>Adoptado en Belém do Pará, Brasil, el 9 de junio de 1994,</w:t>
      </w:r>
    </w:p>
    <w:p w:rsidR="00010F0D" w:rsidRPr="002635CB" w:rsidRDefault="00010F0D" w:rsidP="00010F0D">
      <w:pPr>
        <w:tabs>
          <w:tab w:val="left" w:pos="360"/>
        </w:tabs>
        <w:suppressAutoHyphens/>
        <w:jc w:val="center"/>
        <w:rPr>
          <w:rFonts w:ascii="Cambria" w:hAnsi="Cambria"/>
          <w:spacing w:val="-2"/>
          <w:sz w:val="16"/>
          <w:szCs w:val="18"/>
          <w:lang w:val="es-ES"/>
        </w:rPr>
      </w:pPr>
      <w:r w:rsidRPr="002635CB">
        <w:rPr>
          <w:rFonts w:ascii="Cambria" w:hAnsi="Cambria"/>
          <w:spacing w:val="-2"/>
          <w:sz w:val="16"/>
          <w:szCs w:val="18"/>
          <w:lang w:val="es-ES"/>
        </w:rPr>
        <w:t>en el vigésimo cuarto período ordinario de sesiones de la Asamblea General</w:t>
      </w:r>
    </w:p>
    <w:p w:rsidR="00010F0D" w:rsidRPr="002635CB" w:rsidRDefault="00010F0D" w:rsidP="00010F0D">
      <w:pPr>
        <w:tabs>
          <w:tab w:val="left" w:pos="360"/>
        </w:tabs>
        <w:suppressAutoHyphens/>
        <w:jc w:val="both"/>
        <w:rPr>
          <w:rFonts w:ascii="Cambria" w:hAnsi="Cambria"/>
          <w:spacing w:val="-2"/>
          <w:sz w:val="18"/>
          <w:szCs w:val="18"/>
          <w:lang w:val="es-ES"/>
        </w:rPr>
      </w:pPr>
    </w:p>
    <w:p w:rsidR="00010F0D" w:rsidRPr="002635CB" w:rsidRDefault="00010F0D" w:rsidP="00010F0D">
      <w:pPr>
        <w:tabs>
          <w:tab w:val="left" w:pos="360"/>
        </w:tabs>
        <w:suppressAutoHyphens/>
        <w:ind w:left="720" w:hanging="180"/>
        <w:jc w:val="both"/>
        <w:rPr>
          <w:rFonts w:ascii="Cambria" w:hAnsi="Cambria"/>
          <w:spacing w:val="-2"/>
          <w:sz w:val="16"/>
          <w:szCs w:val="18"/>
          <w:lang w:val="es-ES"/>
        </w:rPr>
      </w:pPr>
      <w:r w:rsidRPr="002635CB">
        <w:rPr>
          <w:rFonts w:ascii="Cambria" w:hAnsi="Cambria"/>
          <w:spacing w:val="-2"/>
          <w:sz w:val="16"/>
          <w:szCs w:val="18"/>
          <w:lang w:val="es-ES"/>
        </w:rPr>
        <w:t>ENTRADA EN VIGOR:</w:t>
      </w:r>
      <w:r w:rsidRPr="002635CB">
        <w:rPr>
          <w:rFonts w:ascii="Cambria" w:hAnsi="Cambria"/>
          <w:spacing w:val="-2"/>
          <w:sz w:val="16"/>
          <w:szCs w:val="18"/>
          <w:lang w:val="es-ES"/>
        </w:rPr>
        <w:tab/>
      </w:r>
      <w:r w:rsidRPr="002635CB">
        <w:rPr>
          <w:rFonts w:ascii="Cambria" w:hAnsi="Cambria"/>
          <w:spacing w:val="-2"/>
          <w:sz w:val="16"/>
          <w:szCs w:val="18"/>
          <w:lang w:val="es-ES"/>
        </w:rPr>
        <w:tab/>
        <w:t>5 de marzo de 1995, conforme el artículo 21 de la Convención.</w:t>
      </w:r>
    </w:p>
    <w:p w:rsidR="00010F0D" w:rsidRPr="002635CB" w:rsidRDefault="00010F0D" w:rsidP="002635CB">
      <w:pPr>
        <w:pStyle w:val="BodyText"/>
        <w:tabs>
          <w:tab w:val="left" w:pos="360"/>
        </w:tabs>
        <w:spacing w:after="0"/>
        <w:ind w:left="734" w:hanging="187"/>
        <w:jc w:val="both"/>
        <w:rPr>
          <w:rFonts w:ascii="Cambria" w:hAnsi="Cambria"/>
          <w:sz w:val="16"/>
          <w:szCs w:val="18"/>
          <w:lang w:val="es-ES"/>
        </w:rPr>
      </w:pPr>
      <w:r w:rsidRPr="002635CB">
        <w:rPr>
          <w:rFonts w:ascii="Cambria" w:hAnsi="Cambria"/>
          <w:sz w:val="16"/>
          <w:szCs w:val="18"/>
          <w:lang w:val="es-ES"/>
        </w:rPr>
        <w:t xml:space="preserve">DEPOSITARIO:  </w:t>
      </w:r>
      <w:r w:rsidRPr="002635CB">
        <w:rPr>
          <w:rFonts w:ascii="Cambria" w:hAnsi="Cambria"/>
          <w:sz w:val="16"/>
          <w:szCs w:val="18"/>
          <w:lang w:val="es-ES"/>
        </w:rPr>
        <w:tab/>
      </w:r>
      <w:r w:rsidRPr="002635CB">
        <w:rPr>
          <w:rFonts w:ascii="Cambria" w:hAnsi="Cambria"/>
          <w:sz w:val="16"/>
          <w:szCs w:val="18"/>
          <w:lang w:val="es-ES"/>
        </w:rPr>
        <w:tab/>
        <w:t>Secretaría General OEA (Instrumento original y ratificaciones).</w:t>
      </w:r>
    </w:p>
    <w:p w:rsidR="002635CB" w:rsidRDefault="00010F0D" w:rsidP="002635CB">
      <w:pPr>
        <w:pStyle w:val="BodyText"/>
        <w:tabs>
          <w:tab w:val="left" w:pos="360"/>
        </w:tabs>
        <w:spacing w:after="0"/>
        <w:ind w:left="734" w:hanging="187"/>
        <w:jc w:val="both"/>
        <w:rPr>
          <w:rFonts w:ascii="Cambria" w:hAnsi="Cambria"/>
          <w:spacing w:val="-2"/>
          <w:sz w:val="16"/>
          <w:szCs w:val="18"/>
          <w:lang w:val="es-ES"/>
        </w:rPr>
      </w:pPr>
      <w:r w:rsidRPr="002635CB">
        <w:rPr>
          <w:rFonts w:ascii="Cambria" w:hAnsi="Cambria"/>
          <w:spacing w:val="-2"/>
          <w:sz w:val="16"/>
          <w:szCs w:val="18"/>
          <w:lang w:val="es-ES"/>
        </w:rPr>
        <w:t>TEXTO:</w:t>
      </w:r>
      <w:r w:rsidRPr="002635CB">
        <w:rPr>
          <w:rFonts w:ascii="Cambria" w:hAnsi="Cambria"/>
          <w:spacing w:val="-2"/>
          <w:sz w:val="16"/>
          <w:szCs w:val="18"/>
          <w:lang w:val="es-ES"/>
        </w:rPr>
        <w:tab/>
      </w:r>
      <w:r w:rsidRPr="002635CB">
        <w:rPr>
          <w:rFonts w:ascii="Cambria" w:hAnsi="Cambria"/>
          <w:spacing w:val="-2"/>
          <w:sz w:val="16"/>
          <w:szCs w:val="18"/>
          <w:lang w:val="es-ES"/>
        </w:rPr>
        <w:tab/>
      </w:r>
    </w:p>
    <w:p w:rsidR="00010F0D" w:rsidRPr="002635CB" w:rsidRDefault="00010F0D" w:rsidP="002635CB">
      <w:pPr>
        <w:pStyle w:val="BodyText"/>
        <w:tabs>
          <w:tab w:val="left" w:pos="360"/>
        </w:tabs>
        <w:spacing w:after="0"/>
        <w:ind w:left="734" w:hanging="187"/>
        <w:jc w:val="both"/>
        <w:rPr>
          <w:rFonts w:ascii="Cambria" w:hAnsi="Cambria"/>
          <w:spacing w:val="-2"/>
          <w:sz w:val="16"/>
          <w:szCs w:val="18"/>
          <w:lang w:val="es-ES"/>
        </w:rPr>
      </w:pPr>
      <w:r w:rsidRPr="002635CB">
        <w:rPr>
          <w:rFonts w:ascii="Cambria" w:hAnsi="Cambria"/>
          <w:spacing w:val="-2"/>
          <w:sz w:val="16"/>
          <w:szCs w:val="18"/>
          <w:lang w:val="es-ES"/>
        </w:rPr>
        <w:t xml:space="preserve">REGISTRO ONU: </w:t>
      </w:r>
    </w:p>
    <w:p w:rsidR="002C530F" w:rsidRPr="003740AA" w:rsidRDefault="00C00004" w:rsidP="002C530F">
      <w:pPr>
        <w:pStyle w:val="NormalWeb"/>
        <w:tabs>
          <w:tab w:val="left" w:pos="360"/>
        </w:tabs>
        <w:spacing w:before="0" w:beforeAutospacing="0" w:after="0" w:afterAutospacing="0"/>
        <w:jc w:val="center"/>
        <w:rPr>
          <w:rFonts w:ascii="Cambria" w:hAnsi="Cambria"/>
          <w:b/>
          <w:sz w:val="20"/>
          <w:szCs w:val="20"/>
          <w:lang w:val="es-ES"/>
        </w:rPr>
      </w:pPr>
      <w:r>
        <w:rPr>
          <w:noProof/>
        </w:rPr>
        <w:pict>
          <v:shape id="_x0000_s1057" type="#_x0000_t75" style="position:absolute;left:0;text-align:left;margin-left:19.2pt;margin-top:.2pt;width:354.75pt;height:490.5pt;z-index:-5;mso-position-horizontal:absolute;mso-position-horizontal-relative:text;mso-position-vertical:absolute;mso-position-vertical-relative:text;mso-width-relative:page;mso-height-relative:page" wrapcoords="-46 0 -46 21567 21600 21567 21600 0 -46 0">
            <v:imagedata r:id="rId45" o:title="A-61"/>
            <w10:wrap type="tight"/>
          </v:shape>
        </w:pict>
      </w:r>
    </w:p>
    <w:p w:rsidR="00010F0D" w:rsidRPr="00D33D25" w:rsidRDefault="00010F0D" w:rsidP="00010F0D">
      <w:pPr>
        <w:pStyle w:val="titulosCuadros"/>
        <w:rPr>
          <w:color w:val="auto"/>
        </w:rPr>
      </w:pPr>
      <w:r>
        <w:rPr>
          <w:sz w:val="20"/>
          <w:szCs w:val="20"/>
        </w:rPr>
        <w:br w:type="page"/>
      </w:r>
      <w:r w:rsidRPr="00D33D25">
        <w:rPr>
          <w:color w:val="auto"/>
        </w:rPr>
        <w:lastRenderedPageBreak/>
        <w:t>A-60: CONVENCIÓN INTERAMERICANA SOBRE</w:t>
      </w:r>
      <w:r w:rsidR="00822F05" w:rsidRPr="00D33D25">
        <w:rPr>
          <w:color w:val="auto"/>
        </w:rPr>
        <w:br/>
      </w:r>
      <w:r w:rsidRPr="00D33D25">
        <w:rPr>
          <w:color w:val="auto"/>
        </w:rPr>
        <w:t>DESAPARICIÓN FORZADA DE PERSONAS</w:t>
      </w:r>
    </w:p>
    <w:p w:rsidR="00010F0D" w:rsidRDefault="00010F0D" w:rsidP="00010F0D">
      <w:pPr>
        <w:tabs>
          <w:tab w:val="left" w:pos="360"/>
        </w:tabs>
        <w:suppressAutoHyphens/>
        <w:jc w:val="center"/>
        <w:rPr>
          <w:rFonts w:ascii="Cambria" w:hAnsi="Cambria"/>
          <w:b/>
          <w:spacing w:val="-3"/>
          <w:sz w:val="16"/>
          <w:szCs w:val="18"/>
          <w:lang w:val="es-ES"/>
        </w:rPr>
      </w:pPr>
    </w:p>
    <w:p w:rsidR="00010F0D" w:rsidRPr="002635CB" w:rsidRDefault="00010F0D" w:rsidP="00010F0D">
      <w:pPr>
        <w:tabs>
          <w:tab w:val="left" w:pos="360"/>
        </w:tabs>
        <w:suppressAutoHyphens/>
        <w:jc w:val="center"/>
        <w:rPr>
          <w:rFonts w:ascii="Cambria" w:hAnsi="Cambria"/>
          <w:spacing w:val="-3"/>
          <w:sz w:val="16"/>
          <w:szCs w:val="18"/>
          <w:lang w:val="es-ES"/>
        </w:rPr>
      </w:pPr>
      <w:r w:rsidRPr="002635CB">
        <w:rPr>
          <w:rFonts w:ascii="Cambria" w:hAnsi="Cambria"/>
          <w:spacing w:val="-3"/>
          <w:sz w:val="16"/>
          <w:szCs w:val="18"/>
          <w:lang w:val="es-ES"/>
        </w:rPr>
        <w:t xml:space="preserve">Adoptada en Belém do Pará, Brasil, el 9 de junio de 1994, en el </w:t>
      </w:r>
      <w:r w:rsidRPr="002635CB">
        <w:rPr>
          <w:rFonts w:ascii="Cambria" w:hAnsi="Cambria"/>
          <w:spacing w:val="-3"/>
          <w:sz w:val="16"/>
          <w:szCs w:val="18"/>
          <w:lang w:val="es-ES"/>
        </w:rPr>
        <w:br/>
        <w:t>vigésimo cuarto período ordinario de sesiones de la Asamblea General</w:t>
      </w:r>
    </w:p>
    <w:p w:rsidR="00010F0D" w:rsidRPr="002635CB" w:rsidRDefault="00010F0D" w:rsidP="00010F0D">
      <w:pPr>
        <w:tabs>
          <w:tab w:val="left" w:pos="360"/>
        </w:tabs>
        <w:suppressAutoHyphens/>
        <w:jc w:val="both"/>
        <w:rPr>
          <w:rFonts w:ascii="Cambria" w:hAnsi="Cambria"/>
          <w:spacing w:val="-3"/>
          <w:sz w:val="16"/>
          <w:szCs w:val="18"/>
          <w:lang w:val="es-ES"/>
        </w:rPr>
      </w:pPr>
    </w:p>
    <w:p w:rsidR="00010F0D" w:rsidRPr="002635CB" w:rsidRDefault="00010F0D" w:rsidP="00010F0D">
      <w:pPr>
        <w:tabs>
          <w:tab w:val="left" w:pos="360"/>
        </w:tabs>
        <w:suppressAutoHyphens/>
        <w:ind w:firstLine="540"/>
        <w:rPr>
          <w:rFonts w:ascii="Cambria" w:hAnsi="Cambria"/>
          <w:spacing w:val="-3"/>
          <w:sz w:val="16"/>
          <w:szCs w:val="18"/>
          <w:lang w:val="es-ES"/>
        </w:rPr>
      </w:pPr>
      <w:r w:rsidRPr="002635CB">
        <w:rPr>
          <w:rFonts w:ascii="Cambria" w:hAnsi="Cambria"/>
          <w:spacing w:val="-3"/>
          <w:sz w:val="16"/>
          <w:szCs w:val="18"/>
          <w:lang w:val="es-ES"/>
        </w:rPr>
        <w:t>ENTRADA EN VIGOR:</w:t>
      </w:r>
      <w:r w:rsidRPr="002635CB">
        <w:rPr>
          <w:rFonts w:ascii="Cambria" w:hAnsi="Cambria"/>
          <w:spacing w:val="-3"/>
          <w:sz w:val="16"/>
          <w:szCs w:val="18"/>
          <w:lang w:val="es-ES"/>
        </w:rPr>
        <w:tab/>
      </w:r>
      <w:r w:rsidR="002635CB">
        <w:rPr>
          <w:rFonts w:ascii="Cambria" w:hAnsi="Cambria"/>
          <w:spacing w:val="-3"/>
          <w:sz w:val="16"/>
          <w:szCs w:val="18"/>
          <w:lang w:val="es-ES"/>
        </w:rPr>
        <w:tab/>
      </w:r>
      <w:r w:rsidRPr="002635CB">
        <w:rPr>
          <w:rFonts w:ascii="Cambria" w:hAnsi="Cambria"/>
          <w:spacing w:val="-3"/>
          <w:sz w:val="16"/>
          <w:szCs w:val="18"/>
          <w:lang w:val="es-ES"/>
        </w:rPr>
        <w:t>28 de marzo de 1996, conforme el Artículo XX de la Convención.</w:t>
      </w:r>
    </w:p>
    <w:p w:rsidR="00010F0D" w:rsidRPr="002635CB" w:rsidRDefault="00010F0D" w:rsidP="00010F0D">
      <w:pPr>
        <w:tabs>
          <w:tab w:val="left" w:pos="360"/>
        </w:tabs>
        <w:suppressAutoHyphens/>
        <w:ind w:firstLine="540"/>
        <w:rPr>
          <w:rFonts w:ascii="Cambria" w:hAnsi="Cambria"/>
          <w:spacing w:val="-3"/>
          <w:sz w:val="16"/>
          <w:szCs w:val="18"/>
          <w:lang w:val="es-ES"/>
        </w:rPr>
      </w:pPr>
      <w:r w:rsidRPr="002635CB">
        <w:rPr>
          <w:rFonts w:ascii="Cambria" w:hAnsi="Cambria"/>
          <w:spacing w:val="-3"/>
          <w:sz w:val="16"/>
          <w:szCs w:val="18"/>
          <w:lang w:val="es-ES"/>
        </w:rPr>
        <w:t>DEPOSITARIO:</w:t>
      </w:r>
      <w:r w:rsidRPr="002635CB">
        <w:rPr>
          <w:rFonts w:ascii="Cambria" w:hAnsi="Cambria"/>
          <w:spacing w:val="-3"/>
          <w:sz w:val="16"/>
          <w:szCs w:val="18"/>
          <w:lang w:val="es-ES"/>
        </w:rPr>
        <w:tab/>
      </w:r>
      <w:r w:rsidRPr="002635CB">
        <w:rPr>
          <w:rFonts w:ascii="Cambria" w:hAnsi="Cambria"/>
          <w:spacing w:val="-3"/>
          <w:sz w:val="16"/>
          <w:szCs w:val="18"/>
          <w:lang w:val="es-ES"/>
        </w:rPr>
        <w:tab/>
        <w:t>Secretaría General OEA (Instrumento original y ratificaciones).</w:t>
      </w:r>
    </w:p>
    <w:p w:rsidR="00010F0D" w:rsidRPr="002635CB" w:rsidRDefault="00010F0D" w:rsidP="00010F0D">
      <w:pPr>
        <w:tabs>
          <w:tab w:val="left" w:pos="360"/>
        </w:tabs>
        <w:suppressAutoHyphens/>
        <w:ind w:firstLine="540"/>
        <w:rPr>
          <w:rFonts w:ascii="Cambria" w:hAnsi="Cambria"/>
          <w:spacing w:val="-3"/>
          <w:sz w:val="16"/>
          <w:szCs w:val="18"/>
          <w:lang w:val="es-ES"/>
        </w:rPr>
      </w:pPr>
      <w:r w:rsidRPr="002635CB">
        <w:rPr>
          <w:rFonts w:ascii="Cambria" w:hAnsi="Cambria"/>
          <w:spacing w:val="-3"/>
          <w:sz w:val="16"/>
          <w:szCs w:val="18"/>
          <w:lang w:val="es-ES"/>
        </w:rPr>
        <w:t>TEXTO:</w:t>
      </w:r>
      <w:r w:rsidRPr="002635CB">
        <w:rPr>
          <w:rFonts w:ascii="Cambria" w:hAnsi="Cambria"/>
          <w:spacing w:val="-3"/>
          <w:sz w:val="16"/>
          <w:szCs w:val="18"/>
          <w:lang w:val="es-ES"/>
        </w:rPr>
        <w:tab/>
      </w:r>
      <w:r w:rsidRPr="002635CB">
        <w:rPr>
          <w:rFonts w:ascii="Cambria" w:hAnsi="Cambria"/>
          <w:spacing w:val="-3"/>
          <w:sz w:val="16"/>
          <w:szCs w:val="18"/>
          <w:lang w:val="es-ES"/>
        </w:rPr>
        <w:tab/>
      </w:r>
    </w:p>
    <w:p w:rsidR="00010F0D" w:rsidRDefault="00010F0D" w:rsidP="00010F0D">
      <w:pPr>
        <w:tabs>
          <w:tab w:val="left" w:pos="360"/>
        </w:tabs>
        <w:suppressAutoHyphens/>
        <w:ind w:firstLine="540"/>
        <w:rPr>
          <w:rFonts w:ascii="Cambria" w:hAnsi="Cambria"/>
          <w:sz w:val="16"/>
          <w:szCs w:val="18"/>
          <w:lang w:val="es-ES"/>
        </w:rPr>
      </w:pPr>
      <w:r w:rsidRPr="002635CB">
        <w:rPr>
          <w:rFonts w:ascii="Cambria" w:hAnsi="Cambria"/>
          <w:sz w:val="16"/>
          <w:szCs w:val="18"/>
          <w:lang w:val="es-ES"/>
        </w:rPr>
        <w:t>REGISTRO ONU:</w:t>
      </w:r>
    </w:p>
    <w:p w:rsidR="00BC4658" w:rsidRPr="002635CB" w:rsidRDefault="00C40DFD" w:rsidP="00010F0D">
      <w:pPr>
        <w:tabs>
          <w:tab w:val="left" w:pos="360"/>
        </w:tabs>
        <w:suppressAutoHyphens/>
        <w:ind w:firstLine="540"/>
        <w:rPr>
          <w:rFonts w:ascii="Cambria" w:hAnsi="Cambria"/>
          <w:sz w:val="18"/>
          <w:szCs w:val="18"/>
          <w:lang w:val="es-ES"/>
        </w:rPr>
      </w:pPr>
      <w:r>
        <w:rPr>
          <w:noProof/>
        </w:rPr>
        <w:pict>
          <v:shape id="_x0000_s1058" type="#_x0000_t75" style="position:absolute;left:0;text-align:left;margin-left:20.7pt;margin-top:9.05pt;width:355.9pt;height:492.05pt;z-index:-4;mso-position-horizontal-relative:text;mso-position-vertical-relative:text;mso-width-relative:page;mso-height-relative:page" wrapcoords="-45 0 -45 21568 21600 21568 21600 0 -45 0">
            <v:imagedata r:id="rId46" o:title="A-60"/>
            <w10:wrap type="tight"/>
          </v:shape>
        </w:pict>
      </w:r>
    </w:p>
    <w:p w:rsidR="00010F0D" w:rsidRPr="00A31337" w:rsidRDefault="00010F0D" w:rsidP="00BC4658">
      <w:pPr>
        <w:pStyle w:val="Title"/>
        <w:tabs>
          <w:tab w:val="left" w:pos="360"/>
        </w:tabs>
        <w:spacing w:before="0" w:beforeAutospacing="0" w:after="0" w:afterAutospacing="0"/>
        <w:jc w:val="center"/>
        <w:rPr>
          <w:rFonts w:ascii="Cambria" w:hAnsi="Cambria"/>
          <w:b/>
          <w:sz w:val="20"/>
          <w:szCs w:val="20"/>
          <w:lang w:val="es-ES"/>
        </w:rPr>
      </w:pPr>
      <w:bookmarkStart w:id="18" w:name="_GoBack"/>
      <w:bookmarkEnd w:id="18"/>
      <w:r w:rsidRPr="00BC4658">
        <w:rPr>
          <w:sz w:val="20"/>
          <w:szCs w:val="20"/>
          <w:lang w:val="es-ES"/>
        </w:rPr>
        <w:br w:type="page"/>
      </w:r>
      <w:r w:rsidRPr="00A31337">
        <w:rPr>
          <w:rFonts w:ascii="Cambria" w:hAnsi="Cambria"/>
          <w:b/>
          <w:sz w:val="20"/>
          <w:szCs w:val="20"/>
          <w:lang w:val="es-ES"/>
        </w:rPr>
        <w:lastRenderedPageBreak/>
        <w:t>A-65: CONVENCIÓN INTERAMERICANA PARA LA ELIMINACIÓN DE TODAS LAS FORMAS DE DISCRIMINACIÓN CONTRA LAS PERSONAS CON DISCAPACIDAD</w:t>
      </w:r>
    </w:p>
    <w:p w:rsidR="00010F0D" w:rsidRDefault="00010F0D" w:rsidP="00010F0D">
      <w:pPr>
        <w:pStyle w:val="NormalWeb"/>
        <w:tabs>
          <w:tab w:val="left" w:pos="360"/>
        </w:tabs>
        <w:spacing w:before="0" w:beforeAutospacing="0" w:after="0" w:afterAutospacing="0"/>
        <w:jc w:val="center"/>
        <w:rPr>
          <w:rFonts w:ascii="Cambria" w:hAnsi="Cambria"/>
          <w:sz w:val="16"/>
          <w:szCs w:val="18"/>
          <w:lang w:val="es-ES"/>
        </w:rPr>
      </w:pPr>
    </w:p>
    <w:p w:rsidR="00010F0D" w:rsidRDefault="00010F0D" w:rsidP="00010F0D">
      <w:pPr>
        <w:pStyle w:val="NormalWeb"/>
        <w:tabs>
          <w:tab w:val="left" w:pos="360"/>
        </w:tabs>
        <w:spacing w:before="0" w:beforeAutospacing="0" w:after="0" w:afterAutospacing="0"/>
        <w:jc w:val="center"/>
        <w:rPr>
          <w:rFonts w:ascii="Cambria" w:hAnsi="Cambria"/>
          <w:sz w:val="16"/>
          <w:szCs w:val="18"/>
          <w:lang w:val="es-ES"/>
        </w:rPr>
      </w:pPr>
      <w:r w:rsidRPr="002D002B">
        <w:rPr>
          <w:rFonts w:ascii="Cambria" w:hAnsi="Cambria"/>
          <w:sz w:val="16"/>
          <w:szCs w:val="18"/>
          <w:lang w:val="es-ES"/>
        </w:rPr>
        <w:t>Adoptado en Ciu</w:t>
      </w:r>
      <w:r>
        <w:rPr>
          <w:rFonts w:ascii="Cambria" w:hAnsi="Cambria"/>
          <w:sz w:val="16"/>
          <w:szCs w:val="18"/>
          <w:lang w:val="es-ES"/>
        </w:rPr>
        <w:t>dad de Guatemala, Guatemala el 7</w:t>
      </w:r>
      <w:r w:rsidRPr="002D002B">
        <w:rPr>
          <w:rFonts w:ascii="Cambria" w:hAnsi="Cambria"/>
          <w:sz w:val="16"/>
          <w:szCs w:val="18"/>
          <w:lang w:val="es-ES"/>
        </w:rPr>
        <w:t xml:space="preserve"> de junio de 1999, </w:t>
      </w:r>
      <w:r w:rsidRPr="002D002B">
        <w:rPr>
          <w:rFonts w:ascii="Cambria" w:hAnsi="Cambria"/>
          <w:sz w:val="16"/>
          <w:szCs w:val="18"/>
          <w:lang w:val="es-ES"/>
        </w:rPr>
        <w:br/>
        <w:t xml:space="preserve">en el vigésimo noveno período ordinario de </w:t>
      </w:r>
      <w:r>
        <w:rPr>
          <w:rFonts w:ascii="Cambria" w:hAnsi="Cambria"/>
          <w:sz w:val="16"/>
          <w:szCs w:val="18"/>
          <w:lang w:val="es-ES"/>
        </w:rPr>
        <w:t>sesiones de la Asamblea General</w:t>
      </w:r>
    </w:p>
    <w:p w:rsidR="00010F0D" w:rsidRPr="002D002B" w:rsidRDefault="00010F0D" w:rsidP="00010F0D">
      <w:pPr>
        <w:pStyle w:val="NormalWeb"/>
        <w:tabs>
          <w:tab w:val="left" w:pos="360"/>
        </w:tabs>
        <w:spacing w:before="0" w:beforeAutospacing="0" w:after="0" w:afterAutospacing="0"/>
        <w:jc w:val="center"/>
        <w:rPr>
          <w:rFonts w:ascii="Cambria" w:hAnsi="Cambria"/>
          <w:sz w:val="16"/>
          <w:szCs w:val="18"/>
          <w:lang w:val="es-ES"/>
        </w:rPr>
      </w:pPr>
    </w:p>
    <w:p w:rsidR="00010F0D" w:rsidRPr="002D002B" w:rsidRDefault="00010F0D" w:rsidP="00010F0D">
      <w:pPr>
        <w:pStyle w:val="HTMLPreformatted"/>
        <w:tabs>
          <w:tab w:val="left" w:pos="360"/>
        </w:tabs>
        <w:ind w:firstLine="540"/>
        <w:rPr>
          <w:rFonts w:ascii="Cambria" w:hAnsi="Cambria"/>
          <w:sz w:val="16"/>
          <w:szCs w:val="18"/>
          <w:lang w:val="es-ES"/>
        </w:rPr>
      </w:pPr>
      <w:r w:rsidRPr="002D002B">
        <w:rPr>
          <w:rFonts w:ascii="Cambria" w:hAnsi="Cambria"/>
          <w:sz w:val="16"/>
          <w:szCs w:val="18"/>
          <w:lang w:val="es-ES"/>
        </w:rPr>
        <w:t xml:space="preserve">ENTRADA EN VIGOR: </w:t>
      </w:r>
      <w:r>
        <w:rPr>
          <w:rFonts w:ascii="Cambria" w:hAnsi="Cambria"/>
          <w:sz w:val="16"/>
          <w:szCs w:val="18"/>
          <w:lang w:val="es-ES"/>
        </w:rPr>
        <w:tab/>
      </w:r>
      <w:r w:rsidR="00822F05">
        <w:rPr>
          <w:rFonts w:ascii="Cambria" w:hAnsi="Cambria"/>
          <w:sz w:val="16"/>
          <w:szCs w:val="18"/>
          <w:lang w:val="es-ES"/>
        </w:rPr>
        <w:tab/>
      </w:r>
      <w:r w:rsidRPr="002D002B">
        <w:rPr>
          <w:rFonts w:ascii="Cambria" w:hAnsi="Cambria"/>
          <w:sz w:val="16"/>
          <w:szCs w:val="18"/>
          <w:lang w:val="es-ES"/>
        </w:rPr>
        <w:t>14 septiembre 2001.</w:t>
      </w:r>
    </w:p>
    <w:p w:rsidR="00010F0D" w:rsidRPr="002D002B" w:rsidRDefault="00010F0D" w:rsidP="00010F0D">
      <w:pPr>
        <w:pStyle w:val="HTMLPreformatted"/>
        <w:tabs>
          <w:tab w:val="left" w:pos="360"/>
        </w:tabs>
        <w:ind w:firstLine="540"/>
        <w:rPr>
          <w:rFonts w:ascii="Cambria" w:hAnsi="Cambria"/>
          <w:sz w:val="16"/>
          <w:szCs w:val="18"/>
          <w:lang w:val="es-ES"/>
        </w:rPr>
      </w:pPr>
      <w:r w:rsidRPr="002D002B">
        <w:rPr>
          <w:rFonts w:ascii="Cambria" w:hAnsi="Cambria"/>
          <w:sz w:val="16"/>
          <w:szCs w:val="18"/>
          <w:lang w:val="es-ES"/>
        </w:rPr>
        <w:t xml:space="preserve">DEPOSITARIO: </w:t>
      </w:r>
      <w:r>
        <w:rPr>
          <w:rFonts w:ascii="Cambria" w:hAnsi="Cambria"/>
          <w:sz w:val="16"/>
          <w:szCs w:val="18"/>
          <w:lang w:val="es-ES"/>
        </w:rPr>
        <w:tab/>
      </w:r>
      <w:r w:rsidR="00822F05">
        <w:rPr>
          <w:rFonts w:ascii="Cambria" w:hAnsi="Cambria"/>
          <w:sz w:val="16"/>
          <w:szCs w:val="18"/>
          <w:lang w:val="es-ES"/>
        </w:rPr>
        <w:tab/>
      </w:r>
      <w:r w:rsidRPr="002D002B">
        <w:rPr>
          <w:rFonts w:ascii="Cambria" w:hAnsi="Cambria"/>
          <w:sz w:val="16"/>
          <w:szCs w:val="18"/>
          <w:lang w:val="es-ES"/>
        </w:rPr>
        <w:t>Secretaría General OEA (Instrumento original y ratificaciones).</w:t>
      </w:r>
    </w:p>
    <w:p w:rsidR="00010F0D" w:rsidRPr="002D002B" w:rsidRDefault="00010F0D" w:rsidP="00010F0D">
      <w:pPr>
        <w:pStyle w:val="HTMLPreformatted"/>
        <w:tabs>
          <w:tab w:val="left" w:pos="360"/>
        </w:tabs>
        <w:ind w:firstLine="540"/>
        <w:rPr>
          <w:rFonts w:ascii="Cambria" w:hAnsi="Cambria"/>
          <w:sz w:val="16"/>
          <w:szCs w:val="18"/>
          <w:lang w:val="es-ES"/>
        </w:rPr>
      </w:pPr>
      <w:r w:rsidRPr="002D002B">
        <w:rPr>
          <w:rFonts w:ascii="Cambria" w:hAnsi="Cambria"/>
          <w:sz w:val="16"/>
          <w:szCs w:val="18"/>
          <w:lang w:val="es-ES"/>
        </w:rPr>
        <w:t>TEXTO:</w:t>
      </w:r>
    </w:p>
    <w:p w:rsidR="00010F0D" w:rsidRPr="002D002B" w:rsidRDefault="00010F0D" w:rsidP="00010F0D">
      <w:pPr>
        <w:pStyle w:val="HTMLPreformatted"/>
        <w:tabs>
          <w:tab w:val="left" w:pos="360"/>
        </w:tabs>
        <w:ind w:firstLine="540"/>
        <w:rPr>
          <w:rFonts w:ascii="Cambria" w:hAnsi="Cambria"/>
          <w:sz w:val="16"/>
          <w:szCs w:val="18"/>
          <w:lang w:val="es-ES"/>
        </w:rPr>
      </w:pPr>
      <w:r w:rsidRPr="002D002B">
        <w:rPr>
          <w:rFonts w:ascii="Cambria" w:hAnsi="Cambria"/>
          <w:sz w:val="16"/>
          <w:szCs w:val="18"/>
          <w:lang w:val="es-ES"/>
        </w:rPr>
        <w:t>REGISTRO ONU:</w:t>
      </w:r>
    </w:p>
    <w:p w:rsidR="00010F0D" w:rsidRPr="006C23D1" w:rsidRDefault="00C40DFD" w:rsidP="002C530F">
      <w:pPr>
        <w:tabs>
          <w:tab w:val="left" w:pos="360"/>
        </w:tabs>
        <w:suppressAutoHyphens/>
        <w:jc w:val="center"/>
        <w:rPr>
          <w:rFonts w:ascii="Cambria" w:hAnsi="Cambria"/>
          <w:b/>
          <w:sz w:val="18"/>
          <w:szCs w:val="18"/>
          <w:lang w:val="es-ES"/>
        </w:rPr>
      </w:pPr>
      <w:r>
        <w:rPr>
          <w:rFonts w:ascii="Cambria" w:hAnsi="Cambria"/>
          <w:b/>
          <w:sz w:val="18"/>
          <w:szCs w:val="18"/>
          <w:lang w:val="es-ES"/>
        </w:rPr>
        <w:pict>
          <v:shape id="_x0000_i1025" type="#_x0000_t75" style="width:360.6pt;height:498.8pt">
            <v:imagedata r:id="rId47" o:title="A-65"/>
          </v:shape>
        </w:pict>
      </w:r>
    </w:p>
    <w:p w:rsidR="00010F0D" w:rsidRPr="00D33D25" w:rsidRDefault="00010F0D" w:rsidP="00010F0D">
      <w:pPr>
        <w:pStyle w:val="titulosCuadros"/>
        <w:rPr>
          <w:color w:val="auto"/>
        </w:rPr>
      </w:pPr>
      <w:r>
        <w:rPr>
          <w:sz w:val="20"/>
          <w:szCs w:val="20"/>
        </w:rPr>
        <w:br w:type="page"/>
      </w:r>
      <w:r w:rsidRPr="00D33D25">
        <w:rPr>
          <w:color w:val="auto"/>
        </w:rPr>
        <w:lastRenderedPageBreak/>
        <w:t xml:space="preserve">A-68: CONVENCIÓN INTERAMERICANA CONTRA EL RACISMO, </w:t>
      </w:r>
      <w:r w:rsidRPr="00D33D25">
        <w:rPr>
          <w:color w:val="auto"/>
        </w:rPr>
        <w:br/>
        <w:t>LA DISCRIMINACIÓN RACIAL Y FORMAS CONEXAS DE INTOLERANCIA</w:t>
      </w:r>
    </w:p>
    <w:p w:rsidR="00010F0D" w:rsidRPr="00D33D25" w:rsidRDefault="00010F0D" w:rsidP="00010F0D">
      <w:pPr>
        <w:tabs>
          <w:tab w:val="left" w:pos="360"/>
        </w:tabs>
        <w:jc w:val="center"/>
        <w:rPr>
          <w:rFonts w:ascii="Cambria" w:hAnsi="Cambria" w:cs="Tahoma"/>
          <w:b/>
          <w:bCs/>
          <w:sz w:val="16"/>
          <w:szCs w:val="18"/>
          <w:lang w:val="es-ES"/>
        </w:rPr>
      </w:pPr>
    </w:p>
    <w:p w:rsidR="00010F0D" w:rsidRPr="002635CB" w:rsidRDefault="00010F0D" w:rsidP="00010F0D">
      <w:pPr>
        <w:tabs>
          <w:tab w:val="left" w:pos="360"/>
        </w:tabs>
        <w:jc w:val="center"/>
        <w:rPr>
          <w:rFonts w:ascii="Cambria" w:hAnsi="Cambria" w:cs="Tahoma"/>
          <w:bCs/>
          <w:sz w:val="16"/>
          <w:szCs w:val="18"/>
          <w:lang w:val="es-ES"/>
        </w:rPr>
      </w:pPr>
      <w:r w:rsidRPr="002635CB">
        <w:rPr>
          <w:rFonts w:ascii="Cambria" w:hAnsi="Cambria" w:cs="Tahoma"/>
          <w:bCs/>
          <w:sz w:val="16"/>
          <w:szCs w:val="18"/>
          <w:lang w:val="es-ES"/>
        </w:rPr>
        <w:t>Adoptada en La Antigua, Guatemala, el 5 de junio de 2013</w:t>
      </w:r>
      <w:r w:rsidRPr="002635CB">
        <w:rPr>
          <w:rFonts w:ascii="Cambria" w:hAnsi="Cambria" w:cs="Tahoma"/>
          <w:bCs/>
          <w:sz w:val="16"/>
          <w:szCs w:val="18"/>
          <w:lang w:val="es-ES"/>
        </w:rPr>
        <w:br/>
        <w:t>en el c</w:t>
      </w:r>
      <w:r w:rsidRPr="002635CB">
        <w:rPr>
          <w:rFonts w:ascii="Cambria" w:hAnsi="Cambria" w:cs="Tahoma"/>
          <w:sz w:val="16"/>
          <w:szCs w:val="18"/>
          <w:lang w:val="es-ES"/>
        </w:rPr>
        <w:t>uadragésimo tercer período ordinario de sesiones de la Asamblea General</w:t>
      </w:r>
    </w:p>
    <w:p w:rsidR="00010F0D" w:rsidRPr="002635CB" w:rsidRDefault="00010F0D" w:rsidP="00010F0D">
      <w:pPr>
        <w:tabs>
          <w:tab w:val="left" w:pos="360"/>
        </w:tabs>
        <w:jc w:val="both"/>
        <w:rPr>
          <w:rFonts w:ascii="Cambria" w:hAnsi="Cambria" w:cs="Tahoma"/>
          <w:sz w:val="16"/>
          <w:szCs w:val="18"/>
          <w:lang w:val="es-ES"/>
        </w:rPr>
      </w:pPr>
    </w:p>
    <w:p w:rsidR="00010F0D" w:rsidRPr="002635CB" w:rsidRDefault="00010F0D" w:rsidP="002635CB">
      <w:pPr>
        <w:tabs>
          <w:tab w:val="left" w:pos="360"/>
        </w:tabs>
        <w:ind w:left="2160" w:hanging="1710"/>
        <w:jc w:val="both"/>
        <w:rPr>
          <w:rFonts w:ascii="Cambria" w:hAnsi="Cambria" w:cs="Tahoma"/>
          <w:bCs/>
          <w:sz w:val="16"/>
          <w:szCs w:val="18"/>
          <w:lang w:val="es-ES"/>
        </w:rPr>
      </w:pPr>
      <w:r w:rsidRPr="002635CB">
        <w:rPr>
          <w:rFonts w:ascii="Cambria" w:hAnsi="Cambria" w:cs="Tahoma"/>
          <w:bCs/>
          <w:sz w:val="16"/>
          <w:szCs w:val="18"/>
          <w:lang w:val="es-ES"/>
        </w:rPr>
        <w:t xml:space="preserve">Entrada en vigor: </w:t>
      </w:r>
      <w:r w:rsidRPr="002635CB">
        <w:rPr>
          <w:rFonts w:ascii="Cambria" w:hAnsi="Cambria" w:cs="Tahoma"/>
          <w:bCs/>
          <w:sz w:val="16"/>
          <w:szCs w:val="18"/>
          <w:lang w:val="es-ES"/>
        </w:rPr>
        <w:tab/>
        <w:t xml:space="preserve">el trigésimo día a partir de la fecha en que se haya depositado el segundo instrumento de ratificación o adhesión de la Convención en la Secretaría General de la Organización de los Estados Americanos. </w:t>
      </w:r>
    </w:p>
    <w:p w:rsidR="00010F0D" w:rsidRPr="002635CB" w:rsidRDefault="00010F0D" w:rsidP="00010F0D">
      <w:pPr>
        <w:tabs>
          <w:tab w:val="left" w:pos="360"/>
        </w:tabs>
        <w:ind w:firstLine="450"/>
        <w:jc w:val="both"/>
        <w:rPr>
          <w:rFonts w:ascii="Cambria" w:hAnsi="Cambria" w:cs="Tahoma"/>
          <w:bCs/>
          <w:sz w:val="16"/>
          <w:szCs w:val="18"/>
          <w:lang w:val="es-ES"/>
        </w:rPr>
      </w:pPr>
      <w:r w:rsidRPr="002635CB">
        <w:rPr>
          <w:rFonts w:ascii="Cambria" w:hAnsi="Cambria" w:cs="Tahoma"/>
          <w:bCs/>
          <w:sz w:val="16"/>
          <w:szCs w:val="18"/>
          <w:lang w:val="es-ES"/>
        </w:rPr>
        <w:t xml:space="preserve">Depositario: </w:t>
      </w:r>
      <w:r w:rsidR="002635CB">
        <w:rPr>
          <w:rFonts w:ascii="Cambria" w:hAnsi="Cambria" w:cs="Tahoma"/>
          <w:bCs/>
          <w:sz w:val="16"/>
          <w:szCs w:val="18"/>
          <w:lang w:val="es-ES"/>
        </w:rPr>
        <w:tab/>
      </w:r>
      <w:r w:rsidR="002635CB">
        <w:rPr>
          <w:rFonts w:ascii="Cambria" w:hAnsi="Cambria" w:cs="Tahoma"/>
          <w:bCs/>
          <w:sz w:val="16"/>
          <w:szCs w:val="18"/>
          <w:lang w:val="es-ES"/>
        </w:rPr>
        <w:tab/>
      </w:r>
      <w:r w:rsidRPr="002635CB">
        <w:rPr>
          <w:rFonts w:ascii="Cambria" w:hAnsi="Cambria" w:cs="Tahoma"/>
          <w:bCs/>
          <w:sz w:val="16"/>
          <w:szCs w:val="18"/>
          <w:lang w:val="es-ES"/>
        </w:rPr>
        <w:t>Secretaría General OEA (Instrumento original y ratificaciones).</w:t>
      </w:r>
    </w:p>
    <w:p w:rsidR="00010F0D" w:rsidRPr="002635CB" w:rsidRDefault="00010F0D" w:rsidP="00010F0D">
      <w:pPr>
        <w:tabs>
          <w:tab w:val="left" w:pos="360"/>
        </w:tabs>
        <w:ind w:firstLine="450"/>
        <w:jc w:val="both"/>
        <w:rPr>
          <w:rFonts w:ascii="Cambria" w:hAnsi="Cambria" w:cs="Tahoma"/>
          <w:bCs/>
          <w:sz w:val="16"/>
          <w:szCs w:val="18"/>
          <w:lang w:val="es-ES"/>
        </w:rPr>
      </w:pPr>
      <w:r w:rsidRPr="002635CB">
        <w:rPr>
          <w:rFonts w:ascii="Cambria" w:hAnsi="Cambria" w:cs="Tahoma"/>
          <w:bCs/>
          <w:sz w:val="16"/>
          <w:szCs w:val="18"/>
          <w:lang w:val="es-ES"/>
        </w:rPr>
        <w:t xml:space="preserve">Texto: </w:t>
      </w:r>
    </w:p>
    <w:p w:rsidR="00010F0D" w:rsidRPr="002635CB" w:rsidRDefault="00010F0D" w:rsidP="00010F0D">
      <w:pPr>
        <w:shd w:val="clear" w:color="auto" w:fill="FFFFFF"/>
        <w:tabs>
          <w:tab w:val="left" w:pos="360"/>
        </w:tabs>
        <w:ind w:firstLine="450"/>
        <w:rPr>
          <w:rFonts w:ascii="Cambria" w:hAnsi="Cambria" w:cs="Tahoma"/>
          <w:bCs/>
          <w:sz w:val="16"/>
          <w:szCs w:val="18"/>
          <w:lang w:val="es-ES"/>
        </w:rPr>
      </w:pPr>
      <w:r w:rsidRPr="002635CB">
        <w:rPr>
          <w:rFonts w:ascii="Cambria" w:hAnsi="Cambria" w:cs="Tahoma"/>
          <w:bCs/>
          <w:sz w:val="16"/>
          <w:szCs w:val="18"/>
          <w:lang w:val="es-ES"/>
        </w:rPr>
        <w:t>Registro ONU:</w:t>
      </w:r>
    </w:p>
    <w:p w:rsidR="00010F0D" w:rsidRPr="00D33D25" w:rsidRDefault="00C40DFD" w:rsidP="00822F05">
      <w:pPr>
        <w:shd w:val="clear" w:color="auto" w:fill="FFFFFF"/>
        <w:tabs>
          <w:tab w:val="left" w:pos="360"/>
        </w:tabs>
        <w:jc w:val="center"/>
        <w:rPr>
          <w:rFonts w:ascii="Cambria" w:hAnsi="Cambria"/>
          <w:b/>
          <w:sz w:val="22"/>
          <w:szCs w:val="22"/>
          <w:lang w:val="es-ES"/>
        </w:rPr>
      </w:pPr>
      <w:r>
        <w:rPr>
          <w:rFonts w:ascii="Cambria" w:hAnsi="Cambria"/>
          <w:sz w:val="20"/>
          <w:szCs w:val="20"/>
          <w:lang w:val="es-ES"/>
        </w:rPr>
        <w:pict>
          <v:shape id="_x0000_i1026" type="#_x0000_t75" style="width:349.05pt;height:482.7pt">
            <v:imagedata r:id="rId48" o:title="A-68"/>
          </v:shape>
        </w:pict>
      </w:r>
      <w:r w:rsidR="00010F0D">
        <w:rPr>
          <w:rFonts w:ascii="Cambria" w:hAnsi="Cambria"/>
          <w:sz w:val="20"/>
          <w:szCs w:val="20"/>
          <w:lang w:val="es-ES"/>
        </w:rPr>
        <w:br w:type="page"/>
      </w:r>
      <w:r w:rsidR="00010F0D" w:rsidRPr="00D33D25">
        <w:rPr>
          <w:rFonts w:ascii="Cambria" w:hAnsi="Cambria"/>
          <w:b/>
          <w:sz w:val="22"/>
          <w:szCs w:val="22"/>
          <w:lang w:val="es-ES"/>
        </w:rPr>
        <w:lastRenderedPageBreak/>
        <w:t xml:space="preserve">A-69: CONVENCIÓN INTERAMERICANA CONTRA </w:t>
      </w:r>
      <w:r w:rsidR="00010F0D" w:rsidRPr="00D33D25">
        <w:rPr>
          <w:rFonts w:ascii="Cambria" w:hAnsi="Cambria"/>
          <w:b/>
          <w:sz w:val="22"/>
          <w:szCs w:val="22"/>
          <w:lang w:val="es-ES"/>
        </w:rPr>
        <w:br/>
        <w:t>TODA FORMA DE DISCRIMINACIÓN E INTOLERANCIA</w:t>
      </w:r>
    </w:p>
    <w:p w:rsidR="00822F05" w:rsidRDefault="00822F05" w:rsidP="00010F0D">
      <w:pPr>
        <w:tabs>
          <w:tab w:val="left" w:pos="360"/>
        </w:tabs>
        <w:jc w:val="center"/>
        <w:rPr>
          <w:rFonts w:ascii="Cambria" w:hAnsi="Cambria" w:cs="Tahoma"/>
          <w:bCs/>
          <w:sz w:val="16"/>
          <w:szCs w:val="16"/>
          <w:lang w:val="es-ES"/>
        </w:rPr>
      </w:pPr>
    </w:p>
    <w:p w:rsidR="00010F0D" w:rsidRPr="002635CB" w:rsidRDefault="00010F0D" w:rsidP="00010F0D">
      <w:pPr>
        <w:tabs>
          <w:tab w:val="left" w:pos="360"/>
        </w:tabs>
        <w:jc w:val="center"/>
        <w:rPr>
          <w:rFonts w:ascii="Cambria" w:hAnsi="Cambria" w:cs="Tahoma"/>
          <w:sz w:val="16"/>
          <w:szCs w:val="16"/>
          <w:lang w:val="es-ES"/>
        </w:rPr>
      </w:pPr>
      <w:r w:rsidRPr="002635CB">
        <w:rPr>
          <w:rFonts w:ascii="Cambria" w:hAnsi="Cambria" w:cs="Tahoma"/>
          <w:bCs/>
          <w:sz w:val="16"/>
          <w:szCs w:val="16"/>
          <w:lang w:val="es-ES"/>
        </w:rPr>
        <w:t>Adoptada en La Antigua, Guatemala, el 5 de junio de 2013</w:t>
      </w:r>
      <w:r w:rsidRPr="002635CB">
        <w:rPr>
          <w:rFonts w:ascii="Cambria" w:hAnsi="Cambria" w:cs="Tahoma"/>
          <w:bCs/>
          <w:sz w:val="16"/>
          <w:szCs w:val="16"/>
          <w:lang w:val="es-ES"/>
        </w:rPr>
        <w:br/>
        <w:t>en el c</w:t>
      </w:r>
      <w:r w:rsidRPr="002635CB">
        <w:rPr>
          <w:rFonts w:ascii="Cambria" w:hAnsi="Cambria" w:cs="Tahoma"/>
          <w:sz w:val="16"/>
          <w:szCs w:val="16"/>
          <w:lang w:val="es-ES"/>
        </w:rPr>
        <w:t>uadragésimo tercer período ordinario de sesiones de la Asamblea General</w:t>
      </w:r>
    </w:p>
    <w:p w:rsidR="00010F0D" w:rsidRPr="002635CB" w:rsidRDefault="00010F0D" w:rsidP="00010F0D">
      <w:pPr>
        <w:tabs>
          <w:tab w:val="left" w:pos="360"/>
        </w:tabs>
        <w:jc w:val="center"/>
        <w:rPr>
          <w:rFonts w:ascii="Cambria" w:hAnsi="Cambria" w:cs="Tahoma"/>
          <w:bCs/>
          <w:sz w:val="16"/>
          <w:szCs w:val="16"/>
          <w:lang w:val="es-ES"/>
        </w:rPr>
      </w:pPr>
    </w:p>
    <w:p w:rsidR="00010F0D" w:rsidRPr="002635CB" w:rsidRDefault="00010F0D" w:rsidP="00010F0D">
      <w:pPr>
        <w:tabs>
          <w:tab w:val="left" w:pos="360"/>
        </w:tabs>
        <w:ind w:left="2160" w:hanging="1530"/>
        <w:rPr>
          <w:rFonts w:ascii="Cambria" w:hAnsi="Cambria" w:cs="Tahoma"/>
          <w:bCs/>
          <w:sz w:val="16"/>
          <w:szCs w:val="16"/>
          <w:lang w:val="es-ES"/>
        </w:rPr>
      </w:pPr>
      <w:r w:rsidRPr="002635CB">
        <w:rPr>
          <w:rFonts w:ascii="Cambria" w:hAnsi="Cambria" w:cs="Tahoma"/>
          <w:bCs/>
          <w:sz w:val="16"/>
          <w:szCs w:val="16"/>
          <w:lang w:val="es-ES"/>
        </w:rPr>
        <w:t xml:space="preserve">Entrada en vigor: </w:t>
      </w:r>
      <w:r w:rsidRPr="002635CB">
        <w:rPr>
          <w:rFonts w:ascii="Cambria" w:hAnsi="Cambria" w:cs="Tahoma"/>
          <w:bCs/>
          <w:sz w:val="16"/>
          <w:szCs w:val="16"/>
          <w:lang w:val="es-ES"/>
        </w:rPr>
        <w:tab/>
        <w:t>el trigésimo día a partir de la fecha en que se haya depositado el segundo instrumento de ratificación o adhesión de la Convención en la Secretaría General de la Organización de los Estados Americanos.</w:t>
      </w:r>
    </w:p>
    <w:p w:rsidR="00010F0D" w:rsidRPr="002635CB" w:rsidRDefault="00010F0D" w:rsidP="00010F0D">
      <w:pPr>
        <w:tabs>
          <w:tab w:val="left" w:pos="360"/>
        </w:tabs>
        <w:ind w:firstLine="630"/>
        <w:rPr>
          <w:rFonts w:ascii="Cambria" w:hAnsi="Cambria" w:cs="Tahoma"/>
          <w:bCs/>
          <w:sz w:val="16"/>
          <w:szCs w:val="16"/>
          <w:lang w:val="es-ES"/>
        </w:rPr>
      </w:pPr>
      <w:r w:rsidRPr="002635CB">
        <w:rPr>
          <w:rFonts w:ascii="Cambria" w:hAnsi="Cambria" w:cs="Tahoma"/>
          <w:bCs/>
          <w:sz w:val="16"/>
          <w:szCs w:val="16"/>
          <w:lang w:val="es-ES"/>
        </w:rPr>
        <w:t xml:space="preserve">Depositario: </w:t>
      </w:r>
      <w:r w:rsidRPr="002635CB">
        <w:rPr>
          <w:rFonts w:ascii="Cambria" w:hAnsi="Cambria" w:cs="Tahoma"/>
          <w:bCs/>
          <w:sz w:val="16"/>
          <w:szCs w:val="16"/>
          <w:lang w:val="es-ES"/>
        </w:rPr>
        <w:tab/>
        <w:t>Secretaría General OEA (Instrumento original y ratificaciones).</w:t>
      </w:r>
    </w:p>
    <w:p w:rsidR="00010F0D" w:rsidRPr="002635CB" w:rsidRDefault="00010F0D" w:rsidP="00010F0D">
      <w:pPr>
        <w:tabs>
          <w:tab w:val="left" w:pos="360"/>
        </w:tabs>
        <w:ind w:firstLine="630"/>
        <w:rPr>
          <w:rFonts w:ascii="Cambria" w:hAnsi="Cambria" w:cs="Tahoma"/>
          <w:bCs/>
          <w:sz w:val="16"/>
          <w:szCs w:val="16"/>
          <w:lang w:val="es-ES"/>
        </w:rPr>
      </w:pPr>
      <w:r w:rsidRPr="002635CB">
        <w:rPr>
          <w:rFonts w:ascii="Cambria" w:hAnsi="Cambria" w:cs="Tahoma"/>
          <w:bCs/>
          <w:sz w:val="16"/>
          <w:szCs w:val="16"/>
          <w:lang w:val="es-ES"/>
        </w:rPr>
        <w:t xml:space="preserve">Texto: </w:t>
      </w:r>
    </w:p>
    <w:p w:rsidR="00010F0D" w:rsidRDefault="00010F0D" w:rsidP="002635CB">
      <w:pPr>
        <w:ind w:firstLine="630"/>
        <w:rPr>
          <w:rFonts w:ascii="Cambria" w:hAnsi="Cambria" w:cs="Tahoma"/>
          <w:bCs/>
          <w:sz w:val="16"/>
          <w:szCs w:val="16"/>
          <w:lang w:val="es-ES"/>
        </w:rPr>
      </w:pPr>
      <w:r w:rsidRPr="002635CB">
        <w:rPr>
          <w:rFonts w:ascii="Cambria" w:hAnsi="Cambria" w:cs="Tahoma"/>
          <w:bCs/>
          <w:sz w:val="16"/>
          <w:szCs w:val="16"/>
          <w:lang w:val="es-ES"/>
        </w:rPr>
        <w:t>Registro ONU:</w:t>
      </w:r>
    </w:p>
    <w:p w:rsidR="00BC4658" w:rsidRDefault="00BC4658" w:rsidP="002635CB">
      <w:pPr>
        <w:ind w:firstLine="630"/>
        <w:rPr>
          <w:rFonts w:ascii="Cambria" w:hAnsi="Cambria" w:cs="Tahoma"/>
          <w:bCs/>
          <w:sz w:val="16"/>
          <w:szCs w:val="16"/>
          <w:lang w:val="es-ES"/>
        </w:rPr>
      </w:pPr>
    </w:p>
    <w:p w:rsidR="002C530F" w:rsidRPr="002635CB" w:rsidRDefault="00C00004" w:rsidP="002635CB">
      <w:pPr>
        <w:ind w:firstLine="630"/>
        <w:rPr>
          <w:rFonts w:ascii="Cambria" w:hAnsi="Cambria"/>
          <w:sz w:val="16"/>
          <w:szCs w:val="16"/>
          <w:lang w:val="es-ES"/>
        </w:rPr>
      </w:pPr>
      <w:r>
        <w:rPr>
          <w:noProof/>
        </w:rPr>
        <w:pict>
          <v:shape id="_x0000_s1059" type="#_x0000_t75" style="position:absolute;left:0;text-align:left;margin-left:31.2pt;margin-top:.2pt;width:351pt;height:485.25pt;z-index:-3;mso-position-horizontal:absolute;mso-position-horizontal-relative:text;mso-position-vertical:absolute;mso-position-vertical-relative:text;mso-width-relative:page;mso-height-relative:page" wrapcoords="-46 0 -46 21567 21600 21567 21600 0 -46 0">
            <v:imagedata r:id="rId49" o:title="A-69"/>
            <w10:wrap type="tight"/>
          </v:shape>
        </w:pict>
      </w:r>
    </w:p>
    <w:sectPr w:rsidR="002C530F" w:rsidRPr="002635CB" w:rsidSect="00543111">
      <w:pgSz w:w="10325" w:h="14573" w:code="13"/>
      <w:pgMar w:top="1152" w:right="1152" w:bottom="1152"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004" w:rsidRDefault="00C00004">
      <w:r>
        <w:separator/>
      </w:r>
    </w:p>
  </w:endnote>
  <w:endnote w:type="continuationSeparator" w:id="0">
    <w:p w:rsidR="00C00004" w:rsidRDefault="00C00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eeza Pro">
    <w:altName w:val="Times New Roman"/>
    <w:charset w:val="00"/>
    <w:family w:val="auto"/>
    <w:pitch w:val="default"/>
  </w:font>
  <w:font w:name="Frutiger 47LightCn">
    <w:altName w:val="Frutiger 47Ligh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Default="0054311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rsidP="00F010D6">
    <w:pPr>
      <w:pStyle w:val="Footer"/>
      <w:jc w:val="right"/>
      <w:rPr>
        <w:rFonts w:ascii="Calibri" w:hAnsi="Calibri"/>
        <w:color w:val="4A442A"/>
        <w:sz w:val="14"/>
        <w:szCs w:val="14"/>
        <w:lang w:val="es-ES"/>
      </w:rPr>
    </w:pPr>
  </w:p>
  <w:p w:rsidR="00543111" w:rsidRDefault="00543111" w:rsidP="00F010D6">
    <w:pPr>
      <w:pStyle w:val="Footer"/>
      <w:jc w:val="right"/>
      <w:rPr>
        <w:rFonts w:ascii="Calibri" w:hAnsi="Calibri"/>
        <w:color w:val="4A442A"/>
        <w:sz w:val="14"/>
        <w:szCs w:val="14"/>
        <w:lang w:val="es-ES"/>
      </w:rPr>
    </w:pPr>
  </w:p>
  <w:p w:rsidR="0054614D" w:rsidRPr="003B69B1" w:rsidRDefault="0054614D" w:rsidP="00F010D6">
    <w:pPr>
      <w:pStyle w:val="Footer"/>
      <w:jc w:val="right"/>
      <w:rPr>
        <w:rFonts w:ascii="Calibri" w:hAnsi="Calibri"/>
        <w:color w:val="4A442A"/>
        <w:sz w:val="14"/>
        <w:szCs w:val="14"/>
        <w:lang w:val="es-ES"/>
      </w:rPr>
    </w:pPr>
  </w:p>
  <w:p w:rsidR="00543111" w:rsidRPr="003B69B1" w:rsidRDefault="00543111" w:rsidP="00F010D6">
    <w:pPr>
      <w:pStyle w:val="Footer"/>
      <w:jc w:val="right"/>
      <w:rPr>
        <w:rFonts w:ascii="Calibri" w:hAnsi="Calibri"/>
        <w:color w:val="4A442A"/>
        <w:sz w:val="14"/>
        <w:szCs w:val="14"/>
        <w:lang w:val="es-ES"/>
      </w:rPr>
    </w:pPr>
    <w:r w:rsidRPr="003B69B1">
      <w:rPr>
        <w:rFonts w:ascii="Calibri" w:hAnsi="Calibri"/>
        <w:color w:val="4A442A"/>
        <w:sz w:val="14"/>
        <w:szCs w:val="14"/>
        <w:lang w:val="es-ES"/>
      </w:rPr>
      <w:t xml:space="preserve">Comisión Interamericana de Derechos Humanos  | </w:t>
    </w:r>
    <w:r w:rsidRPr="003B69B1">
      <w:rPr>
        <w:rFonts w:ascii="Calibri" w:hAnsi="Calibri"/>
        <w:b/>
        <w:color w:val="4A442A"/>
        <w:sz w:val="14"/>
        <w:szCs w:val="14"/>
        <w:lang w:val="es-ES"/>
      </w:rPr>
      <w:t>CIDH</w:t>
    </w:r>
    <w:r w:rsidRPr="003B69B1">
      <w:rPr>
        <w:rFonts w:ascii="Calibri" w:hAnsi="Calibri"/>
        <w:color w:val="4A442A"/>
        <w:sz w:val="14"/>
        <w:szCs w:val="14"/>
        <w:lang w:val="es-ES"/>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8B2EEC" w:rsidRDefault="00543111" w:rsidP="008B2EE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822F05" w:rsidRDefault="00543111" w:rsidP="00822F0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822F05" w:rsidRDefault="00543111" w:rsidP="00822F0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444C71" w:rsidRDefault="00543111" w:rsidP="00822F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6B3828" w:rsidRDefault="00543111" w:rsidP="006B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Default="00543111" w:rsidP="00884208">
    <w:pPr>
      <w:pStyle w:val="Footer"/>
      <w:rPr>
        <w:rFonts w:ascii="Calibri" w:hAnsi="Calibri"/>
        <w:color w:val="4A442A"/>
        <w:sz w:val="16"/>
        <w:szCs w:val="16"/>
        <w:lang w:val="es-ES"/>
      </w:rPr>
    </w:pPr>
  </w:p>
  <w:p w:rsidR="0054614D" w:rsidRDefault="0054614D" w:rsidP="00884208">
    <w:pPr>
      <w:pStyle w:val="Footer"/>
      <w:rPr>
        <w:rFonts w:ascii="Calibri" w:hAnsi="Calibri"/>
        <w:color w:val="4A442A"/>
        <w:sz w:val="16"/>
        <w:szCs w:val="16"/>
        <w:lang w:val="es-ES"/>
      </w:rPr>
    </w:pPr>
  </w:p>
  <w:p w:rsidR="00543111" w:rsidRDefault="00543111" w:rsidP="00884208">
    <w:pPr>
      <w:pStyle w:val="Footer"/>
      <w:rPr>
        <w:rFonts w:ascii="Calibri" w:hAnsi="Calibri"/>
        <w:color w:val="4A442A"/>
        <w:sz w:val="16"/>
        <w:szCs w:val="16"/>
        <w:lang w:val="es-ES"/>
      </w:rPr>
    </w:pPr>
  </w:p>
  <w:p w:rsidR="00543111" w:rsidRPr="003B69B1" w:rsidRDefault="00543111" w:rsidP="00884208">
    <w:pPr>
      <w:pStyle w:val="Footer"/>
      <w:rPr>
        <w:rFonts w:ascii="Calibri" w:hAnsi="Calibri"/>
        <w:color w:val="4A442A"/>
        <w:sz w:val="14"/>
        <w:szCs w:val="14"/>
        <w:lang w:val="es-ES"/>
      </w:rPr>
    </w:pPr>
    <w:r w:rsidRPr="003B69B1">
      <w:rPr>
        <w:rFonts w:ascii="Calibri" w:hAnsi="Calibri"/>
        <w:color w:val="4A442A"/>
        <w:sz w:val="14"/>
        <w:szCs w:val="14"/>
        <w:lang w:val="es-ES"/>
      </w:rPr>
      <w:t xml:space="preserve">Organización de los Estados Americanos  | </w:t>
    </w:r>
    <w:r w:rsidRPr="003B69B1">
      <w:rPr>
        <w:rFonts w:ascii="Calibri" w:hAnsi="Calibri"/>
        <w:b/>
        <w:color w:val="4A442A"/>
        <w:sz w:val="14"/>
        <w:szCs w:val="14"/>
        <w:lang w:val="es-ES"/>
      </w:rPr>
      <w:t>OEA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Default="00543111" w:rsidP="002A0750">
    <w:pPr>
      <w:pStyle w:val="Footer"/>
      <w:jc w:val="right"/>
      <w:rPr>
        <w:rFonts w:ascii="Calibri" w:hAnsi="Calibri"/>
        <w:color w:val="4A442A"/>
        <w:sz w:val="16"/>
        <w:szCs w:val="16"/>
        <w:lang w:val="es-ES"/>
      </w:rPr>
    </w:pPr>
  </w:p>
  <w:p w:rsidR="0054614D" w:rsidRDefault="0054614D" w:rsidP="002A0750">
    <w:pPr>
      <w:pStyle w:val="Footer"/>
      <w:jc w:val="right"/>
      <w:rPr>
        <w:rFonts w:ascii="Calibri" w:hAnsi="Calibri"/>
        <w:color w:val="4A442A"/>
        <w:sz w:val="16"/>
        <w:szCs w:val="16"/>
        <w:lang w:val="es-ES"/>
      </w:rPr>
    </w:pPr>
  </w:p>
  <w:p w:rsidR="00543111" w:rsidRDefault="00543111" w:rsidP="002A0750">
    <w:pPr>
      <w:pStyle w:val="Footer"/>
      <w:jc w:val="right"/>
      <w:rPr>
        <w:rFonts w:ascii="Calibri" w:hAnsi="Calibri"/>
        <w:color w:val="4A442A"/>
        <w:sz w:val="16"/>
        <w:szCs w:val="16"/>
        <w:lang w:val="es-ES"/>
      </w:rPr>
    </w:pPr>
  </w:p>
  <w:p w:rsidR="00543111" w:rsidRPr="003B69B1" w:rsidRDefault="00543111" w:rsidP="002A0750">
    <w:pPr>
      <w:pStyle w:val="Footer"/>
      <w:jc w:val="right"/>
      <w:rPr>
        <w:rFonts w:ascii="Calibri" w:hAnsi="Calibri"/>
        <w:color w:val="4A442A"/>
        <w:sz w:val="14"/>
        <w:szCs w:val="14"/>
        <w:lang w:val="es-ES"/>
      </w:rPr>
    </w:pPr>
    <w:r w:rsidRPr="003B69B1">
      <w:rPr>
        <w:rFonts w:ascii="Calibri" w:hAnsi="Calibri"/>
        <w:color w:val="4A442A"/>
        <w:sz w:val="14"/>
        <w:szCs w:val="14"/>
        <w:lang w:val="es-ES"/>
      </w:rPr>
      <w:t xml:space="preserve">Comisión Interamericana de Derechos Humanos  | </w:t>
    </w:r>
    <w:r w:rsidRPr="003B69B1">
      <w:rPr>
        <w:rFonts w:ascii="Calibri" w:hAnsi="Calibri"/>
        <w:b/>
        <w:color w:val="4A442A"/>
        <w:sz w:val="14"/>
        <w:szCs w:val="14"/>
        <w:lang w:val="es-ES"/>
      </w:rPr>
      <w:t>CIDH</w:t>
    </w:r>
    <w:r w:rsidRPr="003B69B1">
      <w:rPr>
        <w:rFonts w:ascii="Calibri" w:hAnsi="Calibri"/>
        <w:color w:val="4A442A"/>
        <w:sz w:val="14"/>
        <w:szCs w:val="14"/>
        <w:lang w:val="es-E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CB7C09" w:rsidRDefault="00543111" w:rsidP="00CB7C0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rsidP="002A0750">
    <w:pPr>
      <w:pStyle w:val="Footer"/>
      <w:jc w:val="right"/>
      <w:rPr>
        <w:rFonts w:ascii="Calibri" w:hAnsi="Calibri"/>
        <w:color w:val="4A442A"/>
        <w:sz w:val="14"/>
        <w:szCs w:val="14"/>
        <w:lang w:val="es-ES"/>
      </w:rPr>
    </w:pPr>
  </w:p>
  <w:p w:rsidR="00543111" w:rsidRDefault="00543111" w:rsidP="002A0750">
    <w:pPr>
      <w:pStyle w:val="Footer"/>
      <w:jc w:val="right"/>
      <w:rPr>
        <w:rFonts w:ascii="Calibri" w:hAnsi="Calibri"/>
        <w:color w:val="4A442A"/>
        <w:sz w:val="14"/>
        <w:szCs w:val="14"/>
        <w:lang w:val="es-ES"/>
      </w:rPr>
    </w:pPr>
  </w:p>
  <w:p w:rsidR="0054614D" w:rsidRPr="003B69B1" w:rsidRDefault="0054614D" w:rsidP="002A0750">
    <w:pPr>
      <w:pStyle w:val="Footer"/>
      <w:jc w:val="right"/>
      <w:rPr>
        <w:rFonts w:ascii="Calibri" w:hAnsi="Calibri"/>
        <w:color w:val="4A442A"/>
        <w:sz w:val="14"/>
        <w:szCs w:val="14"/>
        <w:lang w:val="es-ES"/>
      </w:rPr>
    </w:pPr>
  </w:p>
  <w:p w:rsidR="00543111" w:rsidRPr="003B69B1" w:rsidRDefault="00543111" w:rsidP="002A0750">
    <w:pPr>
      <w:pStyle w:val="Footer"/>
      <w:jc w:val="right"/>
      <w:rPr>
        <w:rFonts w:ascii="Calibri" w:hAnsi="Calibri"/>
        <w:color w:val="4A442A"/>
        <w:sz w:val="14"/>
        <w:szCs w:val="14"/>
        <w:lang w:val="es-ES"/>
      </w:rPr>
    </w:pPr>
    <w:r w:rsidRPr="003B69B1">
      <w:rPr>
        <w:rFonts w:ascii="Calibri" w:hAnsi="Calibri"/>
        <w:color w:val="4A442A"/>
        <w:sz w:val="14"/>
        <w:szCs w:val="14"/>
        <w:lang w:val="es-ES"/>
      </w:rPr>
      <w:t xml:space="preserve">Comisión Interamericana de Derechos Humanos  | </w:t>
    </w:r>
    <w:r w:rsidRPr="003B69B1">
      <w:rPr>
        <w:rFonts w:ascii="Calibri" w:hAnsi="Calibri"/>
        <w:b/>
        <w:color w:val="4A442A"/>
        <w:sz w:val="14"/>
        <w:szCs w:val="14"/>
        <w:lang w:val="es-ES"/>
      </w:rPr>
      <w:t>CIDH</w:t>
    </w:r>
    <w:r w:rsidRPr="003B69B1">
      <w:rPr>
        <w:rFonts w:ascii="Calibri" w:hAnsi="Calibri"/>
        <w:color w:val="4A442A"/>
        <w:sz w:val="14"/>
        <w:szCs w:val="14"/>
        <w:lang w:val="es-ES"/>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C12992" w:rsidRDefault="00543111" w:rsidP="00C12992">
    <w:pPr>
      <w:pStyle w:val="Foote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Default="00543111" w:rsidP="00C12992">
    <w:pPr>
      <w:pStyle w:val="Footer"/>
      <w:jc w:val="right"/>
      <w:rPr>
        <w:rFonts w:ascii="Calibri" w:hAnsi="Calibri"/>
        <w:color w:val="4A442A"/>
        <w:sz w:val="14"/>
        <w:szCs w:val="14"/>
        <w:lang w:val="es-ES"/>
      </w:rPr>
    </w:pPr>
  </w:p>
  <w:p w:rsidR="0054614D" w:rsidRPr="003B69B1" w:rsidRDefault="0054614D" w:rsidP="00C12992">
    <w:pPr>
      <w:pStyle w:val="Footer"/>
      <w:jc w:val="right"/>
      <w:rPr>
        <w:rFonts w:ascii="Calibri" w:hAnsi="Calibri"/>
        <w:color w:val="4A442A"/>
        <w:sz w:val="14"/>
        <w:szCs w:val="14"/>
        <w:lang w:val="es-ES"/>
      </w:rPr>
    </w:pPr>
  </w:p>
  <w:p w:rsidR="00543111" w:rsidRPr="003B69B1" w:rsidRDefault="00543111" w:rsidP="00C12992">
    <w:pPr>
      <w:pStyle w:val="Footer"/>
      <w:jc w:val="right"/>
      <w:rPr>
        <w:rFonts w:ascii="Calibri" w:hAnsi="Calibri"/>
        <w:color w:val="4A442A"/>
        <w:sz w:val="14"/>
        <w:szCs w:val="14"/>
        <w:lang w:val="es-ES"/>
      </w:rPr>
    </w:pPr>
  </w:p>
  <w:p w:rsidR="00543111" w:rsidRPr="003B69B1" w:rsidRDefault="00543111" w:rsidP="00C12992">
    <w:pPr>
      <w:pStyle w:val="Footer"/>
      <w:jc w:val="right"/>
      <w:rPr>
        <w:rFonts w:ascii="Calibri" w:hAnsi="Calibri"/>
        <w:color w:val="4A442A"/>
        <w:sz w:val="14"/>
        <w:szCs w:val="14"/>
        <w:lang w:val="es-ES"/>
      </w:rPr>
    </w:pPr>
    <w:r w:rsidRPr="003B69B1">
      <w:rPr>
        <w:rFonts w:ascii="Calibri" w:hAnsi="Calibri"/>
        <w:color w:val="4A442A"/>
        <w:sz w:val="14"/>
        <w:szCs w:val="14"/>
        <w:lang w:val="es-ES"/>
      </w:rPr>
      <w:t xml:space="preserve">Comisión Interamericana de Derechos Humanos  | </w:t>
    </w:r>
    <w:r w:rsidRPr="003B69B1">
      <w:rPr>
        <w:rFonts w:ascii="Calibri" w:hAnsi="Calibri"/>
        <w:b/>
        <w:color w:val="4A442A"/>
        <w:sz w:val="14"/>
        <w:szCs w:val="14"/>
        <w:lang w:val="es-ES"/>
      </w:rPr>
      <w:t>CIDH</w:t>
    </w:r>
    <w:r w:rsidRPr="003B69B1">
      <w:rPr>
        <w:rFonts w:ascii="Calibri" w:hAnsi="Calibri"/>
        <w:color w:val="4A442A"/>
        <w:sz w:val="14"/>
        <w:szCs w:val="14"/>
        <w:lang w:val="es-ES"/>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F010D6" w:rsidRDefault="00543111" w:rsidP="00F010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004" w:rsidRPr="00B63B41" w:rsidRDefault="00C00004" w:rsidP="00B63B41">
      <w:pPr>
        <w:rPr>
          <w:rFonts w:ascii="Calibri" w:hAnsi="Calibri"/>
          <w:color w:val="808080"/>
          <w:sz w:val="16"/>
          <w:szCs w:val="16"/>
        </w:rPr>
      </w:pPr>
      <w:r w:rsidRPr="00B63B41">
        <w:rPr>
          <w:rFonts w:ascii="Calibri" w:hAnsi="Calibri"/>
          <w:color w:val="808080"/>
          <w:sz w:val="16"/>
          <w:szCs w:val="16"/>
        </w:rPr>
        <w:continuationSeparator/>
      </w:r>
    </w:p>
    <w:p w:rsidR="00C00004" w:rsidRPr="00B63B41" w:rsidRDefault="00C00004" w:rsidP="00B63B41">
      <w:pPr>
        <w:pStyle w:val="Footer"/>
        <w:rPr>
          <w:sz w:val="16"/>
          <w:szCs w:val="16"/>
        </w:rPr>
      </w:pPr>
    </w:p>
  </w:footnote>
  <w:footnote w:type="continuationSeparator" w:id="0">
    <w:p w:rsidR="00C00004" w:rsidRPr="00B63B41" w:rsidRDefault="00C00004" w:rsidP="004D67BC">
      <w:pPr>
        <w:rPr>
          <w:rFonts w:ascii="Calibri" w:hAnsi="Calibri"/>
          <w:color w:val="808080"/>
          <w:sz w:val="16"/>
          <w:szCs w:val="16"/>
        </w:rPr>
      </w:pPr>
      <w:r w:rsidRPr="00B63B41">
        <w:rPr>
          <w:rFonts w:ascii="Calibri" w:hAnsi="Calibri"/>
          <w:color w:val="808080"/>
          <w:sz w:val="16"/>
          <w:szCs w:val="16"/>
        </w:rPr>
        <w:continuationSeparator/>
      </w:r>
    </w:p>
    <w:p w:rsidR="00C00004" w:rsidRPr="00B63B41" w:rsidRDefault="00C00004" w:rsidP="004D67BC">
      <w:pPr>
        <w:pStyle w:val="Footer"/>
        <w:rPr>
          <w:sz w:val="16"/>
          <w:szCs w:val="16"/>
        </w:rPr>
      </w:pPr>
    </w:p>
  </w:footnote>
  <w:footnote w:id="1">
    <w:p w:rsidR="00543111" w:rsidRPr="00EB1FC4" w:rsidRDefault="00543111" w:rsidP="0054614D">
      <w:pPr>
        <w:pStyle w:val="FootnoteText"/>
        <w:ind w:left="547" w:hanging="547"/>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Por ejemplo, CIDH, </w:t>
      </w:r>
      <w:r w:rsidRPr="00EF1493">
        <w:rPr>
          <w:rFonts w:ascii="Calibri" w:hAnsi="Calibri"/>
          <w:i/>
          <w:sz w:val="16"/>
          <w:szCs w:val="16"/>
          <w:lang w:val="es-ES"/>
        </w:rPr>
        <w:t>Informe Anual 2013</w:t>
      </w:r>
      <w:r w:rsidRPr="00EB1FC4">
        <w:rPr>
          <w:rFonts w:ascii="Calibri" w:hAnsi="Calibri"/>
          <w:sz w:val="16"/>
          <w:szCs w:val="16"/>
          <w:lang w:val="es-ES"/>
        </w:rPr>
        <w:t xml:space="preserve">, Capítulo IV(A)(2), </w:t>
      </w:r>
      <w:r w:rsidRPr="00EB1FC4">
        <w:rPr>
          <w:rFonts w:ascii="Calibri" w:hAnsi="Calibri"/>
          <w:i/>
          <w:sz w:val="16"/>
          <w:szCs w:val="16"/>
          <w:lang w:val="es-ES"/>
        </w:rPr>
        <w:t>Panorama sobre la ratificación universal, incorporación de estándares, control de convencionalidad, y cumplimiento de recomendaciones y decisiones de la CIDH</w:t>
      </w:r>
      <w:r w:rsidRPr="00EB1FC4">
        <w:rPr>
          <w:rFonts w:ascii="Calibri" w:hAnsi="Calibri"/>
          <w:sz w:val="16"/>
          <w:szCs w:val="16"/>
          <w:lang w:val="es-ES"/>
        </w:rPr>
        <w:t xml:space="preserve">, párrs. 56-71; CIDH, </w:t>
      </w:r>
      <w:r w:rsidRPr="00EF1493">
        <w:rPr>
          <w:rFonts w:ascii="Calibri" w:hAnsi="Calibri"/>
          <w:i/>
          <w:sz w:val="16"/>
          <w:szCs w:val="16"/>
          <w:lang w:val="es-ES"/>
        </w:rPr>
        <w:t>Informe Anual 2012</w:t>
      </w:r>
      <w:r w:rsidRPr="00EB1FC4">
        <w:rPr>
          <w:rFonts w:ascii="Calibri" w:hAnsi="Calibri"/>
          <w:sz w:val="16"/>
          <w:szCs w:val="16"/>
          <w:lang w:val="es-ES"/>
        </w:rPr>
        <w:t xml:space="preserve">, Introducción, </w:t>
      </w:r>
      <w:r w:rsidRPr="00EB1FC4">
        <w:rPr>
          <w:rFonts w:ascii="Calibri" w:hAnsi="Calibri" w:cs="Tahoma"/>
          <w:sz w:val="16"/>
          <w:szCs w:val="16"/>
          <w:lang w:val="es-ES"/>
        </w:rPr>
        <w:t xml:space="preserve">OEA/Ser.L/V/II.147 Doc. 1, 5 de marzo de 2013, párr. 19; CIDH, </w:t>
      </w:r>
      <w:r w:rsidRPr="00EF1493">
        <w:rPr>
          <w:rFonts w:ascii="Calibri" w:hAnsi="Calibri" w:cs="Tahoma"/>
          <w:i/>
          <w:sz w:val="16"/>
          <w:szCs w:val="16"/>
          <w:lang w:val="es-ES"/>
        </w:rPr>
        <w:t>Informe Anual 2010</w:t>
      </w:r>
      <w:r w:rsidRPr="00EB1FC4">
        <w:rPr>
          <w:rFonts w:ascii="Calibri" w:hAnsi="Calibri" w:cs="Tahoma"/>
          <w:sz w:val="16"/>
          <w:szCs w:val="16"/>
          <w:lang w:val="es-ES"/>
        </w:rPr>
        <w:t xml:space="preserve">, Introducción, </w:t>
      </w:r>
      <w:r w:rsidRPr="00EB1FC4">
        <w:rPr>
          <w:rFonts w:ascii="Calibri" w:hAnsi="Calibri"/>
          <w:sz w:val="16"/>
          <w:szCs w:val="16"/>
          <w:lang w:val="es-ES"/>
        </w:rPr>
        <w:t xml:space="preserve">OEA/Ser.L/V/II. Doc. 5 corr. 1, 7 de marzo de 2011, </w:t>
      </w:r>
      <w:r w:rsidRPr="00EB1FC4">
        <w:rPr>
          <w:rFonts w:ascii="Calibri" w:hAnsi="Calibri" w:cs="Tahoma"/>
          <w:sz w:val="16"/>
          <w:szCs w:val="16"/>
          <w:lang w:val="es-ES"/>
        </w:rPr>
        <w:t>párr. 21.</w:t>
      </w:r>
    </w:p>
  </w:footnote>
  <w:footnote w:id="2">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CIDH, </w:t>
      </w:r>
      <w:r w:rsidRPr="00EF1493">
        <w:rPr>
          <w:rFonts w:ascii="Calibri" w:hAnsi="Calibri"/>
          <w:i/>
          <w:sz w:val="16"/>
          <w:szCs w:val="16"/>
          <w:lang w:val="es-ES"/>
        </w:rPr>
        <w:t>Informe Anual 2013</w:t>
      </w:r>
      <w:r w:rsidRPr="00EB1FC4">
        <w:rPr>
          <w:rFonts w:ascii="Calibri" w:hAnsi="Calibri"/>
          <w:sz w:val="16"/>
          <w:szCs w:val="16"/>
          <w:lang w:val="es-ES"/>
        </w:rPr>
        <w:t xml:space="preserve">, Capítulo IV(A)(2), </w:t>
      </w:r>
      <w:r w:rsidRPr="00EB1FC4">
        <w:rPr>
          <w:rFonts w:ascii="Calibri" w:hAnsi="Calibri"/>
          <w:i/>
          <w:sz w:val="16"/>
          <w:szCs w:val="16"/>
          <w:lang w:val="es-ES"/>
        </w:rPr>
        <w:t>Panorama sobre la ratificación universal, incorporación de estándares, control de convencionalidad, y cumplimiento de recomendaciones y decisiones de la CIDH</w:t>
      </w:r>
      <w:r w:rsidRPr="00EB1FC4">
        <w:rPr>
          <w:rFonts w:ascii="Calibri" w:hAnsi="Calibri"/>
          <w:sz w:val="16"/>
          <w:szCs w:val="16"/>
          <w:lang w:val="es-ES"/>
        </w:rPr>
        <w:t xml:space="preserve">, </w:t>
      </w:r>
      <w:r w:rsidR="0054614D">
        <w:rPr>
          <w:rFonts w:ascii="Calibri" w:hAnsi="Calibri"/>
          <w:sz w:val="16"/>
          <w:szCs w:val="16"/>
          <w:lang w:val="es-ES"/>
        </w:rPr>
        <w:br/>
      </w:r>
      <w:r w:rsidRPr="00EB1FC4">
        <w:rPr>
          <w:rFonts w:ascii="Calibri" w:hAnsi="Calibri"/>
          <w:sz w:val="16"/>
          <w:szCs w:val="16"/>
          <w:lang w:val="es-ES"/>
        </w:rPr>
        <w:t>párr. 56.</w:t>
      </w:r>
    </w:p>
  </w:footnote>
  <w:footnote w:id="3">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CIDH, Plan Estratégico 2011-2015, Parte I, página 41.</w:t>
      </w:r>
    </w:p>
  </w:footnote>
  <w:footnote w:id="4">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CIDH, Plan Estratégico 2011-2015, Parte I, página 36.</w:t>
      </w:r>
    </w:p>
  </w:footnote>
  <w:footnote w:id="5">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Véase por ejemplo, CIDH, Comunicado de Prensa, No. 62/07, </w:t>
      </w:r>
      <w:r w:rsidRPr="00EB1FC4">
        <w:rPr>
          <w:rFonts w:ascii="Calibri" w:hAnsi="Calibri"/>
          <w:i/>
          <w:sz w:val="16"/>
          <w:szCs w:val="16"/>
          <w:lang w:val="es-ES"/>
        </w:rPr>
        <w:t>Presidente de la CIDH insta a los Estados a ratificar tratados de derechos humanos</w:t>
      </w:r>
      <w:r w:rsidRPr="00EB1FC4">
        <w:rPr>
          <w:rFonts w:ascii="Calibri" w:hAnsi="Calibri"/>
          <w:sz w:val="16"/>
          <w:szCs w:val="16"/>
          <w:lang w:val="es-ES"/>
        </w:rPr>
        <w:t xml:space="preserve">, 18 de diciembre de 2007; CIDH, Comunicado de Prensa, </w:t>
      </w:r>
      <w:r w:rsidRPr="00EB1FC4">
        <w:rPr>
          <w:rFonts w:ascii="Calibri" w:hAnsi="Calibri"/>
          <w:bCs/>
          <w:sz w:val="16"/>
          <w:szCs w:val="16"/>
          <w:lang w:val="es-ES"/>
        </w:rPr>
        <w:t xml:space="preserve">No.  40/08, </w:t>
      </w:r>
      <w:r w:rsidRPr="00EB1FC4">
        <w:rPr>
          <w:rFonts w:ascii="Calibri" w:hAnsi="Calibri"/>
          <w:bCs/>
          <w:i/>
          <w:sz w:val="16"/>
          <w:szCs w:val="16"/>
          <w:lang w:val="es-ES"/>
        </w:rPr>
        <w:t>CIDH felicita a Argentina por la ratificación de todos los tratados interamericanos de derechos humanos</w:t>
      </w:r>
      <w:r w:rsidRPr="00EB1FC4">
        <w:rPr>
          <w:rFonts w:ascii="Calibri" w:hAnsi="Calibri"/>
          <w:bCs/>
          <w:sz w:val="16"/>
          <w:szCs w:val="16"/>
          <w:lang w:val="es-ES"/>
        </w:rPr>
        <w:t xml:space="preserve">, </w:t>
      </w:r>
      <w:r w:rsidRPr="00EB1FC4">
        <w:rPr>
          <w:rFonts w:ascii="Calibri" w:hAnsi="Calibri"/>
          <w:sz w:val="16"/>
          <w:szCs w:val="16"/>
          <w:lang w:val="es-ES"/>
        </w:rPr>
        <w:t>10 de septiembre de 2008.</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Los nueve tratados que conforman el sistema interamericano de derechos humanos son los siguientes:</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Convención Americana de Derechos Humanos (1969)</w:t>
      </w:r>
      <w:r w:rsidR="0054614D">
        <w:rPr>
          <w:rFonts w:ascii="Calibri" w:hAnsi="Calibri"/>
          <w:sz w:val="16"/>
          <w:szCs w:val="16"/>
          <w:lang w:val="es-ES"/>
        </w:rPr>
        <w:t>.</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Protocolo Adicional a la Convención Americana en Materia de Derechos Económicos, Sociales y Culturales (1988)</w:t>
      </w:r>
      <w:r w:rsidR="0054614D">
        <w:rPr>
          <w:rFonts w:ascii="Calibri" w:hAnsi="Calibri"/>
          <w:sz w:val="16"/>
          <w:szCs w:val="16"/>
          <w:lang w:val="es-ES"/>
        </w:rPr>
        <w:t>.</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Protocolo a la Convención Americana sobre Derechos Humanos Relativo a la Abolición de Pena de Muerte (1990)</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Convención Interamericana para Prevenir y Sancionar la Tortura (1985)</w:t>
      </w:r>
      <w:r w:rsidR="0054614D">
        <w:rPr>
          <w:rFonts w:ascii="Calibri" w:hAnsi="Calibri"/>
          <w:sz w:val="16"/>
          <w:szCs w:val="16"/>
          <w:lang w:val="es-ES"/>
        </w:rPr>
        <w:t>.</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Convención Interamericana sobre Desaparición Forzada de Personas (1994)</w:t>
      </w:r>
      <w:r w:rsidR="0054614D">
        <w:rPr>
          <w:rFonts w:ascii="Calibri" w:hAnsi="Calibri"/>
          <w:sz w:val="16"/>
          <w:szCs w:val="16"/>
          <w:lang w:val="es-ES"/>
        </w:rPr>
        <w:t>.</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Convención Interamericana para Prevenir, Sancionar y Erradicar la Violencia contra la Mujer (1994)</w:t>
      </w:r>
      <w:r w:rsidR="0054614D">
        <w:rPr>
          <w:rFonts w:ascii="Calibri" w:hAnsi="Calibri"/>
          <w:sz w:val="16"/>
          <w:szCs w:val="16"/>
          <w:lang w:val="es-ES"/>
        </w:rPr>
        <w:t>.</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Convención Interamericana para la Eliminación de Todas las Formas de Discriminación contra las Personas con Discapacidad (1999)</w:t>
      </w:r>
      <w:r w:rsidR="0054614D">
        <w:rPr>
          <w:rFonts w:ascii="Calibri" w:hAnsi="Calibri"/>
          <w:sz w:val="16"/>
          <w:szCs w:val="16"/>
          <w:lang w:val="es-ES"/>
        </w:rPr>
        <w:t>.</w:t>
      </w:r>
    </w:p>
    <w:p w:rsidR="00543111" w:rsidRPr="00EB1FC4" w:rsidRDefault="00543111" w:rsidP="00B63B41">
      <w:pPr>
        <w:ind w:left="540"/>
        <w:jc w:val="both"/>
        <w:rPr>
          <w:rFonts w:ascii="Calibri" w:hAnsi="Calibri"/>
          <w:sz w:val="16"/>
          <w:szCs w:val="16"/>
          <w:lang w:val="es-ES"/>
        </w:rPr>
      </w:pPr>
      <w:r w:rsidRPr="00EB1FC4">
        <w:rPr>
          <w:rFonts w:ascii="Calibri" w:hAnsi="Calibri"/>
          <w:sz w:val="16"/>
          <w:szCs w:val="16"/>
          <w:lang w:val="es-ES"/>
        </w:rPr>
        <w:t>Convención Interamericana contra toda Forma de Discriminación e Intolerancia (2013)</w:t>
      </w:r>
      <w:r w:rsidR="0054614D">
        <w:rPr>
          <w:rFonts w:ascii="Calibri" w:hAnsi="Calibri"/>
          <w:sz w:val="16"/>
          <w:szCs w:val="16"/>
          <w:lang w:val="es-ES"/>
        </w:rPr>
        <w:t>.</w:t>
      </w:r>
    </w:p>
    <w:p w:rsidR="00543111" w:rsidRPr="00EB1FC4" w:rsidRDefault="00543111" w:rsidP="00387E3F">
      <w:pPr>
        <w:ind w:left="540"/>
        <w:jc w:val="both"/>
        <w:rPr>
          <w:rFonts w:ascii="Calibri" w:hAnsi="Calibri"/>
          <w:sz w:val="16"/>
          <w:szCs w:val="16"/>
          <w:lang w:val="es-ES"/>
        </w:rPr>
      </w:pPr>
      <w:r w:rsidRPr="00EB1FC4">
        <w:rPr>
          <w:rFonts w:ascii="Calibri" w:hAnsi="Calibri"/>
          <w:sz w:val="16"/>
          <w:szCs w:val="16"/>
          <w:lang w:val="es-ES"/>
        </w:rPr>
        <w:t>Convención Interamericana contra el Racismo, la Discriminación Racial y Formas Conexas de Intolerancia (2013)</w:t>
      </w:r>
      <w:r w:rsidR="0054614D">
        <w:rPr>
          <w:rFonts w:ascii="Calibri" w:hAnsi="Calibri"/>
          <w:sz w:val="16"/>
          <w:szCs w:val="16"/>
          <w:lang w:val="es-ES"/>
        </w:rPr>
        <w:t>.</w:t>
      </w:r>
    </w:p>
  </w:footnote>
  <w:footnote w:id="6">
    <w:p w:rsidR="00543111" w:rsidRPr="00EB1FC4" w:rsidRDefault="00543111" w:rsidP="00B63B41">
      <w:pPr>
        <w:ind w:left="540" w:hanging="540"/>
        <w:jc w:val="both"/>
        <w:rPr>
          <w:rStyle w:val="style65"/>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r>
      <w:r w:rsidRPr="00EB1FC4">
        <w:rPr>
          <w:rFonts w:ascii="Calibri" w:hAnsi="Calibri"/>
          <w:i/>
          <w:sz w:val="16"/>
          <w:szCs w:val="16"/>
          <w:lang w:val="es-ES"/>
        </w:rPr>
        <w:t>Fortalecimiento del sistema interamericano de derechos humanos en seguimiento de los mandatos derivados de la Cumbre de las Américas</w:t>
      </w:r>
      <w:r w:rsidRPr="00EB1FC4">
        <w:rPr>
          <w:rFonts w:ascii="Calibri" w:hAnsi="Calibri"/>
          <w:sz w:val="16"/>
          <w:szCs w:val="16"/>
          <w:lang w:val="es-ES"/>
        </w:rPr>
        <w:t xml:space="preserve">, AG/RES. 2675 (XLI-O/11), 7 de junio de 2011, párrafo resolutorio 1(a);  Quinta Cumbre de las Américas, Puerto España, Trinidad y Tobago, Declaración de Compromiso de Puerto España, 17-19 de abril del 2009, párr. 83; Tercera Cumbre de las Américas, Ciudad de Quebec, Canadá, 20-22 de abril de 2001, Plan de Acción, página 6.  </w:t>
      </w:r>
      <w:r w:rsidRPr="00EB1FC4">
        <w:rPr>
          <w:rStyle w:val="style65"/>
          <w:rFonts w:ascii="Calibri" w:hAnsi="Calibri"/>
          <w:sz w:val="16"/>
          <w:szCs w:val="16"/>
          <w:lang w:val="es-ES"/>
        </w:rPr>
        <w:t xml:space="preserve"> </w:t>
      </w:r>
    </w:p>
    <w:p w:rsidR="00543111" w:rsidRPr="00EB1FC4" w:rsidRDefault="00543111" w:rsidP="00387E3F">
      <w:pPr>
        <w:ind w:left="540"/>
        <w:jc w:val="both"/>
        <w:rPr>
          <w:rFonts w:ascii="Calibri" w:hAnsi="Calibri"/>
          <w:sz w:val="16"/>
          <w:szCs w:val="16"/>
          <w:lang w:val="es-ES"/>
        </w:rPr>
      </w:pPr>
      <w:r w:rsidRPr="00EB1FC4">
        <w:rPr>
          <w:rFonts w:ascii="Calibri" w:hAnsi="Calibri"/>
          <w:sz w:val="16"/>
          <w:szCs w:val="16"/>
          <w:lang w:val="es-ES"/>
        </w:rPr>
        <w:t>A su vez, los Estados a nivel universal en el marco de la Declaración y Plan de Acción de Viena instaron a todos los Estados a la ratificación universal de los tratados de derechos humanos, sin formular reservas.  Declaración y Programa de Acción de Viena, Conferencia Mundial de Derechos Humanos, 14-25 de junio de 1993, A/CONF.157/23, 12 de julio de 1993), Sección I, párr. 26, S</w:t>
      </w:r>
      <w:r>
        <w:rPr>
          <w:rFonts w:ascii="Calibri" w:hAnsi="Calibri"/>
          <w:sz w:val="16"/>
          <w:szCs w:val="16"/>
          <w:lang w:val="es-ES"/>
        </w:rPr>
        <w:t>ección II, párrs. 4-5.</w:t>
      </w:r>
    </w:p>
  </w:footnote>
  <w:footnote w:id="7">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Para una descripción general del proceso, véase</w:t>
      </w:r>
      <w:r>
        <w:rPr>
          <w:rFonts w:ascii="Calibri" w:hAnsi="Calibri"/>
          <w:sz w:val="16"/>
          <w:szCs w:val="16"/>
          <w:lang w:val="es-ES"/>
        </w:rPr>
        <w:t>, CIDH, Comunicado de Prensa</w:t>
      </w:r>
      <w:r w:rsidRPr="00EB1FC4">
        <w:rPr>
          <w:rFonts w:ascii="Calibri" w:hAnsi="Calibri"/>
          <w:sz w:val="16"/>
          <w:szCs w:val="16"/>
          <w:lang w:val="es-ES"/>
        </w:rPr>
        <w:t xml:space="preserve"> 19/13, </w:t>
      </w:r>
      <w:r w:rsidRPr="00EB1FC4">
        <w:rPr>
          <w:rFonts w:ascii="Calibri" w:hAnsi="Calibri"/>
          <w:i/>
          <w:sz w:val="16"/>
          <w:szCs w:val="16"/>
          <w:lang w:val="es-ES"/>
        </w:rPr>
        <w:t>CIDH Aprueba Reforma del Reglamento, Políticas y Prácticas</w:t>
      </w:r>
      <w:r w:rsidRPr="00EB1FC4">
        <w:rPr>
          <w:rFonts w:ascii="Calibri" w:hAnsi="Calibri"/>
          <w:sz w:val="16"/>
          <w:szCs w:val="16"/>
          <w:lang w:val="es-ES"/>
        </w:rPr>
        <w:t xml:space="preserve">, 19 de marzo de 2013; CIDH, </w:t>
      </w:r>
      <w:r w:rsidRPr="00EF1493">
        <w:rPr>
          <w:rFonts w:ascii="Calibri" w:hAnsi="Calibri"/>
          <w:i/>
          <w:sz w:val="16"/>
          <w:szCs w:val="16"/>
          <w:lang w:val="es-ES"/>
        </w:rPr>
        <w:t>Informe Anual 2012</w:t>
      </w:r>
      <w:r w:rsidRPr="00EB1FC4">
        <w:rPr>
          <w:rFonts w:ascii="Calibri" w:hAnsi="Calibri"/>
          <w:sz w:val="16"/>
          <w:szCs w:val="16"/>
          <w:lang w:val="es-ES"/>
        </w:rPr>
        <w:t xml:space="preserve">, Introducción, Capítulo IV: La Agenda de Reforma de la CIDH, párrafos 29 -44.  Esfuerzos significativos fueron empleados por la CIDH para asegurar que este proceso de reforma fuera transparente y participativo, recibiendo insumos de parte de los Estados Miembros de la OEA, la sociedad civil, víctimas, representantes del sector académico y otros usuarios del sistema interamericano de derechos humanos.  El proceso incluyó foros de discusión, consultas públicas y audiencias a fin de recibir opiniones, insumos y experiencias de todas las partes </w:t>
      </w:r>
      <w:r>
        <w:rPr>
          <w:rFonts w:ascii="Calibri" w:hAnsi="Calibri"/>
          <w:sz w:val="16"/>
          <w:szCs w:val="16"/>
          <w:lang w:val="es-ES"/>
        </w:rPr>
        <w:t>interesadas.</w:t>
      </w:r>
    </w:p>
  </w:footnote>
  <w:footnote w:id="8">
    <w:p w:rsidR="00543111" w:rsidRPr="00EB1FC4" w:rsidRDefault="00543111" w:rsidP="00576F27">
      <w:pPr>
        <w:pStyle w:val="FootnoteText"/>
        <w:ind w:left="547" w:hanging="547"/>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CIDH, Resolución 1/2013, 19 de marzo de 2013, página 16, sección I, literal A (Verificando que la CIDH incluirá en la revisión de su Plan Estratégico como una prioridad institucional la promoción de la universalidad de la ratificación de la Convención Americana y otros instrumentos interamericanos en materia de derechos humanos y sus cláusulas optativas).</w:t>
      </w:r>
    </w:p>
  </w:footnote>
  <w:footnote w:id="9">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sidRPr="00EB1FC4">
        <w:rPr>
          <w:rFonts w:ascii="Calibri" w:hAnsi="Calibri"/>
          <w:sz w:val="16"/>
          <w:szCs w:val="16"/>
          <w:lang w:val="es-ES_tradnl"/>
        </w:rPr>
        <w:tab/>
      </w:r>
      <w:r w:rsidRPr="00EB1FC4">
        <w:rPr>
          <w:rFonts w:ascii="Calibri" w:hAnsi="Calibri"/>
          <w:sz w:val="16"/>
          <w:szCs w:val="16"/>
          <w:lang w:val="es-ES"/>
        </w:rPr>
        <w:t>Este informe ha sido preparado incorporando insumos recibidos por la CIDH durante su proceso de reforma entre el 2011 y el 2013 y respuestas al cuestionario circulado como parte de la elaboración del capítulo IV(A) del informe anual del 2013 sobre la universalidad. El cuestionario fue contestado por los países de Argentina, Colombia, Costa Rica, Guatemala, Honduras, Jamaica, México, y Uruguay. A su vez ha considerado todo el precedente de la CIDH e información recibida en p</w:t>
      </w:r>
      <w:r>
        <w:rPr>
          <w:rFonts w:ascii="Calibri" w:hAnsi="Calibri"/>
          <w:sz w:val="16"/>
          <w:szCs w:val="16"/>
          <w:lang w:val="es-ES"/>
        </w:rPr>
        <w:t xml:space="preserve">eticiones y casos individuales, </w:t>
      </w:r>
      <w:r w:rsidRPr="00EB1FC4">
        <w:rPr>
          <w:rFonts w:ascii="Calibri" w:hAnsi="Calibri"/>
          <w:sz w:val="16"/>
          <w:szCs w:val="16"/>
          <w:lang w:val="es-ES"/>
        </w:rPr>
        <w:t>medidas cautelares, audiencias temáticas, visitas, y en la implementación de otros mecanismos del sistema interamericano, así como las sentencias de la Corte Interamericana.</w:t>
      </w:r>
    </w:p>
  </w:footnote>
  <w:footnote w:id="10">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sidRPr="00EB1FC4">
        <w:rPr>
          <w:rFonts w:ascii="Calibri" w:hAnsi="Calibri"/>
          <w:sz w:val="16"/>
          <w:szCs w:val="16"/>
          <w:lang w:val="es-ES_tradnl"/>
        </w:rPr>
        <w:tab/>
      </w:r>
      <w:r w:rsidRPr="00EB1FC4">
        <w:rPr>
          <w:rFonts w:ascii="Calibri" w:hAnsi="Calibri"/>
          <w:sz w:val="16"/>
          <w:szCs w:val="16"/>
          <w:lang w:val="es-ES"/>
        </w:rPr>
        <w:t>La Conferencia Mundial de Derechos Humanos reafirmó el compromiso de los Estados de cumplir sus obligaciones de promover el respeto universal de todos sus derechos humanos, así como su observancia y protección de conformidad con los instrumentos internacionales.  Estableció que el “carácter universal de estos derechos y libertades no admite dudas”.  En sintonía con estos principios, la Conferencia Mundial le solicitó a todos los Estados el ratificar y adherirse a todos los instrumentos internacionales de derechos humanos, con el fin de lograr su aceptación universal. Declaración y Programa de Acción de Viena, Conferencia Mundial de Derechos Humanos, 14-25 de junio de 1993, A/CONF.157/23, 12 de julio de 1993), párrs. 1 y 4.</w:t>
      </w:r>
    </w:p>
  </w:footnote>
  <w:footnote w:id="11">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Sobre el particular, la CIDH ha recomendado de forma consistente a los Estados el adoptar esfuerzos concretos y específicos para garantizar, por un lado, la universalidad del sistema interamericano de derechos humanos, y por otro, iniciativas para cumplir con las decisiones, recomendaciones y órdenes de tanto la CIDH como la Corte Interamericana de Derechos Humanos.</w:t>
      </w:r>
    </w:p>
  </w:footnote>
  <w:footnote w:id="12">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CIDH, </w:t>
      </w:r>
      <w:r>
        <w:rPr>
          <w:rFonts w:ascii="Calibri" w:hAnsi="Calibri"/>
          <w:i/>
          <w:sz w:val="16"/>
          <w:szCs w:val="16"/>
          <w:lang w:val="es-ES"/>
        </w:rPr>
        <w:t>Estándares j</w:t>
      </w:r>
      <w:r w:rsidRPr="00EB1FC4">
        <w:rPr>
          <w:rFonts w:ascii="Calibri" w:hAnsi="Calibri"/>
          <w:i/>
          <w:sz w:val="16"/>
          <w:szCs w:val="16"/>
          <w:lang w:val="es-ES"/>
        </w:rPr>
        <w:t xml:space="preserve">urídicos </w:t>
      </w:r>
      <w:r>
        <w:rPr>
          <w:rFonts w:ascii="Calibri" w:hAnsi="Calibri"/>
          <w:i/>
          <w:sz w:val="16"/>
          <w:szCs w:val="16"/>
          <w:lang w:val="es-ES"/>
        </w:rPr>
        <w:t>v</w:t>
      </w:r>
      <w:r w:rsidRPr="00EB1FC4">
        <w:rPr>
          <w:rFonts w:ascii="Calibri" w:hAnsi="Calibri"/>
          <w:i/>
          <w:sz w:val="16"/>
          <w:szCs w:val="16"/>
          <w:lang w:val="es-ES"/>
        </w:rPr>
        <w:t xml:space="preserve">inculados a la </w:t>
      </w:r>
      <w:r>
        <w:rPr>
          <w:rFonts w:ascii="Calibri" w:hAnsi="Calibri"/>
          <w:i/>
          <w:sz w:val="16"/>
          <w:szCs w:val="16"/>
          <w:lang w:val="es-ES"/>
        </w:rPr>
        <w:t>i</w:t>
      </w:r>
      <w:r w:rsidRPr="00EB1FC4">
        <w:rPr>
          <w:rFonts w:ascii="Calibri" w:hAnsi="Calibri"/>
          <w:i/>
          <w:sz w:val="16"/>
          <w:szCs w:val="16"/>
          <w:lang w:val="es-ES"/>
        </w:rPr>
        <w:t xml:space="preserve">gualdad de </w:t>
      </w:r>
      <w:r>
        <w:rPr>
          <w:rFonts w:ascii="Calibri" w:hAnsi="Calibri"/>
          <w:i/>
          <w:sz w:val="16"/>
          <w:szCs w:val="16"/>
          <w:lang w:val="es-ES"/>
        </w:rPr>
        <w:t>g</w:t>
      </w:r>
      <w:r w:rsidRPr="00EB1FC4">
        <w:rPr>
          <w:rFonts w:ascii="Calibri" w:hAnsi="Calibri"/>
          <w:i/>
          <w:sz w:val="16"/>
          <w:szCs w:val="16"/>
          <w:lang w:val="es-ES"/>
        </w:rPr>
        <w:t xml:space="preserve">énero y a los </w:t>
      </w:r>
      <w:r>
        <w:rPr>
          <w:rFonts w:ascii="Calibri" w:hAnsi="Calibri"/>
          <w:i/>
          <w:sz w:val="16"/>
          <w:szCs w:val="16"/>
          <w:lang w:val="es-ES"/>
        </w:rPr>
        <w:t>d</w:t>
      </w:r>
      <w:r w:rsidRPr="00EB1FC4">
        <w:rPr>
          <w:rFonts w:ascii="Calibri" w:hAnsi="Calibri"/>
          <w:i/>
          <w:sz w:val="16"/>
          <w:szCs w:val="16"/>
          <w:lang w:val="es-ES"/>
        </w:rPr>
        <w:t xml:space="preserve">erechos de las </w:t>
      </w:r>
      <w:r>
        <w:rPr>
          <w:rFonts w:ascii="Calibri" w:hAnsi="Calibri"/>
          <w:i/>
          <w:sz w:val="16"/>
          <w:szCs w:val="16"/>
          <w:lang w:val="es-ES"/>
        </w:rPr>
        <w:t>m</w:t>
      </w:r>
      <w:r w:rsidRPr="00EB1FC4">
        <w:rPr>
          <w:rFonts w:ascii="Calibri" w:hAnsi="Calibri"/>
          <w:i/>
          <w:sz w:val="16"/>
          <w:szCs w:val="16"/>
          <w:lang w:val="es-ES"/>
        </w:rPr>
        <w:t xml:space="preserve">ujeres en el </w:t>
      </w:r>
      <w:r>
        <w:rPr>
          <w:rFonts w:ascii="Calibri" w:hAnsi="Calibri"/>
          <w:i/>
          <w:sz w:val="16"/>
          <w:szCs w:val="16"/>
          <w:lang w:val="es-ES"/>
        </w:rPr>
        <w:t>s</w:t>
      </w:r>
      <w:r w:rsidRPr="00EB1FC4">
        <w:rPr>
          <w:rFonts w:ascii="Calibri" w:hAnsi="Calibri"/>
          <w:i/>
          <w:sz w:val="16"/>
          <w:szCs w:val="16"/>
          <w:lang w:val="es-ES"/>
        </w:rPr>
        <w:t xml:space="preserve">istema Interamericano de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humanos: Desarrollo y a</w:t>
      </w:r>
      <w:r w:rsidRPr="00EB1FC4">
        <w:rPr>
          <w:rFonts w:ascii="Calibri" w:hAnsi="Calibri"/>
          <w:i/>
          <w:sz w:val="16"/>
          <w:szCs w:val="16"/>
          <w:lang w:val="es-ES"/>
        </w:rPr>
        <w:t>plicación</w:t>
      </w:r>
      <w:r w:rsidRPr="00EB1FC4">
        <w:rPr>
          <w:rFonts w:ascii="Calibri" w:hAnsi="Calibri"/>
          <w:sz w:val="16"/>
          <w:szCs w:val="16"/>
          <w:lang w:val="es-ES"/>
        </w:rPr>
        <w:t>, OEA/Ser.L./V/II.143 Doc. 60, 3 de noviembre de 2011, párr. 13.</w:t>
      </w:r>
    </w:p>
  </w:footnote>
  <w:footnote w:id="13">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Declaración y Programa de Acción de Viena, Conferencia Mundial de Derechos Humanos, 14-25 de junio de 1993, A/CONF.157/23, 12 de julio de 1993), párr. 5.</w:t>
      </w:r>
    </w:p>
  </w:footnote>
  <w:footnote w:id="14">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Véase, por ejemplo, Carta Democrática Interamericana, Aprobada en la primera sesión plenaria de la Asamblea General de la OEA, celebrada el 11 de septiembre de 2001, artículos 7 y 9; Preámbulo de la Resolución 618(XII-082) de la Asamblea General de la OEA; CIDH, </w:t>
      </w:r>
      <w:r w:rsidRPr="00EF1493">
        <w:rPr>
          <w:rFonts w:ascii="Calibri" w:hAnsi="Calibri"/>
          <w:i/>
          <w:sz w:val="16"/>
          <w:szCs w:val="16"/>
          <w:lang w:val="es-ES"/>
        </w:rPr>
        <w:t>Informe Anual, 1990-1991</w:t>
      </w:r>
      <w:r w:rsidRPr="00EB1FC4">
        <w:rPr>
          <w:rFonts w:ascii="Calibri" w:hAnsi="Calibri"/>
          <w:sz w:val="16"/>
          <w:szCs w:val="16"/>
          <w:lang w:val="es-ES"/>
        </w:rPr>
        <w:t xml:space="preserve">, Capítulo V, Sección III. </w:t>
      </w:r>
      <w:r w:rsidRPr="00EF1493">
        <w:rPr>
          <w:rFonts w:ascii="Calibri" w:hAnsi="Calibri"/>
          <w:i/>
          <w:sz w:val="16"/>
          <w:szCs w:val="16"/>
          <w:lang w:val="es-ES"/>
        </w:rPr>
        <w:t>Informe Anual 1990-1991</w:t>
      </w:r>
      <w:r w:rsidRPr="00EB1FC4">
        <w:rPr>
          <w:rFonts w:ascii="Calibri" w:hAnsi="Calibri"/>
          <w:sz w:val="16"/>
          <w:szCs w:val="16"/>
          <w:lang w:val="es-ES"/>
        </w:rPr>
        <w:t xml:space="preserve">, Capítulo V, Sección III. Derechos Humanos, Derechos Políticos y Democracia Representativa en el Sistema Interamericano.  </w:t>
      </w:r>
    </w:p>
    <w:p w:rsidR="00543111" w:rsidRPr="00EB1FC4" w:rsidRDefault="00543111" w:rsidP="00387E3F">
      <w:pPr>
        <w:ind w:left="540"/>
        <w:jc w:val="both"/>
        <w:rPr>
          <w:rFonts w:ascii="Calibri" w:hAnsi="Calibri"/>
          <w:sz w:val="16"/>
          <w:szCs w:val="16"/>
          <w:lang w:val="es-ES"/>
        </w:rPr>
      </w:pPr>
      <w:r w:rsidRPr="00EB1FC4">
        <w:rPr>
          <w:rFonts w:ascii="Calibri" w:hAnsi="Calibri"/>
          <w:sz w:val="16"/>
          <w:szCs w:val="16"/>
          <w:lang w:val="es-ES"/>
        </w:rPr>
        <w:t xml:space="preserve">Los Estados asimismo han reconocido en el marco de las Cumbres de las Américas la universalidad, indivisibilidad, e interdependencia de los derechos humanos, como fundamental para el funcionamiento de las sociedades democráticas.  Quinta Cumbre de las Américas, Puerto España, Trinidad y Tobago, Declaración de Compromiso de Puerto España, 17-19 de abril del 2009, párr. 82;  Tercera Cumbre de las Américas, Ciudad de Quebec, Canadá, 20-22 de abril de 2001, Plan de Acción, página 5.  </w:t>
      </w:r>
      <w:r w:rsidRPr="00EB1FC4">
        <w:rPr>
          <w:rStyle w:val="style65"/>
          <w:rFonts w:ascii="Calibri" w:hAnsi="Calibri"/>
          <w:sz w:val="16"/>
          <w:szCs w:val="16"/>
          <w:lang w:val="es-ES"/>
        </w:rPr>
        <w:t xml:space="preserve"> </w:t>
      </w:r>
    </w:p>
  </w:footnote>
  <w:footnote w:id="15">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sidRPr="00EB1FC4">
        <w:rPr>
          <w:rFonts w:ascii="Calibri" w:hAnsi="Calibri"/>
          <w:sz w:val="16"/>
          <w:szCs w:val="16"/>
          <w:lang w:val="es-ES_tradnl"/>
        </w:rPr>
        <w:tab/>
      </w:r>
      <w:r w:rsidRPr="00EB1FC4">
        <w:rPr>
          <w:rFonts w:ascii="Calibri" w:hAnsi="Calibri"/>
          <w:sz w:val="16"/>
          <w:szCs w:val="16"/>
          <w:lang w:val="es-ES"/>
        </w:rPr>
        <w:t>La CIDH además considera que el ratificar tiene contribuciones importantes para el desarrollo de una democracia y de una cultura de derechos humanos a nivel nacional; aspecto fundamental para la prevención y no repetición de violaciones de derechos humanos.  Ha observado en el pasado como:</w:t>
      </w:r>
    </w:p>
    <w:p w:rsidR="00543111" w:rsidRPr="00EB1FC4" w:rsidRDefault="00543111" w:rsidP="005F1135">
      <w:pPr>
        <w:ind w:left="540"/>
        <w:jc w:val="both"/>
        <w:rPr>
          <w:rFonts w:ascii="Calibri" w:hAnsi="Calibri"/>
          <w:sz w:val="16"/>
          <w:szCs w:val="16"/>
          <w:lang w:val="es-ES"/>
        </w:rPr>
      </w:pPr>
      <w:r w:rsidRPr="00EB1FC4">
        <w:rPr>
          <w:rFonts w:ascii="Calibri" w:hAnsi="Calibri"/>
          <w:sz w:val="16"/>
          <w:szCs w:val="16"/>
          <w:lang w:val="es-ES"/>
        </w:rPr>
        <w:t xml:space="preserve">Las democracias deben fortalecerse por medio de una cultura de los derechos humanos, en la que las personas que están bajo la jurisdicción de los Estados Miembros de la Organización tengan la convicción de que sus derechos no son un beneplácito de sus gobiernos, sino una obligación exigible a sus Estados por medio de un efectivo acceso a la justicia. Deben consolidarse a través de procesos electorales transparentes, libres y auténticos y del fortalecimiento de la independencia de las diferentes ramas del Estado frente a sectores políticos o poderes fácticos.  Deben lograr que demandas sociales insatisfechas no se adhieran a soluciones violentas, sino que sean resueltas bajo el imperio de la ley.  Es un reto fundamental que la persona humana sea consciente de sus derechos civiles, políticos, económicos, sociales y culturales, y puedan confiar en las instituciones democráticas para exigirlos y ejercerlos. </w:t>
      </w:r>
    </w:p>
    <w:p w:rsidR="00543111" w:rsidRPr="00EB1FC4" w:rsidRDefault="00543111" w:rsidP="00387E3F">
      <w:pPr>
        <w:ind w:left="540" w:right="720"/>
        <w:jc w:val="both"/>
        <w:rPr>
          <w:rFonts w:ascii="Calibri" w:hAnsi="Calibri"/>
          <w:sz w:val="16"/>
          <w:szCs w:val="16"/>
          <w:lang w:val="es-ES_tradnl"/>
        </w:rPr>
      </w:pPr>
      <w:r w:rsidRPr="00EB1FC4">
        <w:rPr>
          <w:rFonts w:ascii="Calibri" w:hAnsi="Calibri"/>
          <w:sz w:val="16"/>
          <w:szCs w:val="16"/>
          <w:lang w:val="es-ES"/>
        </w:rPr>
        <w:t>Véase, CIDH</w:t>
      </w:r>
      <w:r w:rsidRPr="00B34E40">
        <w:rPr>
          <w:rFonts w:ascii="Calibri" w:hAnsi="Calibri"/>
          <w:i/>
          <w:sz w:val="16"/>
          <w:szCs w:val="16"/>
          <w:lang w:val="es-ES"/>
        </w:rPr>
        <w:t>, Informe Anual 2012</w:t>
      </w:r>
      <w:r w:rsidRPr="00EB1FC4">
        <w:rPr>
          <w:rFonts w:ascii="Calibri" w:hAnsi="Calibri"/>
          <w:sz w:val="16"/>
          <w:szCs w:val="16"/>
          <w:lang w:val="es-ES"/>
        </w:rPr>
        <w:t>, Capítulo I, Introducción, párrafo 10.</w:t>
      </w:r>
    </w:p>
  </w:footnote>
  <w:footnote w:id="16">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Acta Final de la Quinta Reunión de Consulta de Ministros de Relaciones Exteriores celebrada en Santiago de Chile del 12 al 18 de agosto de 1959; Doc. 89 (Español) rev., corr. 18 de agosto de 1959; Original: español, </w:t>
      </w:r>
      <w:r w:rsidR="00953AF4">
        <w:rPr>
          <w:rFonts w:ascii="Calibri" w:hAnsi="Calibri"/>
          <w:sz w:val="16"/>
          <w:szCs w:val="16"/>
          <w:lang w:val="es-ES"/>
        </w:rPr>
        <w:br/>
      </w:r>
      <w:r w:rsidRPr="00EB1FC4">
        <w:rPr>
          <w:rFonts w:ascii="Calibri" w:hAnsi="Calibri"/>
          <w:sz w:val="16"/>
          <w:szCs w:val="16"/>
          <w:lang w:val="es-ES"/>
        </w:rPr>
        <w:t>pág. 5.</w:t>
      </w:r>
    </w:p>
  </w:footnote>
  <w:footnote w:id="17">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Presentación de Tracy Robinson del Informe Anual de la CIDH del 2013,  23 de abril de 2014.</w:t>
      </w:r>
    </w:p>
  </w:footnote>
  <w:footnote w:id="18">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CIDH, Informe No. 80/11, Caso 12.626, </w:t>
      </w:r>
      <w:r w:rsidRPr="00EB1FC4">
        <w:rPr>
          <w:rFonts w:ascii="Calibri" w:hAnsi="Calibri"/>
          <w:i/>
          <w:sz w:val="16"/>
          <w:szCs w:val="16"/>
          <w:lang w:val="es-ES"/>
        </w:rPr>
        <w:t>Jessica Lenahan (Gonzales) y Otros</w:t>
      </w:r>
      <w:r>
        <w:rPr>
          <w:rFonts w:ascii="Calibri" w:hAnsi="Calibri"/>
          <w:sz w:val="16"/>
          <w:szCs w:val="16"/>
          <w:lang w:val="es-ES"/>
        </w:rPr>
        <w:t>,</w:t>
      </w:r>
      <w:r w:rsidRPr="00EB1FC4">
        <w:rPr>
          <w:rFonts w:ascii="Calibri" w:hAnsi="Calibri"/>
          <w:sz w:val="16"/>
          <w:szCs w:val="16"/>
          <w:lang w:val="es-ES"/>
        </w:rPr>
        <w:t xml:space="preserve"> Estados Unidos, 21 de julio de 2011, párrafo 117.</w:t>
      </w:r>
    </w:p>
  </w:footnote>
  <w:footnote w:id="19">
    <w:p w:rsidR="00543111" w:rsidRPr="00EB1FC4" w:rsidRDefault="00543111" w:rsidP="00B63B41">
      <w:pPr>
        <w:pStyle w:val="FootnoteText"/>
        <w:ind w:left="540" w:hanging="540"/>
        <w:jc w:val="both"/>
        <w:rPr>
          <w:rFonts w:ascii="Calibri" w:hAnsi="Calibri"/>
          <w:sz w:val="16"/>
          <w:szCs w:val="16"/>
          <w:lang w:val="es-UY"/>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r>
      <w:r w:rsidRPr="00EB1FC4">
        <w:rPr>
          <w:rFonts w:ascii="Calibri" w:hAnsi="Calibri"/>
          <w:i/>
          <w:sz w:val="16"/>
          <w:szCs w:val="16"/>
          <w:lang w:val="es-UY"/>
        </w:rPr>
        <w:t>Véase,</w:t>
      </w:r>
      <w:r w:rsidRPr="00EB1FC4">
        <w:rPr>
          <w:rFonts w:ascii="Calibri" w:hAnsi="Calibri"/>
          <w:sz w:val="16"/>
          <w:szCs w:val="16"/>
          <w:lang w:val="es-UY"/>
        </w:rPr>
        <w:t xml:space="preserve"> Reglamento de la Comisión Interamericana de Derechos Humanos (2013), artículos 51 y 52, los cuales habilitan a la Comisión para recibir y examinar peticiones en que se alegue la violación de derechos consagrados en la Declaración Americana en relación con los Estados miembros de la OEA que no son partes de la Convención Americana; Estatuto de la Comisión Interamericana de Derechos Humanos (1979), artículo 1, el cual establece que la Comisión fue creada “para promover la observancia y la defensa de los derechos humanos” y define los derechos humanos como los formulados en la Declaración Americana y en la Convención Americana.</w:t>
      </w:r>
    </w:p>
  </w:footnote>
  <w:footnote w:id="20">
    <w:p w:rsidR="00543111" w:rsidRPr="00EB1FC4" w:rsidRDefault="00543111" w:rsidP="00B63B41">
      <w:pPr>
        <w:pStyle w:val="FootnoteText"/>
        <w:ind w:left="540" w:hanging="540"/>
        <w:jc w:val="both"/>
        <w:rPr>
          <w:rFonts w:ascii="Calibri" w:hAnsi="Calibri"/>
          <w:sz w:val="16"/>
          <w:szCs w:val="16"/>
          <w:lang w:val="es-UY"/>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sidRPr="00EB1FC4">
        <w:rPr>
          <w:rFonts w:ascii="Calibri" w:hAnsi="Calibri"/>
          <w:sz w:val="16"/>
          <w:szCs w:val="16"/>
          <w:lang w:val="es-UY"/>
        </w:rPr>
        <w:tab/>
      </w:r>
      <w:r w:rsidRPr="00EB1FC4">
        <w:rPr>
          <w:rFonts w:ascii="Calibri" w:hAnsi="Calibri"/>
          <w:i/>
          <w:iCs/>
          <w:sz w:val="16"/>
          <w:szCs w:val="16"/>
          <w:lang w:val="es-UY"/>
        </w:rPr>
        <w:t xml:space="preserve">Véase </w:t>
      </w:r>
      <w:r w:rsidRPr="00EB1FC4">
        <w:rPr>
          <w:rFonts w:ascii="Calibri" w:hAnsi="Calibri"/>
          <w:iCs/>
          <w:sz w:val="16"/>
          <w:szCs w:val="16"/>
          <w:lang w:val="es-UY"/>
        </w:rPr>
        <w:t>Corte IDH</w:t>
      </w:r>
      <w:r w:rsidRPr="00EB1FC4">
        <w:rPr>
          <w:rFonts w:ascii="Calibri" w:hAnsi="Calibri"/>
          <w:sz w:val="16"/>
          <w:szCs w:val="16"/>
          <w:lang w:val="es-UY"/>
        </w:rPr>
        <w:t xml:space="preserve">. </w:t>
      </w:r>
      <w:r w:rsidRPr="00EB1FC4">
        <w:rPr>
          <w:rFonts w:ascii="Calibri" w:hAnsi="Calibri"/>
          <w:i/>
          <w:iCs/>
          <w:sz w:val="16"/>
          <w:szCs w:val="16"/>
          <w:lang w:val="es-UY"/>
        </w:rPr>
        <w:t>Opinión Consultiva OC-10/89 "</w:t>
      </w:r>
      <w:r w:rsidRPr="00EB1FC4">
        <w:rPr>
          <w:rFonts w:ascii="Calibri" w:hAnsi="Calibri"/>
          <w:bCs/>
          <w:i/>
          <w:iCs/>
          <w:sz w:val="16"/>
          <w:szCs w:val="16"/>
          <w:lang w:val="es-UY"/>
        </w:rPr>
        <w:t>Interpretación de la Declaración Americana de los Derechos y Deberes del Hombre en el Marco del artículo 64 de la Convención Americana sobre Derechos Humanos</w:t>
      </w:r>
      <w:r w:rsidRPr="00EB1FC4">
        <w:rPr>
          <w:rFonts w:ascii="Calibri" w:hAnsi="Calibri"/>
          <w:i/>
          <w:iCs/>
          <w:sz w:val="16"/>
          <w:szCs w:val="16"/>
          <w:lang w:val="es-UY"/>
        </w:rPr>
        <w:t>”</w:t>
      </w:r>
      <w:r w:rsidRPr="00EB1FC4">
        <w:rPr>
          <w:rFonts w:ascii="Calibri" w:hAnsi="Calibri"/>
          <w:sz w:val="16"/>
          <w:szCs w:val="16"/>
          <w:lang w:val="es-UY"/>
        </w:rPr>
        <w:t>, 14 de julio de 1989, Ser. A Nº 10 (1989), párr. 45. En dicha Opinión, la Corte sostuvo que, “para los Estados miembros de la Organización, la Declaración es el texto que define los derechos humanos referidos en la Carta”.</w:t>
      </w:r>
    </w:p>
  </w:footnote>
  <w:footnote w:id="21">
    <w:p w:rsidR="00543111" w:rsidRPr="00EB1FC4" w:rsidRDefault="00543111" w:rsidP="00B63B41">
      <w:pPr>
        <w:pStyle w:val="FootnoteText"/>
        <w:ind w:left="540" w:hanging="540"/>
        <w:jc w:val="both"/>
        <w:rPr>
          <w:rFonts w:ascii="Calibri" w:hAnsi="Calibri"/>
          <w:sz w:val="16"/>
          <w:szCs w:val="16"/>
          <w:lang w:val="es-UY"/>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sidRPr="00EB1FC4">
        <w:rPr>
          <w:rFonts w:ascii="Calibri" w:hAnsi="Calibri"/>
          <w:sz w:val="16"/>
          <w:szCs w:val="16"/>
          <w:lang w:val="es-UY"/>
        </w:rPr>
        <w:tab/>
      </w:r>
      <w:r w:rsidRPr="00EB1FC4">
        <w:rPr>
          <w:rFonts w:ascii="Calibri" w:hAnsi="Calibri"/>
          <w:i/>
          <w:sz w:val="16"/>
          <w:szCs w:val="16"/>
          <w:lang w:val="es-UY"/>
        </w:rPr>
        <w:t xml:space="preserve">Véase, como referencia, </w:t>
      </w:r>
      <w:r w:rsidRPr="00EB1FC4">
        <w:rPr>
          <w:rFonts w:ascii="Calibri" w:hAnsi="Calibri"/>
          <w:sz w:val="16"/>
          <w:szCs w:val="16"/>
          <w:lang w:val="es-UY"/>
        </w:rPr>
        <w:t xml:space="preserve">el Estatuto de la Comisión Interamericana de Derechos Humanos (1979), artículo 1, el cual establece que la Comisión fue creada “para promover la observancia y la defensa de los derechos humanos” y define los derechos humanos como los formulados en la Declaración Americana y en la Convención Americana. </w:t>
      </w:r>
      <w:r w:rsidRPr="00EB1FC4">
        <w:rPr>
          <w:rFonts w:ascii="Calibri" w:hAnsi="Calibri"/>
          <w:i/>
          <w:sz w:val="16"/>
          <w:szCs w:val="16"/>
          <w:lang w:val="es-UY"/>
        </w:rPr>
        <w:t>Véase también</w:t>
      </w:r>
      <w:r w:rsidRPr="00EB1FC4">
        <w:rPr>
          <w:rFonts w:ascii="Calibri" w:hAnsi="Calibri"/>
          <w:sz w:val="16"/>
          <w:szCs w:val="16"/>
          <w:lang w:val="es-UY"/>
        </w:rPr>
        <w:t>, Artículos 18 y 20 del Estatuto y la Convención Americana sobre Derechos Humanos, artículo 29 (d), el cual dispone que ninguna disposición de la Convención será interpretada en el sentido de “excluir o limitar el efecto que puedan producir la Declaración Americana de Derechos y Deberes del Hombre y otros actos internacionales de la misma naturaleza”.</w:t>
      </w:r>
      <w:r w:rsidRPr="00EB1FC4">
        <w:rPr>
          <w:rFonts w:ascii="Calibri" w:hAnsi="Calibri"/>
          <w:i/>
          <w:sz w:val="16"/>
          <w:szCs w:val="16"/>
          <w:lang w:val="es-UY"/>
        </w:rPr>
        <w:t xml:space="preserve"> Véase asimismo,</w:t>
      </w:r>
      <w:r w:rsidRPr="00EB1FC4">
        <w:rPr>
          <w:rFonts w:ascii="Calibri" w:hAnsi="Calibri"/>
          <w:sz w:val="16"/>
          <w:szCs w:val="16"/>
          <w:lang w:val="es-UY"/>
        </w:rPr>
        <w:t xml:space="preserve"> Reglamento de la Comisión Interamericana de Derechos Humanos (2009), artículos 51 y 52, los cuales habilitan a la Comisión para recibir y examinar peticiones en que se alegue la violación de derechos consagrados en la Declaración Americana en relación con los Estados miembros de la OEA que no son partes de la Convención Americana.</w:t>
      </w:r>
    </w:p>
  </w:footnote>
  <w:footnote w:id="22">
    <w:p w:rsidR="00543111" w:rsidRPr="00EB1FC4" w:rsidRDefault="00543111" w:rsidP="00B63B41">
      <w:pPr>
        <w:pStyle w:val="FootnoteText"/>
        <w:ind w:left="540" w:hanging="540"/>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sidRPr="00EB1FC4">
        <w:rPr>
          <w:rFonts w:ascii="Calibri" w:hAnsi="Calibri"/>
          <w:sz w:val="16"/>
          <w:szCs w:val="16"/>
          <w:lang w:val="es-ES_tradnl"/>
        </w:rPr>
        <w:tab/>
        <w:t>Véase Anexo, Tabla, Estado de Ratificaciones y Firmas, Carta de la OEA (Documentos Básicos, 2014).</w:t>
      </w:r>
    </w:p>
  </w:footnote>
  <w:footnote w:id="23">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r>
      <w:r w:rsidRPr="00EB1FC4">
        <w:rPr>
          <w:rFonts w:ascii="Calibri" w:hAnsi="Calibri"/>
          <w:sz w:val="16"/>
          <w:szCs w:val="16"/>
          <w:lang w:val="es-ES_tradnl"/>
        </w:rPr>
        <w:t>Véase Anexo, Tabla, Estado de Ratificaciones y Firmas, Convención Americana sobre Derechos Humanos (Documentos Básicos, 2014).</w:t>
      </w:r>
    </w:p>
  </w:footnote>
  <w:footnote w:id="24">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r>
      <w:r w:rsidRPr="00EB1FC4">
        <w:rPr>
          <w:rFonts w:ascii="Calibri" w:hAnsi="Calibri"/>
          <w:sz w:val="16"/>
          <w:szCs w:val="16"/>
          <w:lang w:val="es-ES_tradnl"/>
        </w:rPr>
        <w:t>Véase Anexo, Tabla, Estado de Aceptación de la Competencia de la Corte Interamericana, Convención Americana sobre Derechos Humanos (Documentos Básicos, 2014).</w:t>
      </w:r>
    </w:p>
  </w:footnote>
  <w:footnote w:id="25">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Este grupo incluye a Argentina, Costa Rica, Ecuador, México, Panamá, Paraguay y Uruguay.  </w:t>
      </w:r>
      <w:r w:rsidRPr="00EB1FC4">
        <w:rPr>
          <w:rFonts w:ascii="Calibri" w:hAnsi="Calibri"/>
          <w:sz w:val="16"/>
          <w:szCs w:val="16"/>
          <w:lang w:val="es-ES_tradnl"/>
        </w:rPr>
        <w:t>Véase Anexo, Tablas, Estado de Ratificaciones y Firmas, Nueve Tratados Interamericanos de Derechos Humanos (Documentos Básicos, 2014).</w:t>
      </w:r>
    </w:p>
    <w:p w:rsidR="00543111" w:rsidRPr="00EB1FC4" w:rsidRDefault="00543111" w:rsidP="00CB7C09">
      <w:pPr>
        <w:pStyle w:val="FootnoteText"/>
        <w:ind w:left="540"/>
        <w:jc w:val="both"/>
        <w:rPr>
          <w:rFonts w:ascii="Calibri" w:hAnsi="Calibri"/>
          <w:sz w:val="16"/>
          <w:szCs w:val="16"/>
          <w:lang w:val="es-ES"/>
        </w:rPr>
      </w:pPr>
      <w:r w:rsidRPr="00EB1FC4">
        <w:rPr>
          <w:rFonts w:ascii="Calibri" w:hAnsi="Calibri"/>
          <w:sz w:val="16"/>
          <w:szCs w:val="16"/>
          <w:lang w:val="es-ES"/>
        </w:rPr>
        <w:t>La CIDH a su vez observa que las Convenciones Interamericanas contra toda Forma de Discriminación e Intolerancia y contra el Racismo, la Discriminación Racial y Formas Conexas de Intolerancia fueron adoptadas en junio del 2013 y no tienen ratificaciones.  Por ser tan recientes no se han considerado en este cómputo.  Sin embargo, la CIDH reconoce la firma de Argentina, Brasil, Colombia, Dominica, Haití, Nicaragua, y Trinidad y Tobago de la Convención Interamericana contra Toda Forma de Discriminación e Intolerancia.  También reconoce la firma de Antigua y Barbuda, Argentina, Brasil, Colombia, Costa Rica, Ecuador, Haití, Panamá y Uruguay de la Convención Interamericana contra el Racismo, la Discriminación Racial y Formas Conexas de Intolerancia, como un primer paso encaminado a la ratificación de estos instrumentos.</w:t>
      </w:r>
    </w:p>
  </w:footnote>
  <w:footnote w:id="26">
    <w:p w:rsidR="00543111" w:rsidRPr="00EB1FC4" w:rsidRDefault="00543111" w:rsidP="00B63B41">
      <w:pPr>
        <w:pStyle w:val="FootnoteText"/>
        <w:ind w:left="540" w:hanging="540"/>
        <w:jc w:val="both"/>
        <w:rPr>
          <w:rFonts w:ascii="Calibri" w:hAnsi="Calibri"/>
          <w:sz w:val="16"/>
          <w:szCs w:val="16"/>
          <w:lang w:val="es-UY"/>
        </w:rPr>
      </w:pPr>
      <w:r w:rsidRPr="00EB1FC4">
        <w:rPr>
          <w:rStyle w:val="FootnoteReference"/>
          <w:rFonts w:ascii="Calibri" w:hAnsi="Calibri"/>
          <w:sz w:val="16"/>
          <w:szCs w:val="16"/>
        </w:rPr>
        <w:footnoteRef/>
      </w:r>
      <w:r w:rsidRPr="00EB1FC4">
        <w:rPr>
          <w:rFonts w:ascii="Calibri" w:hAnsi="Calibri"/>
          <w:sz w:val="16"/>
          <w:szCs w:val="16"/>
          <w:lang w:val="es-UY"/>
        </w:rPr>
        <w:t xml:space="preserve"> </w:t>
      </w:r>
      <w:r w:rsidRPr="00EB1FC4">
        <w:rPr>
          <w:rFonts w:ascii="Calibri" w:hAnsi="Calibri"/>
          <w:sz w:val="16"/>
          <w:szCs w:val="16"/>
          <w:lang w:val="es-UY"/>
        </w:rPr>
        <w:tab/>
        <w:t xml:space="preserve">CIDH, Plan Estratégico 2011-2015, Parte I, página 36; </w:t>
      </w:r>
      <w:r w:rsidRPr="00BF60A8">
        <w:rPr>
          <w:rFonts w:ascii="Calibri" w:hAnsi="Calibri"/>
          <w:i/>
          <w:sz w:val="16"/>
          <w:szCs w:val="16"/>
          <w:lang w:val="es-UY"/>
        </w:rPr>
        <w:t>Informe Anual 2013</w:t>
      </w:r>
      <w:r w:rsidRPr="00EB1FC4">
        <w:rPr>
          <w:rFonts w:ascii="Calibri" w:hAnsi="Calibri"/>
          <w:sz w:val="16"/>
          <w:szCs w:val="16"/>
          <w:lang w:val="es-UY"/>
        </w:rPr>
        <w:t>, Capítulo IV(a), Ratificación universal de los tratados de derechos humanos, párrafo 58</w:t>
      </w:r>
    </w:p>
  </w:footnote>
  <w:footnote w:id="27">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CIDH, </w:t>
      </w:r>
      <w:r w:rsidRPr="00AB6DD7">
        <w:rPr>
          <w:rFonts w:ascii="Calibri" w:hAnsi="Calibri"/>
          <w:i/>
          <w:sz w:val="16"/>
          <w:szCs w:val="16"/>
          <w:lang w:val="es-ES"/>
        </w:rPr>
        <w:t>Informe Anual 2013</w:t>
      </w:r>
      <w:r w:rsidRPr="00EB1FC4">
        <w:rPr>
          <w:rFonts w:ascii="Calibri" w:hAnsi="Calibri"/>
          <w:sz w:val="16"/>
          <w:szCs w:val="16"/>
          <w:lang w:val="es-ES"/>
        </w:rPr>
        <w:t xml:space="preserve">, Capítulo IV(A)(2), </w:t>
      </w:r>
      <w:r w:rsidRPr="00EB1FC4">
        <w:rPr>
          <w:rFonts w:ascii="Calibri" w:hAnsi="Calibri"/>
          <w:i/>
          <w:sz w:val="16"/>
          <w:szCs w:val="16"/>
          <w:lang w:val="es-ES"/>
        </w:rPr>
        <w:t>Panorama sobre la ratificación universal, incorporación de estándares, control de convencionalidad, y cumplimiento de recomendaciones y decisiones de la CIDH</w:t>
      </w:r>
      <w:r w:rsidRPr="00EB1FC4">
        <w:rPr>
          <w:rFonts w:ascii="Calibri" w:hAnsi="Calibri"/>
          <w:sz w:val="16"/>
          <w:szCs w:val="16"/>
          <w:lang w:val="es-ES"/>
        </w:rPr>
        <w:t>, párr. 62.</w:t>
      </w:r>
    </w:p>
  </w:footnote>
  <w:footnote w:id="28">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Ante la denuncia a la Convención Americana por parte de Trinidad y Tobago y Venezuela, CIDH manifestó su preocupación mediante la publicación de los comunicados de prensa Nos. 10/98 y 64/13, disponibles en: </w:t>
      </w:r>
      <w:hyperlink r:id="rId1" w:history="1">
        <w:r w:rsidRPr="00EB1FC4">
          <w:rPr>
            <w:rStyle w:val="Hyperlink"/>
            <w:rFonts w:ascii="Calibri" w:hAnsi="Calibri"/>
            <w:sz w:val="16"/>
            <w:szCs w:val="16"/>
            <w:lang w:val="es-ES"/>
          </w:rPr>
          <w:t>http://www.cidh.org/Comunicados/Spanish/1998/Comunicados.10-14.htm</w:t>
        </w:r>
      </w:hyperlink>
      <w:r w:rsidRPr="00EB1FC4">
        <w:rPr>
          <w:rFonts w:ascii="Calibri" w:hAnsi="Calibri"/>
          <w:sz w:val="16"/>
          <w:szCs w:val="16"/>
          <w:lang w:val="es-ES"/>
        </w:rPr>
        <w:t xml:space="preserve"> </w:t>
      </w:r>
      <w:hyperlink r:id="rId2" w:history="1">
        <w:r w:rsidRPr="00EB1FC4">
          <w:rPr>
            <w:rStyle w:val="Hyperlink"/>
            <w:rFonts w:ascii="Calibri" w:hAnsi="Calibri"/>
            <w:sz w:val="16"/>
            <w:szCs w:val="16"/>
            <w:lang w:val="es-ES"/>
          </w:rPr>
          <w:t>http://www.oas.org/es/cidh/prensa/comunicados/2013/064.asp</w:t>
        </w:r>
      </w:hyperlink>
    </w:p>
  </w:footnote>
  <w:footnote w:id="29">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sidRPr="00EB1FC4">
        <w:rPr>
          <w:rFonts w:ascii="Calibri" w:hAnsi="Calibri"/>
          <w:sz w:val="16"/>
          <w:szCs w:val="16"/>
          <w:lang w:val="es-ES"/>
        </w:rPr>
        <w:tab/>
        <w:t xml:space="preserve">CIDH, </w:t>
      </w:r>
      <w:r w:rsidRPr="00EF1493">
        <w:rPr>
          <w:rFonts w:ascii="Calibri" w:hAnsi="Calibri"/>
          <w:i/>
          <w:sz w:val="16"/>
          <w:szCs w:val="16"/>
          <w:lang w:val="es-ES"/>
        </w:rPr>
        <w:t>Informe Anual 2013</w:t>
      </w:r>
      <w:r w:rsidRPr="00EB1FC4">
        <w:rPr>
          <w:rFonts w:ascii="Calibri" w:hAnsi="Calibri"/>
          <w:sz w:val="16"/>
          <w:szCs w:val="16"/>
          <w:lang w:val="es-ES"/>
        </w:rPr>
        <w:t xml:space="preserve">, Capítulo IV(A)(2), </w:t>
      </w:r>
      <w:r w:rsidRPr="00EB1FC4">
        <w:rPr>
          <w:rFonts w:ascii="Calibri" w:hAnsi="Calibri"/>
          <w:i/>
          <w:sz w:val="16"/>
          <w:szCs w:val="16"/>
          <w:lang w:val="es-ES"/>
        </w:rPr>
        <w:t>Panorama sobre la ratificación universal, incorporación de estándares, control de convencionalidad, y cumplimiento de recomendaciones y decisiones de la CIDH</w:t>
      </w:r>
      <w:r w:rsidRPr="00EB1FC4">
        <w:rPr>
          <w:rFonts w:ascii="Calibri" w:hAnsi="Calibri"/>
          <w:sz w:val="16"/>
          <w:szCs w:val="16"/>
          <w:lang w:val="es-ES"/>
        </w:rPr>
        <w:t>, párr. 63.</w:t>
      </w:r>
    </w:p>
  </w:footnote>
  <w:footnote w:id="30">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w:t>
      </w:r>
      <w:r w:rsidRPr="00EF1493">
        <w:rPr>
          <w:rFonts w:ascii="Calibri" w:hAnsi="Calibri"/>
          <w:i/>
          <w:sz w:val="16"/>
          <w:szCs w:val="16"/>
          <w:lang w:val="es-ES"/>
        </w:rPr>
        <w:t>Informe Anual 2013</w:t>
      </w:r>
      <w:r w:rsidRPr="00EB1FC4">
        <w:rPr>
          <w:rFonts w:ascii="Calibri" w:hAnsi="Calibri"/>
          <w:sz w:val="16"/>
          <w:szCs w:val="16"/>
          <w:lang w:val="es-ES"/>
        </w:rPr>
        <w:t xml:space="preserve">, Capítulo IV(A)(2), </w:t>
      </w:r>
      <w:r w:rsidRPr="00EB1FC4">
        <w:rPr>
          <w:rFonts w:ascii="Calibri" w:hAnsi="Calibri"/>
          <w:i/>
          <w:sz w:val="16"/>
          <w:szCs w:val="16"/>
          <w:lang w:val="es-ES"/>
        </w:rPr>
        <w:t>Panorama sobre la ratificación universal, incorporación de estándares, control de convencionalidad, y cumplimiento de recomendaciones y decisiones de la CIDH</w:t>
      </w:r>
      <w:r w:rsidRPr="00EB1FC4">
        <w:rPr>
          <w:rFonts w:ascii="Calibri" w:hAnsi="Calibri"/>
          <w:sz w:val="16"/>
          <w:szCs w:val="16"/>
          <w:lang w:val="es-ES"/>
        </w:rPr>
        <w:t>, párr. 63.</w:t>
      </w:r>
    </w:p>
  </w:footnote>
  <w:footnote w:id="31">
    <w:p w:rsidR="00543111" w:rsidRPr="00EB1FC4" w:rsidRDefault="00543111" w:rsidP="00B63B41">
      <w:pPr>
        <w:pStyle w:val="FootnoteText"/>
        <w:ind w:left="540" w:hanging="540"/>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CIDH, Comunicados de Prensa, Nos. 25/05, 12/05, 47/06, 33/06, 1/06, 40/08, y 12/12.</w:t>
      </w:r>
    </w:p>
  </w:footnote>
  <w:footnote w:id="32">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Comunicado de Prensa, No. 19/13, </w:t>
      </w:r>
      <w:r w:rsidRPr="00EB1FC4">
        <w:rPr>
          <w:rFonts w:ascii="Calibri" w:hAnsi="Calibri"/>
          <w:i/>
          <w:sz w:val="16"/>
          <w:szCs w:val="16"/>
          <w:lang w:val="es-ES"/>
        </w:rPr>
        <w:t>CIDH aprueba Reforma del Reglamento, políticas y prácticas</w:t>
      </w:r>
      <w:r w:rsidRPr="00EB1FC4">
        <w:rPr>
          <w:rFonts w:ascii="Calibri" w:hAnsi="Calibri"/>
          <w:sz w:val="16"/>
          <w:szCs w:val="16"/>
          <w:lang w:val="es-ES"/>
        </w:rPr>
        <w:t xml:space="preserve">, 19 de marzo de 2013.  </w:t>
      </w:r>
    </w:p>
    <w:p w:rsidR="00543111" w:rsidRPr="00EB1FC4" w:rsidRDefault="00543111" w:rsidP="00214A35">
      <w:pPr>
        <w:ind w:left="540"/>
        <w:jc w:val="both"/>
        <w:rPr>
          <w:rFonts w:ascii="Calibri" w:hAnsi="Calibri"/>
          <w:sz w:val="16"/>
          <w:szCs w:val="16"/>
          <w:lang w:val="es-ES"/>
        </w:rPr>
      </w:pPr>
      <w:r w:rsidRPr="00EB1FC4">
        <w:rPr>
          <w:rFonts w:ascii="Calibri" w:hAnsi="Calibri"/>
          <w:sz w:val="16"/>
          <w:szCs w:val="16"/>
          <w:lang w:val="es-ES"/>
        </w:rPr>
        <w:t>La CIDH ha destacado entre sus funciones el promover el cumplimiento de decisiones, garantizar el acceso de las víctimas al sistema interamericano como un recurso complementario, administrar el sistema de peticiones de manera eficaz y eficiente, otorgar medidas cautelares, desarrollar enfoques temáticos, mantenerse al corriente de la situación de los derechos humanos en la región, responder a las necesidades de grupos que a lo largo de la historia han sido marginados, promover los derechos humanos, y difundir conocimiento de los estándares jurídicos fijados por el sistema interamericano, entre otros.  Véase generalmente, Plan Estratégico de la CIDH, 2011-2015.</w:t>
      </w:r>
    </w:p>
  </w:footnote>
  <w:footnote w:id="33">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w:t>
      </w:r>
      <w:r w:rsidRPr="00EF1493">
        <w:rPr>
          <w:rFonts w:ascii="Calibri" w:hAnsi="Calibri"/>
          <w:i/>
          <w:sz w:val="16"/>
          <w:szCs w:val="16"/>
          <w:lang w:val="es-ES"/>
        </w:rPr>
        <w:t>Informe Anual 2013</w:t>
      </w:r>
      <w:r w:rsidRPr="00EB1FC4">
        <w:rPr>
          <w:rFonts w:ascii="Calibri" w:hAnsi="Calibri"/>
          <w:sz w:val="16"/>
          <w:szCs w:val="16"/>
          <w:lang w:val="es-ES"/>
        </w:rPr>
        <w:t xml:space="preserve">, Capítulo IV(A)(2), </w:t>
      </w:r>
      <w:r w:rsidRPr="00EB1FC4">
        <w:rPr>
          <w:rFonts w:ascii="Calibri" w:hAnsi="Calibri"/>
          <w:i/>
          <w:sz w:val="16"/>
          <w:szCs w:val="16"/>
          <w:lang w:val="es-ES"/>
        </w:rPr>
        <w:t>Panorama sobre la ratificación universal, incorporación de estándares, control de convencionalidad, y cumplimiento de recomendaciones y decisiones de la CIDH</w:t>
      </w:r>
      <w:r w:rsidRPr="00EB1FC4">
        <w:rPr>
          <w:rFonts w:ascii="Calibri" w:hAnsi="Calibri"/>
          <w:sz w:val="16"/>
          <w:szCs w:val="16"/>
          <w:lang w:val="es-ES"/>
        </w:rPr>
        <w:t>, párr. 56.</w:t>
      </w:r>
    </w:p>
  </w:footnote>
  <w:footnote w:id="34">
    <w:p w:rsidR="00543111" w:rsidRPr="00EB1FC4" w:rsidRDefault="00543111" w:rsidP="00B63B41">
      <w:pPr>
        <w:pStyle w:val="FootnoteText"/>
        <w:ind w:left="540" w:hanging="540"/>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por ejemplo, Declaración de Bogotá, 11 de septiembre de 2012.</w:t>
      </w:r>
    </w:p>
  </w:footnote>
  <w:footnote w:id="35">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Véase, por ejemplo, Respuesta al cuestionario del Centro de Derechos Humanos de la Montaña, Comisión Mexicana de Defensa y Promoción de los Derechos Humanos A.C., y Centro PRODH-México.</w:t>
      </w:r>
    </w:p>
  </w:footnote>
  <w:footnote w:id="36">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Por ejemplo, véase, Estadísticas sobre peticiones presentadas por país, Informes anuales de la CIDH 2009-2013, disponibles en: http://www.oas.org/es/cidh/informes/anuales.asp</w:t>
      </w:r>
    </w:p>
  </w:footnote>
  <w:footnote w:id="37">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como referencia, CIDH, </w:t>
      </w:r>
      <w:r>
        <w:rPr>
          <w:rFonts w:ascii="Calibri" w:hAnsi="Calibri"/>
          <w:i/>
          <w:sz w:val="16"/>
          <w:szCs w:val="16"/>
          <w:lang w:val="es-ES"/>
        </w:rPr>
        <w:t>Estándares j</w:t>
      </w:r>
      <w:r w:rsidRPr="00EB1FC4">
        <w:rPr>
          <w:rFonts w:ascii="Calibri" w:hAnsi="Calibri"/>
          <w:i/>
          <w:sz w:val="16"/>
          <w:szCs w:val="16"/>
          <w:lang w:val="es-ES"/>
        </w:rPr>
        <w:t xml:space="preserve">urídicos </w:t>
      </w:r>
      <w:r>
        <w:rPr>
          <w:rFonts w:ascii="Calibri" w:hAnsi="Calibri"/>
          <w:i/>
          <w:sz w:val="16"/>
          <w:szCs w:val="16"/>
          <w:lang w:val="es-ES"/>
        </w:rPr>
        <w:t>vinculados a la Igualdad de género y a los d</w:t>
      </w:r>
      <w:r w:rsidRPr="00EB1FC4">
        <w:rPr>
          <w:rFonts w:ascii="Calibri" w:hAnsi="Calibri"/>
          <w:i/>
          <w:sz w:val="16"/>
          <w:szCs w:val="16"/>
          <w:lang w:val="es-ES"/>
        </w:rPr>
        <w:t xml:space="preserve">erechos de las </w:t>
      </w:r>
      <w:r>
        <w:rPr>
          <w:rFonts w:ascii="Calibri" w:hAnsi="Calibri"/>
          <w:i/>
          <w:sz w:val="16"/>
          <w:szCs w:val="16"/>
          <w:lang w:val="es-ES"/>
        </w:rPr>
        <w:t>m</w:t>
      </w:r>
      <w:r w:rsidRPr="00EB1FC4">
        <w:rPr>
          <w:rFonts w:ascii="Calibri" w:hAnsi="Calibri"/>
          <w:i/>
          <w:sz w:val="16"/>
          <w:szCs w:val="16"/>
          <w:lang w:val="es-ES"/>
        </w:rPr>
        <w:t xml:space="preserve">ujeres en el </w:t>
      </w:r>
      <w:r>
        <w:rPr>
          <w:rFonts w:ascii="Calibri" w:hAnsi="Calibri"/>
          <w:i/>
          <w:sz w:val="16"/>
          <w:szCs w:val="16"/>
          <w:lang w:val="es-ES"/>
        </w:rPr>
        <w:t>s</w:t>
      </w:r>
      <w:r w:rsidRPr="00EB1FC4">
        <w:rPr>
          <w:rFonts w:ascii="Calibri" w:hAnsi="Calibri"/>
          <w:i/>
          <w:sz w:val="16"/>
          <w:szCs w:val="16"/>
          <w:lang w:val="es-ES"/>
        </w:rPr>
        <w:t xml:space="preserve">istema </w:t>
      </w:r>
      <w:r>
        <w:rPr>
          <w:rFonts w:ascii="Calibri" w:hAnsi="Calibri"/>
          <w:i/>
          <w:sz w:val="16"/>
          <w:szCs w:val="16"/>
          <w:lang w:val="es-ES"/>
        </w:rPr>
        <w:t>i</w:t>
      </w:r>
      <w:r w:rsidRPr="00EB1FC4">
        <w:rPr>
          <w:rFonts w:ascii="Calibri" w:hAnsi="Calibri"/>
          <w:i/>
          <w:sz w:val="16"/>
          <w:szCs w:val="16"/>
          <w:lang w:val="es-ES"/>
        </w:rPr>
        <w:t xml:space="preserve">nteramericano de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 xml:space="preserve">umanos: Desarrollo y </w:t>
      </w:r>
      <w:r>
        <w:rPr>
          <w:rFonts w:ascii="Calibri" w:hAnsi="Calibri"/>
          <w:i/>
          <w:sz w:val="16"/>
          <w:szCs w:val="16"/>
          <w:lang w:val="es-ES"/>
        </w:rPr>
        <w:t>a</w:t>
      </w:r>
      <w:r w:rsidRPr="00EB1FC4">
        <w:rPr>
          <w:rFonts w:ascii="Calibri" w:hAnsi="Calibri"/>
          <w:i/>
          <w:sz w:val="16"/>
          <w:szCs w:val="16"/>
          <w:lang w:val="es-ES"/>
        </w:rPr>
        <w:t>plicación</w:t>
      </w:r>
      <w:r w:rsidRPr="00EB1FC4">
        <w:rPr>
          <w:rFonts w:ascii="Calibri" w:hAnsi="Calibri"/>
          <w:sz w:val="16"/>
          <w:szCs w:val="16"/>
          <w:lang w:val="es-ES"/>
        </w:rPr>
        <w:t xml:space="preserve">, OEA/Ser.L./V/II.143 Doc. 60, 3 de noviembre de 2011; CIDH, </w:t>
      </w:r>
      <w:r>
        <w:rPr>
          <w:rFonts w:ascii="Calibri" w:hAnsi="Calibri"/>
          <w:i/>
          <w:sz w:val="16"/>
          <w:szCs w:val="16"/>
          <w:lang w:val="es-ES"/>
        </w:rPr>
        <w:t>Derechos de los p</w:t>
      </w:r>
      <w:r w:rsidRPr="00EB1FC4">
        <w:rPr>
          <w:rFonts w:ascii="Calibri" w:hAnsi="Calibri"/>
          <w:i/>
          <w:sz w:val="16"/>
          <w:szCs w:val="16"/>
          <w:lang w:val="es-ES"/>
        </w:rPr>
        <w:t xml:space="preserve">ueblos </w:t>
      </w:r>
      <w:r>
        <w:rPr>
          <w:rFonts w:ascii="Calibri" w:hAnsi="Calibri"/>
          <w:i/>
          <w:sz w:val="16"/>
          <w:szCs w:val="16"/>
          <w:lang w:val="es-ES"/>
        </w:rPr>
        <w:t>i</w:t>
      </w:r>
      <w:r w:rsidRPr="00EB1FC4">
        <w:rPr>
          <w:rFonts w:ascii="Calibri" w:hAnsi="Calibri"/>
          <w:i/>
          <w:sz w:val="16"/>
          <w:szCs w:val="16"/>
          <w:lang w:val="es-ES"/>
        </w:rPr>
        <w:t xml:space="preserve">ndígenas y </w:t>
      </w:r>
      <w:r>
        <w:rPr>
          <w:rFonts w:ascii="Calibri" w:hAnsi="Calibri"/>
          <w:i/>
          <w:sz w:val="16"/>
          <w:szCs w:val="16"/>
          <w:lang w:val="es-ES"/>
        </w:rPr>
        <w:t>t</w:t>
      </w:r>
      <w:r w:rsidRPr="00EB1FC4">
        <w:rPr>
          <w:rFonts w:ascii="Calibri" w:hAnsi="Calibri"/>
          <w:i/>
          <w:sz w:val="16"/>
          <w:szCs w:val="16"/>
          <w:lang w:val="es-ES"/>
        </w:rPr>
        <w:t xml:space="preserve">ribales sobre sus </w:t>
      </w:r>
      <w:r>
        <w:rPr>
          <w:rFonts w:ascii="Calibri" w:hAnsi="Calibri"/>
          <w:i/>
          <w:sz w:val="16"/>
          <w:szCs w:val="16"/>
          <w:lang w:val="es-ES"/>
        </w:rPr>
        <w:t>t</w:t>
      </w:r>
      <w:r w:rsidRPr="00EB1FC4">
        <w:rPr>
          <w:rFonts w:ascii="Calibri" w:hAnsi="Calibri"/>
          <w:i/>
          <w:sz w:val="16"/>
          <w:szCs w:val="16"/>
          <w:lang w:val="es-ES"/>
        </w:rPr>
        <w:t xml:space="preserve">ierras </w:t>
      </w:r>
      <w:r>
        <w:rPr>
          <w:rFonts w:ascii="Calibri" w:hAnsi="Calibri"/>
          <w:i/>
          <w:sz w:val="16"/>
          <w:szCs w:val="16"/>
          <w:lang w:val="es-ES"/>
        </w:rPr>
        <w:t>a</w:t>
      </w:r>
      <w:r w:rsidRPr="00EB1FC4">
        <w:rPr>
          <w:rFonts w:ascii="Calibri" w:hAnsi="Calibri"/>
          <w:i/>
          <w:sz w:val="16"/>
          <w:szCs w:val="16"/>
          <w:lang w:val="es-ES"/>
        </w:rPr>
        <w:t xml:space="preserve">ncestrales y </w:t>
      </w:r>
      <w:r>
        <w:rPr>
          <w:rFonts w:ascii="Calibri" w:hAnsi="Calibri"/>
          <w:i/>
          <w:sz w:val="16"/>
          <w:szCs w:val="16"/>
          <w:lang w:val="es-ES"/>
        </w:rPr>
        <w:t>r</w:t>
      </w:r>
      <w:r w:rsidRPr="00EB1FC4">
        <w:rPr>
          <w:rFonts w:ascii="Calibri" w:hAnsi="Calibri"/>
          <w:i/>
          <w:sz w:val="16"/>
          <w:szCs w:val="16"/>
          <w:lang w:val="es-ES"/>
        </w:rPr>
        <w:t xml:space="preserve">ecursos </w:t>
      </w:r>
      <w:r>
        <w:rPr>
          <w:rFonts w:ascii="Calibri" w:hAnsi="Calibri"/>
          <w:i/>
          <w:sz w:val="16"/>
          <w:szCs w:val="16"/>
          <w:lang w:val="es-ES"/>
        </w:rPr>
        <w:t>n</w:t>
      </w:r>
      <w:r w:rsidRPr="00EB1FC4">
        <w:rPr>
          <w:rFonts w:ascii="Calibri" w:hAnsi="Calibri"/>
          <w:i/>
          <w:sz w:val="16"/>
          <w:szCs w:val="16"/>
          <w:lang w:val="es-ES"/>
        </w:rPr>
        <w:t xml:space="preserve">aturales: Normas y </w:t>
      </w:r>
      <w:r>
        <w:rPr>
          <w:rFonts w:ascii="Calibri" w:hAnsi="Calibri"/>
          <w:i/>
          <w:sz w:val="16"/>
          <w:szCs w:val="16"/>
          <w:lang w:val="es-ES"/>
        </w:rPr>
        <w:t>jurisprudencia del s</w:t>
      </w:r>
      <w:r w:rsidRPr="00EB1FC4">
        <w:rPr>
          <w:rFonts w:ascii="Calibri" w:hAnsi="Calibri"/>
          <w:i/>
          <w:sz w:val="16"/>
          <w:szCs w:val="16"/>
          <w:lang w:val="es-ES"/>
        </w:rPr>
        <w:t xml:space="preserve">istema </w:t>
      </w:r>
      <w:r>
        <w:rPr>
          <w:rFonts w:ascii="Calibri" w:hAnsi="Calibri"/>
          <w:i/>
          <w:sz w:val="16"/>
          <w:szCs w:val="16"/>
          <w:lang w:val="es-ES"/>
        </w:rPr>
        <w:t>i</w:t>
      </w:r>
      <w:r w:rsidRPr="00EB1FC4">
        <w:rPr>
          <w:rFonts w:ascii="Calibri" w:hAnsi="Calibri"/>
          <w:i/>
          <w:sz w:val="16"/>
          <w:szCs w:val="16"/>
          <w:lang w:val="es-ES"/>
        </w:rPr>
        <w:t xml:space="preserve">nteramericano de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umanos</w:t>
      </w:r>
      <w:r w:rsidRPr="00EB1FC4">
        <w:rPr>
          <w:rFonts w:ascii="Calibri" w:hAnsi="Calibri"/>
          <w:sz w:val="16"/>
          <w:szCs w:val="16"/>
          <w:lang w:val="es-ES"/>
        </w:rPr>
        <w:t>, OEA/Ser.L./V/II. Doc. 56/09, 30 de diciembre de 2009.</w:t>
      </w:r>
    </w:p>
  </w:footnote>
  <w:footnote w:id="38">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Véase, Protocolo de San Salvador (1988); Convención de Belém do Pará (1994); Convención Interamericana para la Eliminación de Todas las Formas de Discriminación contra las Personas con Discapacidad (1999); Convención Interamericana contra toda Forma de Discriminación e Intolerancia (2013); Convención Interamericana contra el Racismo, la Discriminación Racial y Formas Conexas de Intolerancia (2013).</w:t>
      </w:r>
    </w:p>
  </w:footnote>
  <w:footnote w:id="39">
    <w:p w:rsidR="00543111" w:rsidRPr="00EB1FC4" w:rsidRDefault="00543111" w:rsidP="00B63B41">
      <w:pPr>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 xml:space="preserve">Véase, Protocolo a la Convención Americana sobre Derechos Humanos relativo a la Abolición de la Pena de Muerte (1990); Convención Interamericana para Prevenir y Sancionar la Tortura (1985); Convención Interamericana sobre Desaparición Forzada de Personas (1994).  </w:t>
      </w:r>
    </w:p>
  </w:footnote>
  <w:footnote w:id="40">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La CIDH ha destacado en el pasado como defensoras y defensores de derechos humanos, periodistas, personas privadas de libertad, mujeres, pueblos indígenas y tribales, personas lesbianas, gays</w:t>
      </w:r>
      <w:r>
        <w:rPr>
          <w:rFonts w:ascii="Calibri" w:hAnsi="Calibri"/>
          <w:sz w:val="16"/>
          <w:szCs w:val="16"/>
          <w:lang w:val="es-ES"/>
        </w:rPr>
        <w:t>,</w:t>
      </w:r>
      <w:r w:rsidRPr="00EB1FC4">
        <w:rPr>
          <w:rFonts w:ascii="Calibri" w:hAnsi="Calibri"/>
          <w:sz w:val="16"/>
          <w:szCs w:val="16"/>
          <w:lang w:val="es-ES"/>
        </w:rPr>
        <w:t xml:space="preserve"> bisexuales trans, e intersex (LGBTI), migrantes e integrantes de otros grupos que se encontraban en situación de riesgo inminente, han visto su vida, integridad y otros derechos fundamentales preservados gracias a la adopción de medidas cautelares. CIDH, </w:t>
      </w:r>
      <w:r w:rsidRPr="001F75AB">
        <w:rPr>
          <w:rFonts w:ascii="Calibri" w:hAnsi="Calibri"/>
          <w:i/>
          <w:sz w:val="16"/>
          <w:szCs w:val="16"/>
          <w:lang w:val="es-ES"/>
        </w:rPr>
        <w:t>Informe Anual 2012</w:t>
      </w:r>
      <w:r w:rsidRPr="00EB1FC4">
        <w:rPr>
          <w:rFonts w:ascii="Calibri" w:hAnsi="Calibri"/>
          <w:sz w:val="16"/>
          <w:szCs w:val="16"/>
          <w:lang w:val="es-ES"/>
        </w:rPr>
        <w:t xml:space="preserve">, Introducción, </w:t>
      </w:r>
      <w:r w:rsidRPr="00EB1FC4">
        <w:rPr>
          <w:rFonts w:ascii="Calibri" w:hAnsi="Calibri" w:cs="Tahoma"/>
          <w:sz w:val="16"/>
          <w:szCs w:val="16"/>
          <w:lang w:val="es-ES"/>
        </w:rPr>
        <w:t>OEA/Ser.L/V/II.147 Doc. 1, 5 de marzo de 2013, Introducción, párr. 8.</w:t>
      </w:r>
    </w:p>
  </w:footnote>
  <w:footnote w:id="41">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en general, </w:t>
      </w:r>
      <w:hyperlink r:id="rId3" w:history="1">
        <w:r w:rsidRPr="00EB1FC4">
          <w:rPr>
            <w:rStyle w:val="Hyperlink"/>
            <w:rFonts w:ascii="Calibri" w:hAnsi="Calibri"/>
            <w:sz w:val="16"/>
            <w:szCs w:val="16"/>
            <w:lang w:val="es-ES"/>
          </w:rPr>
          <w:t>http://www.oas.org/es/cidh/actividades/visitas.asp</w:t>
        </w:r>
      </w:hyperlink>
      <w:r w:rsidRPr="00EB1FC4">
        <w:rPr>
          <w:rFonts w:ascii="Calibri" w:hAnsi="Calibri"/>
          <w:sz w:val="16"/>
          <w:szCs w:val="16"/>
          <w:lang w:val="es-ES"/>
        </w:rPr>
        <w:t xml:space="preserve"> (Descripción de visitas in loco y de trabajo llevadas a cabo por la CIDH entre 1965 a abril del 2014).  </w:t>
      </w:r>
    </w:p>
  </w:footnote>
  <w:footnote w:id="42">
    <w:p w:rsidR="00543111" w:rsidRPr="00EB1FC4" w:rsidRDefault="00543111" w:rsidP="00B63B41">
      <w:pPr>
        <w:pStyle w:val="NormalWeb"/>
        <w:shd w:val="clear" w:color="auto" w:fill="FFFFFF"/>
        <w:spacing w:before="0" w:beforeAutospacing="0" w:after="0" w:afterAutospacing="0"/>
        <w:ind w:left="540" w:right="144" w:hanging="540"/>
        <w:jc w:val="both"/>
        <w:rPr>
          <w:rFonts w:ascii="Calibri" w:hAnsi="Calibri" w:cs="Tahoma"/>
          <w:color w:val="333333"/>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Presentación del Informe Anual 2013 de la Presidenta de la CIDH, Tracy Robinson, a la Comisión de Asuntos Jurídicos y Políticos del Consejo Permanente de la Organización de los Estados Americanos, Washington, DC, 23 de abril de 2014 disponible en, http://www.oas.org/es/cidh/actividades/discursos/23.04.14.asp</w:t>
      </w:r>
    </w:p>
  </w:footnote>
  <w:footnote w:id="43">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 xml:space="preserve">Los siguientes expertos/as provenientes de países que no han ratificado la Convención Americana sirven y han servido como Comisionados: James Cavallaro (Estados Unidos, 2014 –Presente); Rose Marie-Antoine, actual Vice-Presidenta (Santa Lucía y Trinidad y Tobago 2012-Presente), Dinah Shelton (Estados Unidos 2010-2013), Clare K. Roberts (Antigua y Barbuda, 2002-2009), Paolo Carozza (Estados Unidos, 2006-2010), Robert Goldman (Estados Unidos, 1996-2003); Michael Reisman (Estados Unidos, 1990—1995); John Reese Stevenson (Estados Unidos, 1988-1990); Bruce McColm (Estados Unidos, 1984-1988); </w:t>
      </w:r>
      <w:r w:rsidRPr="00EB1FC4">
        <w:rPr>
          <w:rFonts w:ascii="Calibri" w:hAnsi="Calibri" w:cs="Tahoma"/>
          <w:sz w:val="16"/>
          <w:szCs w:val="16"/>
          <w:lang w:val="es-ES"/>
        </w:rPr>
        <w:t>Tom J. Farer (Estados Unidos, 1976-1983); Robert F. Woodward (Estados Unidos, 1972-1976); Durward V. Sandifer (Estados Unidos, 1960-1972), entre otros.  El Profesor Thomas Buergenthal, ciudadano de Estados Unidos, a su vez fue juez de la Corte Interamericana entre el 1979 y el 1991 tras su nominación por Costa Rica.</w:t>
      </w:r>
    </w:p>
  </w:footnote>
  <w:footnote w:id="44">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por ejemplo, CIDH, Audiencias Temáticas,</w:t>
      </w:r>
      <w:r w:rsidRPr="00EB1FC4">
        <w:rPr>
          <w:rFonts w:ascii="Calibri" w:hAnsi="Calibri"/>
          <w:i/>
          <w:sz w:val="16"/>
          <w:szCs w:val="16"/>
          <w:lang w:val="es-ES"/>
        </w:rPr>
        <w:t xml:space="preserve"> Leyes de defensa propia (Stand Your Ground) y su impacto sobre las minorías en Estados Unidos</w:t>
      </w:r>
      <w:r w:rsidRPr="00EB1FC4">
        <w:rPr>
          <w:rFonts w:ascii="Calibri" w:hAnsi="Calibri"/>
          <w:sz w:val="16"/>
          <w:szCs w:val="16"/>
          <w:lang w:val="es-ES"/>
        </w:rPr>
        <w:t xml:space="preserve">, 150 </w:t>
      </w:r>
      <w:r>
        <w:rPr>
          <w:rFonts w:ascii="Calibri" w:hAnsi="Calibri"/>
          <w:sz w:val="16"/>
          <w:szCs w:val="16"/>
          <w:lang w:val="es-ES"/>
        </w:rPr>
        <w:t>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25 de marzo de 2014; </w:t>
      </w:r>
      <w:r w:rsidRPr="00EB1FC4">
        <w:rPr>
          <w:rFonts w:ascii="Calibri" w:hAnsi="Calibri"/>
          <w:i/>
          <w:sz w:val="16"/>
          <w:szCs w:val="16"/>
          <w:lang w:val="es-ES"/>
        </w:rPr>
        <w:t>Situación de derechos humanos de las personas detenidas en la Base Naval de Guantánamo en Estados Unidos</w:t>
      </w:r>
      <w:r w:rsidRPr="00EB1FC4">
        <w:rPr>
          <w:rFonts w:ascii="Calibri" w:hAnsi="Calibri"/>
          <w:sz w:val="16"/>
          <w:szCs w:val="16"/>
          <w:lang w:val="es-ES"/>
        </w:rPr>
        <w:t xml:space="preserve">, 149 </w:t>
      </w:r>
      <w:r>
        <w:rPr>
          <w:rFonts w:ascii="Calibri" w:hAnsi="Calibri"/>
          <w:sz w:val="16"/>
          <w:szCs w:val="16"/>
          <w:lang w:val="es-ES"/>
        </w:rPr>
        <w:t>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esiones, 28 de octubre de 2013</w:t>
      </w:r>
      <w:r w:rsidRPr="00EB1FC4">
        <w:rPr>
          <w:rFonts w:ascii="Calibri" w:hAnsi="Calibri"/>
          <w:i/>
          <w:sz w:val="16"/>
          <w:szCs w:val="16"/>
          <w:lang w:val="es-ES"/>
        </w:rPr>
        <w:t>; Situación de derechos humanos de las personas LGBTI en Canadá</w:t>
      </w:r>
      <w:r>
        <w:rPr>
          <w:rFonts w:ascii="Calibri" w:hAnsi="Calibri"/>
          <w:sz w:val="16"/>
          <w:szCs w:val="16"/>
          <w:lang w:val="es-ES"/>
        </w:rPr>
        <w:t>, 150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27 de marzo de 2014; </w:t>
      </w:r>
      <w:r w:rsidRPr="00EB1FC4">
        <w:rPr>
          <w:rFonts w:ascii="Calibri" w:hAnsi="Calibri"/>
          <w:i/>
          <w:sz w:val="16"/>
          <w:szCs w:val="16"/>
          <w:lang w:val="es-ES"/>
        </w:rPr>
        <w:t>Denuncias sobre mujeres y niñas indígenas desaparecidas y asesinadas en British Columbia</w:t>
      </w:r>
      <w:r>
        <w:rPr>
          <w:rFonts w:ascii="Calibri" w:hAnsi="Calibri"/>
          <w:sz w:val="16"/>
          <w:szCs w:val="16"/>
          <w:lang w:val="es-ES"/>
        </w:rPr>
        <w:t>, 144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28 de marzo de 2012; </w:t>
      </w:r>
      <w:r w:rsidRPr="00EB1FC4">
        <w:rPr>
          <w:rFonts w:ascii="Calibri" w:hAnsi="Calibri"/>
          <w:i/>
          <w:sz w:val="16"/>
          <w:szCs w:val="16"/>
          <w:lang w:val="es-ES"/>
        </w:rPr>
        <w:t>Situación de derechos humanos de los periodistas en Cuba</w:t>
      </w:r>
      <w:r>
        <w:rPr>
          <w:rFonts w:ascii="Calibri" w:hAnsi="Calibri"/>
          <w:sz w:val="16"/>
          <w:szCs w:val="16"/>
          <w:lang w:val="es-ES"/>
        </w:rPr>
        <w:t>, 150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25 de marzo de 2014; </w:t>
      </w:r>
      <w:r w:rsidRPr="00EB1FC4">
        <w:rPr>
          <w:rFonts w:ascii="Calibri" w:hAnsi="Calibri"/>
          <w:i/>
          <w:sz w:val="16"/>
          <w:szCs w:val="16"/>
          <w:lang w:val="es-ES"/>
        </w:rPr>
        <w:t>Situación de defensores y defensoras de derechos humanos en Cuba</w:t>
      </w:r>
      <w:r>
        <w:rPr>
          <w:rFonts w:ascii="Calibri" w:hAnsi="Calibri"/>
          <w:sz w:val="16"/>
          <w:szCs w:val="16"/>
          <w:lang w:val="es-ES"/>
        </w:rPr>
        <w:t>, 149 periodo ordinario de s</w:t>
      </w:r>
      <w:r w:rsidRPr="00EB1FC4">
        <w:rPr>
          <w:rFonts w:ascii="Calibri" w:hAnsi="Calibri"/>
          <w:sz w:val="16"/>
          <w:szCs w:val="16"/>
          <w:lang w:val="es-ES"/>
        </w:rPr>
        <w:t xml:space="preserve">esiones, 29 de octubre de 2013; </w:t>
      </w:r>
      <w:r w:rsidRPr="00EB1FC4">
        <w:rPr>
          <w:rFonts w:ascii="Calibri" w:hAnsi="Calibri"/>
          <w:i/>
          <w:sz w:val="16"/>
          <w:szCs w:val="16"/>
          <w:lang w:val="es-ES"/>
        </w:rPr>
        <w:t>Situación de derechos humanos de las personas LGBTI en Belice</w:t>
      </w:r>
      <w:r>
        <w:rPr>
          <w:rFonts w:ascii="Calibri" w:hAnsi="Calibri"/>
          <w:sz w:val="16"/>
          <w:szCs w:val="16"/>
          <w:lang w:val="es-ES"/>
        </w:rPr>
        <w:t>, 150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28 de marzo de 2014; </w:t>
      </w:r>
      <w:r w:rsidRPr="00EB1FC4">
        <w:rPr>
          <w:rFonts w:ascii="Calibri" w:hAnsi="Calibri"/>
          <w:i/>
          <w:sz w:val="16"/>
          <w:szCs w:val="16"/>
          <w:lang w:val="es-ES"/>
        </w:rPr>
        <w:t>Situación de la pena de muerte en Belice</w:t>
      </w:r>
      <w:r>
        <w:rPr>
          <w:rFonts w:ascii="Calibri" w:hAnsi="Calibri"/>
          <w:sz w:val="16"/>
          <w:szCs w:val="16"/>
          <w:lang w:val="es-ES"/>
        </w:rPr>
        <w:t>, 116 p</w:t>
      </w:r>
      <w:r w:rsidRPr="00EB1FC4">
        <w:rPr>
          <w:rFonts w:ascii="Calibri" w:hAnsi="Calibri"/>
          <w:sz w:val="16"/>
          <w:szCs w:val="16"/>
          <w:lang w:val="es-ES"/>
        </w:rPr>
        <w:t xml:space="preserve">eriodo </w:t>
      </w:r>
      <w:r>
        <w:rPr>
          <w:rFonts w:ascii="Calibri" w:hAnsi="Calibri"/>
          <w:sz w:val="16"/>
          <w:szCs w:val="16"/>
          <w:lang w:val="es-ES"/>
        </w:rPr>
        <w:t xml:space="preserve">ordinario </w:t>
      </w:r>
      <w:r w:rsidRPr="00EB1FC4">
        <w:rPr>
          <w:rFonts w:ascii="Calibri" w:hAnsi="Calibri"/>
          <w:sz w:val="16"/>
          <w:szCs w:val="16"/>
          <w:lang w:val="es-ES"/>
        </w:rPr>
        <w:t xml:space="preserve">de </w:t>
      </w:r>
      <w:r>
        <w:rPr>
          <w:rFonts w:ascii="Calibri" w:hAnsi="Calibri"/>
          <w:sz w:val="16"/>
          <w:szCs w:val="16"/>
          <w:lang w:val="es-ES"/>
        </w:rPr>
        <w:t>s</w:t>
      </w:r>
      <w:r w:rsidRPr="00EB1FC4">
        <w:rPr>
          <w:rFonts w:ascii="Calibri" w:hAnsi="Calibri"/>
          <w:sz w:val="16"/>
          <w:szCs w:val="16"/>
          <w:lang w:val="es-ES"/>
        </w:rPr>
        <w:t xml:space="preserve">esiones, 18 de octubre de 2012; </w:t>
      </w:r>
      <w:r w:rsidRPr="00EB1FC4">
        <w:rPr>
          <w:rFonts w:ascii="Calibri" w:hAnsi="Calibri"/>
          <w:i/>
          <w:sz w:val="16"/>
          <w:szCs w:val="16"/>
          <w:lang w:val="es-ES"/>
        </w:rPr>
        <w:t>Denuncias sobre discriminación y violencia basadas en orientación sexual e identidad de género contra niños y niñas en Guyana</w:t>
      </w:r>
      <w:r>
        <w:rPr>
          <w:rFonts w:ascii="Calibri" w:hAnsi="Calibri"/>
          <w:sz w:val="16"/>
          <w:szCs w:val="16"/>
          <w:lang w:val="es-ES"/>
        </w:rPr>
        <w:t>, 149 p</w:t>
      </w:r>
      <w:r w:rsidRPr="00EB1FC4">
        <w:rPr>
          <w:rFonts w:ascii="Calibri" w:hAnsi="Calibri"/>
          <w:sz w:val="16"/>
          <w:szCs w:val="16"/>
          <w:lang w:val="es-ES"/>
        </w:rPr>
        <w:t xml:space="preserve">eriodo </w:t>
      </w:r>
      <w:r>
        <w:rPr>
          <w:rFonts w:ascii="Calibri" w:hAnsi="Calibri"/>
          <w:sz w:val="16"/>
          <w:szCs w:val="16"/>
          <w:lang w:val="es-ES"/>
        </w:rPr>
        <w:t xml:space="preserve">ordinario </w:t>
      </w:r>
      <w:r w:rsidRPr="00EB1FC4">
        <w:rPr>
          <w:rFonts w:ascii="Calibri" w:hAnsi="Calibri"/>
          <w:sz w:val="16"/>
          <w:szCs w:val="16"/>
          <w:lang w:val="es-ES"/>
        </w:rPr>
        <w:t xml:space="preserve">de </w:t>
      </w:r>
      <w:r>
        <w:rPr>
          <w:rFonts w:ascii="Calibri" w:hAnsi="Calibri"/>
          <w:sz w:val="16"/>
          <w:szCs w:val="16"/>
          <w:lang w:val="es-ES"/>
        </w:rPr>
        <w:t>s</w:t>
      </w:r>
      <w:r w:rsidRPr="00EB1FC4">
        <w:rPr>
          <w:rFonts w:ascii="Calibri" w:hAnsi="Calibri"/>
          <w:sz w:val="16"/>
          <w:szCs w:val="16"/>
          <w:lang w:val="es-ES"/>
        </w:rPr>
        <w:t xml:space="preserve">esiones, 28 de octubre de 2013; </w:t>
      </w:r>
      <w:r w:rsidRPr="00EB1FC4">
        <w:rPr>
          <w:rFonts w:ascii="Calibri" w:hAnsi="Calibri"/>
          <w:i/>
          <w:sz w:val="16"/>
          <w:szCs w:val="16"/>
          <w:lang w:val="es-ES"/>
        </w:rPr>
        <w:t>Situación de derechos humanos en Guyana</w:t>
      </w:r>
      <w:r>
        <w:rPr>
          <w:rFonts w:ascii="Calibri" w:hAnsi="Calibri"/>
          <w:sz w:val="16"/>
          <w:szCs w:val="16"/>
          <w:lang w:val="es-ES"/>
        </w:rPr>
        <w:t>, 108 p</w:t>
      </w:r>
      <w:r w:rsidRPr="00EB1FC4">
        <w:rPr>
          <w:rFonts w:ascii="Calibri" w:hAnsi="Calibri"/>
          <w:sz w:val="16"/>
          <w:szCs w:val="16"/>
          <w:lang w:val="es-ES"/>
        </w:rPr>
        <w:t xml:space="preserve">eriodo </w:t>
      </w:r>
      <w:r>
        <w:rPr>
          <w:rFonts w:ascii="Calibri" w:hAnsi="Calibri"/>
          <w:sz w:val="16"/>
          <w:szCs w:val="16"/>
          <w:lang w:val="es-ES"/>
        </w:rPr>
        <w:t>ordinario de s</w:t>
      </w:r>
      <w:r w:rsidRPr="00EB1FC4">
        <w:rPr>
          <w:rFonts w:ascii="Calibri" w:hAnsi="Calibri"/>
          <w:sz w:val="16"/>
          <w:szCs w:val="16"/>
          <w:lang w:val="es-ES"/>
        </w:rPr>
        <w:t>esiones, 18 de octubre de 2002.</w:t>
      </w:r>
    </w:p>
  </w:footnote>
  <w:footnote w:id="45">
    <w:p w:rsidR="00543111" w:rsidRPr="00EB1FC4" w:rsidRDefault="00543111" w:rsidP="00B63B41">
      <w:pPr>
        <w:ind w:left="540" w:hanging="540"/>
        <w:jc w:val="both"/>
        <w:rPr>
          <w:rFonts w:ascii="Calibri" w:hAnsi="Calibri"/>
          <w: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Por ejemplo, algunas actividades organizadas por la CIDH en países que no han ratificado la Convención Americana han incluido:</w:t>
      </w:r>
    </w:p>
    <w:p w:rsidR="00543111" w:rsidRPr="00EB1FC4" w:rsidRDefault="00543111" w:rsidP="00622562">
      <w:pPr>
        <w:ind w:left="734" w:hanging="187"/>
        <w:jc w:val="both"/>
        <w:rPr>
          <w:rFonts w:ascii="Calibri" w:hAnsi="Calibri"/>
          <w:sz w:val="16"/>
          <w:szCs w:val="16"/>
          <w:lang w:val="es-ES"/>
        </w:rPr>
      </w:pPr>
      <w:r w:rsidRPr="00EB1FC4">
        <w:rPr>
          <w:rFonts w:ascii="Calibri" w:hAnsi="Calibri"/>
          <w:sz w:val="16"/>
          <w:szCs w:val="16"/>
          <w:lang w:val="es-ES"/>
        </w:rPr>
        <w:t>-</w:t>
      </w:r>
      <w:r w:rsidRPr="00EB1FC4">
        <w:rPr>
          <w:rFonts w:ascii="Calibri" w:hAnsi="Calibri"/>
          <w:sz w:val="16"/>
          <w:szCs w:val="16"/>
          <w:lang w:val="es-ES"/>
        </w:rPr>
        <w:tab/>
        <w:t>Organización de seminarios de capacitación para el CARICOM en la facultad de derecho de la Universidad de George Washington, para diplomáticos del Caribe y funcionarios de gobierno en Washington, DC (Octubre 2012, 2013)</w:t>
      </w:r>
      <w:r>
        <w:rPr>
          <w:rFonts w:ascii="Calibri" w:hAnsi="Calibri"/>
          <w:sz w:val="16"/>
          <w:szCs w:val="16"/>
          <w:lang w:val="es-ES"/>
        </w:rPr>
        <w:t>.</w:t>
      </w:r>
    </w:p>
    <w:p w:rsidR="00543111" w:rsidRPr="00EB1FC4" w:rsidRDefault="00543111" w:rsidP="00622562">
      <w:pPr>
        <w:ind w:left="734" w:hanging="187"/>
        <w:jc w:val="both"/>
        <w:rPr>
          <w:rFonts w:ascii="Calibri" w:hAnsi="Calibri"/>
          <w:sz w:val="16"/>
          <w:szCs w:val="16"/>
          <w:lang w:val="es-ES"/>
        </w:rPr>
      </w:pPr>
      <w:r w:rsidRPr="00EB1FC4">
        <w:rPr>
          <w:rFonts w:ascii="Calibri" w:hAnsi="Calibri"/>
          <w:i/>
          <w:sz w:val="16"/>
          <w:szCs w:val="16"/>
          <w:lang w:val="es-ES"/>
        </w:rPr>
        <w:t>-</w:t>
      </w:r>
      <w:r w:rsidRPr="00EB1FC4">
        <w:rPr>
          <w:rFonts w:ascii="Calibri" w:hAnsi="Calibri"/>
          <w:i/>
          <w:sz w:val="16"/>
          <w:szCs w:val="16"/>
          <w:lang w:val="es-ES"/>
        </w:rPr>
        <w:tab/>
      </w:r>
      <w:r w:rsidRPr="00EB1FC4">
        <w:rPr>
          <w:rFonts w:ascii="Calibri" w:hAnsi="Calibri"/>
          <w:sz w:val="16"/>
          <w:szCs w:val="16"/>
          <w:lang w:val="es-ES"/>
        </w:rPr>
        <w:t>Lanzamiento del Informe sobre la Situación de las Personas Afrodescendientes en las Américas por la Relatora de las Personas Afrodescendientes y contra la Discriminación Racial durante la 33 reunión de los Jefes de Estado del CARICOM en Santa Lucía (Julio 2012)</w:t>
      </w:r>
      <w:r>
        <w:rPr>
          <w:rFonts w:ascii="Calibri" w:hAnsi="Calibri"/>
          <w:sz w:val="16"/>
          <w:szCs w:val="16"/>
          <w:lang w:val="es-ES"/>
        </w:rPr>
        <w:t>.</w:t>
      </w:r>
    </w:p>
    <w:p w:rsidR="00543111" w:rsidRPr="00EB1FC4" w:rsidRDefault="00543111" w:rsidP="00622562">
      <w:pPr>
        <w:ind w:left="734" w:hanging="187"/>
        <w:jc w:val="both"/>
        <w:rPr>
          <w:rFonts w:ascii="Calibri" w:hAnsi="Calibri"/>
          <w:sz w:val="16"/>
          <w:szCs w:val="16"/>
          <w:lang w:val="es-ES"/>
        </w:rPr>
      </w:pPr>
      <w:r w:rsidRPr="00EB1FC4">
        <w:rPr>
          <w:rFonts w:ascii="Calibri" w:hAnsi="Calibri"/>
          <w:sz w:val="16"/>
          <w:szCs w:val="16"/>
          <w:lang w:val="es-ES"/>
        </w:rPr>
        <w:t>-</w:t>
      </w:r>
      <w:r w:rsidRPr="00EB1FC4">
        <w:rPr>
          <w:rFonts w:ascii="Calibri" w:hAnsi="Calibri"/>
          <w:sz w:val="16"/>
          <w:szCs w:val="16"/>
          <w:lang w:val="es-ES"/>
        </w:rPr>
        <w:tab/>
        <w:t>Organización de reunión subregional sobre la justicia penal juvenil para el Caribe del Este y las Bahamas (Mayo 2009)</w:t>
      </w:r>
      <w:r>
        <w:rPr>
          <w:rFonts w:ascii="Calibri" w:hAnsi="Calibri"/>
          <w:sz w:val="16"/>
          <w:szCs w:val="16"/>
          <w:lang w:val="es-ES"/>
        </w:rPr>
        <w:t>.</w:t>
      </w:r>
    </w:p>
    <w:p w:rsidR="00543111" w:rsidRPr="00EB1FC4" w:rsidRDefault="00543111" w:rsidP="00622562">
      <w:pPr>
        <w:ind w:left="734" w:hanging="187"/>
        <w:jc w:val="both"/>
        <w:rPr>
          <w:rFonts w:ascii="Calibri" w:hAnsi="Calibri"/>
          <w:sz w:val="16"/>
          <w:szCs w:val="16"/>
          <w:lang w:val="es-ES"/>
        </w:rPr>
      </w:pPr>
      <w:r w:rsidRPr="00EB1FC4">
        <w:rPr>
          <w:rFonts w:ascii="Calibri" w:hAnsi="Calibri"/>
          <w:sz w:val="16"/>
          <w:szCs w:val="16"/>
          <w:lang w:val="es-ES"/>
        </w:rPr>
        <w:t>-</w:t>
      </w:r>
      <w:r w:rsidRPr="00EB1FC4">
        <w:rPr>
          <w:rFonts w:ascii="Calibri" w:hAnsi="Calibri"/>
          <w:sz w:val="16"/>
          <w:szCs w:val="16"/>
          <w:lang w:val="es-ES"/>
        </w:rPr>
        <w:tab/>
        <w:t>Taller en St. John’s, Antigua para promover la ratificación de instrumentos internacionales y regionales de derechos humanos (Abril, 2006)</w:t>
      </w:r>
      <w:r>
        <w:rPr>
          <w:rFonts w:ascii="Calibri" w:hAnsi="Calibri"/>
          <w:sz w:val="16"/>
          <w:szCs w:val="16"/>
          <w:lang w:val="es-ES"/>
        </w:rPr>
        <w:t>.</w:t>
      </w:r>
    </w:p>
    <w:p w:rsidR="00543111" w:rsidRPr="00EB1FC4" w:rsidRDefault="00543111" w:rsidP="00622562">
      <w:pPr>
        <w:ind w:left="734" w:hanging="187"/>
        <w:jc w:val="both"/>
        <w:rPr>
          <w:rFonts w:ascii="Calibri" w:hAnsi="Calibri"/>
          <w:sz w:val="16"/>
          <w:szCs w:val="16"/>
          <w:lang w:val="es-ES"/>
        </w:rPr>
      </w:pPr>
      <w:r w:rsidRPr="00EB1FC4">
        <w:rPr>
          <w:rFonts w:ascii="Calibri" w:hAnsi="Calibri"/>
          <w:sz w:val="16"/>
          <w:szCs w:val="16"/>
          <w:lang w:val="es-ES"/>
        </w:rPr>
        <w:t>-</w:t>
      </w:r>
      <w:r w:rsidRPr="00EB1FC4">
        <w:rPr>
          <w:rFonts w:ascii="Calibri" w:hAnsi="Calibri"/>
          <w:sz w:val="16"/>
          <w:szCs w:val="16"/>
          <w:lang w:val="es-ES"/>
        </w:rPr>
        <w:tab/>
        <w:t xml:space="preserve">Foro Especial sobre la Raza, la Discriminación y los Derechos Económicos, Sociales y Culturales en América del Norte, CIDH, Universidad de McGill, Montreal, Canadá (Noviembre 22-23, 2013). </w:t>
      </w:r>
    </w:p>
    <w:p w:rsidR="00543111" w:rsidRPr="00EB1FC4" w:rsidRDefault="00543111" w:rsidP="00622562">
      <w:pPr>
        <w:ind w:left="734" w:hanging="187"/>
        <w:jc w:val="both"/>
        <w:rPr>
          <w:rFonts w:ascii="Calibri" w:hAnsi="Calibri"/>
          <w:sz w:val="16"/>
          <w:szCs w:val="16"/>
          <w:lang w:val="es-ES"/>
        </w:rPr>
      </w:pPr>
      <w:r w:rsidRPr="00EB1FC4">
        <w:rPr>
          <w:rFonts w:ascii="Calibri" w:hAnsi="Calibri"/>
          <w:sz w:val="16"/>
          <w:szCs w:val="16"/>
          <w:lang w:val="es-ES"/>
        </w:rPr>
        <w:t>-</w:t>
      </w:r>
      <w:r w:rsidRPr="00EB1FC4">
        <w:rPr>
          <w:rFonts w:ascii="Calibri" w:hAnsi="Calibri"/>
          <w:sz w:val="16"/>
          <w:szCs w:val="16"/>
          <w:lang w:val="es-ES"/>
        </w:rPr>
        <w:tab/>
        <w:t xml:space="preserve">Seminario sobre el sistema interamericano de derechos humanos orientado funcionarios públicos y la sociedad civil en Belize (Julio 19-20, 2011), organizados en colaboración con el </w:t>
      </w:r>
      <w:r w:rsidRPr="00EB1FC4">
        <w:rPr>
          <w:rFonts w:ascii="Calibri" w:hAnsi="Calibri"/>
          <w:i/>
          <w:sz w:val="16"/>
          <w:szCs w:val="16"/>
          <w:lang w:val="es-ES"/>
        </w:rPr>
        <w:t>Caribbean Human Rights Network</w:t>
      </w:r>
      <w:r w:rsidRPr="00EB1FC4">
        <w:rPr>
          <w:rFonts w:ascii="Calibri" w:hAnsi="Calibri"/>
          <w:sz w:val="16"/>
          <w:szCs w:val="16"/>
          <w:lang w:val="es-ES"/>
        </w:rPr>
        <w:t xml:space="preserve">, el Instituto Interamericano de Derechos Humanos, y el </w:t>
      </w:r>
      <w:r w:rsidRPr="00EB1FC4">
        <w:rPr>
          <w:rFonts w:ascii="Calibri" w:hAnsi="Calibri"/>
          <w:i/>
          <w:sz w:val="16"/>
          <w:szCs w:val="16"/>
          <w:lang w:val="es-ES"/>
        </w:rPr>
        <w:t>Commonwealth Secretariat</w:t>
      </w:r>
      <w:r w:rsidRPr="00EB1FC4">
        <w:rPr>
          <w:rFonts w:ascii="Calibri" w:hAnsi="Calibri"/>
          <w:sz w:val="16"/>
          <w:szCs w:val="16"/>
          <w:lang w:val="es-ES"/>
        </w:rPr>
        <w:t>, con el auspicio del Gobierno del Reino Unido e Irlanda del Norte.</w:t>
      </w:r>
    </w:p>
  </w:footnote>
  <w:footnote w:id="46">
    <w:p w:rsidR="00543111" w:rsidRPr="00EB1FC4" w:rsidRDefault="00543111" w:rsidP="00622562">
      <w:pPr>
        <w:pStyle w:val="FootnoteText"/>
        <w:ind w:left="547" w:hanging="547"/>
        <w:jc w:val="both"/>
        <w:rPr>
          <w:rFonts w:ascii="Calibri" w:hAnsi="Calibri" w:cs="Tahoma"/>
          <w:sz w:val="16"/>
          <w:szCs w:val="16"/>
          <w:shd w:val="clear" w:color="auto" w:fill="FFFFFF"/>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 xml:space="preserve">Por ejemplo, la CIDH llevó a cabo las siguientes visitas de trabajo a Estados Unidos en el 2014: Visita de trabajo para </w:t>
      </w:r>
      <w:r w:rsidRPr="00EB1FC4">
        <w:rPr>
          <w:rFonts w:ascii="Calibri" w:hAnsi="Calibri" w:cs="Tahoma"/>
          <w:sz w:val="16"/>
          <w:szCs w:val="16"/>
          <w:shd w:val="clear" w:color="auto" w:fill="FFFFFF"/>
          <w:lang w:val="es-ES_tradnl"/>
        </w:rPr>
        <w:t>monitorear la situación de derechos humanos de las niñas y niños no acompañados y familias que han atravesado la frontera sur de los Estados Unidos (29 de septiembre-2 de octubre de 2014); y Visita de trabajo a Nueva York a fin de obtener información relativa a la situación de las personas menores de 18 años acusadas, juzgadas, condenadas y encarceladas cómo y con adultos y las condiciones de reclusión de los jóvenes en cárceles y centros penitenciarios (7-10 de abril de 2014).</w:t>
      </w:r>
    </w:p>
    <w:p w:rsidR="00543111" w:rsidRPr="00EB1FC4" w:rsidRDefault="00543111" w:rsidP="00214A35">
      <w:pPr>
        <w:pStyle w:val="FootnoteText"/>
        <w:ind w:left="540"/>
        <w:jc w:val="both"/>
        <w:rPr>
          <w:rFonts w:ascii="Calibri" w:hAnsi="Calibri" w:cs="Tahoma"/>
          <w:sz w:val="16"/>
          <w:szCs w:val="16"/>
          <w:shd w:val="clear" w:color="auto" w:fill="FFFFFF"/>
          <w:lang w:val="es-ES_tradnl"/>
        </w:rPr>
      </w:pPr>
      <w:r w:rsidRPr="00EB1FC4">
        <w:rPr>
          <w:rFonts w:ascii="Calibri" w:hAnsi="Calibri" w:cs="Tahoma"/>
          <w:sz w:val="16"/>
          <w:szCs w:val="16"/>
          <w:shd w:val="clear" w:color="auto" w:fill="FFFFFF"/>
          <w:lang w:val="es-ES_tradnl"/>
        </w:rPr>
        <w:t xml:space="preserve">También la CIDH ha podido llevar a cabo las siguientes visitas a Estados Unidos, entre otras:  </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Centros de Detención de Inmigrantes en Arizona y Texas (20-24 de julio de 2009) con el objeto de recibir información de las autoridades encargadas de detenciones, de personas detenidas, y de representantes de organizaciones de la sociedad civil respecto al cumplimiento de normas de inmigración, detención y debido proceso.</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 xml:space="preserve">Visita a El Paso, Texas (7-9 de julio de 1999) </w:t>
      </w:r>
      <w:r w:rsidRPr="00EB1FC4">
        <w:rPr>
          <w:rFonts w:ascii="Calibri" w:hAnsi="Calibri"/>
          <w:sz w:val="16"/>
          <w:szCs w:val="16"/>
          <w:lang w:val="es-ES_tradnl"/>
        </w:rPr>
        <w:t>con el propósito de realizar una observación y recoger información en relación con los procesos de inmigración y asilo en esa región.</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Los Ángeles y San Diego, California (7-9 de julio de 1998) para estudiar la situación de los trabajadores migrantes y sus familias.</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Marksville y Amite, Louisiana de verificación de las condiciones carcelarias de los presos “Marielitos” (9-10 de diciembre de 1996)</w:t>
      </w:r>
      <w:r>
        <w:rPr>
          <w:rFonts w:ascii="Calibri" w:hAnsi="Calibri" w:cs="Tahoma"/>
          <w:sz w:val="16"/>
          <w:szCs w:val="16"/>
          <w:lang w:val="es-ES_tradnl"/>
        </w:rPr>
        <w:t>.</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Allenwood, Pennsylvania de verificación de las condiciones carcelarias de los presos “Marielitos” (26 de abril de 1996)</w:t>
      </w:r>
      <w:r>
        <w:rPr>
          <w:rFonts w:ascii="Calibri" w:hAnsi="Calibri" w:cs="Tahoma"/>
          <w:sz w:val="16"/>
          <w:szCs w:val="16"/>
          <w:lang w:val="es-ES_tradnl"/>
        </w:rPr>
        <w:t>.</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la Penitenciaria de Leavenworth, Kansas (30 de mayo de 1995)</w:t>
      </w:r>
      <w:r>
        <w:rPr>
          <w:rFonts w:ascii="Calibri" w:hAnsi="Calibri" w:cs="Tahoma"/>
          <w:sz w:val="16"/>
          <w:szCs w:val="16"/>
          <w:lang w:val="es-ES_tradnl"/>
        </w:rPr>
        <w:t>.</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la Penitenciaria Federal de Lompoc, California para verificar las condiciones de detención de los presos “Marielitos” cubanos (3-5 de mayo de 1995)</w:t>
      </w:r>
      <w:r>
        <w:rPr>
          <w:rFonts w:ascii="Calibri" w:hAnsi="Calibri" w:cs="Tahoma"/>
          <w:sz w:val="16"/>
          <w:szCs w:val="16"/>
          <w:lang w:val="es-ES_tradnl"/>
        </w:rPr>
        <w:t>.</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al centro de refugiados haitianos en Brooklyn, Nueva York (5-6 de agosto de 1982)</w:t>
      </w:r>
      <w:r>
        <w:rPr>
          <w:rFonts w:ascii="Calibri" w:hAnsi="Calibri" w:cs="Tahoma"/>
          <w:sz w:val="16"/>
          <w:szCs w:val="16"/>
          <w:lang w:val="es-ES_tradnl"/>
        </w:rPr>
        <w:t>.</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centros de detención de refugiados haitianos en Florida y Puerto Rico (28-29 de junio de 1982)</w:t>
      </w:r>
      <w:r>
        <w:rPr>
          <w:rFonts w:ascii="Calibri" w:hAnsi="Calibri" w:cs="Tahoma"/>
          <w:sz w:val="16"/>
          <w:szCs w:val="16"/>
          <w:lang w:val="es-ES_tradnl"/>
        </w:rPr>
        <w:t>.</w:t>
      </w:r>
    </w:p>
    <w:p w:rsidR="00543111" w:rsidRPr="00EB1FC4" w:rsidRDefault="00543111" w:rsidP="00953AF4">
      <w:pPr>
        <w:pStyle w:val="FootnoteText"/>
        <w:ind w:left="734" w:hanging="187"/>
        <w:jc w:val="both"/>
        <w:rPr>
          <w:rFonts w:ascii="Calibri" w:hAnsi="Calibri" w:cs="Tahoma"/>
          <w:sz w:val="16"/>
          <w:szCs w:val="16"/>
          <w:lang w:val="es-ES_tradnl"/>
        </w:rPr>
      </w:pPr>
      <w:r w:rsidRPr="00EB1FC4">
        <w:rPr>
          <w:rFonts w:ascii="Calibri" w:hAnsi="Calibri" w:cs="Tahoma"/>
          <w:sz w:val="16"/>
          <w:szCs w:val="16"/>
          <w:lang w:val="es-ES_tradnl"/>
        </w:rPr>
        <w:t>-</w:t>
      </w:r>
      <w:r>
        <w:rPr>
          <w:rFonts w:ascii="Calibri" w:hAnsi="Calibri" w:cs="Tahoma"/>
          <w:sz w:val="16"/>
          <w:szCs w:val="16"/>
          <w:lang w:val="es-ES_tradnl"/>
        </w:rPr>
        <w:tab/>
      </w:r>
      <w:r w:rsidRPr="00EB1FC4">
        <w:rPr>
          <w:rFonts w:ascii="Calibri" w:hAnsi="Calibri" w:cs="Tahoma"/>
          <w:sz w:val="16"/>
          <w:szCs w:val="16"/>
          <w:lang w:val="es-ES_tradnl"/>
        </w:rPr>
        <w:t>Visita a refugiados cubanos en Miami, Florida (2 de enero de 1963)</w:t>
      </w:r>
      <w:r>
        <w:rPr>
          <w:rFonts w:ascii="Calibri" w:hAnsi="Calibri" w:cs="Tahoma"/>
          <w:sz w:val="16"/>
          <w:szCs w:val="16"/>
          <w:lang w:val="es-ES_tradnl"/>
        </w:rPr>
        <w:t>.</w:t>
      </w:r>
      <w:r w:rsidRPr="00EB1FC4">
        <w:rPr>
          <w:rFonts w:ascii="Calibri" w:hAnsi="Calibri" w:cs="Tahoma"/>
          <w:sz w:val="16"/>
          <w:szCs w:val="16"/>
          <w:lang w:val="es-ES_tradnl"/>
        </w:rPr>
        <w:t xml:space="preserve">  </w:t>
      </w:r>
    </w:p>
    <w:p w:rsidR="00543111" w:rsidRPr="00EB1FC4" w:rsidRDefault="00543111" w:rsidP="00695855">
      <w:pPr>
        <w:pStyle w:val="FootnoteText"/>
        <w:ind w:left="540"/>
        <w:jc w:val="both"/>
        <w:rPr>
          <w:rFonts w:ascii="Calibri" w:hAnsi="Calibri"/>
          <w:sz w:val="16"/>
          <w:szCs w:val="16"/>
          <w:lang w:val="es-ES_tradnl"/>
        </w:rPr>
      </w:pPr>
      <w:r w:rsidRPr="00EB1FC4">
        <w:rPr>
          <w:rFonts w:ascii="Calibri" w:hAnsi="Calibri" w:cs="Tahoma"/>
          <w:sz w:val="16"/>
          <w:szCs w:val="16"/>
          <w:shd w:val="clear" w:color="auto" w:fill="FFFFFF"/>
          <w:lang w:val="es-ES_tradnl"/>
        </w:rPr>
        <w:t xml:space="preserve">La CIDH también llevó a cabo una visita reciente de trabajo a Canadá a fin de examinar la desaparición y asesinatos de mujeres indígenas en Columbia Británica (6-9 de agosto de 2013).  Entre el 20-22 de octubre de 1997, había visitado el país para observar las </w:t>
      </w:r>
      <w:r>
        <w:rPr>
          <w:rFonts w:ascii="Calibri" w:hAnsi="Calibri" w:cs="Tahoma"/>
          <w:sz w:val="16"/>
          <w:szCs w:val="16"/>
          <w:shd w:val="clear" w:color="auto" w:fill="FFFFFF"/>
          <w:lang w:val="es-ES_tradnl"/>
        </w:rPr>
        <w:t xml:space="preserve">condiciones de los refugiados. </w:t>
      </w:r>
      <w:r w:rsidRPr="00EB1FC4">
        <w:rPr>
          <w:rFonts w:ascii="Calibri" w:hAnsi="Calibri" w:cs="Tahoma"/>
          <w:sz w:val="16"/>
          <w:szCs w:val="16"/>
          <w:shd w:val="clear" w:color="auto" w:fill="FFFFFF"/>
          <w:lang w:val="es-ES_tradnl"/>
        </w:rPr>
        <w:t xml:space="preserve"> La CIDH asimismo llevó a cabo una visita in loco a las Bahamas entre el 22 y el 27 de mayo de 1994.</w:t>
      </w:r>
    </w:p>
  </w:footnote>
  <w:footnote w:id="47">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generalmente, CIDH, </w:t>
      </w:r>
      <w:r>
        <w:rPr>
          <w:rFonts w:ascii="Calibri" w:hAnsi="Calibri"/>
          <w:i/>
          <w:sz w:val="16"/>
          <w:szCs w:val="16"/>
          <w:lang w:val="es-ES"/>
        </w:rPr>
        <w:t>Acceso a la j</w:t>
      </w:r>
      <w:r w:rsidRPr="00EB1FC4">
        <w:rPr>
          <w:rFonts w:ascii="Calibri" w:hAnsi="Calibri"/>
          <w:i/>
          <w:sz w:val="16"/>
          <w:szCs w:val="16"/>
          <w:lang w:val="es-ES"/>
        </w:rPr>
        <w:t xml:space="preserve">usticia para las </w:t>
      </w:r>
      <w:r>
        <w:rPr>
          <w:rFonts w:ascii="Calibri" w:hAnsi="Calibri"/>
          <w:i/>
          <w:sz w:val="16"/>
          <w:szCs w:val="16"/>
          <w:lang w:val="es-ES"/>
        </w:rPr>
        <w:t>m</w:t>
      </w:r>
      <w:r w:rsidRPr="00EB1FC4">
        <w:rPr>
          <w:rFonts w:ascii="Calibri" w:hAnsi="Calibri"/>
          <w:i/>
          <w:sz w:val="16"/>
          <w:szCs w:val="16"/>
          <w:lang w:val="es-ES"/>
        </w:rPr>
        <w:t xml:space="preserve">ujeres </w:t>
      </w:r>
      <w:r>
        <w:rPr>
          <w:rFonts w:ascii="Calibri" w:hAnsi="Calibri"/>
          <w:i/>
          <w:sz w:val="16"/>
          <w:szCs w:val="16"/>
          <w:lang w:val="es-ES"/>
        </w:rPr>
        <w:t>v</w:t>
      </w:r>
      <w:r w:rsidRPr="00EB1FC4">
        <w:rPr>
          <w:rFonts w:ascii="Calibri" w:hAnsi="Calibri"/>
          <w:i/>
          <w:sz w:val="16"/>
          <w:szCs w:val="16"/>
          <w:lang w:val="es-ES"/>
        </w:rPr>
        <w:t xml:space="preserve">íctimas de </w:t>
      </w:r>
      <w:r>
        <w:rPr>
          <w:rFonts w:ascii="Calibri" w:hAnsi="Calibri"/>
          <w:i/>
          <w:sz w:val="16"/>
          <w:szCs w:val="16"/>
          <w:lang w:val="es-ES"/>
        </w:rPr>
        <w:t>v</w:t>
      </w:r>
      <w:r w:rsidRPr="00EB1FC4">
        <w:rPr>
          <w:rFonts w:ascii="Calibri" w:hAnsi="Calibri"/>
          <w:i/>
          <w:sz w:val="16"/>
          <w:szCs w:val="16"/>
          <w:lang w:val="es-ES"/>
        </w:rPr>
        <w:t>iolencia en las Américas</w:t>
      </w:r>
      <w:r w:rsidRPr="00EB1FC4">
        <w:rPr>
          <w:rFonts w:ascii="Calibri" w:hAnsi="Calibri"/>
          <w:sz w:val="16"/>
          <w:szCs w:val="16"/>
          <w:lang w:val="es-ES"/>
        </w:rPr>
        <w:t xml:space="preserve">, OEA/Ser.L/V/II. Doc. 68, 20 de enero de 2007; CIDH, </w:t>
      </w:r>
      <w:r w:rsidRPr="00EB1FC4">
        <w:rPr>
          <w:rFonts w:ascii="Calibri" w:hAnsi="Calibri"/>
          <w:i/>
          <w:sz w:val="16"/>
          <w:szCs w:val="16"/>
          <w:lang w:val="es-ES"/>
        </w:rPr>
        <w:t xml:space="preserve">El </w:t>
      </w:r>
      <w:r>
        <w:rPr>
          <w:rFonts w:ascii="Calibri" w:hAnsi="Calibri"/>
          <w:i/>
          <w:sz w:val="16"/>
          <w:szCs w:val="16"/>
          <w:lang w:val="es-ES"/>
        </w:rPr>
        <w:t>a</w:t>
      </w:r>
      <w:r w:rsidRPr="00EB1FC4">
        <w:rPr>
          <w:rFonts w:ascii="Calibri" w:hAnsi="Calibri"/>
          <w:i/>
          <w:sz w:val="16"/>
          <w:szCs w:val="16"/>
          <w:lang w:val="es-ES"/>
        </w:rPr>
        <w:t xml:space="preserve">cceso a la </w:t>
      </w:r>
      <w:r>
        <w:rPr>
          <w:rFonts w:ascii="Calibri" w:hAnsi="Calibri"/>
          <w:i/>
          <w:sz w:val="16"/>
          <w:szCs w:val="16"/>
          <w:lang w:val="es-ES"/>
        </w:rPr>
        <w:t>j</w:t>
      </w:r>
      <w:r w:rsidRPr="00EB1FC4">
        <w:rPr>
          <w:rFonts w:ascii="Calibri" w:hAnsi="Calibri"/>
          <w:i/>
          <w:sz w:val="16"/>
          <w:szCs w:val="16"/>
          <w:lang w:val="es-ES"/>
        </w:rPr>
        <w:t>usticia como garantía de los derechos económicos, soc</w:t>
      </w:r>
      <w:r>
        <w:rPr>
          <w:rFonts w:ascii="Calibri" w:hAnsi="Calibri"/>
          <w:i/>
          <w:sz w:val="16"/>
          <w:szCs w:val="16"/>
          <w:lang w:val="es-ES"/>
        </w:rPr>
        <w:t>iales y culturales. Estudio de e</w:t>
      </w:r>
      <w:r w:rsidRPr="00EB1FC4">
        <w:rPr>
          <w:rFonts w:ascii="Calibri" w:hAnsi="Calibri"/>
          <w:i/>
          <w:sz w:val="16"/>
          <w:szCs w:val="16"/>
          <w:lang w:val="es-ES"/>
        </w:rPr>
        <w:t xml:space="preserve">stándares </w:t>
      </w:r>
      <w:r>
        <w:rPr>
          <w:rFonts w:ascii="Calibri" w:hAnsi="Calibri"/>
          <w:i/>
          <w:sz w:val="16"/>
          <w:szCs w:val="16"/>
          <w:lang w:val="es-ES"/>
        </w:rPr>
        <w:t>j</w:t>
      </w:r>
      <w:r w:rsidRPr="00EB1FC4">
        <w:rPr>
          <w:rFonts w:ascii="Calibri" w:hAnsi="Calibri"/>
          <w:i/>
          <w:sz w:val="16"/>
          <w:szCs w:val="16"/>
          <w:lang w:val="es-ES"/>
        </w:rPr>
        <w:t xml:space="preserve">urídicos </w:t>
      </w:r>
      <w:r>
        <w:rPr>
          <w:rFonts w:ascii="Calibri" w:hAnsi="Calibri"/>
          <w:i/>
          <w:sz w:val="16"/>
          <w:szCs w:val="16"/>
          <w:lang w:val="es-ES"/>
        </w:rPr>
        <w:t>f</w:t>
      </w:r>
      <w:r w:rsidRPr="00EB1FC4">
        <w:rPr>
          <w:rFonts w:ascii="Calibri" w:hAnsi="Calibri"/>
          <w:i/>
          <w:sz w:val="16"/>
          <w:szCs w:val="16"/>
          <w:lang w:val="es-ES"/>
        </w:rPr>
        <w:t xml:space="preserve">ijados por el </w:t>
      </w:r>
      <w:r>
        <w:rPr>
          <w:rFonts w:ascii="Calibri" w:hAnsi="Calibri"/>
          <w:i/>
          <w:sz w:val="16"/>
          <w:szCs w:val="16"/>
          <w:lang w:val="es-ES"/>
        </w:rPr>
        <w:t>s</w:t>
      </w:r>
      <w:r w:rsidRPr="00EB1FC4">
        <w:rPr>
          <w:rFonts w:ascii="Calibri" w:hAnsi="Calibri"/>
          <w:i/>
          <w:sz w:val="16"/>
          <w:szCs w:val="16"/>
          <w:lang w:val="es-ES"/>
        </w:rPr>
        <w:t xml:space="preserve">istema </w:t>
      </w:r>
      <w:r>
        <w:rPr>
          <w:rFonts w:ascii="Calibri" w:hAnsi="Calibri"/>
          <w:i/>
          <w:sz w:val="16"/>
          <w:szCs w:val="16"/>
          <w:lang w:val="es-ES"/>
        </w:rPr>
        <w:t>i</w:t>
      </w:r>
      <w:r w:rsidRPr="00EB1FC4">
        <w:rPr>
          <w:rFonts w:ascii="Calibri" w:hAnsi="Calibri"/>
          <w:i/>
          <w:sz w:val="16"/>
          <w:szCs w:val="16"/>
          <w:lang w:val="es-ES"/>
        </w:rPr>
        <w:t xml:space="preserve">nteramericano de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umanos</w:t>
      </w:r>
      <w:r w:rsidRPr="00EB1FC4">
        <w:rPr>
          <w:rFonts w:ascii="Calibri" w:hAnsi="Calibri"/>
          <w:sz w:val="16"/>
          <w:szCs w:val="16"/>
          <w:lang w:val="es-ES"/>
        </w:rPr>
        <w:t>, OEA/Ser.L/V/II.129, 7 de septiembre de 2007.</w:t>
      </w:r>
    </w:p>
  </w:footnote>
  <w:footnote w:id="48">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Por ejemplo, véase, Estadísticas sobre peticiones presentadas por país, Informes anuales de la CIDH 2009-2013, disponibles en: </w:t>
      </w:r>
      <w:hyperlink r:id="rId4" w:history="1">
        <w:r w:rsidRPr="00EB1FC4">
          <w:rPr>
            <w:rStyle w:val="Hyperlink"/>
            <w:rFonts w:ascii="Calibri" w:hAnsi="Calibri"/>
            <w:sz w:val="16"/>
            <w:szCs w:val="16"/>
            <w:lang w:val="es-ES"/>
          </w:rPr>
          <w:t>http://www.oas.org/es/cidh/informes/anuales.asp</w:t>
        </w:r>
      </w:hyperlink>
      <w:r w:rsidRPr="00EB1FC4">
        <w:rPr>
          <w:rFonts w:ascii="Calibri" w:hAnsi="Calibri"/>
          <w:sz w:val="16"/>
          <w:szCs w:val="16"/>
          <w:lang w:val="es-ES"/>
        </w:rPr>
        <w:t xml:space="preserve">  La CIDH recibió 2061 peticiones de diversos países durante el año 2013.</w:t>
      </w:r>
    </w:p>
  </w:footnote>
  <w:footnote w:id="49">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CIDH, Plan Estratégico 2011 – 2015, pág. 58.</w:t>
      </w:r>
    </w:p>
  </w:footnote>
  <w:footnote w:id="50">
    <w:p w:rsidR="00543111" w:rsidRPr="00EB1FC4" w:rsidRDefault="00543111" w:rsidP="00B63B41">
      <w:pPr>
        <w:pStyle w:val="FootnoteText"/>
        <w:ind w:left="540" w:hanging="540"/>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CIDH, Plan Estratégico 2011 – 2015, pág. 37.</w:t>
      </w:r>
    </w:p>
  </w:footnote>
  <w:footnote w:id="51">
    <w:p w:rsidR="00543111" w:rsidRPr="00EB1FC4" w:rsidRDefault="00543111" w:rsidP="00B63B41">
      <w:pPr>
        <w:ind w:left="540" w:hanging="540"/>
        <w:jc w:val="both"/>
        <w:rPr>
          <w:rFonts w:ascii="Calibri" w:hAnsi="Calibri"/>
          <w:color w:val="000000"/>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Por ejemplo, véase, </w:t>
      </w:r>
      <w:r w:rsidRPr="00EB1FC4">
        <w:rPr>
          <w:rFonts w:ascii="Calibri" w:hAnsi="Calibri" w:cs="Arial"/>
          <w:sz w:val="16"/>
          <w:szCs w:val="16"/>
          <w:lang w:val="es-UY"/>
        </w:rPr>
        <w:t xml:space="preserve">Corte IDH. </w:t>
      </w:r>
      <w:r w:rsidRPr="00EB1FC4">
        <w:rPr>
          <w:rFonts w:ascii="Calibri" w:hAnsi="Calibri"/>
          <w:bCs/>
          <w:i/>
          <w:sz w:val="16"/>
          <w:szCs w:val="16"/>
          <w:lang w:val="es-ES"/>
        </w:rPr>
        <w:t>Caso González y otras (“Campo Algodonero”) Vs. México</w:t>
      </w:r>
      <w:r w:rsidRPr="00EB1FC4">
        <w:rPr>
          <w:rFonts w:ascii="Calibri" w:hAnsi="Calibri"/>
          <w:b/>
          <w:bCs/>
          <w:sz w:val="16"/>
          <w:szCs w:val="16"/>
          <w:lang w:val="es-ES"/>
        </w:rPr>
        <w:t xml:space="preserve">. </w:t>
      </w:r>
      <w:r w:rsidRPr="00EB1FC4">
        <w:rPr>
          <w:rFonts w:ascii="Calibri" w:hAnsi="Calibri"/>
          <w:sz w:val="16"/>
          <w:szCs w:val="16"/>
          <w:lang w:val="es-ES"/>
        </w:rPr>
        <w:t xml:space="preserve">Excepción Preliminar, Fondo, Reparaciones y Costas. </w:t>
      </w:r>
      <w:r w:rsidRPr="00B90612">
        <w:rPr>
          <w:rFonts w:ascii="Calibri" w:hAnsi="Calibri"/>
          <w:sz w:val="16"/>
          <w:szCs w:val="16"/>
          <w:lang w:val="es-ES"/>
        </w:rPr>
        <w:t xml:space="preserve">Sentencia de 16 de noviembre de 2009. Serie C No. 205; </w:t>
      </w:r>
      <w:r w:rsidRPr="00EB1FC4">
        <w:rPr>
          <w:rFonts w:ascii="Calibri" w:hAnsi="Calibri"/>
          <w:sz w:val="16"/>
          <w:szCs w:val="16"/>
          <w:lang w:val="es-ES"/>
        </w:rPr>
        <w:t xml:space="preserve">Corte IDH. </w:t>
      </w:r>
      <w:r w:rsidRPr="00EB1FC4">
        <w:rPr>
          <w:rFonts w:ascii="Calibri" w:hAnsi="Calibri"/>
          <w:bCs/>
          <w:i/>
          <w:sz w:val="16"/>
          <w:szCs w:val="16"/>
          <w:lang w:val="es-ES"/>
        </w:rPr>
        <w:t xml:space="preserve">Caso de la Masacre de las Dos Erres Vs. Guatemala. </w:t>
      </w:r>
      <w:r w:rsidRPr="00EB1FC4">
        <w:rPr>
          <w:rFonts w:ascii="Calibri" w:hAnsi="Calibri"/>
          <w:sz w:val="16"/>
          <w:szCs w:val="16"/>
          <w:lang w:val="es-ES"/>
        </w:rPr>
        <w:t xml:space="preserve">Excepción Preliminar, Fondo, Reparaciones y Costas. Sentencia de 24 de noviembre de 2009. </w:t>
      </w:r>
      <w:r w:rsidRPr="00B90612">
        <w:rPr>
          <w:rFonts w:ascii="Calibri" w:hAnsi="Calibri"/>
          <w:sz w:val="16"/>
          <w:szCs w:val="16"/>
          <w:lang w:val="es-ES"/>
        </w:rPr>
        <w:t xml:space="preserve">Serie C No. 211; Corte IDH. </w:t>
      </w:r>
      <w:r w:rsidRPr="00B90612">
        <w:rPr>
          <w:rFonts w:ascii="Calibri" w:hAnsi="Calibri"/>
          <w:i/>
          <w:sz w:val="16"/>
          <w:szCs w:val="16"/>
          <w:lang w:val="es-ES"/>
        </w:rPr>
        <w:t>Caso Comunidad Indígena Sawhoyamaxa Vs. Paraguay</w:t>
      </w:r>
      <w:r w:rsidRPr="00B90612">
        <w:rPr>
          <w:rFonts w:ascii="Calibri" w:hAnsi="Calibri"/>
          <w:sz w:val="16"/>
          <w:szCs w:val="16"/>
          <w:lang w:val="es-ES"/>
        </w:rPr>
        <w:t xml:space="preserve">. </w:t>
      </w:r>
      <w:r w:rsidRPr="00EB1FC4">
        <w:rPr>
          <w:rFonts w:ascii="Calibri" w:hAnsi="Calibri"/>
          <w:sz w:val="16"/>
          <w:szCs w:val="16"/>
          <w:lang w:val="es-ES"/>
        </w:rPr>
        <w:t xml:space="preserve">Sentencia de 29 de marzo de 2006. Serie C No. 146. </w:t>
      </w:r>
    </w:p>
  </w:footnote>
  <w:footnote w:id="52">
    <w:p w:rsidR="00543111" w:rsidRPr="00B90612"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Por ejemplo, véase, Corte IDH. </w:t>
      </w:r>
      <w:r w:rsidRPr="00EB1FC4">
        <w:rPr>
          <w:rFonts w:ascii="Calibri" w:hAnsi="Calibri"/>
          <w:i/>
          <w:sz w:val="16"/>
          <w:szCs w:val="16"/>
          <w:lang w:val="es-ES"/>
        </w:rPr>
        <w:t>Caso de la Masacre de la Rochela</w:t>
      </w:r>
      <w:r w:rsidRPr="00EB1FC4">
        <w:rPr>
          <w:rFonts w:ascii="Calibri" w:hAnsi="Calibri"/>
          <w:sz w:val="16"/>
          <w:szCs w:val="16"/>
          <w:lang w:val="es-ES"/>
        </w:rPr>
        <w:t xml:space="preserve">.  </w:t>
      </w:r>
      <w:r w:rsidRPr="00B90612">
        <w:rPr>
          <w:rFonts w:ascii="Calibri" w:hAnsi="Calibri"/>
          <w:sz w:val="16"/>
          <w:szCs w:val="16"/>
          <w:lang w:val="es-ES"/>
        </w:rPr>
        <w:t xml:space="preserve">Sentencia de 11 de mayo de 2007.  Serie C. No. 163 ; </w:t>
      </w:r>
      <w:r w:rsidRPr="00EB1FC4">
        <w:rPr>
          <w:rFonts w:ascii="Calibri" w:hAnsi="Calibri"/>
          <w:sz w:val="16"/>
          <w:szCs w:val="16"/>
          <w:lang w:val="es-ES"/>
        </w:rPr>
        <w:t xml:space="preserve">Corte IDH. </w:t>
      </w:r>
      <w:r w:rsidRPr="00EB1FC4">
        <w:rPr>
          <w:rFonts w:ascii="Calibri" w:hAnsi="Calibri"/>
          <w:i/>
          <w:sz w:val="16"/>
          <w:szCs w:val="16"/>
          <w:lang w:val="es-ES"/>
        </w:rPr>
        <w:t>Caso Velásquez Rodríguez Vs. Honduras</w:t>
      </w:r>
      <w:r w:rsidRPr="00EB1FC4">
        <w:rPr>
          <w:rFonts w:ascii="Calibri" w:hAnsi="Calibri"/>
          <w:sz w:val="16"/>
          <w:szCs w:val="16"/>
          <w:lang w:val="es-ES"/>
        </w:rPr>
        <w:t>. Sentencia de 29 de julio de 1988. Serie C No. 4.</w:t>
      </w:r>
    </w:p>
  </w:footnote>
  <w:footnote w:id="53">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Por ejemplo, véase, Corte IDH. </w:t>
      </w:r>
      <w:r w:rsidRPr="00EB1FC4">
        <w:rPr>
          <w:rFonts w:ascii="Calibri" w:hAnsi="Calibri"/>
          <w:bCs/>
          <w:i/>
          <w:color w:val="000000"/>
          <w:sz w:val="16"/>
          <w:szCs w:val="16"/>
          <w:lang w:val="es-ES"/>
        </w:rPr>
        <w:t>Caso La Cantuta Vs. Perú</w:t>
      </w:r>
      <w:r w:rsidRPr="00EB1FC4">
        <w:rPr>
          <w:rFonts w:ascii="Calibri" w:hAnsi="Calibri"/>
          <w:bCs/>
          <w:color w:val="000000"/>
          <w:sz w:val="16"/>
          <w:szCs w:val="16"/>
          <w:lang w:val="es-ES"/>
        </w:rPr>
        <w:t xml:space="preserve">. </w:t>
      </w:r>
      <w:r w:rsidRPr="00EB1FC4">
        <w:rPr>
          <w:rFonts w:ascii="Calibri" w:hAnsi="Calibri"/>
          <w:color w:val="000000"/>
          <w:sz w:val="16"/>
          <w:szCs w:val="16"/>
          <w:lang w:val="es-ES"/>
        </w:rPr>
        <w:t xml:space="preserve">Sentencia de 29 de noviembre de 2006 Serie C No. 162; </w:t>
      </w:r>
      <w:r w:rsidRPr="00EB1FC4">
        <w:rPr>
          <w:rFonts w:ascii="Calibri" w:hAnsi="Calibri"/>
          <w:sz w:val="16"/>
          <w:szCs w:val="16"/>
          <w:lang w:val="es-ES"/>
        </w:rPr>
        <w:t xml:space="preserve">Corte IDH. </w:t>
      </w:r>
      <w:r w:rsidRPr="00EB1FC4">
        <w:rPr>
          <w:rFonts w:ascii="Calibri" w:hAnsi="Calibri"/>
          <w:i/>
          <w:sz w:val="16"/>
          <w:szCs w:val="16"/>
          <w:lang w:val="es-ES"/>
        </w:rPr>
        <w:t xml:space="preserve">Caso Barrios Altos Vs. Perú. </w:t>
      </w:r>
      <w:r w:rsidRPr="00EB1FC4">
        <w:rPr>
          <w:rFonts w:ascii="Calibri" w:hAnsi="Calibri"/>
          <w:sz w:val="16"/>
          <w:szCs w:val="16"/>
          <w:lang w:val="es-ES"/>
        </w:rPr>
        <w:t>Sentencia de 14 de marzo de 2001. Serie C No. 75.</w:t>
      </w:r>
    </w:p>
  </w:footnote>
  <w:footnote w:id="54">
    <w:p w:rsidR="00543111" w:rsidRPr="00EB1FC4" w:rsidRDefault="00543111" w:rsidP="00B63B41">
      <w:pPr>
        <w:ind w:left="540" w:hanging="540"/>
        <w:jc w:val="both"/>
        <w:rPr>
          <w:rFonts w:ascii="Calibri" w:hAnsi="Calibri"/>
          <w:color w:val="000000"/>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Por ejemplo, véase, Corte IDH. </w:t>
      </w:r>
      <w:r w:rsidRPr="00EB1FC4">
        <w:rPr>
          <w:rFonts w:ascii="Calibri" w:hAnsi="Calibri"/>
          <w:i/>
          <w:sz w:val="16"/>
          <w:szCs w:val="16"/>
          <w:lang w:val="es-ES"/>
        </w:rPr>
        <w:t>Caso de la Comunidad Mayagna (Sumo) Awas Tingni Vs. Nicaragua</w:t>
      </w:r>
      <w:r w:rsidRPr="00EB1FC4">
        <w:rPr>
          <w:rFonts w:ascii="Calibri" w:hAnsi="Calibri"/>
          <w:sz w:val="16"/>
          <w:szCs w:val="16"/>
          <w:lang w:val="es-ES"/>
        </w:rPr>
        <w:t>. Excepciones Preliminares. Sentencia de 1 de febrero de 2000. Serie C No. 66;</w:t>
      </w:r>
      <w:r w:rsidRPr="00EB1FC4">
        <w:rPr>
          <w:rFonts w:ascii="Calibri" w:hAnsi="Calibri"/>
          <w:color w:val="000000"/>
          <w:sz w:val="16"/>
          <w:szCs w:val="16"/>
          <w:lang w:val="es-ES"/>
        </w:rPr>
        <w:t xml:space="preserve"> Corte IDH. </w:t>
      </w:r>
      <w:r w:rsidRPr="00EB1FC4">
        <w:rPr>
          <w:rFonts w:ascii="Calibri" w:hAnsi="Calibri"/>
          <w:bCs/>
          <w:i/>
          <w:color w:val="000000"/>
          <w:sz w:val="16"/>
          <w:szCs w:val="16"/>
          <w:lang w:val="es-ES"/>
        </w:rPr>
        <w:t>Caso Fernández Ortega y otros Vs. México.</w:t>
      </w:r>
      <w:r w:rsidRPr="00EB1FC4">
        <w:rPr>
          <w:rFonts w:ascii="Calibri" w:hAnsi="Calibri"/>
          <w:b/>
          <w:bCs/>
          <w:color w:val="000000"/>
          <w:sz w:val="16"/>
          <w:szCs w:val="16"/>
          <w:lang w:val="es-ES"/>
        </w:rPr>
        <w:t xml:space="preserve"> </w:t>
      </w:r>
      <w:r w:rsidRPr="00EB1FC4">
        <w:rPr>
          <w:rFonts w:ascii="Calibri" w:hAnsi="Calibri"/>
          <w:color w:val="000000"/>
          <w:sz w:val="16"/>
          <w:szCs w:val="16"/>
          <w:lang w:val="es-ES"/>
        </w:rPr>
        <w:t xml:space="preserve">Excepción Preliminar, Fondo, Reparaciones y Costas. Sentencia de 30 de agosto de 2010 Serie C No. 215; Corte IDH. </w:t>
      </w:r>
      <w:r w:rsidRPr="00EB1FC4">
        <w:rPr>
          <w:rFonts w:ascii="Calibri" w:hAnsi="Calibri"/>
          <w:bCs/>
          <w:i/>
          <w:color w:val="000000"/>
          <w:sz w:val="16"/>
          <w:szCs w:val="16"/>
          <w:lang w:val="es-ES"/>
        </w:rPr>
        <w:t>Caso Rosendo Cantú y otra Vs. México.</w:t>
      </w:r>
      <w:r w:rsidRPr="00EB1FC4">
        <w:rPr>
          <w:rFonts w:ascii="Calibri" w:hAnsi="Calibri"/>
          <w:b/>
          <w:bCs/>
          <w:color w:val="000000"/>
          <w:sz w:val="16"/>
          <w:szCs w:val="16"/>
          <w:lang w:val="es-ES"/>
        </w:rPr>
        <w:t xml:space="preserve"> </w:t>
      </w:r>
      <w:r w:rsidRPr="00EB1FC4">
        <w:rPr>
          <w:rFonts w:ascii="Calibri" w:hAnsi="Calibri"/>
          <w:color w:val="000000"/>
          <w:sz w:val="16"/>
          <w:szCs w:val="16"/>
          <w:lang w:val="es-ES"/>
        </w:rPr>
        <w:t xml:space="preserve">Excepción Preliminar, Fondo, Reparaciones y Costas. </w:t>
      </w:r>
      <w:r w:rsidRPr="00D155D8">
        <w:rPr>
          <w:rFonts w:ascii="Calibri" w:hAnsi="Calibri"/>
          <w:color w:val="000000"/>
          <w:sz w:val="16"/>
          <w:szCs w:val="16"/>
          <w:lang w:val="es-ES"/>
        </w:rPr>
        <w:t xml:space="preserve">Sentencia de 31 de agosto de 2010. </w:t>
      </w:r>
      <w:r w:rsidRPr="00B90612">
        <w:rPr>
          <w:rFonts w:ascii="Calibri" w:hAnsi="Calibri"/>
          <w:color w:val="000000"/>
          <w:sz w:val="16"/>
          <w:szCs w:val="16"/>
          <w:lang w:val="es-ES"/>
        </w:rPr>
        <w:t xml:space="preserve">Serie C No. 216; </w:t>
      </w:r>
      <w:r w:rsidRPr="00EB1FC4">
        <w:rPr>
          <w:rFonts w:ascii="Calibri" w:hAnsi="Calibri"/>
          <w:sz w:val="16"/>
          <w:szCs w:val="16"/>
          <w:lang w:val="es-AR"/>
        </w:rPr>
        <w:t xml:space="preserve">Corte IDH. </w:t>
      </w:r>
      <w:r w:rsidRPr="00EB1FC4">
        <w:rPr>
          <w:rFonts w:ascii="Calibri" w:hAnsi="Calibri"/>
          <w:i/>
          <w:sz w:val="16"/>
          <w:szCs w:val="16"/>
          <w:lang w:val="es-AR"/>
        </w:rPr>
        <w:t>Caso Atala Riffo y Niñas Vs. Chile</w:t>
      </w:r>
      <w:r w:rsidRPr="00EB1FC4">
        <w:rPr>
          <w:rFonts w:ascii="Calibri" w:hAnsi="Calibri"/>
          <w:sz w:val="16"/>
          <w:szCs w:val="16"/>
          <w:lang w:val="es-AR"/>
        </w:rPr>
        <w:t xml:space="preserve">. Fondo, Reparaciones y Costas. Sentencia del 24 de febrero de 2012. Serie C No. 239; </w:t>
      </w:r>
      <w:r w:rsidRPr="00EB1FC4">
        <w:rPr>
          <w:rFonts w:ascii="Calibri" w:hAnsi="Calibri"/>
          <w:sz w:val="16"/>
          <w:szCs w:val="16"/>
          <w:lang w:val="es-ES"/>
        </w:rPr>
        <w:t xml:space="preserve">Corte IDH. </w:t>
      </w:r>
      <w:r w:rsidRPr="00EB1FC4">
        <w:rPr>
          <w:rFonts w:ascii="Calibri" w:hAnsi="Calibri"/>
          <w:i/>
          <w:sz w:val="16"/>
          <w:szCs w:val="16"/>
          <w:lang w:val="es-ES"/>
        </w:rPr>
        <w:t>Caso de los “Niños de la Calle”</w:t>
      </w:r>
      <w:r w:rsidRPr="00EB1FC4">
        <w:rPr>
          <w:rFonts w:ascii="Calibri" w:hAnsi="Calibri"/>
          <w:sz w:val="16"/>
          <w:szCs w:val="16"/>
          <w:lang w:val="es-ES"/>
        </w:rPr>
        <w:t xml:space="preserve"> (Villagrán Morales y otros) Vs. Guatemala. Excepciones Preliminares. Sentencia de 11 de septiembre de 1997. Serie C No. 32.; Corte IDH. </w:t>
      </w:r>
      <w:r w:rsidRPr="00EB1FC4">
        <w:rPr>
          <w:rFonts w:ascii="Calibri" w:hAnsi="Calibri"/>
          <w:i/>
          <w:sz w:val="16"/>
          <w:szCs w:val="16"/>
          <w:lang w:val="es-ES"/>
        </w:rPr>
        <w:t>Caso de las Niñas Yean y Bosico Vs. República Dominicana</w:t>
      </w:r>
      <w:r w:rsidRPr="00EB1FC4">
        <w:rPr>
          <w:rFonts w:ascii="Calibri" w:hAnsi="Calibri"/>
          <w:sz w:val="16"/>
          <w:szCs w:val="16"/>
          <w:lang w:val="es-ES"/>
        </w:rPr>
        <w:t>. Sentencia de 8 de septiembre de 2005. Serie C No. 130.</w:t>
      </w:r>
    </w:p>
  </w:footnote>
  <w:footnote w:id="55">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Por ejemplo, véase, Corte IDH. </w:t>
      </w:r>
      <w:r w:rsidRPr="00EB1FC4">
        <w:rPr>
          <w:rFonts w:ascii="Calibri" w:hAnsi="Calibri"/>
          <w:bCs/>
          <w:i/>
          <w:sz w:val="16"/>
          <w:szCs w:val="16"/>
          <w:lang w:val="es-ES"/>
        </w:rPr>
        <w:t xml:space="preserve">Caso Radilla Pacheco Vs. México. </w:t>
      </w:r>
      <w:r w:rsidRPr="00EB1FC4">
        <w:rPr>
          <w:rFonts w:ascii="Calibri" w:hAnsi="Calibri"/>
          <w:sz w:val="16"/>
          <w:szCs w:val="16"/>
          <w:lang w:val="es-ES"/>
        </w:rPr>
        <w:t xml:space="preserve">Excepciones Preliminares, Fondo, Reparaciones y Costas. Sentencia de 23 de Noviembre de 2009. Serie C No. 209; Corte IDH. </w:t>
      </w:r>
      <w:r w:rsidRPr="00EB1FC4">
        <w:rPr>
          <w:rFonts w:ascii="Calibri" w:hAnsi="Calibri"/>
          <w:i/>
          <w:sz w:val="16"/>
          <w:szCs w:val="16"/>
          <w:lang w:val="es-ES"/>
        </w:rPr>
        <w:t>Caso Yatama Vs. Nicaragua</w:t>
      </w:r>
      <w:r w:rsidRPr="00EB1FC4">
        <w:rPr>
          <w:rFonts w:ascii="Calibri" w:hAnsi="Calibri"/>
          <w:sz w:val="16"/>
          <w:szCs w:val="16"/>
          <w:lang w:val="es-ES"/>
        </w:rPr>
        <w:t xml:space="preserve">. Sentencia de 23 de junio de 2005. </w:t>
      </w:r>
      <w:r w:rsidRPr="00EB1FC4">
        <w:rPr>
          <w:rFonts w:ascii="Calibri" w:hAnsi="Calibri"/>
          <w:sz w:val="16"/>
          <w:szCs w:val="16"/>
          <w:lang w:val="it-IT"/>
        </w:rPr>
        <w:t xml:space="preserve">Serie C No. 127; </w:t>
      </w:r>
      <w:r w:rsidRPr="00EB1FC4">
        <w:rPr>
          <w:rFonts w:ascii="Calibri" w:hAnsi="Calibri"/>
          <w:sz w:val="16"/>
          <w:szCs w:val="16"/>
          <w:lang w:val="es-ES"/>
        </w:rPr>
        <w:t xml:space="preserve">Corte IDH. </w:t>
      </w:r>
      <w:r w:rsidRPr="00EB1FC4">
        <w:rPr>
          <w:rFonts w:ascii="Calibri" w:hAnsi="Calibri"/>
          <w:i/>
          <w:sz w:val="16"/>
          <w:szCs w:val="16"/>
          <w:lang w:val="es-ES"/>
        </w:rPr>
        <w:t>Caso Claude Reyes y otros Vs. Chile</w:t>
      </w:r>
      <w:r w:rsidRPr="00EB1FC4">
        <w:rPr>
          <w:rFonts w:ascii="Calibri" w:hAnsi="Calibri"/>
          <w:sz w:val="16"/>
          <w:szCs w:val="16"/>
          <w:lang w:val="es-ES"/>
        </w:rPr>
        <w:t>. Sentencia de 19 de septiembre de 2006. Serie C No. 151.</w:t>
      </w:r>
    </w:p>
  </w:footnote>
  <w:footnote w:id="56">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Como fue indicado por Brian Tittemore, anteriormente Especialista Principal de la Comisión Interamericana de Derechos Humanos</w:t>
      </w:r>
      <w:r>
        <w:rPr>
          <w:rFonts w:ascii="Calibri" w:hAnsi="Calibri"/>
          <w:sz w:val="16"/>
          <w:szCs w:val="16"/>
          <w:lang w:val="es-ES_tradnl"/>
        </w:rPr>
        <w:t>:</w:t>
      </w:r>
    </w:p>
    <w:p w:rsidR="00543111" w:rsidRPr="00EB1FC4" w:rsidRDefault="00543111" w:rsidP="00FB5DA4">
      <w:pPr>
        <w:pStyle w:val="FootnoteText"/>
        <w:ind w:left="540"/>
        <w:jc w:val="both"/>
        <w:rPr>
          <w:rFonts w:ascii="Calibri" w:hAnsi="Calibri"/>
          <w:sz w:val="16"/>
          <w:szCs w:val="16"/>
          <w:lang w:val="en-US"/>
        </w:rPr>
      </w:pPr>
      <w:r w:rsidRPr="00EB1FC4">
        <w:rPr>
          <w:rFonts w:ascii="Calibri" w:hAnsi="Calibri"/>
          <w:sz w:val="16"/>
          <w:szCs w:val="16"/>
          <w:lang w:val="en-US"/>
        </w:rPr>
        <w:t>The lack of uniformity in obligations undertaken by governments within the inter-American human rights system has presented challenges to the Commission and the Court in attempting to recognize and promote maximum and universally applicable human rights standards among all OAS Member States, while at the same time respecting distinctions in the treaty commitments explicitly undertaken by each individual state.  The Caribbean region, having all three categories of Member States, provides a microcosm of the system’s legal disparities, which in turn affects the options available to the Commission and the Court in processing complaints that may raise issues common to some or all of the countries of the region, including the mandatory death penalty.</w:t>
      </w:r>
    </w:p>
    <w:p w:rsidR="00543111" w:rsidRPr="00EB1FC4" w:rsidRDefault="00543111" w:rsidP="000243E4">
      <w:pPr>
        <w:pStyle w:val="FootnoteText"/>
        <w:ind w:left="547"/>
        <w:jc w:val="both"/>
        <w:rPr>
          <w:rFonts w:ascii="Calibri" w:hAnsi="Calibri"/>
          <w:sz w:val="16"/>
          <w:szCs w:val="16"/>
          <w:lang w:val="es-ES_tradnl"/>
        </w:rPr>
      </w:pPr>
      <w:r w:rsidRPr="00EB1FC4">
        <w:rPr>
          <w:rFonts w:ascii="Calibri" w:hAnsi="Calibri"/>
          <w:sz w:val="16"/>
          <w:szCs w:val="16"/>
          <w:lang w:val="en-US"/>
        </w:rPr>
        <w:t xml:space="preserve">Brian D. Tittemore, </w:t>
      </w:r>
      <w:r w:rsidRPr="00EB1FC4">
        <w:rPr>
          <w:rFonts w:ascii="Calibri" w:hAnsi="Calibri"/>
          <w:i/>
          <w:sz w:val="16"/>
          <w:szCs w:val="16"/>
          <w:lang w:val="en-US"/>
        </w:rPr>
        <w:t>The Mandatory Death Penalty in the Commonwealth Caribbean and the Inter-American Human Rights System: An Evolution in the Development and Implementation of International Human Rights Protections</w:t>
      </w:r>
      <w:r w:rsidRPr="00EB1FC4">
        <w:rPr>
          <w:rFonts w:ascii="Calibri" w:hAnsi="Calibri"/>
          <w:sz w:val="16"/>
          <w:szCs w:val="16"/>
          <w:lang w:val="en-US"/>
        </w:rPr>
        <w:t xml:space="preserve">, 13 Wm. </w:t>
      </w:r>
      <w:r w:rsidRPr="00EB1FC4">
        <w:rPr>
          <w:rFonts w:ascii="Calibri" w:hAnsi="Calibri"/>
          <w:sz w:val="16"/>
          <w:szCs w:val="16"/>
          <w:lang w:val="es-ES_tradnl"/>
        </w:rPr>
        <w:t>&amp; Mary Bill Rts. J. 445 (2004).</w:t>
      </w:r>
    </w:p>
  </w:footnote>
  <w:footnote w:id="57">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En varias ocasiones, la Asamblea General de la OEA ha exhortado a los Estados Miembros de la OEA a prestar seguimiento a las recomendaciones de la CIDH, como por ejemplo en AG/RES. 2672 (XLI-0/11) sobre Observaciones y Recomendaciones al Informe Anual de la CIDH (punto resolutivo 3.b). Además la resolución AG/RES. 2675 (XLI-0/11) sobre </w:t>
      </w:r>
      <w:r w:rsidRPr="00EB1FC4">
        <w:rPr>
          <w:rFonts w:ascii="Calibri" w:hAnsi="Calibri"/>
          <w:i/>
          <w:sz w:val="16"/>
          <w:szCs w:val="16"/>
          <w:lang w:val="es-ES"/>
        </w:rPr>
        <w:t>Fortalecimiento del Sistema Interamericano de Derechos Humanos en Seguimiento de los Mandatos Derivados de las Cumbres de las Américas</w:t>
      </w:r>
      <w:r w:rsidRPr="00EB1FC4">
        <w:rPr>
          <w:rFonts w:ascii="Calibri" w:hAnsi="Calibri"/>
          <w:sz w:val="16"/>
          <w:szCs w:val="16"/>
          <w:lang w:val="es-ES"/>
        </w:rPr>
        <w:t>, encomendó al Consejo Permanente a continuar considerando medios para promover el seguimiento de las recomendaciones de la CIDH por parte de los Estados Miembros de la OEA (punto resolutivo 3.d).</w:t>
      </w:r>
    </w:p>
  </w:footnote>
  <w:footnote w:id="58">
    <w:p w:rsidR="00543111" w:rsidRPr="00EB1FC4" w:rsidRDefault="00543111" w:rsidP="00B63B41">
      <w:pPr>
        <w:pStyle w:val="NormalWeb"/>
        <w:shd w:val="clear" w:color="auto" w:fill="FFFFFF"/>
        <w:spacing w:before="0" w:beforeAutospacing="0" w:after="0" w:afterAutospacing="0"/>
        <w:ind w:left="540" w:right="144"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w:t>
      </w:r>
      <w:r w:rsidRPr="005B57E6">
        <w:rPr>
          <w:rFonts w:ascii="Calibri" w:hAnsi="Calibri"/>
          <w:i/>
          <w:sz w:val="16"/>
          <w:szCs w:val="16"/>
          <w:lang w:val="es-ES"/>
        </w:rPr>
        <w:t>Informe Anual 2013</w:t>
      </w:r>
      <w:r w:rsidRPr="00EB1FC4">
        <w:rPr>
          <w:rFonts w:ascii="Calibri" w:hAnsi="Calibri"/>
          <w:sz w:val="16"/>
          <w:szCs w:val="16"/>
          <w:lang w:val="es-ES"/>
        </w:rPr>
        <w:t>, Capítulo 2(D), Estado del cumplimiento en casos individuales, párrafos 35-1189.</w:t>
      </w:r>
    </w:p>
  </w:footnote>
  <w:footnote w:id="59">
    <w:p w:rsidR="00543111" w:rsidRPr="00EB1FC4" w:rsidRDefault="00543111" w:rsidP="00B63B41">
      <w:pPr>
        <w:pStyle w:val="NormalWeb"/>
        <w:shd w:val="clear" w:color="auto" w:fill="FFFFFF"/>
        <w:spacing w:before="0" w:beforeAutospacing="0" w:after="0" w:afterAutospacing="0"/>
        <w:ind w:left="540" w:right="144"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w:t>
      </w:r>
      <w:r w:rsidRPr="005B57E6">
        <w:rPr>
          <w:rFonts w:ascii="Calibri" w:hAnsi="Calibri"/>
          <w:i/>
          <w:sz w:val="16"/>
          <w:szCs w:val="16"/>
          <w:lang w:val="es-ES"/>
        </w:rPr>
        <w:t>Informe Anual 2013</w:t>
      </w:r>
      <w:r w:rsidRPr="00EB1FC4">
        <w:rPr>
          <w:rFonts w:ascii="Calibri" w:hAnsi="Calibri"/>
          <w:sz w:val="16"/>
          <w:szCs w:val="16"/>
          <w:lang w:val="es-ES"/>
        </w:rPr>
        <w:t>, Capítulo 2(D), Estado del cumplimiento en casos individuales, párrafos 35-1189.</w:t>
      </w:r>
    </w:p>
  </w:footnote>
  <w:footnote w:id="60">
    <w:p w:rsidR="00543111" w:rsidRPr="00EB1FC4" w:rsidRDefault="00543111" w:rsidP="00B63B41">
      <w:pPr>
        <w:pStyle w:val="NormalWeb"/>
        <w:shd w:val="clear" w:color="auto" w:fill="FFFFFF"/>
        <w:spacing w:before="0" w:beforeAutospacing="0" w:after="0" w:afterAutospacing="0"/>
        <w:ind w:left="540" w:right="144"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w:t>
      </w:r>
      <w:r w:rsidRPr="005B57E6">
        <w:rPr>
          <w:rFonts w:ascii="Calibri" w:hAnsi="Calibri"/>
          <w:i/>
          <w:sz w:val="16"/>
          <w:szCs w:val="16"/>
          <w:lang w:val="es-ES"/>
        </w:rPr>
        <w:t>Informe Anual 2013</w:t>
      </w:r>
      <w:r w:rsidRPr="00EB1FC4">
        <w:rPr>
          <w:rFonts w:ascii="Calibri" w:hAnsi="Calibri"/>
          <w:sz w:val="16"/>
          <w:szCs w:val="16"/>
          <w:lang w:val="es-ES"/>
        </w:rPr>
        <w:t>, Capítulo 2(D), Estado del cumplimiento en casos individuales, párrafos 35-1189.</w:t>
      </w:r>
    </w:p>
  </w:footnote>
  <w:footnote w:id="61">
    <w:p w:rsidR="00543111" w:rsidRPr="00EB1FC4" w:rsidRDefault="00543111" w:rsidP="00B63B41">
      <w:pPr>
        <w:pStyle w:val="Title"/>
        <w:tabs>
          <w:tab w:val="left" w:pos="720"/>
          <w:tab w:val="left" w:pos="1440"/>
          <w:tab w:val="left" w:pos="2160"/>
        </w:tabs>
        <w:spacing w:before="0" w:beforeAutospacing="0" w:after="0" w:afterAutospacing="0"/>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por ejemplo, CIDH, Informe No. 52/13, Casos 11.575, 12,333 y 12.341, </w:t>
      </w:r>
      <w:r w:rsidRPr="00EB1FC4">
        <w:rPr>
          <w:rFonts w:ascii="Calibri" w:hAnsi="Calibri"/>
          <w:i/>
          <w:sz w:val="16"/>
          <w:szCs w:val="16"/>
          <w:lang w:val="es-ES"/>
        </w:rPr>
        <w:t>Clarence Allen Lackey y Otros</w:t>
      </w:r>
      <w:r w:rsidRPr="00EB1FC4">
        <w:rPr>
          <w:rFonts w:ascii="Calibri" w:hAnsi="Calibri"/>
          <w:sz w:val="16"/>
          <w:szCs w:val="16"/>
          <w:lang w:val="es-ES"/>
        </w:rPr>
        <w:t xml:space="preserve">, Fondo (Publicación), Estados Unidos, 15 de julio de 2013; CIDH, Informe No. 80/11, Caso 12.626, </w:t>
      </w:r>
      <w:r w:rsidRPr="00EB1FC4">
        <w:rPr>
          <w:rFonts w:ascii="Calibri" w:hAnsi="Calibri"/>
          <w:i/>
          <w:sz w:val="16"/>
          <w:szCs w:val="16"/>
          <w:lang w:val="es-ES"/>
        </w:rPr>
        <w:t>Jessica Lenahan (Gonzales) y Otros</w:t>
      </w:r>
      <w:r w:rsidRPr="00EB1FC4">
        <w:rPr>
          <w:rFonts w:ascii="Calibri" w:hAnsi="Calibri"/>
          <w:sz w:val="16"/>
          <w:szCs w:val="16"/>
          <w:lang w:val="es-ES"/>
        </w:rPr>
        <w:t xml:space="preserve">,  Estados Unidos, 21 de julio de 2011; CIDH, Informe No. 8110, Caso 12.562, </w:t>
      </w:r>
      <w:r w:rsidRPr="00EB1FC4">
        <w:rPr>
          <w:rFonts w:ascii="Calibri" w:hAnsi="Calibri"/>
          <w:i/>
          <w:sz w:val="16"/>
          <w:szCs w:val="16"/>
          <w:lang w:val="es-ES"/>
        </w:rPr>
        <w:t>Wayne Smith y Otros, Fondo (Publicación)</w:t>
      </w:r>
      <w:r w:rsidRPr="00EB1FC4">
        <w:rPr>
          <w:rFonts w:ascii="Calibri" w:hAnsi="Calibri"/>
          <w:sz w:val="16"/>
          <w:szCs w:val="16"/>
          <w:lang w:val="es-ES"/>
        </w:rPr>
        <w:t xml:space="preserve">, 12 de julio de 2010; CIDH, Informe No. 78/11, Caso 12.586, </w:t>
      </w:r>
      <w:r w:rsidRPr="00EB1FC4">
        <w:rPr>
          <w:rFonts w:ascii="Calibri" w:hAnsi="Calibri"/>
          <w:i/>
          <w:sz w:val="16"/>
          <w:szCs w:val="16"/>
          <w:lang w:val="es-ES"/>
        </w:rPr>
        <w:t xml:space="preserve">John Doe y </w:t>
      </w:r>
      <w:r>
        <w:rPr>
          <w:rFonts w:ascii="Calibri" w:hAnsi="Calibri"/>
          <w:i/>
          <w:sz w:val="16"/>
          <w:szCs w:val="16"/>
          <w:lang w:val="es-ES"/>
        </w:rPr>
        <w:t>o</w:t>
      </w:r>
      <w:r w:rsidRPr="00EB1FC4">
        <w:rPr>
          <w:rFonts w:ascii="Calibri" w:hAnsi="Calibri"/>
          <w:i/>
          <w:sz w:val="16"/>
          <w:szCs w:val="16"/>
          <w:lang w:val="es-ES"/>
        </w:rPr>
        <w:t>tros</w:t>
      </w:r>
      <w:r w:rsidRPr="00EB1FC4">
        <w:rPr>
          <w:rFonts w:ascii="Calibri" w:hAnsi="Calibri"/>
          <w:sz w:val="16"/>
          <w:szCs w:val="16"/>
          <w:lang w:val="es-ES"/>
        </w:rPr>
        <w:t xml:space="preserve">, Canadá, Fondo (Publicación), 21 de julio de 2011; CIDH, Informe no. 61/08, Caso 12.435, </w:t>
      </w:r>
      <w:r w:rsidRPr="00EB1FC4">
        <w:rPr>
          <w:rFonts w:ascii="Calibri" w:hAnsi="Calibri"/>
          <w:i/>
          <w:sz w:val="16"/>
          <w:szCs w:val="16"/>
          <w:lang w:val="es-ES"/>
        </w:rPr>
        <w:t>Gran Cacique Michael Mitchell</w:t>
      </w:r>
      <w:r w:rsidRPr="00EB1FC4">
        <w:rPr>
          <w:rFonts w:ascii="Calibri" w:hAnsi="Calibri"/>
          <w:sz w:val="16"/>
          <w:szCs w:val="16"/>
          <w:lang w:val="es-ES"/>
        </w:rPr>
        <w:t xml:space="preserve">, Canadá, Fondo (Publicación), 25 de julio de 2008; CIDH, </w:t>
      </w:r>
      <w:r w:rsidRPr="00EB1FC4">
        <w:rPr>
          <w:rFonts w:ascii="Calibri" w:hAnsi="Calibri"/>
          <w:bCs/>
          <w:sz w:val="16"/>
          <w:szCs w:val="16"/>
          <w:lang w:val="es-ES"/>
        </w:rPr>
        <w:t>Informe Nº 78/07</w:t>
      </w:r>
      <w:r w:rsidRPr="00EB1FC4">
        <w:rPr>
          <w:rFonts w:ascii="Calibri" w:hAnsi="Calibri"/>
          <w:sz w:val="16"/>
          <w:szCs w:val="16"/>
          <w:lang w:val="es-ES"/>
        </w:rPr>
        <w:t xml:space="preserve">, Caso 12.265, Fondo, </w:t>
      </w:r>
      <w:r w:rsidRPr="00EB1FC4">
        <w:rPr>
          <w:rFonts w:ascii="Calibri" w:hAnsi="Calibri"/>
          <w:i/>
          <w:sz w:val="16"/>
          <w:szCs w:val="16"/>
          <w:lang w:val="es-ES"/>
        </w:rPr>
        <w:t>Chad Roger Goodman</w:t>
      </w:r>
      <w:r w:rsidRPr="00EB1FC4">
        <w:rPr>
          <w:rFonts w:ascii="Calibri" w:hAnsi="Calibri"/>
          <w:sz w:val="16"/>
          <w:szCs w:val="16"/>
          <w:lang w:val="es-ES"/>
        </w:rPr>
        <w:t xml:space="preserve">, Bahamas, </w:t>
      </w:r>
      <w:r w:rsidRPr="00EB1FC4">
        <w:rPr>
          <w:rFonts w:ascii="Calibri" w:hAnsi="Calibri"/>
          <w:sz w:val="16"/>
          <w:szCs w:val="16"/>
          <w:lang w:val="es-ES_tradnl"/>
        </w:rPr>
        <w:t xml:space="preserve">15 de octubre de 2007; </w:t>
      </w:r>
      <w:r w:rsidRPr="00EB1FC4">
        <w:rPr>
          <w:rFonts w:ascii="Calibri" w:hAnsi="Calibri"/>
          <w:bCs/>
          <w:sz w:val="16"/>
          <w:szCs w:val="16"/>
          <w:lang w:val="es-ES"/>
        </w:rPr>
        <w:t xml:space="preserve">CIDH, </w:t>
      </w:r>
      <w:r>
        <w:rPr>
          <w:rFonts w:ascii="Calibri" w:hAnsi="Calibri"/>
          <w:bCs/>
          <w:sz w:val="16"/>
          <w:szCs w:val="16"/>
          <w:lang w:val="es-ES"/>
        </w:rPr>
        <w:t>Informe</w:t>
      </w:r>
      <w:r w:rsidRPr="00EB1FC4">
        <w:rPr>
          <w:rFonts w:ascii="Calibri" w:hAnsi="Calibri"/>
          <w:bCs/>
          <w:sz w:val="16"/>
          <w:szCs w:val="16"/>
          <w:lang w:val="es-ES"/>
        </w:rPr>
        <w:t xml:space="preserve"> Nº 48/01, </w:t>
      </w:r>
      <w:r>
        <w:rPr>
          <w:rFonts w:ascii="Calibri" w:hAnsi="Calibri"/>
          <w:sz w:val="16"/>
          <w:szCs w:val="16"/>
          <w:lang w:val="es-ES"/>
        </w:rPr>
        <w:t>Caso</w:t>
      </w:r>
      <w:r w:rsidRPr="00EB1FC4">
        <w:rPr>
          <w:rFonts w:ascii="Calibri" w:hAnsi="Calibri"/>
          <w:sz w:val="16"/>
          <w:szCs w:val="16"/>
          <w:lang w:val="es-ES"/>
        </w:rPr>
        <w:t xml:space="preserve"> 12.067, Michael Edwar</w:t>
      </w:r>
      <w:r>
        <w:rPr>
          <w:rFonts w:ascii="Calibri" w:hAnsi="Calibri"/>
          <w:sz w:val="16"/>
          <w:szCs w:val="16"/>
          <w:lang w:val="es-ES"/>
        </w:rPr>
        <w:t>ds, Caso 12.068, Omar Hall, Caso</w:t>
      </w:r>
      <w:r w:rsidRPr="00EB1FC4">
        <w:rPr>
          <w:rFonts w:ascii="Calibri" w:hAnsi="Calibri"/>
          <w:sz w:val="16"/>
          <w:szCs w:val="16"/>
          <w:lang w:val="es-ES"/>
        </w:rPr>
        <w:t xml:space="preserve"> 12.086, Brian Schroeter y Jeronimo Bowleg, </w:t>
      </w:r>
      <w:r w:rsidRPr="00EB1FC4">
        <w:rPr>
          <w:rFonts w:ascii="Calibri" w:hAnsi="Calibri"/>
          <w:sz w:val="16"/>
          <w:szCs w:val="16"/>
          <w:lang w:val="es-MX"/>
        </w:rPr>
        <w:t xml:space="preserve">Bahamas, 4 de abril de 2001; </w:t>
      </w:r>
      <w:r w:rsidRPr="00EB1FC4">
        <w:rPr>
          <w:rFonts w:ascii="Calibri" w:hAnsi="Calibri"/>
          <w:sz w:val="16"/>
          <w:szCs w:val="16"/>
          <w:lang w:val="es-ES_tradnl"/>
        </w:rPr>
        <w:t xml:space="preserve">CIDH, </w:t>
      </w:r>
      <w:r>
        <w:rPr>
          <w:rFonts w:ascii="Calibri" w:hAnsi="Calibri"/>
          <w:sz w:val="16"/>
          <w:szCs w:val="16"/>
          <w:lang w:val="es-ES_tradnl"/>
        </w:rPr>
        <w:t>Informe</w:t>
      </w:r>
      <w:r w:rsidRPr="00EB1FC4">
        <w:rPr>
          <w:rFonts w:ascii="Calibri" w:hAnsi="Calibri"/>
          <w:sz w:val="16"/>
          <w:szCs w:val="16"/>
          <w:lang w:val="es-ES_tradnl"/>
        </w:rPr>
        <w:t xml:space="preserve"> Nº 40/04, </w:t>
      </w:r>
      <w:r>
        <w:rPr>
          <w:rFonts w:ascii="Calibri" w:hAnsi="Calibri"/>
          <w:sz w:val="16"/>
          <w:szCs w:val="16"/>
          <w:lang w:val="es-MX"/>
        </w:rPr>
        <w:t>Caso</w:t>
      </w:r>
      <w:r w:rsidRPr="00EB1FC4">
        <w:rPr>
          <w:rFonts w:ascii="Calibri" w:hAnsi="Calibri"/>
          <w:sz w:val="16"/>
          <w:szCs w:val="16"/>
          <w:lang w:val="es-MX"/>
        </w:rPr>
        <w:t xml:space="preserve"> 12.053, </w:t>
      </w:r>
      <w:r>
        <w:rPr>
          <w:rFonts w:ascii="Calibri" w:hAnsi="Calibri"/>
          <w:sz w:val="16"/>
          <w:szCs w:val="16"/>
          <w:lang w:val="es-MX"/>
        </w:rPr>
        <w:t>Fondo</w:t>
      </w:r>
      <w:r w:rsidRPr="00EB1FC4">
        <w:rPr>
          <w:rFonts w:ascii="Calibri" w:hAnsi="Calibri"/>
          <w:sz w:val="16"/>
          <w:szCs w:val="16"/>
          <w:lang w:val="es-MX"/>
        </w:rPr>
        <w:t xml:space="preserve">, </w:t>
      </w:r>
      <w:r w:rsidRPr="00EB1FC4">
        <w:rPr>
          <w:rFonts w:ascii="Calibri" w:hAnsi="Calibri"/>
          <w:i/>
          <w:sz w:val="16"/>
          <w:szCs w:val="16"/>
          <w:lang w:val="es-MX"/>
        </w:rPr>
        <w:t>Comunidades Indígenas Mayas del Distrito de Toledo</w:t>
      </w:r>
      <w:r w:rsidRPr="00EB1FC4">
        <w:rPr>
          <w:rFonts w:ascii="Calibri" w:hAnsi="Calibri"/>
          <w:sz w:val="16"/>
          <w:szCs w:val="16"/>
          <w:lang w:val="es-MX"/>
        </w:rPr>
        <w:t>, Belice, 12 de octubre 2004;</w:t>
      </w:r>
      <w:r w:rsidRPr="00EB1FC4">
        <w:rPr>
          <w:rFonts w:ascii="Calibri" w:hAnsi="Calibri"/>
          <w:b/>
          <w:sz w:val="16"/>
          <w:szCs w:val="16"/>
          <w:lang w:val="es-MX"/>
        </w:rPr>
        <w:t xml:space="preserve"> </w:t>
      </w:r>
      <w:r w:rsidRPr="00EB1FC4">
        <w:rPr>
          <w:rFonts w:ascii="Calibri" w:hAnsi="Calibri"/>
          <w:bCs/>
          <w:sz w:val="16"/>
          <w:szCs w:val="16"/>
          <w:lang w:val="es-ES_tradnl"/>
        </w:rPr>
        <w:t xml:space="preserve">CIDH, </w:t>
      </w:r>
      <w:r>
        <w:rPr>
          <w:rFonts w:ascii="Calibri" w:hAnsi="Calibri"/>
          <w:bCs/>
          <w:sz w:val="16"/>
          <w:szCs w:val="16"/>
          <w:lang w:val="es-ES_tradnl"/>
        </w:rPr>
        <w:t>Informe</w:t>
      </w:r>
      <w:r w:rsidRPr="00EB1FC4">
        <w:rPr>
          <w:rFonts w:ascii="Calibri" w:hAnsi="Calibri"/>
          <w:bCs/>
          <w:sz w:val="16"/>
          <w:szCs w:val="16"/>
          <w:lang w:val="es-ES_tradnl"/>
        </w:rPr>
        <w:t xml:space="preserve"> Nº 81/07</w:t>
      </w:r>
      <w:r w:rsidRPr="00EB1FC4">
        <w:rPr>
          <w:rFonts w:ascii="Calibri" w:hAnsi="Calibri"/>
          <w:sz w:val="16"/>
          <w:szCs w:val="16"/>
          <w:lang w:val="es-ES_tradnl"/>
        </w:rPr>
        <w:t xml:space="preserve">, </w:t>
      </w:r>
      <w:r>
        <w:rPr>
          <w:rFonts w:ascii="Calibri" w:hAnsi="Calibri"/>
          <w:sz w:val="16"/>
          <w:szCs w:val="16"/>
          <w:lang w:val="es-ES_tradnl"/>
        </w:rPr>
        <w:t>Caso</w:t>
      </w:r>
      <w:r w:rsidRPr="00EB1FC4">
        <w:rPr>
          <w:rFonts w:ascii="Calibri" w:hAnsi="Calibri"/>
          <w:sz w:val="16"/>
          <w:szCs w:val="16"/>
          <w:lang w:val="es-ES_tradnl"/>
        </w:rPr>
        <w:t xml:space="preserve"> 12.504, </w:t>
      </w:r>
      <w:r>
        <w:rPr>
          <w:rFonts w:ascii="Calibri" w:hAnsi="Calibri"/>
          <w:sz w:val="16"/>
          <w:szCs w:val="16"/>
          <w:lang w:val="es-ES_tradnl"/>
        </w:rPr>
        <w:t>Fondo</w:t>
      </w:r>
      <w:r w:rsidRPr="00EB1FC4">
        <w:rPr>
          <w:rFonts w:ascii="Calibri" w:hAnsi="Calibri"/>
          <w:sz w:val="16"/>
          <w:szCs w:val="16"/>
          <w:lang w:val="es-ES_tradnl"/>
        </w:rPr>
        <w:t xml:space="preserve">, </w:t>
      </w:r>
      <w:r w:rsidRPr="00EB1FC4">
        <w:rPr>
          <w:rFonts w:ascii="Calibri" w:hAnsi="Calibri"/>
          <w:i/>
          <w:sz w:val="16"/>
          <w:szCs w:val="16"/>
          <w:lang w:val="es-ES_tradnl"/>
        </w:rPr>
        <w:t>Daniel y Kornel Vaux</w:t>
      </w:r>
      <w:r w:rsidRPr="00EB1FC4">
        <w:rPr>
          <w:rFonts w:ascii="Calibri" w:hAnsi="Calibri"/>
          <w:sz w:val="16"/>
          <w:szCs w:val="16"/>
          <w:lang w:val="es-ES_tradnl"/>
        </w:rPr>
        <w:t xml:space="preserve">, Guyana, 15 de octubre de 2007; </w:t>
      </w:r>
      <w:r w:rsidRPr="00EB1FC4">
        <w:rPr>
          <w:rFonts w:ascii="Calibri" w:hAnsi="Calibri"/>
          <w:bCs/>
          <w:sz w:val="16"/>
          <w:szCs w:val="16"/>
          <w:lang w:val="es-AR"/>
        </w:rPr>
        <w:t xml:space="preserve">CIDH, </w:t>
      </w:r>
      <w:r>
        <w:rPr>
          <w:rFonts w:ascii="Calibri" w:hAnsi="Calibri"/>
          <w:bCs/>
          <w:sz w:val="16"/>
          <w:szCs w:val="16"/>
          <w:lang w:val="es-AR"/>
        </w:rPr>
        <w:t>Informe</w:t>
      </w:r>
      <w:r w:rsidRPr="00EB1FC4">
        <w:rPr>
          <w:rFonts w:ascii="Calibri" w:hAnsi="Calibri"/>
          <w:bCs/>
          <w:sz w:val="16"/>
          <w:szCs w:val="16"/>
          <w:lang w:val="es-AR"/>
        </w:rPr>
        <w:t xml:space="preserve"> Nº 67/06</w:t>
      </w:r>
      <w:r w:rsidRPr="00EB1FC4">
        <w:rPr>
          <w:rFonts w:ascii="Calibri" w:hAnsi="Calibri"/>
          <w:sz w:val="16"/>
          <w:szCs w:val="16"/>
          <w:lang w:val="es-ES"/>
        </w:rPr>
        <w:t xml:space="preserve">, </w:t>
      </w:r>
      <w:r>
        <w:rPr>
          <w:rFonts w:ascii="Calibri" w:hAnsi="Calibri"/>
          <w:sz w:val="16"/>
          <w:szCs w:val="16"/>
          <w:lang w:val="es-AR"/>
        </w:rPr>
        <w:t>Caso</w:t>
      </w:r>
      <w:r w:rsidRPr="00EB1FC4">
        <w:rPr>
          <w:rFonts w:ascii="Calibri" w:hAnsi="Calibri"/>
          <w:sz w:val="16"/>
          <w:szCs w:val="16"/>
          <w:lang w:val="es-AR"/>
        </w:rPr>
        <w:t xml:space="preserve"> 12.476</w:t>
      </w:r>
      <w:r w:rsidRPr="00EB1FC4">
        <w:rPr>
          <w:rFonts w:ascii="Calibri" w:hAnsi="Calibri"/>
          <w:sz w:val="16"/>
          <w:szCs w:val="16"/>
          <w:lang w:val="es-ES"/>
        </w:rPr>
        <w:t xml:space="preserve">, </w:t>
      </w:r>
      <w:r>
        <w:rPr>
          <w:rFonts w:ascii="Calibri" w:hAnsi="Calibri"/>
          <w:sz w:val="16"/>
          <w:szCs w:val="16"/>
          <w:lang w:val="es-AR"/>
        </w:rPr>
        <w:t>Fondo</w:t>
      </w:r>
      <w:r w:rsidRPr="00EB1FC4">
        <w:rPr>
          <w:rFonts w:ascii="Calibri" w:hAnsi="Calibri"/>
          <w:sz w:val="16"/>
          <w:szCs w:val="16"/>
          <w:lang w:val="es-ES"/>
        </w:rPr>
        <w:t xml:space="preserve">, </w:t>
      </w:r>
      <w:r w:rsidRPr="00EB1FC4">
        <w:rPr>
          <w:rFonts w:ascii="Calibri" w:hAnsi="Calibri"/>
          <w:i/>
          <w:sz w:val="16"/>
          <w:szCs w:val="16"/>
          <w:lang w:val="es-ES"/>
        </w:rPr>
        <w:t xml:space="preserve">Oscar Elías Biscet y </w:t>
      </w:r>
      <w:r>
        <w:rPr>
          <w:rFonts w:ascii="Calibri" w:hAnsi="Calibri"/>
          <w:i/>
          <w:sz w:val="16"/>
          <w:szCs w:val="16"/>
          <w:lang w:val="es-ES"/>
        </w:rPr>
        <w:t>o</w:t>
      </w:r>
      <w:r w:rsidRPr="00EB1FC4">
        <w:rPr>
          <w:rFonts w:ascii="Calibri" w:hAnsi="Calibri"/>
          <w:i/>
          <w:sz w:val="16"/>
          <w:szCs w:val="16"/>
          <w:lang w:val="es-ES"/>
        </w:rPr>
        <w:t>tros</w:t>
      </w:r>
      <w:r w:rsidRPr="00EB1FC4">
        <w:rPr>
          <w:rFonts w:ascii="Calibri" w:hAnsi="Calibri"/>
          <w:sz w:val="16"/>
          <w:szCs w:val="16"/>
          <w:lang w:val="es-ES"/>
        </w:rPr>
        <w:t xml:space="preserve">, </w:t>
      </w:r>
      <w:r>
        <w:rPr>
          <w:rFonts w:ascii="Calibri" w:hAnsi="Calibri"/>
          <w:sz w:val="16"/>
          <w:szCs w:val="16"/>
          <w:lang w:val="es-AR"/>
        </w:rPr>
        <w:t>Cuba</w:t>
      </w:r>
      <w:r w:rsidRPr="00EB1FC4">
        <w:rPr>
          <w:rFonts w:ascii="Calibri" w:hAnsi="Calibri"/>
          <w:sz w:val="16"/>
          <w:szCs w:val="16"/>
          <w:lang w:val="es-ES"/>
        </w:rPr>
        <w:t xml:space="preserve">, </w:t>
      </w:r>
      <w:r w:rsidRPr="00EB1FC4">
        <w:rPr>
          <w:rFonts w:ascii="Calibri" w:hAnsi="Calibri"/>
          <w:sz w:val="16"/>
          <w:szCs w:val="16"/>
          <w:lang w:val="es-AR"/>
        </w:rPr>
        <w:t>21 de octubre de 2006. </w:t>
      </w:r>
    </w:p>
  </w:footnote>
  <w:footnote w:id="62">
    <w:p w:rsidR="00543111" w:rsidRPr="00EB1FC4" w:rsidRDefault="00543111" w:rsidP="00B63B41">
      <w:pPr>
        <w:pStyle w:val="NormalWeb"/>
        <w:shd w:val="clear" w:color="auto" w:fill="FFFFFF"/>
        <w:spacing w:before="0" w:beforeAutospacing="0" w:after="0" w:afterAutospacing="0"/>
        <w:ind w:left="540" w:right="144" w:hanging="540"/>
        <w:jc w:val="both"/>
        <w:rPr>
          <w:rFonts w:ascii="Calibri" w:hAnsi="Calibri" w:cs="Tahoma"/>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por ejemplo, CIDH, </w:t>
      </w:r>
      <w:r w:rsidRPr="00EB1FC4">
        <w:rPr>
          <w:rFonts w:ascii="Calibri" w:hAnsi="Calibri"/>
          <w:i/>
          <w:sz w:val="16"/>
          <w:szCs w:val="16"/>
          <w:lang w:val="es-ES"/>
        </w:rPr>
        <w:t xml:space="preserve">Informe sobre inmigración en Estados Unidos: Detenciones y </w:t>
      </w:r>
      <w:r>
        <w:rPr>
          <w:rFonts w:ascii="Calibri" w:hAnsi="Calibri"/>
          <w:i/>
          <w:sz w:val="16"/>
          <w:szCs w:val="16"/>
          <w:lang w:val="es-ES"/>
        </w:rPr>
        <w:t>d</w:t>
      </w:r>
      <w:r w:rsidRPr="00EB1FC4">
        <w:rPr>
          <w:rFonts w:ascii="Calibri" w:hAnsi="Calibri"/>
          <w:i/>
          <w:sz w:val="16"/>
          <w:szCs w:val="16"/>
          <w:lang w:val="es-ES"/>
        </w:rPr>
        <w:t xml:space="preserve">ebido </w:t>
      </w:r>
      <w:r>
        <w:rPr>
          <w:rFonts w:ascii="Calibri" w:hAnsi="Calibri"/>
          <w:i/>
          <w:sz w:val="16"/>
          <w:szCs w:val="16"/>
          <w:lang w:val="es-ES"/>
        </w:rPr>
        <w:t>p</w:t>
      </w:r>
      <w:r w:rsidRPr="00EB1FC4">
        <w:rPr>
          <w:rFonts w:ascii="Calibri" w:hAnsi="Calibri"/>
          <w:i/>
          <w:sz w:val="16"/>
          <w:szCs w:val="16"/>
          <w:lang w:val="es-ES"/>
        </w:rPr>
        <w:t>roceso</w:t>
      </w:r>
      <w:r w:rsidRPr="00EB1FC4">
        <w:rPr>
          <w:rFonts w:ascii="Calibri" w:hAnsi="Calibri"/>
          <w:sz w:val="16"/>
          <w:szCs w:val="16"/>
          <w:lang w:val="es-ES"/>
        </w:rPr>
        <w:t xml:space="preserve">, OEA/Ser.L/V/II. Doc. 78/10, 30 de diciembre de 2010; CIDH, </w:t>
      </w:r>
      <w:r w:rsidRPr="000243E4">
        <w:rPr>
          <w:rFonts w:ascii="Calibri" w:hAnsi="Calibri"/>
          <w:i/>
          <w:sz w:val="16"/>
          <w:szCs w:val="16"/>
          <w:lang w:val="es-ES"/>
        </w:rPr>
        <w:t>Informes sobre la situación de derechos humanos en Cuba</w:t>
      </w:r>
      <w:r w:rsidRPr="00EB1FC4">
        <w:rPr>
          <w:rFonts w:ascii="Calibri" w:hAnsi="Calibri"/>
          <w:sz w:val="16"/>
          <w:szCs w:val="16"/>
          <w:lang w:val="es-ES"/>
        </w:rPr>
        <w:t xml:space="preserve"> (1962, 1967 y 1970).</w:t>
      </w:r>
    </w:p>
  </w:footnote>
  <w:footnote w:id="63">
    <w:p w:rsidR="00543111" w:rsidRPr="00EB1FC4" w:rsidRDefault="00543111" w:rsidP="00B63B41">
      <w:pPr>
        <w:pStyle w:val="NormalWeb"/>
        <w:shd w:val="clear" w:color="auto" w:fill="FFFFFF"/>
        <w:spacing w:before="0" w:beforeAutospacing="0" w:after="0" w:afterAutospacing="0"/>
        <w:ind w:left="540" w:right="144" w:hanging="540"/>
        <w:jc w:val="both"/>
        <w:rPr>
          <w:rFonts w:ascii="Calibri" w:hAnsi="Calibri" w:cs="Tahoma"/>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por ejemplo, CIDH, </w:t>
      </w:r>
      <w:r w:rsidRPr="00EB1FC4">
        <w:rPr>
          <w:rFonts w:ascii="Calibri" w:hAnsi="Calibri"/>
          <w:i/>
          <w:sz w:val="16"/>
          <w:szCs w:val="16"/>
          <w:lang w:val="es-ES"/>
        </w:rPr>
        <w:t>La pena de muerte en el sistema interamericano de derechos humanos: de restricciones a abolición</w:t>
      </w:r>
      <w:r w:rsidRPr="00EB1FC4">
        <w:rPr>
          <w:rFonts w:ascii="Calibri" w:hAnsi="Calibri"/>
          <w:sz w:val="16"/>
          <w:szCs w:val="16"/>
          <w:lang w:val="es-ES"/>
        </w:rPr>
        <w:t>, OEA/Ser.L/V/II. Doc. 68, 31 de diciembre de 2011.</w:t>
      </w:r>
    </w:p>
  </w:footnote>
  <w:footnote w:id="64">
    <w:p w:rsidR="00543111" w:rsidRPr="00EB1FC4" w:rsidRDefault="00543111" w:rsidP="00B63B41">
      <w:pPr>
        <w:shd w:val="clear" w:color="auto" w:fill="FFFFFF"/>
        <w:ind w:left="540" w:right="144" w:hanging="540"/>
        <w:jc w:val="both"/>
        <w:rPr>
          <w:rFonts w:ascii="Calibri" w:hAnsi="Calibri" w:cs="Tahoma"/>
          <w:bCs/>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por ejemplo, </w:t>
      </w:r>
      <w:r w:rsidRPr="00EB1FC4">
        <w:rPr>
          <w:rStyle w:val="Strong"/>
          <w:rFonts w:ascii="Calibri" w:hAnsi="Calibri" w:cs="Tahoma"/>
          <w:b w:val="0"/>
          <w:sz w:val="16"/>
          <w:szCs w:val="16"/>
          <w:lang w:val="es-ES"/>
        </w:rPr>
        <w:t>MC 255/13 - Robert Gene Garza, Estados Unidos; MC 211/08 – Djamel Ameziane; MC 385-09 –</w:t>
      </w:r>
      <w:r w:rsidRPr="00EB1FC4">
        <w:rPr>
          <w:rFonts w:ascii="Calibri" w:hAnsi="Calibri"/>
          <w:b/>
          <w:sz w:val="16"/>
          <w:szCs w:val="16"/>
          <w:lang w:val="es-ES"/>
        </w:rPr>
        <w:t> </w:t>
      </w:r>
      <w:r w:rsidRPr="00EB1FC4">
        <w:rPr>
          <w:rStyle w:val="Strong"/>
          <w:rFonts w:ascii="Calibri" w:hAnsi="Calibri" w:cs="Tahoma"/>
          <w:b w:val="0"/>
          <w:sz w:val="16"/>
          <w:szCs w:val="16"/>
          <w:lang w:val="es-ES"/>
        </w:rPr>
        <w:t xml:space="preserve">31 Inmigrantes Indocumentados Residentes en Atlanta, Georgia, Estados Unidos; MC 259/02 - Detenidos en la Base Militar de Estados Unidos en Guantánamo; MC 410/13 - José Luis Zubmaguera Miranda y su familia, Cuba;  MC 245/13 – Iván Hernández Carrillo, Cuba; MC 264/13 – Damas de Blanco, Cuba; </w:t>
      </w:r>
      <w:r w:rsidRPr="00EB1FC4">
        <w:rPr>
          <w:rFonts w:ascii="Calibri" w:hAnsi="Calibri"/>
          <w:sz w:val="16"/>
          <w:szCs w:val="16"/>
          <w:lang w:val="es-ES"/>
        </w:rPr>
        <w:t xml:space="preserve">MC 354/12 – Sonia Garro, Cuba; </w:t>
      </w:r>
      <w:r w:rsidRPr="00EB1FC4">
        <w:rPr>
          <w:rStyle w:val="Strong"/>
          <w:rFonts w:ascii="Calibri" w:hAnsi="Calibri" w:cs="Tahoma"/>
          <w:b w:val="0"/>
          <w:sz w:val="16"/>
          <w:szCs w:val="16"/>
          <w:lang w:val="es-ES"/>
        </w:rPr>
        <w:t>MC 155/13 - Caleb Orozco, Belize; MC 254/07 – AW, Guyana; 158/01 - Daniel Vaux y Cornel Vaux, Guyana; 11-98, Michael Edwards, Bahamas;  Ikbal Iskander (Canadá, 19 de febrero de 2002);  Andrew Levi Harte (Canadá, 31 de julio de 1998).</w:t>
      </w:r>
    </w:p>
  </w:footnote>
  <w:footnote w:id="65">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por ejemplo:</w:t>
      </w:r>
    </w:p>
    <w:p w:rsidR="00543111" w:rsidRPr="00EB1FC4" w:rsidRDefault="00543111" w:rsidP="00953AF4">
      <w:pPr>
        <w:pStyle w:val="FootnoteText"/>
        <w:ind w:left="734" w:hanging="187"/>
        <w:jc w:val="both"/>
        <w:rPr>
          <w:rFonts w:ascii="Calibri" w:hAnsi="Calibri"/>
          <w:sz w:val="16"/>
          <w:szCs w:val="16"/>
          <w:lang w:val="es-ES"/>
        </w:rPr>
      </w:pPr>
      <w:r w:rsidRPr="00EB1FC4">
        <w:rPr>
          <w:rFonts w:ascii="Calibri" w:hAnsi="Calibri"/>
          <w:sz w:val="16"/>
          <w:szCs w:val="16"/>
          <w:lang w:val="es-ES"/>
        </w:rPr>
        <w:t>-</w:t>
      </w:r>
      <w:r>
        <w:rPr>
          <w:rFonts w:ascii="Calibri" w:hAnsi="Calibri"/>
          <w:sz w:val="16"/>
          <w:szCs w:val="16"/>
          <w:lang w:val="es-ES"/>
        </w:rPr>
        <w:tab/>
      </w:r>
      <w:r w:rsidRPr="00EB1FC4">
        <w:rPr>
          <w:rFonts w:ascii="Calibri" w:hAnsi="Calibri"/>
          <w:sz w:val="16"/>
          <w:szCs w:val="16"/>
          <w:lang w:val="es-ES"/>
        </w:rPr>
        <w:t>Audiencias Temáticas convocadas sobre los Estados Unidos</w:t>
      </w:r>
      <w:r w:rsidRPr="00EB1FC4">
        <w:rPr>
          <w:rFonts w:ascii="Calibri" w:hAnsi="Calibri"/>
          <w:i/>
          <w:sz w:val="16"/>
          <w:szCs w:val="16"/>
          <w:lang w:val="es-ES"/>
        </w:rPr>
        <w:t xml:space="preserve">: Situación de derechos humanos de niñas, niños y familias migrantes y refugiadas en Estados Unidos, </w:t>
      </w:r>
      <w:r>
        <w:rPr>
          <w:rFonts w:ascii="Calibri" w:hAnsi="Calibri"/>
          <w:sz w:val="16"/>
          <w:szCs w:val="16"/>
          <w:lang w:val="es-ES"/>
        </w:rPr>
        <w:t>153 Periodo de Sesiones, 153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 xml:space="preserve">esiones, 27 de octubre de 2014; </w:t>
      </w:r>
      <w:r w:rsidRPr="00EB1FC4">
        <w:rPr>
          <w:rFonts w:ascii="Calibri" w:hAnsi="Calibri"/>
          <w:i/>
          <w:sz w:val="16"/>
          <w:szCs w:val="16"/>
          <w:lang w:val="es-ES"/>
        </w:rPr>
        <w:t>Situación de derechos humanos de las personas privadas de libertad en Texas, Estados Unidos</w:t>
      </w:r>
      <w:r w:rsidRPr="00EB1FC4">
        <w:rPr>
          <w:rFonts w:ascii="Calibri" w:hAnsi="Calibri"/>
          <w:sz w:val="16"/>
          <w:szCs w:val="16"/>
          <w:lang w:val="es-ES"/>
        </w:rPr>
        <w:t xml:space="preserve">, 153 </w:t>
      </w:r>
      <w:r>
        <w:rPr>
          <w:rFonts w:ascii="Calibri" w:hAnsi="Calibri"/>
          <w:sz w:val="16"/>
          <w:szCs w:val="16"/>
          <w:lang w:val="es-ES"/>
        </w:rPr>
        <w:t>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 xml:space="preserve">esiones, 27 de octubre de 2014; </w:t>
      </w:r>
      <w:r w:rsidRPr="00EB1FC4">
        <w:rPr>
          <w:rFonts w:ascii="Calibri" w:hAnsi="Calibri"/>
          <w:i/>
          <w:sz w:val="16"/>
          <w:szCs w:val="16"/>
          <w:lang w:val="es-ES"/>
        </w:rPr>
        <w:t>Denuncias sobre racismo en el sistema de justicia de Estados Unidos (DE OFICIO)</w:t>
      </w:r>
      <w:r w:rsidRPr="00EB1FC4">
        <w:rPr>
          <w:rFonts w:ascii="Calibri" w:hAnsi="Calibri"/>
          <w:sz w:val="16"/>
          <w:szCs w:val="16"/>
          <w:lang w:val="es-ES"/>
        </w:rPr>
        <w:t xml:space="preserve">, 153 Periodo de Sesiones, 27 de octubre de 2014; </w:t>
      </w:r>
      <w:r w:rsidRPr="00EB1FC4">
        <w:rPr>
          <w:rFonts w:ascii="Calibri" w:hAnsi="Calibri"/>
          <w:i/>
          <w:sz w:val="16"/>
          <w:szCs w:val="16"/>
          <w:lang w:val="es-ES"/>
        </w:rPr>
        <w:t>Leyes de defensa propia (Stand Your Ground) y su impacto sobre las minorías en Estados Unidos</w:t>
      </w:r>
      <w:r>
        <w:rPr>
          <w:rFonts w:ascii="Calibri" w:hAnsi="Calibri"/>
          <w:sz w:val="16"/>
          <w:szCs w:val="16"/>
          <w:lang w:val="es-ES"/>
        </w:rPr>
        <w:t>, 150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Sesiones, 25 de marzo de 2014; </w:t>
      </w:r>
      <w:r w:rsidRPr="00EB1FC4">
        <w:rPr>
          <w:rFonts w:ascii="Calibri" w:hAnsi="Calibri"/>
          <w:i/>
          <w:sz w:val="16"/>
          <w:szCs w:val="16"/>
          <w:lang w:val="es-ES"/>
        </w:rPr>
        <w:t>Situación de derechos humanos de las personas detenidas en la Base Naval de Guantánamo en Estados Unidos</w:t>
      </w:r>
      <w:r>
        <w:rPr>
          <w:rFonts w:ascii="Calibri" w:hAnsi="Calibri"/>
          <w:sz w:val="16"/>
          <w:szCs w:val="16"/>
          <w:lang w:val="es-ES"/>
        </w:rPr>
        <w:t>, 149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esiones, 28 de octubre de 2013; y otras.</w:t>
      </w:r>
    </w:p>
    <w:p w:rsidR="00543111" w:rsidRPr="00EB1FC4" w:rsidRDefault="00543111" w:rsidP="00953AF4">
      <w:pPr>
        <w:pStyle w:val="FootnoteText"/>
        <w:ind w:left="734" w:hanging="187"/>
        <w:jc w:val="both"/>
        <w:rPr>
          <w:rFonts w:ascii="Calibri" w:hAnsi="Calibri"/>
          <w:sz w:val="16"/>
          <w:szCs w:val="16"/>
          <w:lang w:val="es-ES"/>
        </w:rPr>
      </w:pPr>
      <w:r w:rsidRPr="00EB1FC4">
        <w:rPr>
          <w:rFonts w:ascii="Calibri" w:hAnsi="Calibri"/>
          <w:sz w:val="16"/>
          <w:szCs w:val="16"/>
          <w:lang w:val="es-ES"/>
        </w:rPr>
        <w:t>-</w:t>
      </w:r>
      <w:r>
        <w:rPr>
          <w:rFonts w:ascii="Calibri" w:hAnsi="Calibri"/>
          <w:sz w:val="16"/>
          <w:szCs w:val="16"/>
          <w:lang w:val="es-ES"/>
        </w:rPr>
        <w:tab/>
      </w:r>
      <w:r w:rsidRPr="00EB1FC4">
        <w:rPr>
          <w:rFonts w:ascii="Calibri" w:hAnsi="Calibri"/>
          <w:sz w:val="16"/>
          <w:szCs w:val="16"/>
          <w:lang w:val="es-ES"/>
        </w:rPr>
        <w:t xml:space="preserve">Audiencias Temáticas convocadas sobre Canadá: </w:t>
      </w:r>
      <w:r w:rsidRPr="00EB1FC4">
        <w:rPr>
          <w:rFonts w:ascii="Calibri" w:hAnsi="Calibri"/>
          <w:i/>
          <w:sz w:val="16"/>
          <w:szCs w:val="16"/>
          <w:lang w:val="es-ES"/>
        </w:rPr>
        <w:t>Impacto de las actividades de empresas mineras canadienses sobre los derechos humanos en América Latina</w:t>
      </w:r>
      <w:r>
        <w:rPr>
          <w:rFonts w:ascii="Calibri" w:hAnsi="Calibri"/>
          <w:sz w:val="16"/>
          <w:szCs w:val="16"/>
          <w:lang w:val="es-ES"/>
        </w:rPr>
        <w:t>, 153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esiones, 28 de octubre de 2014;</w:t>
      </w:r>
      <w:r w:rsidRPr="00EB1FC4">
        <w:rPr>
          <w:rFonts w:ascii="Calibri" w:hAnsi="Calibri"/>
          <w:i/>
          <w:sz w:val="16"/>
          <w:szCs w:val="16"/>
          <w:lang w:val="es-ES"/>
        </w:rPr>
        <w:t xml:space="preserve"> Situación de derechos humanos de las personas LGBTI en Canadá</w:t>
      </w:r>
      <w:r>
        <w:rPr>
          <w:rFonts w:ascii="Calibri" w:hAnsi="Calibri"/>
          <w:sz w:val="16"/>
          <w:szCs w:val="16"/>
          <w:lang w:val="es-ES"/>
        </w:rPr>
        <w:t>, 150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27 de marzo de 2014; </w:t>
      </w:r>
      <w:r w:rsidRPr="00EB1FC4">
        <w:rPr>
          <w:rFonts w:ascii="Calibri" w:hAnsi="Calibri"/>
          <w:i/>
          <w:sz w:val="16"/>
          <w:szCs w:val="16"/>
          <w:lang w:val="es-ES"/>
        </w:rPr>
        <w:t>Denuncias sobre mujeres y niñas indígenas desaparecidas y asesinadas en British Columbia</w:t>
      </w:r>
      <w:r>
        <w:rPr>
          <w:rFonts w:ascii="Calibri" w:hAnsi="Calibri"/>
          <w:sz w:val="16"/>
          <w:szCs w:val="16"/>
          <w:lang w:val="es-ES"/>
        </w:rPr>
        <w:t>, 144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28 de marzo de 2012; y otras. </w:t>
      </w:r>
    </w:p>
    <w:p w:rsidR="00543111" w:rsidRPr="00EB1FC4" w:rsidRDefault="00543111" w:rsidP="00953AF4">
      <w:pPr>
        <w:pStyle w:val="FootnoteText"/>
        <w:ind w:left="734" w:hanging="187"/>
        <w:jc w:val="both"/>
        <w:rPr>
          <w:rFonts w:ascii="Calibri" w:hAnsi="Calibri"/>
          <w:sz w:val="16"/>
          <w:szCs w:val="16"/>
          <w:lang w:val="es-ES"/>
        </w:rPr>
      </w:pPr>
      <w:r w:rsidRPr="00EB1FC4">
        <w:rPr>
          <w:rFonts w:ascii="Calibri" w:hAnsi="Calibri"/>
          <w:sz w:val="16"/>
          <w:szCs w:val="16"/>
          <w:lang w:val="es-ES"/>
        </w:rPr>
        <w:t>-</w:t>
      </w:r>
      <w:r>
        <w:rPr>
          <w:rFonts w:ascii="Calibri" w:hAnsi="Calibri"/>
          <w:sz w:val="16"/>
          <w:szCs w:val="16"/>
          <w:lang w:val="es-ES"/>
        </w:rPr>
        <w:tab/>
      </w:r>
      <w:r w:rsidRPr="00EB1FC4">
        <w:rPr>
          <w:rFonts w:ascii="Calibri" w:hAnsi="Calibri"/>
          <w:sz w:val="16"/>
          <w:szCs w:val="16"/>
          <w:lang w:val="es-ES"/>
        </w:rPr>
        <w:t xml:space="preserve">Audiencias temáticas convocadas sobre Cuba: </w:t>
      </w:r>
      <w:r w:rsidRPr="00EB1FC4">
        <w:rPr>
          <w:rFonts w:ascii="Calibri" w:hAnsi="Calibri"/>
          <w:i/>
          <w:sz w:val="16"/>
          <w:szCs w:val="16"/>
          <w:lang w:val="es-ES"/>
        </w:rPr>
        <w:t xml:space="preserve">Situación de derechos humanos de las personas privadas de libertad en Cuba, </w:t>
      </w:r>
      <w:r>
        <w:rPr>
          <w:rFonts w:ascii="Calibri" w:hAnsi="Calibri"/>
          <w:sz w:val="16"/>
          <w:szCs w:val="16"/>
          <w:lang w:val="es-ES"/>
        </w:rPr>
        <w:t>153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esiones, 27 de octubre de 2014;</w:t>
      </w:r>
      <w:r w:rsidRPr="00EB1FC4">
        <w:rPr>
          <w:rFonts w:ascii="Calibri" w:hAnsi="Calibri"/>
          <w:i/>
          <w:sz w:val="16"/>
          <w:szCs w:val="16"/>
          <w:lang w:val="es-ES"/>
        </w:rPr>
        <w:t xml:space="preserve"> Situación de derechos humanos de los periodistas en Cuba</w:t>
      </w:r>
      <w:r>
        <w:rPr>
          <w:rFonts w:ascii="Calibri" w:hAnsi="Calibri"/>
          <w:sz w:val="16"/>
          <w:szCs w:val="16"/>
          <w:lang w:val="es-ES"/>
        </w:rPr>
        <w:t>, 150 periodo 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25 de marzo de 2014; </w:t>
      </w:r>
      <w:r w:rsidRPr="00EB1FC4">
        <w:rPr>
          <w:rFonts w:ascii="Calibri" w:hAnsi="Calibri"/>
          <w:i/>
          <w:sz w:val="16"/>
          <w:szCs w:val="16"/>
          <w:lang w:val="es-ES"/>
        </w:rPr>
        <w:t>Situación de defensores y defensoras de derechos humanos en Cuba</w:t>
      </w:r>
      <w:r>
        <w:rPr>
          <w:rFonts w:ascii="Calibri" w:hAnsi="Calibri"/>
          <w:sz w:val="16"/>
          <w:szCs w:val="16"/>
          <w:lang w:val="es-ES"/>
        </w:rPr>
        <w:t>, 149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esiones, 29 de octubre de 2013; y otras.</w:t>
      </w:r>
    </w:p>
    <w:p w:rsidR="00543111" w:rsidRPr="00EB1FC4" w:rsidRDefault="00543111" w:rsidP="00953AF4">
      <w:pPr>
        <w:pStyle w:val="FootnoteText"/>
        <w:ind w:left="734" w:hanging="187"/>
        <w:jc w:val="both"/>
        <w:rPr>
          <w:rFonts w:ascii="Calibri" w:hAnsi="Calibri"/>
          <w:sz w:val="16"/>
          <w:szCs w:val="16"/>
          <w:lang w:val="es-ES"/>
        </w:rPr>
      </w:pPr>
      <w:r w:rsidRPr="00EB1FC4">
        <w:rPr>
          <w:rFonts w:ascii="Calibri" w:hAnsi="Calibri"/>
          <w:sz w:val="16"/>
          <w:szCs w:val="16"/>
          <w:lang w:val="es-ES"/>
        </w:rPr>
        <w:t>-</w:t>
      </w:r>
      <w:r>
        <w:rPr>
          <w:rFonts w:ascii="Calibri" w:hAnsi="Calibri"/>
          <w:sz w:val="16"/>
          <w:szCs w:val="16"/>
          <w:lang w:val="es-ES"/>
        </w:rPr>
        <w:tab/>
      </w:r>
      <w:r w:rsidRPr="00EB1FC4">
        <w:rPr>
          <w:rFonts w:ascii="Calibri" w:hAnsi="Calibri"/>
          <w:sz w:val="16"/>
          <w:szCs w:val="16"/>
          <w:lang w:val="es-ES"/>
        </w:rPr>
        <w:t xml:space="preserve">Audiencias temáticas convocadas sobre Belice: </w:t>
      </w:r>
      <w:r w:rsidRPr="00EB1FC4">
        <w:rPr>
          <w:rFonts w:ascii="Calibri" w:hAnsi="Calibri" w:cs="Segoe UI"/>
          <w:bCs/>
          <w:i/>
          <w:sz w:val="16"/>
          <w:szCs w:val="16"/>
          <w:shd w:val="clear" w:color="auto" w:fill="FFFFFF"/>
          <w:lang w:val="es-ES_tradnl"/>
        </w:rPr>
        <w:t>Situación general de derechos humanos en Belice</w:t>
      </w:r>
      <w:r w:rsidRPr="00EB1FC4">
        <w:rPr>
          <w:rFonts w:ascii="Calibri" w:hAnsi="Calibri" w:cs="Segoe UI"/>
          <w:bCs/>
          <w:sz w:val="16"/>
          <w:szCs w:val="16"/>
          <w:shd w:val="clear" w:color="auto" w:fill="FFFFFF"/>
          <w:lang w:val="es-ES_tradnl"/>
        </w:rPr>
        <w:t>, 152 Periodo de Sesiones, 12 de agosto de 2014;</w:t>
      </w:r>
      <w:r w:rsidRPr="00EB1FC4">
        <w:rPr>
          <w:rFonts w:ascii="Calibri" w:hAnsi="Calibri" w:cs="Segoe UI"/>
          <w:b/>
          <w:bCs/>
          <w:color w:val="333333"/>
          <w:sz w:val="16"/>
          <w:szCs w:val="16"/>
          <w:shd w:val="clear" w:color="auto" w:fill="FFFFFF"/>
          <w:lang w:val="es-ES_tradnl"/>
        </w:rPr>
        <w:t xml:space="preserve"> </w:t>
      </w:r>
      <w:r w:rsidRPr="00EB1FC4">
        <w:rPr>
          <w:rFonts w:ascii="Calibri" w:hAnsi="Calibri"/>
          <w:i/>
          <w:sz w:val="16"/>
          <w:szCs w:val="16"/>
          <w:lang w:val="es-ES"/>
        </w:rPr>
        <w:t>Situación de derechos humanos de las personas LGBTI en Belice</w:t>
      </w:r>
      <w:r>
        <w:rPr>
          <w:rFonts w:ascii="Calibri" w:hAnsi="Calibri"/>
          <w:sz w:val="16"/>
          <w:szCs w:val="16"/>
          <w:lang w:val="es-ES"/>
        </w:rPr>
        <w:t>, 150 p</w:t>
      </w:r>
      <w:r w:rsidRPr="00EB1FC4">
        <w:rPr>
          <w:rFonts w:ascii="Calibri" w:hAnsi="Calibri"/>
          <w:sz w:val="16"/>
          <w:szCs w:val="16"/>
          <w:lang w:val="es-ES"/>
        </w:rPr>
        <w:t xml:space="preserve">eriodo </w:t>
      </w:r>
      <w:r>
        <w:rPr>
          <w:rFonts w:ascii="Calibri" w:hAnsi="Calibri"/>
          <w:sz w:val="16"/>
          <w:szCs w:val="16"/>
          <w:lang w:val="es-ES"/>
        </w:rPr>
        <w:t>o</w:t>
      </w:r>
      <w:r w:rsidRPr="00EB1FC4">
        <w:rPr>
          <w:rFonts w:ascii="Calibri" w:hAnsi="Calibri"/>
          <w:sz w:val="16"/>
          <w:szCs w:val="16"/>
          <w:lang w:val="es-ES"/>
        </w:rPr>
        <w:t xml:space="preserve">rdinario de </w:t>
      </w:r>
      <w:r>
        <w:rPr>
          <w:rFonts w:ascii="Calibri" w:hAnsi="Calibri"/>
          <w:sz w:val="16"/>
          <w:szCs w:val="16"/>
          <w:lang w:val="es-ES"/>
        </w:rPr>
        <w:t>s</w:t>
      </w:r>
      <w:r w:rsidRPr="00EB1FC4">
        <w:rPr>
          <w:rFonts w:ascii="Calibri" w:hAnsi="Calibri"/>
          <w:sz w:val="16"/>
          <w:szCs w:val="16"/>
          <w:lang w:val="es-ES"/>
        </w:rPr>
        <w:t xml:space="preserve">esiones, 28 de marzo de 2014; </w:t>
      </w:r>
      <w:r w:rsidRPr="00EB1FC4">
        <w:rPr>
          <w:rFonts w:ascii="Calibri" w:hAnsi="Calibri"/>
          <w:i/>
          <w:sz w:val="16"/>
          <w:szCs w:val="16"/>
          <w:lang w:val="es-ES"/>
        </w:rPr>
        <w:t>Situación de la pena de muerte en Belice</w:t>
      </w:r>
      <w:r>
        <w:rPr>
          <w:rFonts w:ascii="Calibri" w:hAnsi="Calibri"/>
          <w:sz w:val="16"/>
          <w:szCs w:val="16"/>
          <w:lang w:val="es-ES"/>
        </w:rPr>
        <w:t>, 116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 xml:space="preserve">esiones, 18 de octubre de 2002; y otras.  </w:t>
      </w:r>
    </w:p>
    <w:p w:rsidR="00543111" w:rsidRPr="00EB1FC4" w:rsidRDefault="00543111" w:rsidP="00953AF4">
      <w:pPr>
        <w:pStyle w:val="FootnoteText"/>
        <w:ind w:left="734" w:hanging="187"/>
        <w:jc w:val="both"/>
        <w:rPr>
          <w:rFonts w:ascii="Calibri" w:hAnsi="Calibri"/>
          <w:sz w:val="16"/>
          <w:szCs w:val="16"/>
          <w:lang w:val="es-ES"/>
        </w:rPr>
      </w:pPr>
      <w:r w:rsidRPr="00EB1FC4">
        <w:rPr>
          <w:rFonts w:ascii="Calibri" w:hAnsi="Calibri"/>
          <w:sz w:val="16"/>
          <w:szCs w:val="16"/>
          <w:lang w:val="es-ES"/>
        </w:rPr>
        <w:t>-</w:t>
      </w:r>
      <w:r>
        <w:rPr>
          <w:rFonts w:ascii="Calibri" w:hAnsi="Calibri"/>
          <w:sz w:val="16"/>
          <w:szCs w:val="16"/>
          <w:lang w:val="es-ES"/>
        </w:rPr>
        <w:tab/>
      </w:r>
      <w:r w:rsidRPr="00EB1FC4">
        <w:rPr>
          <w:rFonts w:ascii="Calibri" w:hAnsi="Calibri"/>
          <w:sz w:val="16"/>
          <w:szCs w:val="16"/>
          <w:lang w:val="es-ES"/>
        </w:rPr>
        <w:t xml:space="preserve">Audiencias temáticas convocadas sobre Guyana: </w:t>
      </w:r>
      <w:r w:rsidRPr="00EB1FC4">
        <w:rPr>
          <w:rFonts w:ascii="Calibri" w:hAnsi="Calibri"/>
          <w:i/>
          <w:sz w:val="16"/>
          <w:szCs w:val="16"/>
          <w:lang w:val="es-ES"/>
        </w:rPr>
        <w:t>Denuncias sobre discriminación y violencia basadas en orientación sexual e identidad de género contra niños y niñas en Guyana</w:t>
      </w:r>
      <w:r>
        <w:rPr>
          <w:rFonts w:ascii="Calibri" w:hAnsi="Calibri"/>
          <w:sz w:val="16"/>
          <w:szCs w:val="16"/>
          <w:lang w:val="es-ES"/>
        </w:rPr>
        <w:t>, 149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 xml:space="preserve">esiones, 28 de octubre de 2013; </w:t>
      </w:r>
      <w:r w:rsidRPr="00EB1FC4">
        <w:rPr>
          <w:rFonts w:ascii="Calibri" w:hAnsi="Calibri"/>
          <w:i/>
          <w:sz w:val="16"/>
          <w:szCs w:val="16"/>
          <w:lang w:val="es-ES"/>
        </w:rPr>
        <w:t>Situación de derechos humanos en Guyana</w:t>
      </w:r>
      <w:r>
        <w:rPr>
          <w:rFonts w:ascii="Calibri" w:hAnsi="Calibri"/>
          <w:sz w:val="16"/>
          <w:szCs w:val="16"/>
          <w:lang w:val="es-ES"/>
        </w:rPr>
        <w:t>, 108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esiones, 18 de octubre de 2002.</w:t>
      </w:r>
    </w:p>
  </w:footnote>
  <w:footnote w:id="66">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Por ejemplo, la CIDH recibió una respuesta del Instituto de Derechos Humanos de la Facultad de Derecho del </w:t>
      </w:r>
      <w:r w:rsidRPr="00EB1FC4">
        <w:rPr>
          <w:rFonts w:ascii="Calibri" w:hAnsi="Calibri"/>
          <w:i/>
          <w:sz w:val="16"/>
          <w:szCs w:val="16"/>
          <w:lang w:val="es-ES"/>
        </w:rPr>
        <w:t>Columbia Law School</w:t>
      </w:r>
      <w:r w:rsidRPr="00EB1FC4">
        <w:rPr>
          <w:rFonts w:ascii="Calibri" w:hAnsi="Calibri"/>
          <w:sz w:val="16"/>
          <w:szCs w:val="16"/>
          <w:lang w:val="es-ES"/>
        </w:rPr>
        <w:t xml:space="preserve"> en Estados Unidos en donde indican que la falta de ratificación por parte de los Estados Unidos sirve como un impedimento importante para incorporar los estándares interamericanos de derechos humanos en la legislación, políticas, y prácticas domésticas.  Entienden que hasta la fecha no ha habido una referencia formal o explícita a los estándares interamericanos en leyes, regulaciones y directivas federales. Asimismo, aseveran que no se ha desarrollado en los Estados Unidos el concepto de control de convencionalidad para asegurar que los jueces y las juezas revisen el cumplimiento de las medidas estatales con los compromisos internacionales en materia de derechos humanos, y que no han establecido mecanismos domésticos para implementar las decisiones y recomendaciones de la CIDH de forma efectiva.  </w:t>
      </w:r>
    </w:p>
  </w:footnote>
  <w:footnote w:id="67">
    <w:p w:rsidR="00543111" w:rsidRPr="00EB1FC4" w:rsidRDefault="00543111" w:rsidP="00B63B41">
      <w:pPr>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 xml:space="preserve">Por ejemplo, la CIDH recibió una respuesta al cuestionario de parte del </w:t>
      </w:r>
      <w:r w:rsidRPr="00EB1FC4">
        <w:rPr>
          <w:rFonts w:ascii="Calibri" w:hAnsi="Calibri"/>
          <w:i/>
          <w:sz w:val="16"/>
          <w:szCs w:val="16"/>
          <w:lang w:val="es-ES"/>
        </w:rPr>
        <w:t>Seattle Human Rights Commission</w:t>
      </w:r>
      <w:r w:rsidRPr="00EB1FC4">
        <w:rPr>
          <w:rFonts w:ascii="Calibri" w:hAnsi="Calibri"/>
          <w:sz w:val="16"/>
          <w:szCs w:val="16"/>
          <w:lang w:val="es-ES"/>
        </w:rPr>
        <w:t xml:space="preserve"> de Estados Unidos, en donde aseveran que en dicho Estado no existe conciencia sobre la existencia de los estándares interamericanos de derechos humanos, el trabajo de los órganos del sistema, y su relevancia para los Estados Unidos.  También carecen de una entidad local con un mandato explícito de implementar obligaciones de derechos humanos contenidas en tratados internacionales para facilitar la implementación de los estándares. A su vez aseveran que cuando se explica el funcionamiento del sistema interamericano hay muchas dudas sobre las disposiciones de la Declaración Americana y su estatus distinto a un tratado ratificado en el derecho internacional de los derechos humanos. </w:t>
      </w:r>
    </w:p>
  </w:footnote>
  <w:footnote w:id="68">
    <w:p w:rsidR="00543111" w:rsidRPr="00EB1FC4" w:rsidRDefault="00543111" w:rsidP="00B63B41">
      <w:pPr>
        <w:pStyle w:val="BodyTextIndent2"/>
        <w:ind w:left="540" w:hanging="540"/>
        <w:rPr>
          <w:rFonts w:ascii="Calibri" w:hAnsi="Calibri"/>
          <w:sz w:val="16"/>
          <w:szCs w:val="16"/>
        </w:rPr>
      </w:pPr>
      <w:r w:rsidRPr="00EB1FC4">
        <w:rPr>
          <w:rStyle w:val="FootnoteReference"/>
          <w:rFonts w:ascii="Calibri" w:hAnsi="Calibri"/>
          <w:sz w:val="16"/>
          <w:szCs w:val="16"/>
        </w:rPr>
        <w:footnoteRef/>
      </w:r>
      <w:r w:rsidRPr="00EB1FC4">
        <w:rPr>
          <w:rFonts w:ascii="Calibri" w:hAnsi="Calibri"/>
          <w:sz w:val="16"/>
          <w:szCs w:val="16"/>
        </w:rPr>
        <w:t xml:space="preserve"> </w:t>
      </w:r>
      <w:r>
        <w:rPr>
          <w:rFonts w:ascii="Calibri" w:hAnsi="Calibri"/>
          <w:sz w:val="16"/>
          <w:szCs w:val="16"/>
        </w:rPr>
        <w:tab/>
      </w:r>
      <w:r w:rsidRPr="00EB1FC4">
        <w:rPr>
          <w:rFonts w:ascii="Calibri" w:hAnsi="Calibri"/>
          <w:sz w:val="16"/>
          <w:szCs w:val="16"/>
        </w:rPr>
        <w:t xml:space="preserve">La Comisión ha recibido información importante este año indicando que gobiernos locales en trece jurisdicciones a través de los Estados Unidos han adoptado resoluciones reconociendo el derecho de vivir libre de violencia doméstica como un derecho humano fundamental.  Informes han sido recibido sobre la adopción de dichas resoluciones en Albany, Baltimore, Boston, Buffalo, Cincinnati, Colorado, Jacksonville, Miami Springs, Miami Dade, Montgomery County (Alabama), Seattle, Travis County Commissioners Court (Texas) y Washington, DC.  Para más detalles, véase, </w:t>
      </w:r>
      <w:hyperlink r:id="rId5" w:history="1">
        <w:r w:rsidRPr="00EB1FC4">
          <w:rPr>
            <w:rStyle w:val="Hyperlink"/>
            <w:rFonts w:ascii="Calibri" w:hAnsi="Calibri"/>
            <w:sz w:val="16"/>
            <w:szCs w:val="16"/>
          </w:rPr>
          <w:t>http://www.wcl.american.edu/humright/center/dvresolutions.cfm</w:t>
        </w:r>
      </w:hyperlink>
      <w:r w:rsidRPr="00EB1FC4">
        <w:rPr>
          <w:rFonts w:ascii="Calibri" w:hAnsi="Calibri"/>
          <w:sz w:val="16"/>
          <w:szCs w:val="16"/>
        </w:rPr>
        <w:t xml:space="preserve">  La CIDH entiende que un factor contribuyente a la adopción de estas resoluciones fue el informe de fondo de la CIDH publicado en el caso de </w:t>
      </w:r>
      <w:r w:rsidRPr="00EB1FC4">
        <w:rPr>
          <w:rFonts w:ascii="Calibri" w:hAnsi="Calibri"/>
          <w:i/>
          <w:sz w:val="16"/>
          <w:szCs w:val="16"/>
        </w:rPr>
        <w:t>Jessica Lenahan (Gonzalez) y Otros</w:t>
      </w:r>
      <w:r w:rsidRPr="00EB1FC4">
        <w:rPr>
          <w:rFonts w:ascii="Calibri" w:hAnsi="Calibri"/>
          <w:sz w:val="16"/>
          <w:szCs w:val="16"/>
        </w:rPr>
        <w:t xml:space="preserve"> (2011), involucrando a los Estados Unidos, en donde la CIDH se pronunció por primera vez sobre el nexo entre la violencia doméstica y el problema de la discriminación bajo la Declaración Americana. Considera que estas resoluciones son un esfuerzo positivo y una buena práctica para ofrecer visibilidad al problema de la violencia doméstica y promover una respuesta adecuada a este grave problema de derechos humanos.   </w:t>
      </w:r>
    </w:p>
  </w:footnote>
  <w:footnote w:id="69">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como referencia, Informes nacionales de Antigua y Barbuda, Bahamas, Belice, Canadá, Cuba, Estados Unidos, Guyana, Saint Kitt</w:t>
      </w:r>
      <w:r>
        <w:rPr>
          <w:rFonts w:ascii="Calibri" w:hAnsi="Calibri"/>
          <w:sz w:val="16"/>
          <w:szCs w:val="16"/>
          <w:lang w:val="es-ES"/>
        </w:rPr>
        <w:t>s y Nevis, Santa Lucía y San Vi</w:t>
      </w:r>
      <w:r w:rsidRPr="00EB1FC4">
        <w:rPr>
          <w:rFonts w:ascii="Calibri" w:hAnsi="Calibri"/>
          <w:sz w:val="16"/>
          <w:szCs w:val="16"/>
          <w:lang w:val="es-ES"/>
        </w:rPr>
        <w:t>cente y las Grenadinas ante el Examen Periódico Universal, Consejo de Derechos Humanos de las Naciones Unidas, Primer Ciclo.</w:t>
      </w:r>
    </w:p>
  </w:footnote>
  <w:footnote w:id="70">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Respuestas al cuestionario de los Estados de Argentina, Colombia, Costa Rica, Guatemala, Honduras, Jamaica, México y Uruguay.   </w:t>
      </w:r>
    </w:p>
  </w:footnote>
  <w:footnote w:id="71">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Respuesta al cuestionario de Argentina; </w:t>
      </w:r>
      <w:r w:rsidRPr="00F5075E">
        <w:rPr>
          <w:rFonts w:ascii="Calibri" w:hAnsi="Calibri"/>
          <w:i/>
          <w:sz w:val="16"/>
          <w:szCs w:val="16"/>
          <w:lang w:val="es-ES"/>
        </w:rPr>
        <w:t>Corte IDH, Caso Kimel Vs. Argentina</w:t>
      </w:r>
      <w:r>
        <w:rPr>
          <w:rFonts w:ascii="Calibri" w:hAnsi="Calibri"/>
          <w:i/>
          <w:sz w:val="16"/>
          <w:szCs w:val="16"/>
          <w:lang w:val="es-ES"/>
        </w:rPr>
        <w:t>.</w:t>
      </w:r>
      <w:r w:rsidRPr="00EB1FC4">
        <w:rPr>
          <w:rFonts w:ascii="Calibri" w:hAnsi="Calibri"/>
          <w:sz w:val="16"/>
          <w:szCs w:val="16"/>
          <w:lang w:val="es-ES"/>
        </w:rPr>
        <w:t xml:space="preserve"> Fondo, Reparaciones y Costas, Sentencia de 2 de mayo de 2008, Serie C No. 177.   </w:t>
      </w:r>
      <w:r w:rsidRPr="00EB1FC4">
        <w:rPr>
          <w:rFonts w:ascii="Calibri" w:hAnsi="Calibri" w:cs="Arial"/>
          <w:color w:val="262626"/>
          <w:sz w:val="16"/>
          <w:szCs w:val="16"/>
          <w:lang w:val="es-ES"/>
        </w:rPr>
        <w:t xml:space="preserve"> </w:t>
      </w:r>
    </w:p>
  </w:footnote>
  <w:footnote w:id="72">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Véase, por ejemplo, Respuestas al cuestionario de Colombia, Guatemala y México.</w:t>
      </w:r>
    </w:p>
  </w:footnote>
  <w:footnote w:id="73">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La organización </w:t>
      </w:r>
      <w:r w:rsidRPr="00EB1FC4">
        <w:rPr>
          <w:rFonts w:ascii="Calibri" w:hAnsi="Calibri"/>
          <w:i/>
          <w:sz w:val="16"/>
          <w:szCs w:val="16"/>
          <w:lang w:val="es-ES"/>
        </w:rPr>
        <w:t>Jamaicans for Justice</w:t>
      </w:r>
      <w:r w:rsidRPr="00EB1FC4">
        <w:rPr>
          <w:rFonts w:ascii="Calibri" w:hAnsi="Calibri"/>
          <w:sz w:val="16"/>
          <w:szCs w:val="16"/>
          <w:lang w:val="es-ES"/>
        </w:rPr>
        <w:t xml:space="preserve"> entiende que la adopción del </w:t>
      </w:r>
      <w:r w:rsidRPr="00EB1FC4">
        <w:rPr>
          <w:rFonts w:ascii="Calibri" w:hAnsi="Calibri"/>
          <w:i/>
          <w:sz w:val="16"/>
          <w:szCs w:val="16"/>
          <w:lang w:val="es-ES"/>
        </w:rPr>
        <w:t>Jamaican Charter of Fundamental Rights and Freedoms (Constitutional Amendment) Act</w:t>
      </w:r>
      <w:r w:rsidRPr="00EB1FC4">
        <w:rPr>
          <w:rFonts w:ascii="Calibri" w:hAnsi="Calibri"/>
          <w:sz w:val="16"/>
          <w:szCs w:val="16"/>
          <w:lang w:val="es-ES"/>
        </w:rPr>
        <w:t xml:space="preserve"> refleja un esfuerzo de parte del Estado de incorporar los estándares interamericanos en leyes locales.  </w:t>
      </w:r>
      <w:r w:rsidRPr="00EB1FC4">
        <w:rPr>
          <w:rFonts w:ascii="Calibri" w:hAnsi="Calibri"/>
          <w:sz w:val="16"/>
          <w:szCs w:val="16"/>
          <w:lang w:val="en-US"/>
        </w:rPr>
        <w:t>Sin embargo, aseveran que aunque el “Charter is a step in the right direction, there are many gaps within the provisions that require amendment and/or challenge through litigation.  Most notably the charter fails to protect the fundamental rights of all citizens of Jamaica, thereby undermining the inherent dignity of all persons.  Further, the enactment of the Charter has not ushered in an era in Jamaica where Human Rights are recognized, respected and/or incorporated into the practices of State organs/agents when interacting with citizens of Jamaica”.</w:t>
      </w:r>
    </w:p>
  </w:footnote>
  <w:footnote w:id="74">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por ejemplo, respuestas al cuestionario de: Capital Humano y Alternativo (Perú), Asociación por los Derechos Civiles (Argentina), CENIDH (Nicaragua), Fundación Myrna Mack (Guatemala), Centro de Análisis Forense y Ciencias Aplicadas-CAFCA (Guatemala), Fundación para la Libertad de Prensa (Colombia), </w:t>
      </w:r>
      <w:r w:rsidRPr="00EB1FC4">
        <w:rPr>
          <w:rFonts w:ascii="Calibri" w:hAnsi="Calibri"/>
          <w:i/>
          <w:sz w:val="16"/>
          <w:szCs w:val="16"/>
          <w:lang w:val="es-ES"/>
        </w:rPr>
        <w:t>Jamaicans for Justice</w:t>
      </w:r>
      <w:r w:rsidRPr="00EB1FC4">
        <w:rPr>
          <w:rFonts w:ascii="Calibri" w:hAnsi="Calibri"/>
          <w:sz w:val="16"/>
          <w:szCs w:val="16"/>
          <w:lang w:val="es-ES"/>
        </w:rPr>
        <w:t xml:space="preserve"> (Jamaica), REDNOVI (Guatemala), Comisión Mexicana de Derechos Humanos A.C. (México); Jorge Alfredo Martínez Reyes (México), Salvador Alberto Sosa Ocampo (México), María Margarita Buchelli (Colombia); </w:t>
      </w:r>
      <w:r w:rsidRPr="00EB1FC4">
        <w:rPr>
          <w:rFonts w:ascii="Calibri" w:hAnsi="Calibri"/>
          <w:i/>
          <w:sz w:val="16"/>
          <w:szCs w:val="16"/>
          <w:lang w:val="es-ES"/>
        </w:rPr>
        <w:t>Clínica de Direitos Humanos y Faculdade Damas</w:t>
      </w:r>
      <w:r w:rsidRPr="00EB1FC4">
        <w:rPr>
          <w:rFonts w:ascii="Calibri" w:hAnsi="Calibri"/>
          <w:sz w:val="16"/>
          <w:szCs w:val="16"/>
          <w:lang w:val="es-ES"/>
        </w:rPr>
        <w:t xml:space="preserve"> (Brasil); </w:t>
      </w:r>
      <w:r w:rsidRPr="00EB1FC4">
        <w:rPr>
          <w:rFonts w:ascii="Calibri" w:hAnsi="Calibri"/>
          <w:i/>
          <w:sz w:val="16"/>
          <w:szCs w:val="16"/>
          <w:lang w:val="es-ES"/>
        </w:rPr>
        <w:t>Associacão Juízes para a Democracia</w:t>
      </w:r>
      <w:r w:rsidRPr="00EB1FC4">
        <w:rPr>
          <w:rFonts w:ascii="Calibri" w:hAnsi="Calibri"/>
          <w:sz w:val="16"/>
          <w:szCs w:val="16"/>
          <w:lang w:val="es-ES"/>
        </w:rPr>
        <w:t xml:space="preserve"> (Brasil); </w:t>
      </w:r>
      <w:r w:rsidRPr="00EB1FC4">
        <w:rPr>
          <w:rFonts w:ascii="Calibri" w:hAnsi="Calibri"/>
          <w:i/>
          <w:sz w:val="16"/>
          <w:szCs w:val="16"/>
          <w:lang w:val="es-ES"/>
        </w:rPr>
        <w:t>Gabinete de Assessoria Jurídica às Organizações Populares</w:t>
      </w:r>
      <w:r w:rsidRPr="00EB1FC4">
        <w:rPr>
          <w:rFonts w:ascii="Calibri" w:hAnsi="Calibri"/>
          <w:sz w:val="16"/>
          <w:szCs w:val="16"/>
          <w:lang w:val="es-ES"/>
        </w:rPr>
        <w:t xml:space="preserve"> – GAJOP (Brasil) y Red Latinoamericana y del Caribe para la Democracia (REDLAD).</w:t>
      </w:r>
    </w:p>
  </w:footnote>
  <w:footnote w:id="75">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Por ejemplo, ver Respuestas al cuestionario de Argentina, Costa Rica, Guatemala, y México.</w:t>
      </w:r>
    </w:p>
  </w:footnote>
  <w:footnote w:id="76">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CIDH, </w:t>
      </w:r>
      <w:r>
        <w:rPr>
          <w:rFonts w:ascii="Calibri" w:hAnsi="Calibri"/>
          <w:i/>
          <w:sz w:val="16"/>
          <w:szCs w:val="16"/>
          <w:lang w:val="es-ES"/>
        </w:rPr>
        <w:t>Estándares j</w:t>
      </w:r>
      <w:r w:rsidRPr="00EB1FC4">
        <w:rPr>
          <w:rFonts w:ascii="Calibri" w:hAnsi="Calibri"/>
          <w:i/>
          <w:sz w:val="16"/>
          <w:szCs w:val="16"/>
          <w:lang w:val="es-ES"/>
        </w:rPr>
        <w:t xml:space="preserve">urídicos </w:t>
      </w:r>
      <w:r>
        <w:rPr>
          <w:rFonts w:ascii="Calibri" w:hAnsi="Calibri"/>
          <w:i/>
          <w:sz w:val="16"/>
          <w:szCs w:val="16"/>
          <w:lang w:val="es-ES"/>
        </w:rPr>
        <w:t>v</w:t>
      </w:r>
      <w:r w:rsidRPr="00EB1FC4">
        <w:rPr>
          <w:rFonts w:ascii="Calibri" w:hAnsi="Calibri"/>
          <w:i/>
          <w:sz w:val="16"/>
          <w:szCs w:val="16"/>
          <w:lang w:val="es-ES"/>
        </w:rPr>
        <w:t xml:space="preserve">inculados a la </w:t>
      </w:r>
      <w:r>
        <w:rPr>
          <w:rFonts w:ascii="Calibri" w:hAnsi="Calibri"/>
          <w:i/>
          <w:sz w:val="16"/>
          <w:szCs w:val="16"/>
          <w:lang w:val="es-ES"/>
        </w:rPr>
        <w:t>i</w:t>
      </w:r>
      <w:r w:rsidRPr="00EB1FC4">
        <w:rPr>
          <w:rFonts w:ascii="Calibri" w:hAnsi="Calibri"/>
          <w:i/>
          <w:sz w:val="16"/>
          <w:szCs w:val="16"/>
          <w:lang w:val="es-ES"/>
        </w:rPr>
        <w:t xml:space="preserve">gualdad de </w:t>
      </w:r>
      <w:r>
        <w:rPr>
          <w:rFonts w:ascii="Calibri" w:hAnsi="Calibri"/>
          <w:i/>
          <w:sz w:val="16"/>
          <w:szCs w:val="16"/>
          <w:lang w:val="es-ES"/>
        </w:rPr>
        <w:t>g</w:t>
      </w:r>
      <w:r w:rsidRPr="00EB1FC4">
        <w:rPr>
          <w:rFonts w:ascii="Calibri" w:hAnsi="Calibri"/>
          <w:i/>
          <w:sz w:val="16"/>
          <w:szCs w:val="16"/>
          <w:lang w:val="es-ES"/>
        </w:rPr>
        <w:t xml:space="preserve">énero y a los </w:t>
      </w:r>
      <w:r>
        <w:rPr>
          <w:rFonts w:ascii="Calibri" w:hAnsi="Calibri"/>
          <w:i/>
          <w:sz w:val="16"/>
          <w:szCs w:val="16"/>
          <w:lang w:val="es-ES"/>
        </w:rPr>
        <w:t>d</w:t>
      </w:r>
      <w:r w:rsidRPr="00EB1FC4">
        <w:rPr>
          <w:rFonts w:ascii="Calibri" w:hAnsi="Calibri"/>
          <w:i/>
          <w:sz w:val="16"/>
          <w:szCs w:val="16"/>
          <w:lang w:val="es-ES"/>
        </w:rPr>
        <w:t xml:space="preserve">erechos de las </w:t>
      </w:r>
      <w:r>
        <w:rPr>
          <w:rFonts w:ascii="Calibri" w:hAnsi="Calibri"/>
          <w:i/>
          <w:sz w:val="16"/>
          <w:szCs w:val="16"/>
          <w:lang w:val="es-ES"/>
        </w:rPr>
        <w:t>m</w:t>
      </w:r>
      <w:r w:rsidRPr="00EB1FC4">
        <w:rPr>
          <w:rFonts w:ascii="Calibri" w:hAnsi="Calibri"/>
          <w:i/>
          <w:sz w:val="16"/>
          <w:szCs w:val="16"/>
          <w:lang w:val="es-ES"/>
        </w:rPr>
        <w:t xml:space="preserve">ujeres en el </w:t>
      </w:r>
      <w:r>
        <w:rPr>
          <w:rFonts w:ascii="Calibri" w:hAnsi="Calibri"/>
          <w:i/>
          <w:sz w:val="16"/>
          <w:szCs w:val="16"/>
          <w:lang w:val="es-ES"/>
        </w:rPr>
        <w:t>s</w:t>
      </w:r>
      <w:r w:rsidRPr="00EB1FC4">
        <w:rPr>
          <w:rFonts w:ascii="Calibri" w:hAnsi="Calibri"/>
          <w:i/>
          <w:sz w:val="16"/>
          <w:szCs w:val="16"/>
          <w:lang w:val="es-ES"/>
        </w:rPr>
        <w:t xml:space="preserve">istema </w:t>
      </w:r>
      <w:r>
        <w:rPr>
          <w:rFonts w:ascii="Calibri" w:hAnsi="Calibri"/>
          <w:i/>
          <w:sz w:val="16"/>
          <w:szCs w:val="16"/>
          <w:lang w:val="es-ES"/>
        </w:rPr>
        <w:t>i</w:t>
      </w:r>
      <w:r w:rsidRPr="00EB1FC4">
        <w:rPr>
          <w:rFonts w:ascii="Calibri" w:hAnsi="Calibri"/>
          <w:i/>
          <w:sz w:val="16"/>
          <w:szCs w:val="16"/>
          <w:lang w:val="es-ES"/>
        </w:rPr>
        <w:t xml:space="preserve">nteramericano de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 xml:space="preserve">umanos: Desarrollo y </w:t>
      </w:r>
      <w:r>
        <w:rPr>
          <w:rFonts w:ascii="Calibri" w:hAnsi="Calibri"/>
          <w:i/>
          <w:sz w:val="16"/>
          <w:szCs w:val="16"/>
          <w:lang w:val="es-ES"/>
        </w:rPr>
        <w:t>a</w:t>
      </w:r>
      <w:r w:rsidRPr="00EB1FC4">
        <w:rPr>
          <w:rFonts w:ascii="Calibri" w:hAnsi="Calibri"/>
          <w:i/>
          <w:sz w:val="16"/>
          <w:szCs w:val="16"/>
          <w:lang w:val="es-ES"/>
        </w:rPr>
        <w:t>plicación</w:t>
      </w:r>
      <w:r w:rsidRPr="00EB1FC4">
        <w:rPr>
          <w:rFonts w:ascii="Calibri" w:hAnsi="Calibri"/>
          <w:sz w:val="16"/>
          <w:szCs w:val="16"/>
          <w:lang w:val="es-ES"/>
        </w:rPr>
        <w:t>, OEA/Ser.L./V/II.143 Doc. 60, 3 de noviembre de 2011; Respuesta al cuestionario de la Asociación por los Derechos Civiles (Argentina).</w:t>
      </w:r>
    </w:p>
  </w:footnote>
  <w:footnote w:id="77">
    <w:p w:rsidR="00543111" w:rsidRPr="005B57E6" w:rsidRDefault="00543111" w:rsidP="001E0FC8">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AR"/>
        </w:rPr>
        <w:t xml:space="preserve">Véase Corte IDH, Opinión Consultiva OC-10/89, </w:t>
      </w:r>
      <w:r w:rsidRPr="00EB1FC4">
        <w:rPr>
          <w:rFonts w:ascii="Calibri" w:hAnsi="Calibri"/>
          <w:i/>
          <w:sz w:val="16"/>
          <w:szCs w:val="16"/>
          <w:lang w:val="es-AR"/>
        </w:rPr>
        <w:t>Interpretación de la Declaración Americana de los Derechos y Deberes del Hombre en el Marco del Artículo 64 de la Convención Americana sobre Derechos Humano</w:t>
      </w:r>
      <w:r w:rsidRPr="00EB1FC4">
        <w:rPr>
          <w:rFonts w:ascii="Calibri" w:hAnsi="Calibri"/>
          <w:sz w:val="16"/>
          <w:szCs w:val="16"/>
          <w:lang w:val="es-AR"/>
        </w:rPr>
        <w:t xml:space="preserve">s, 14 de julio de 1989,  párr. </w:t>
      </w:r>
      <w:r w:rsidRPr="005B57E6">
        <w:rPr>
          <w:rFonts w:ascii="Calibri" w:hAnsi="Calibri"/>
          <w:sz w:val="16"/>
          <w:szCs w:val="16"/>
          <w:lang w:val="es-ES"/>
        </w:rPr>
        <w:t xml:space="preserve">12.  </w:t>
      </w:r>
    </w:p>
  </w:footnote>
  <w:footnote w:id="78">
    <w:p w:rsidR="00543111" w:rsidRPr="00B90612"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CIDH, </w:t>
      </w:r>
      <w:r w:rsidRPr="00EB1FC4">
        <w:rPr>
          <w:rFonts w:ascii="Calibri" w:hAnsi="Calibri"/>
          <w:i/>
          <w:sz w:val="16"/>
          <w:szCs w:val="16"/>
          <w:lang w:val="es-ES"/>
        </w:rPr>
        <w:t xml:space="preserve">Informe sobre </w:t>
      </w:r>
      <w:r>
        <w:rPr>
          <w:rFonts w:ascii="Calibri" w:hAnsi="Calibri"/>
          <w:i/>
          <w:sz w:val="16"/>
          <w:szCs w:val="16"/>
          <w:lang w:val="es-ES"/>
        </w:rPr>
        <w:t>i</w:t>
      </w:r>
      <w:r w:rsidRPr="00EB1FC4">
        <w:rPr>
          <w:rFonts w:ascii="Calibri" w:hAnsi="Calibri"/>
          <w:i/>
          <w:sz w:val="16"/>
          <w:szCs w:val="16"/>
          <w:lang w:val="es-ES"/>
        </w:rPr>
        <w:t>nmigración en</w:t>
      </w:r>
      <w:r>
        <w:rPr>
          <w:rFonts w:ascii="Calibri" w:hAnsi="Calibri"/>
          <w:i/>
          <w:sz w:val="16"/>
          <w:szCs w:val="16"/>
          <w:lang w:val="es-ES"/>
        </w:rPr>
        <w:t xml:space="preserve"> Estados Unidos: Detenciones y de</w:t>
      </w:r>
      <w:r w:rsidRPr="00EB1FC4">
        <w:rPr>
          <w:rFonts w:ascii="Calibri" w:hAnsi="Calibri"/>
          <w:i/>
          <w:sz w:val="16"/>
          <w:szCs w:val="16"/>
          <w:lang w:val="es-ES"/>
        </w:rPr>
        <w:t xml:space="preserve">bido </w:t>
      </w:r>
      <w:r>
        <w:rPr>
          <w:rFonts w:ascii="Calibri" w:hAnsi="Calibri"/>
          <w:i/>
          <w:sz w:val="16"/>
          <w:szCs w:val="16"/>
          <w:lang w:val="es-ES"/>
        </w:rPr>
        <w:t>p</w:t>
      </w:r>
      <w:r w:rsidRPr="00EB1FC4">
        <w:rPr>
          <w:rFonts w:ascii="Calibri" w:hAnsi="Calibri"/>
          <w:i/>
          <w:sz w:val="16"/>
          <w:szCs w:val="16"/>
          <w:lang w:val="es-ES"/>
        </w:rPr>
        <w:t>roceso</w:t>
      </w:r>
      <w:r w:rsidRPr="00EB1FC4">
        <w:rPr>
          <w:rFonts w:ascii="Calibri" w:hAnsi="Calibri"/>
          <w:sz w:val="16"/>
          <w:szCs w:val="16"/>
          <w:lang w:val="es-ES"/>
        </w:rPr>
        <w:t xml:space="preserve">, OEA/Ser.L/V/II. Doc. 78/10, 30 de diciembre de 2010, párr. </w:t>
      </w:r>
      <w:r w:rsidRPr="00B90612">
        <w:rPr>
          <w:rFonts w:ascii="Calibri" w:hAnsi="Calibri"/>
          <w:sz w:val="16"/>
          <w:szCs w:val="16"/>
          <w:lang w:val="es-ES"/>
        </w:rPr>
        <w:t>24.</w:t>
      </w:r>
    </w:p>
  </w:footnote>
  <w:footnote w:id="79">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CIDH, Informe No. 80/11, Caso 12.626, </w:t>
      </w:r>
      <w:r w:rsidRPr="00EB1FC4">
        <w:rPr>
          <w:rFonts w:ascii="Calibri" w:hAnsi="Calibri"/>
          <w:i/>
          <w:sz w:val="16"/>
          <w:szCs w:val="16"/>
          <w:lang w:val="es-ES"/>
        </w:rPr>
        <w:t>Jessica Lenahan (Gonzales) y Otros</w:t>
      </w:r>
      <w:r w:rsidRPr="00EB1FC4">
        <w:rPr>
          <w:rFonts w:ascii="Calibri" w:hAnsi="Calibri"/>
          <w:sz w:val="16"/>
          <w:szCs w:val="16"/>
          <w:lang w:val="es-ES"/>
        </w:rPr>
        <w:t xml:space="preserve">,  Estados Unidos, 21 de julio de 2011, párrs. 55, 106 y 115-121.   </w:t>
      </w:r>
    </w:p>
  </w:footnote>
  <w:footnote w:id="80">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iCs/>
          <w:sz w:val="16"/>
          <w:szCs w:val="16"/>
          <w:lang w:val="es-UY"/>
        </w:rPr>
        <w:t>Véase</w:t>
      </w:r>
      <w:r w:rsidRPr="00EB1FC4">
        <w:rPr>
          <w:rFonts w:ascii="Calibri" w:hAnsi="Calibri"/>
          <w:i/>
          <w:iCs/>
          <w:sz w:val="16"/>
          <w:szCs w:val="16"/>
          <w:lang w:val="es-UY"/>
        </w:rPr>
        <w:t xml:space="preserve"> </w:t>
      </w:r>
      <w:r w:rsidRPr="00EB1FC4">
        <w:rPr>
          <w:rFonts w:ascii="Calibri" w:hAnsi="Calibri"/>
          <w:sz w:val="16"/>
          <w:szCs w:val="16"/>
          <w:lang w:val="es-UY"/>
        </w:rPr>
        <w:t xml:space="preserve">Corte IDH. </w:t>
      </w:r>
      <w:r w:rsidRPr="00EB1FC4">
        <w:rPr>
          <w:rFonts w:ascii="Calibri" w:hAnsi="Calibri"/>
          <w:i/>
          <w:sz w:val="16"/>
          <w:szCs w:val="16"/>
          <w:lang w:val="es-ES_tradnl"/>
        </w:rPr>
        <w:t>Interpretación de la Declaración Americana de los Derechos y Deberes del Hombre en el Marco del Artículo 64 de la Convención Americana sobre Derechos Humanos</w:t>
      </w:r>
      <w:r w:rsidRPr="00EB1FC4">
        <w:rPr>
          <w:rFonts w:ascii="Calibri" w:hAnsi="Calibri"/>
          <w:sz w:val="16"/>
          <w:szCs w:val="16"/>
          <w:lang w:val="es-ES_tradnl"/>
        </w:rPr>
        <w:t>. Opinión Consultiva OC-10/89 del 14 de julio de 1989. Serie A No. 10</w:t>
      </w:r>
      <w:r w:rsidRPr="00EB1FC4">
        <w:rPr>
          <w:rFonts w:ascii="Calibri" w:hAnsi="Calibri"/>
          <w:sz w:val="16"/>
          <w:szCs w:val="16"/>
          <w:lang w:val="es-UY"/>
        </w:rPr>
        <w:t xml:space="preserve">, párrs. 35-45; CIDH, Resolución 3/87, Caso 9647, </w:t>
      </w:r>
      <w:r w:rsidRPr="00EB1FC4">
        <w:rPr>
          <w:rFonts w:ascii="Calibri" w:hAnsi="Calibri"/>
          <w:i/>
          <w:iCs/>
          <w:sz w:val="16"/>
          <w:szCs w:val="16"/>
          <w:lang w:val="es-UY"/>
        </w:rPr>
        <w:t>James Terry Roach y Jay Pinkerton (Estados Unidos)</w:t>
      </w:r>
      <w:r w:rsidRPr="00EB1FC4">
        <w:rPr>
          <w:rFonts w:ascii="Calibri" w:hAnsi="Calibri"/>
          <w:sz w:val="16"/>
          <w:szCs w:val="16"/>
          <w:lang w:val="es-UY"/>
        </w:rPr>
        <w:t>, 22 de septiembre de 1987, Informe Anual de la CIDH 1986-87, párrs. 46-49.</w:t>
      </w:r>
      <w:r w:rsidRPr="00EB1FC4">
        <w:rPr>
          <w:rFonts w:ascii="Calibri" w:hAnsi="Calibri"/>
          <w:sz w:val="16"/>
          <w:szCs w:val="16"/>
          <w:lang w:val="es-ES_tradnl"/>
        </w:rPr>
        <w:t xml:space="preserve">  Véase también, </w:t>
      </w:r>
      <w:r w:rsidRPr="00EB1FC4">
        <w:rPr>
          <w:rFonts w:ascii="Calibri" w:hAnsi="Calibri"/>
          <w:sz w:val="16"/>
          <w:szCs w:val="16"/>
          <w:lang w:val="es-ES"/>
        </w:rPr>
        <w:t xml:space="preserve">CIDH, </w:t>
      </w:r>
      <w:r>
        <w:rPr>
          <w:rFonts w:ascii="Calibri" w:hAnsi="Calibri"/>
          <w:i/>
          <w:sz w:val="16"/>
          <w:szCs w:val="16"/>
          <w:lang w:val="es-ES"/>
        </w:rPr>
        <w:t>Informe sobre i</w:t>
      </w:r>
      <w:r w:rsidRPr="00EB1FC4">
        <w:rPr>
          <w:rFonts w:ascii="Calibri" w:hAnsi="Calibri"/>
          <w:i/>
          <w:sz w:val="16"/>
          <w:szCs w:val="16"/>
          <w:lang w:val="es-ES"/>
        </w:rPr>
        <w:t>nmigración en</w:t>
      </w:r>
      <w:r>
        <w:rPr>
          <w:rFonts w:ascii="Calibri" w:hAnsi="Calibri"/>
          <w:i/>
          <w:sz w:val="16"/>
          <w:szCs w:val="16"/>
          <w:lang w:val="es-ES"/>
        </w:rPr>
        <w:t xml:space="preserve"> Estados Unidos: Detenciones y d</w:t>
      </w:r>
      <w:r w:rsidRPr="00EB1FC4">
        <w:rPr>
          <w:rFonts w:ascii="Calibri" w:hAnsi="Calibri"/>
          <w:i/>
          <w:sz w:val="16"/>
          <w:szCs w:val="16"/>
          <w:lang w:val="es-ES"/>
        </w:rPr>
        <w:t xml:space="preserve">ebido </w:t>
      </w:r>
      <w:r>
        <w:rPr>
          <w:rFonts w:ascii="Calibri" w:hAnsi="Calibri"/>
          <w:i/>
          <w:sz w:val="16"/>
          <w:szCs w:val="16"/>
          <w:lang w:val="es-ES"/>
        </w:rPr>
        <w:t>p</w:t>
      </w:r>
      <w:r w:rsidRPr="00EB1FC4">
        <w:rPr>
          <w:rFonts w:ascii="Calibri" w:hAnsi="Calibri"/>
          <w:i/>
          <w:sz w:val="16"/>
          <w:szCs w:val="16"/>
          <w:lang w:val="es-ES"/>
        </w:rPr>
        <w:t>roceso</w:t>
      </w:r>
      <w:r w:rsidRPr="00EB1FC4">
        <w:rPr>
          <w:rFonts w:ascii="Calibri" w:hAnsi="Calibri"/>
          <w:sz w:val="16"/>
          <w:szCs w:val="16"/>
          <w:lang w:val="es-ES"/>
        </w:rPr>
        <w:t>, OEA/Ser.L/V/II. Doc. 78/10, 30 de diciembre de 2010, párr. 30.</w:t>
      </w:r>
    </w:p>
  </w:footnote>
  <w:footnote w:id="81">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Pr>
          <w:rFonts w:ascii="Calibri" w:hAnsi="Calibri"/>
          <w:sz w:val="16"/>
          <w:szCs w:val="16"/>
          <w:lang w:val="es-UY"/>
        </w:rPr>
        <w:tab/>
      </w:r>
      <w:r w:rsidRPr="00EB1FC4">
        <w:rPr>
          <w:rFonts w:ascii="Calibri" w:hAnsi="Calibri"/>
          <w:i/>
          <w:iCs/>
          <w:sz w:val="16"/>
          <w:szCs w:val="16"/>
          <w:lang w:val="es-UY"/>
        </w:rPr>
        <w:t xml:space="preserve">Véase </w:t>
      </w:r>
      <w:r w:rsidRPr="00EB1FC4">
        <w:rPr>
          <w:rFonts w:ascii="Calibri" w:hAnsi="Calibri"/>
          <w:sz w:val="16"/>
          <w:szCs w:val="16"/>
          <w:lang w:val="es-UY"/>
        </w:rPr>
        <w:t xml:space="preserve">Corte IDH. </w:t>
      </w:r>
      <w:r w:rsidRPr="00EB1FC4">
        <w:rPr>
          <w:rFonts w:ascii="Calibri" w:hAnsi="Calibri"/>
          <w:i/>
          <w:sz w:val="16"/>
          <w:szCs w:val="16"/>
          <w:lang w:val="es-ES_tradnl"/>
        </w:rPr>
        <w:t>Interpretación de la Declaración Americana de los Derechos y Deberes del Hombre en el Marco del Artículo 64 de la Convención Americana sobre Derechos Humanos</w:t>
      </w:r>
      <w:r w:rsidRPr="00EB1FC4">
        <w:rPr>
          <w:rFonts w:ascii="Calibri" w:hAnsi="Calibri"/>
          <w:sz w:val="16"/>
          <w:szCs w:val="16"/>
          <w:lang w:val="es-ES_tradnl"/>
        </w:rPr>
        <w:t>. Opinión Consultiva OC-10/89 del 14 de julio de 1989. Serie A No. 10</w:t>
      </w:r>
      <w:r w:rsidRPr="00EB1FC4">
        <w:rPr>
          <w:rFonts w:ascii="Calibri" w:hAnsi="Calibri"/>
          <w:sz w:val="16"/>
          <w:szCs w:val="16"/>
          <w:lang w:val="es-UY"/>
        </w:rPr>
        <w:t xml:space="preserve">, párrs. 35-45; CIDH, Resolución 3/87, Caso 9647, </w:t>
      </w:r>
      <w:r w:rsidRPr="00EB1FC4">
        <w:rPr>
          <w:rFonts w:ascii="Calibri" w:hAnsi="Calibri"/>
          <w:i/>
          <w:iCs/>
          <w:sz w:val="16"/>
          <w:szCs w:val="16"/>
          <w:lang w:val="es-UY"/>
        </w:rPr>
        <w:t>James Terry Roach y Jay Pinkerton (Estados Unidos)</w:t>
      </w:r>
      <w:r w:rsidRPr="00EB1FC4">
        <w:rPr>
          <w:rFonts w:ascii="Calibri" w:hAnsi="Calibri"/>
          <w:sz w:val="16"/>
          <w:szCs w:val="16"/>
          <w:lang w:val="es-UY"/>
        </w:rPr>
        <w:t xml:space="preserve">, 22 de septiembre de 1987, </w:t>
      </w:r>
      <w:r w:rsidRPr="001E0FC8">
        <w:rPr>
          <w:rFonts w:ascii="Calibri" w:hAnsi="Calibri"/>
          <w:i/>
          <w:sz w:val="16"/>
          <w:szCs w:val="16"/>
          <w:lang w:val="es-UY"/>
        </w:rPr>
        <w:t>Informe Anual de la CIDH 1986-87</w:t>
      </w:r>
      <w:r w:rsidRPr="00EB1FC4">
        <w:rPr>
          <w:rFonts w:ascii="Calibri" w:hAnsi="Calibri"/>
          <w:sz w:val="16"/>
          <w:szCs w:val="16"/>
          <w:lang w:val="es-UY"/>
        </w:rPr>
        <w:t xml:space="preserve">, párrs. 46-49. </w:t>
      </w:r>
    </w:p>
  </w:footnote>
  <w:footnote w:id="82">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Pr>
          <w:rFonts w:ascii="Calibri" w:hAnsi="Calibri"/>
          <w:sz w:val="16"/>
          <w:szCs w:val="16"/>
          <w:lang w:val="es-UY"/>
        </w:rPr>
        <w:tab/>
      </w:r>
      <w:r w:rsidRPr="00EB1FC4">
        <w:rPr>
          <w:rFonts w:ascii="Calibri" w:hAnsi="Calibri"/>
          <w:sz w:val="16"/>
          <w:szCs w:val="16"/>
          <w:lang w:val="es-UY"/>
        </w:rPr>
        <w:t>Carta de la Organización</w:t>
      </w:r>
      <w:r>
        <w:rPr>
          <w:rFonts w:ascii="Calibri" w:hAnsi="Calibri"/>
          <w:sz w:val="16"/>
          <w:szCs w:val="16"/>
          <w:lang w:val="es-UY"/>
        </w:rPr>
        <w:t xml:space="preserve"> de los Estados Americanos, Artículos</w:t>
      </w:r>
      <w:r w:rsidRPr="00EB1FC4">
        <w:rPr>
          <w:rFonts w:ascii="Calibri" w:hAnsi="Calibri"/>
          <w:sz w:val="16"/>
          <w:szCs w:val="16"/>
          <w:lang w:val="es-UY"/>
        </w:rPr>
        <w:t xml:space="preserve"> 3, 16, 51.</w:t>
      </w:r>
    </w:p>
  </w:footnote>
  <w:footnote w:id="83">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Pr>
          <w:rFonts w:ascii="Calibri" w:hAnsi="Calibri"/>
          <w:sz w:val="16"/>
          <w:szCs w:val="16"/>
          <w:lang w:val="es-UY"/>
        </w:rPr>
        <w:tab/>
      </w:r>
      <w:r w:rsidRPr="00EB1FC4">
        <w:rPr>
          <w:rFonts w:ascii="Calibri" w:hAnsi="Calibri"/>
          <w:i/>
          <w:iCs/>
          <w:sz w:val="16"/>
          <w:szCs w:val="16"/>
          <w:lang w:val="es-UY"/>
        </w:rPr>
        <w:t xml:space="preserve">Véase, por ejemplo, </w:t>
      </w:r>
      <w:r w:rsidRPr="00EB1FC4">
        <w:rPr>
          <w:rFonts w:ascii="Calibri" w:hAnsi="Calibri"/>
          <w:iCs/>
          <w:sz w:val="16"/>
          <w:szCs w:val="16"/>
          <w:lang w:val="es-UY"/>
        </w:rPr>
        <w:t xml:space="preserve">Asamblea General de la OEA, Resolución </w:t>
      </w:r>
      <w:r w:rsidRPr="00EB1FC4">
        <w:rPr>
          <w:rFonts w:ascii="Calibri" w:hAnsi="Calibri"/>
          <w:sz w:val="16"/>
          <w:szCs w:val="16"/>
          <w:lang w:val="es-UY"/>
        </w:rPr>
        <w:t>314, AG/RES. 314 (VII-O/77), 22 de junio de 1977 (en que se encomienda a la Comisión Interamericana la preparación de un estudio para establecer “la obligación de cumplir los compromisos adquiridos en la Declaración Americana de los Derechos y Deberes del Hombre”); Asamblea General de la OEA, Resolución 371, AG/RES (VIII-O/78), 1 de julio de 1978 (en la que se reafirma su compromiso de “promover el cumplimiento de la Declaración Americana de los Derechos y Deberes del Hombre”); Asamblea General de la OEA, Resolución 370, AG/RES. 370 (VIII-O/78), 1 de julio de 1978 (que hace referencia a los “compromisos internacionales” de los Estados miembros de la OEA de respetar los derechos reconocidos en la Declaración Americana de los Derechos y Deberes del Hombre).</w:t>
      </w:r>
    </w:p>
  </w:footnote>
  <w:footnote w:id="84">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Pr>
          <w:rFonts w:ascii="Calibri" w:hAnsi="Calibri"/>
          <w:sz w:val="16"/>
          <w:szCs w:val="16"/>
          <w:lang w:val="es-UY"/>
        </w:rPr>
        <w:tab/>
      </w:r>
      <w:r w:rsidRPr="00EB1FC4">
        <w:rPr>
          <w:rFonts w:ascii="Calibri" w:hAnsi="Calibri"/>
          <w:sz w:val="16"/>
          <w:szCs w:val="16"/>
          <w:lang w:val="es-UY"/>
        </w:rPr>
        <w:t>CIDH, Informe N</w:t>
      </w:r>
      <w:r>
        <w:rPr>
          <w:rFonts w:ascii="Calibri" w:hAnsi="Calibri"/>
          <w:sz w:val="16"/>
          <w:szCs w:val="16"/>
          <w:lang w:val="es-UY"/>
        </w:rPr>
        <w:t>o.</w:t>
      </w:r>
      <w:r w:rsidRPr="00EB1FC4">
        <w:rPr>
          <w:rFonts w:ascii="Calibri" w:hAnsi="Calibri"/>
          <w:sz w:val="16"/>
          <w:szCs w:val="16"/>
          <w:lang w:val="es-UY"/>
        </w:rPr>
        <w:t xml:space="preserve"> 19/02, Caso 12.379, </w:t>
      </w:r>
      <w:r w:rsidRPr="00EB1FC4">
        <w:rPr>
          <w:rFonts w:ascii="Calibri" w:hAnsi="Calibri"/>
          <w:i/>
          <w:sz w:val="16"/>
          <w:szCs w:val="16"/>
          <w:lang w:val="es-UY"/>
        </w:rPr>
        <w:t>Lare-Reyes et al</w:t>
      </w:r>
      <w:r w:rsidRPr="00EB1FC4">
        <w:rPr>
          <w:rFonts w:ascii="Calibri" w:hAnsi="Calibri"/>
          <w:sz w:val="16"/>
          <w:szCs w:val="16"/>
          <w:lang w:val="es-UY"/>
        </w:rPr>
        <w:t xml:space="preserve">. (Estados Unidos), 27 de febrero de  2002, párr. 46. </w:t>
      </w:r>
    </w:p>
  </w:footnote>
  <w:footnote w:id="85">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lang w:val="es-UY"/>
        </w:rPr>
        <w:footnoteRef/>
      </w:r>
      <w:r w:rsidRPr="00EB1FC4">
        <w:rPr>
          <w:rFonts w:ascii="Calibri" w:hAnsi="Calibri"/>
          <w:sz w:val="16"/>
          <w:szCs w:val="16"/>
          <w:lang w:val="es-UY"/>
        </w:rPr>
        <w:t xml:space="preserve"> </w:t>
      </w:r>
      <w:r>
        <w:rPr>
          <w:rFonts w:ascii="Calibri" w:hAnsi="Calibri"/>
          <w:sz w:val="16"/>
          <w:szCs w:val="16"/>
          <w:lang w:val="es-UY"/>
        </w:rPr>
        <w:tab/>
      </w:r>
      <w:r w:rsidRPr="00EB1FC4">
        <w:rPr>
          <w:rFonts w:ascii="Calibri" w:hAnsi="Calibri"/>
          <w:i/>
          <w:iCs/>
          <w:sz w:val="16"/>
          <w:szCs w:val="16"/>
          <w:lang w:val="es-UY"/>
        </w:rPr>
        <w:t xml:space="preserve">Véase </w:t>
      </w:r>
      <w:r w:rsidRPr="00EB1FC4">
        <w:rPr>
          <w:rFonts w:ascii="Calibri" w:hAnsi="Calibri"/>
          <w:iCs/>
          <w:sz w:val="16"/>
          <w:szCs w:val="16"/>
          <w:lang w:val="es-UY"/>
        </w:rPr>
        <w:t>Corte IDH</w:t>
      </w:r>
      <w:r w:rsidR="00F0147A">
        <w:rPr>
          <w:rFonts w:ascii="Calibri" w:hAnsi="Calibri"/>
          <w:sz w:val="16"/>
          <w:szCs w:val="16"/>
          <w:lang w:val="es-UY"/>
        </w:rPr>
        <w:t>.</w:t>
      </w:r>
      <w:r w:rsidRPr="00EB1FC4">
        <w:rPr>
          <w:rFonts w:ascii="Calibri" w:hAnsi="Calibri"/>
          <w:sz w:val="16"/>
          <w:szCs w:val="16"/>
          <w:lang w:val="es-UY"/>
        </w:rPr>
        <w:t xml:space="preserve"> </w:t>
      </w:r>
      <w:r w:rsidRPr="00EB1FC4">
        <w:rPr>
          <w:rFonts w:ascii="Calibri" w:hAnsi="Calibri"/>
          <w:i/>
          <w:iCs/>
          <w:sz w:val="16"/>
          <w:szCs w:val="16"/>
          <w:lang w:val="es-UY"/>
        </w:rPr>
        <w:t>Opinión Consultiva OC-10/89 "</w:t>
      </w:r>
      <w:r w:rsidRPr="00EB1FC4">
        <w:rPr>
          <w:rFonts w:ascii="Calibri" w:hAnsi="Calibri"/>
          <w:bCs/>
          <w:i/>
          <w:iCs/>
          <w:sz w:val="16"/>
          <w:szCs w:val="16"/>
          <w:lang w:val="es-UY"/>
        </w:rPr>
        <w:t>Interpretación de la Declaración Americana de los Derechos y Deberes del Hombre en el Marco del artículo 64 de la Convención Americana sobre Derechos Humanos</w:t>
      </w:r>
      <w:r w:rsidRPr="00EB1FC4">
        <w:rPr>
          <w:rFonts w:ascii="Calibri" w:hAnsi="Calibri"/>
          <w:i/>
          <w:iCs/>
          <w:sz w:val="16"/>
          <w:szCs w:val="16"/>
          <w:lang w:val="es-UY"/>
        </w:rPr>
        <w:t>”</w:t>
      </w:r>
      <w:r w:rsidRPr="00EB1FC4">
        <w:rPr>
          <w:rFonts w:ascii="Calibri" w:hAnsi="Calibri"/>
          <w:sz w:val="16"/>
          <w:szCs w:val="16"/>
          <w:lang w:val="es-UY"/>
        </w:rPr>
        <w:t>, 14 de julio de 1989, Ser. A Nº 10 (1989), párr. 45 (La Corte sostuvo que, “para los Estados miembros de la Organización, la Declaración es el texto que define los derechos humanos referidos en la Carta”).</w:t>
      </w:r>
    </w:p>
  </w:footnote>
  <w:footnote w:id="86">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 xml:space="preserve">Véase, por ejemplo, Francisco J. Rivera Juaristi, </w:t>
      </w:r>
      <w:r w:rsidRPr="00EB1FC4">
        <w:rPr>
          <w:rFonts w:ascii="Calibri" w:hAnsi="Calibri"/>
          <w:i/>
          <w:sz w:val="16"/>
          <w:szCs w:val="16"/>
          <w:lang w:val="en-US"/>
        </w:rPr>
        <w:t>U.S. Exceptionalism and the Strengthening Process of the Inter-American Human Rights System</w:t>
      </w:r>
      <w:r w:rsidRPr="00EB1FC4">
        <w:rPr>
          <w:rFonts w:ascii="Calibri" w:hAnsi="Calibri"/>
          <w:sz w:val="16"/>
          <w:szCs w:val="16"/>
          <w:lang w:val="en-US"/>
        </w:rPr>
        <w:t xml:space="preserve">, Human Rights Brief, Volume 20, Issue 2, Winter 2003; Joseph Diab, </w:t>
      </w:r>
      <w:r w:rsidRPr="00EB1FC4">
        <w:rPr>
          <w:rFonts w:ascii="Calibri" w:hAnsi="Calibri"/>
          <w:i/>
          <w:sz w:val="16"/>
          <w:szCs w:val="16"/>
          <w:lang w:val="en-US"/>
        </w:rPr>
        <w:t>United States Ratification of the American Convention on Human Rights</w:t>
      </w:r>
      <w:r w:rsidRPr="00EB1FC4">
        <w:rPr>
          <w:rFonts w:ascii="Calibri" w:hAnsi="Calibri"/>
          <w:sz w:val="16"/>
          <w:szCs w:val="16"/>
          <w:lang w:val="en-US"/>
        </w:rPr>
        <w:t>, 22 Duke J. Comp. &amp; Int’L L. 323, 328 (1992).</w:t>
      </w:r>
    </w:p>
  </w:footnote>
  <w:footnote w:id="87">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 xml:space="preserve">Véase, Senate of Canada, </w:t>
      </w:r>
      <w:r w:rsidRPr="00EB1FC4">
        <w:rPr>
          <w:rFonts w:ascii="Calibri" w:hAnsi="Calibri"/>
          <w:i/>
          <w:sz w:val="16"/>
          <w:szCs w:val="16"/>
          <w:lang w:val="en-US"/>
        </w:rPr>
        <w:t>Enhancing Canada’s Role in the OAS: Canadian Adherence to the American Convention on Human Rights, Report of the Standing Senate Committee on Human Rights</w:t>
      </w:r>
      <w:r w:rsidRPr="00EB1FC4">
        <w:rPr>
          <w:rFonts w:ascii="Calibri" w:hAnsi="Calibri"/>
          <w:sz w:val="16"/>
          <w:szCs w:val="16"/>
          <w:lang w:val="en-US"/>
        </w:rPr>
        <w:t>,</w:t>
      </w:r>
      <w:r>
        <w:rPr>
          <w:rFonts w:ascii="Calibri" w:hAnsi="Calibri"/>
          <w:sz w:val="16"/>
          <w:szCs w:val="16"/>
          <w:lang w:val="en-US"/>
        </w:rPr>
        <w:t xml:space="preserve"> May 2003, págs. 1, 43-48.</w:t>
      </w:r>
    </w:p>
  </w:footnote>
  <w:footnote w:id="88">
    <w:p w:rsidR="00543111" w:rsidRPr="00C40DFD" w:rsidRDefault="00543111" w:rsidP="009C26D3">
      <w:pPr>
        <w:pStyle w:val="FootnoteText"/>
        <w:ind w:left="547" w:hanging="547"/>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 xml:space="preserve">Véase, Senate of Canada, </w:t>
      </w:r>
      <w:r w:rsidRPr="00EB1FC4">
        <w:rPr>
          <w:rFonts w:ascii="Calibri" w:hAnsi="Calibri"/>
          <w:i/>
          <w:sz w:val="16"/>
          <w:szCs w:val="16"/>
          <w:lang w:val="en-US"/>
        </w:rPr>
        <w:t>Enhancing Canada’s Role in the OAS: Canadian Adherence to the American Convention on Human Rights, Report of the Standing Senate Committee on Human Rights</w:t>
      </w:r>
      <w:r w:rsidRPr="00EB1FC4">
        <w:rPr>
          <w:rFonts w:ascii="Calibri" w:hAnsi="Calibri"/>
          <w:sz w:val="16"/>
          <w:szCs w:val="16"/>
          <w:lang w:val="en-US"/>
        </w:rPr>
        <w:t xml:space="preserve">, May 2003, págs. </w:t>
      </w:r>
      <w:r w:rsidRPr="00F61B5D">
        <w:rPr>
          <w:rFonts w:ascii="Calibri" w:hAnsi="Calibri"/>
          <w:sz w:val="16"/>
          <w:szCs w:val="16"/>
          <w:lang w:val="es-ES"/>
        </w:rPr>
        <w:t xml:space="preserve">42-51. </w:t>
      </w:r>
      <w:r w:rsidRPr="00F5075E">
        <w:rPr>
          <w:rFonts w:ascii="Calibri" w:hAnsi="Calibri"/>
          <w:sz w:val="16"/>
          <w:szCs w:val="16"/>
          <w:lang w:val="es-ES"/>
        </w:rPr>
        <w:t xml:space="preserve">Es importante destacar avances del sistema interamericano en la interpretación de estas disposiciones. </w:t>
      </w:r>
      <w:r w:rsidRPr="00F61B5D">
        <w:rPr>
          <w:rFonts w:ascii="Calibri" w:hAnsi="Calibri"/>
          <w:sz w:val="16"/>
          <w:szCs w:val="16"/>
          <w:lang w:val="es-ES"/>
        </w:rPr>
        <w:t xml:space="preserve">Un ejemplo es la </w:t>
      </w:r>
      <w:r w:rsidRPr="00EB1FC4">
        <w:rPr>
          <w:rFonts w:ascii="Calibri" w:hAnsi="Calibri"/>
          <w:sz w:val="16"/>
          <w:szCs w:val="16"/>
          <w:lang w:val="es-ES_tradnl"/>
        </w:rPr>
        <w:t xml:space="preserve">interpretación de la Corte Interamericana </w:t>
      </w:r>
      <w:r w:rsidRPr="00F61B5D">
        <w:rPr>
          <w:rStyle w:val="FootnoteReference"/>
          <w:lang w:val="es-ES"/>
        </w:rPr>
        <w:t>sobre</w:t>
      </w:r>
      <w:r w:rsidRPr="00EB1FC4">
        <w:rPr>
          <w:rFonts w:ascii="Calibri" w:hAnsi="Calibri"/>
          <w:sz w:val="16"/>
          <w:szCs w:val="16"/>
          <w:lang w:val="es-ES_tradnl"/>
        </w:rPr>
        <w:t xml:space="preserve"> el alcance del artículo 4.1 en su sentencia en el caso de </w:t>
      </w:r>
      <w:r w:rsidRPr="00EB1FC4">
        <w:rPr>
          <w:rFonts w:ascii="Calibri" w:hAnsi="Calibri"/>
          <w:i/>
          <w:iCs/>
          <w:sz w:val="16"/>
          <w:szCs w:val="16"/>
          <w:lang w:val="es-CL"/>
        </w:rPr>
        <w:t>Artavia Murillo y otros (“fecundación in vitro”) Vs. Costa Rica</w:t>
      </w:r>
      <w:r w:rsidRPr="00EB1FC4">
        <w:rPr>
          <w:rFonts w:ascii="Calibri" w:hAnsi="Calibri"/>
          <w:iCs/>
          <w:sz w:val="16"/>
          <w:szCs w:val="16"/>
          <w:lang w:val="es-CL"/>
        </w:rPr>
        <w:t xml:space="preserve">, en donde </w:t>
      </w:r>
      <w:r w:rsidRPr="00EB1FC4">
        <w:rPr>
          <w:rFonts w:ascii="Calibri" w:hAnsi="Calibri" w:cs="Arial"/>
          <w:sz w:val="16"/>
          <w:szCs w:val="16"/>
          <w:lang w:val="es-ES"/>
        </w:rPr>
        <w:t xml:space="preserve">la Corte estableció como sigue: </w:t>
      </w:r>
      <w:r w:rsidRPr="00EB1FC4">
        <w:rPr>
          <w:rFonts w:ascii="Calibri" w:hAnsi="Calibri"/>
          <w:sz w:val="16"/>
          <w:szCs w:val="16"/>
          <w:lang w:val="es-ES" w:eastAsia="es-ES"/>
        </w:rPr>
        <w:t xml:space="preserve">“que la “concepción” en el sentido del artículo 4.1 tiene lugar desde el momento en que el embrión se implanta en el útero, razón por la cual antes de este evento no habría lugar a la aplicación del artículo 4 de la Convención. Además, es posible concluir de las palabras “en general” que la protección del derecho a la vida con arreglo a dicha disposición no es absoluta, sino es gradual e incremental según su desarrollo, debido a que </w:t>
      </w:r>
      <w:r w:rsidRPr="00EB1FC4">
        <w:rPr>
          <w:rFonts w:ascii="Calibri" w:eastAsia="Calibri" w:hAnsi="Calibri"/>
          <w:sz w:val="16"/>
          <w:szCs w:val="16"/>
          <w:lang w:val="es-ES" w:eastAsia="de-DE"/>
        </w:rPr>
        <w:t>no constituye un deber absoluto e incondicional, sino que implica entender la procedencia de excepciones a la regla general”</w:t>
      </w:r>
      <w:r w:rsidRPr="00EB1FC4">
        <w:rPr>
          <w:rFonts w:ascii="Calibri" w:eastAsia="Calibri" w:hAnsi="Calibri"/>
          <w:sz w:val="16"/>
          <w:szCs w:val="16"/>
          <w:lang w:val="es-CL" w:eastAsia="de-DE"/>
        </w:rPr>
        <w:t>.</w:t>
      </w:r>
      <w:r w:rsidRPr="00EB1FC4">
        <w:rPr>
          <w:rFonts w:ascii="Calibri" w:hAnsi="Calibri"/>
          <w:sz w:val="16"/>
          <w:szCs w:val="16"/>
          <w:lang w:val="es-CL"/>
        </w:rPr>
        <w:t xml:space="preserve">  En consecuencia, la Corte entiende que el fin del artículo 4.1 de la Convención Americana es el de salvaguardar el derecho a la vida, sin que ello implique la negación de otros derechos que protege la Convención</w:t>
      </w:r>
      <w:r w:rsidRPr="00EB1FC4">
        <w:rPr>
          <w:rFonts w:ascii="Calibri" w:hAnsi="Calibri"/>
          <w:sz w:val="16"/>
          <w:szCs w:val="16"/>
          <w:lang w:val="es-ES" w:eastAsia="es-ES"/>
        </w:rPr>
        <w:t xml:space="preserve"> Americana</w:t>
      </w:r>
      <w:r>
        <w:rPr>
          <w:rFonts w:ascii="Calibri" w:hAnsi="Calibri"/>
          <w:sz w:val="16"/>
          <w:szCs w:val="16"/>
          <w:lang w:val="es-CL"/>
        </w:rPr>
        <w:t xml:space="preserve">. </w:t>
      </w:r>
      <w:r w:rsidR="00F0147A">
        <w:rPr>
          <w:rFonts w:ascii="Calibri" w:hAnsi="Calibri"/>
          <w:sz w:val="16"/>
          <w:szCs w:val="16"/>
          <w:lang w:val="es-CL"/>
        </w:rPr>
        <w:t xml:space="preserve"> Véase, Corte IDH.</w:t>
      </w:r>
      <w:r w:rsidRPr="00EB1FC4">
        <w:rPr>
          <w:rFonts w:ascii="Calibri" w:hAnsi="Calibri"/>
          <w:sz w:val="16"/>
          <w:szCs w:val="16"/>
          <w:lang w:val="es-CL"/>
        </w:rPr>
        <w:t xml:space="preserve"> </w:t>
      </w:r>
      <w:r w:rsidRPr="00EB1FC4">
        <w:rPr>
          <w:rFonts w:ascii="Calibri" w:hAnsi="Calibri"/>
          <w:i/>
          <w:iCs/>
          <w:sz w:val="16"/>
          <w:szCs w:val="16"/>
          <w:lang w:val="es-CL"/>
        </w:rPr>
        <w:t xml:space="preserve">Caso Artavia Murillo y otros (“fecundación in vitro”) Vs. Costa Rica. Excepción Preliminar, Fondo, Reparaciones y Costas. </w:t>
      </w:r>
      <w:r w:rsidRPr="00EB1FC4">
        <w:rPr>
          <w:rFonts w:ascii="Calibri" w:hAnsi="Calibri"/>
          <w:sz w:val="16"/>
          <w:szCs w:val="16"/>
          <w:lang w:val="es-CL"/>
        </w:rPr>
        <w:t xml:space="preserve">Sentencia de 28 de noviembre de 2012. </w:t>
      </w:r>
      <w:r w:rsidRPr="00C40DFD">
        <w:rPr>
          <w:rFonts w:ascii="Calibri" w:hAnsi="Calibri"/>
          <w:sz w:val="16"/>
          <w:szCs w:val="16"/>
          <w:lang w:val="en-US"/>
        </w:rPr>
        <w:t>Serie C No. 257, párrs. 258 y 264.</w:t>
      </w:r>
    </w:p>
  </w:footnote>
  <w:footnote w:id="89">
    <w:p w:rsidR="00543111" w:rsidRPr="00EB1FC4" w:rsidRDefault="00543111" w:rsidP="009C26D3">
      <w:pPr>
        <w:widowControl w:val="0"/>
        <w:autoSpaceDE w:val="0"/>
        <w:autoSpaceDN w:val="0"/>
        <w:adjustRightInd w:val="0"/>
        <w:ind w:left="547" w:hanging="547"/>
        <w:jc w:val="both"/>
        <w:rPr>
          <w:rFonts w:ascii="Calibri" w:hAnsi="Calibri"/>
          <w:sz w:val="16"/>
          <w:szCs w:val="16"/>
          <w:lang w:val="en-US"/>
        </w:rPr>
      </w:pPr>
      <w:r w:rsidRPr="00EB1FC4">
        <w:rPr>
          <w:rStyle w:val="FootnoteReference"/>
          <w:rFonts w:ascii="Calibri" w:hAnsi="Calibri"/>
          <w:sz w:val="16"/>
          <w:szCs w:val="16"/>
        </w:rPr>
        <w:footnoteRef/>
      </w:r>
      <w:r w:rsidRPr="00C40DFD">
        <w:rPr>
          <w:rFonts w:ascii="Calibri" w:hAnsi="Calibri"/>
          <w:sz w:val="16"/>
          <w:szCs w:val="16"/>
          <w:lang w:val="en-US"/>
        </w:rPr>
        <w:t xml:space="preserve"> </w:t>
      </w:r>
      <w:r w:rsidRPr="00C40DFD">
        <w:rPr>
          <w:rFonts w:ascii="Calibri" w:hAnsi="Calibri"/>
          <w:sz w:val="16"/>
          <w:szCs w:val="16"/>
          <w:lang w:val="en-US"/>
        </w:rPr>
        <w:tab/>
      </w:r>
      <w:r w:rsidRPr="00EB1FC4">
        <w:rPr>
          <w:rFonts w:ascii="Calibri" w:hAnsi="Calibri"/>
          <w:sz w:val="16"/>
          <w:szCs w:val="16"/>
          <w:lang w:val="en-US"/>
        </w:rPr>
        <w:t xml:space="preserve">Véase, Senate of Canada, </w:t>
      </w:r>
      <w:r w:rsidRPr="00EB1FC4">
        <w:rPr>
          <w:rFonts w:ascii="Calibri" w:hAnsi="Calibri"/>
          <w:i/>
          <w:sz w:val="16"/>
          <w:szCs w:val="16"/>
          <w:lang w:val="en-US"/>
        </w:rPr>
        <w:t>Enhancing Canada’s Role in the OAS: Canadian Adherence to the American Convention on Human Rights, Report of the Standing Senate Committee on Human Rights</w:t>
      </w:r>
      <w:r w:rsidRPr="00EB1FC4">
        <w:rPr>
          <w:rFonts w:ascii="Calibri" w:hAnsi="Calibri"/>
          <w:sz w:val="16"/>
          <w:szCs w:val="16"/>
          <w:lang w:val="en-US"/>
        </w:rPr>
        <w:t xml:space="preserve">, May 2003, págs. 40-55.  </w:t>
      </w:r>
    </w:p>
  </w:footnote>
  <w:footnote w:id="90">
    <w:p w:rsidR="00543111" w:rsidRPr="00EB1FC4" w:rsidRDefault="00543111" w:rsidP="009C26D3">
      <w:pPr>
        <w:widowControl w:val="0"/>
        <w:autoSpaceDE w:val="0"/>
        <w:autoSpaceDN w:val="0"/>
        <w:adjustRightInd w:val="0"/>
        <w:ind w:left="547" w:hanging="547"/>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 xml:space="preserve">Véase, Senate of Canada, </w:t>
      </w:r>
      <w:r w:rsidRPr="00EB1FC4">
        <w:rPr>
          <w:rFonts w:ascii="Calibri" w:hAnsi="Calibri"/>
          <w:i/>
          <w:sz w:val="16"/>
          <w:szCs w:val="16"/>
          <w:lang w:val="en-US"/>
        </w:rPr>
        <w:t>Enhancing Canada’s Role in the OAS: Canadian Adherence to the American Convention on Human Rights, Report of the Standing Senate Committee on Human Rights</w:t>
      </w:r>
      <w:r w:rsidRPr="00EB1FC4">
        <w:rPr>
          <w:rFonts w:ascii="Calibri" w:hAnsi="Calibri"/>
          <w:sz w:val="16"/>
          <w:szCs w:val="16"/>
          <w:lang w:val="en-US"/>
        </w:rPr>
        <w:t xml:space="preserve">, May 2003, </w:t>
      </w:r>
      <w:r w:rsidR="00F0147A">
        <w:rPr>
          <w:rFonts w:ascii="Calibri" w:hAnsi="Calibri"/>
          <w:sz w:val="16"/>
          <w:szCs w:val="16"/>
          <w:lang w:val="en-US"/>
        </w:rPr>
        <w:br/>
      </w:r>
      <w:r w:rsidRPr="00EB1FC4">
        <w:rPr>
          <w:rFonts w:ascii="Calibri" w:hAnsi="Calibri"/>
          <w:sz w:val="16"/>
          <w:szCs w:val="16"/>
          <w:lang w:val="en-US"/>
        </w:rPr>
        <w:t xml:space="preserve">págs. 58-62.  </w:t>
      </w:r>
    </w:p>
  </w:footnote>
  <w:footnote w:id="91">
    <w:p w:rsidR="00543111" w:rsidRPr="00EB1FC4" w:rsidRDefault="00543111" w:rsidP="009C26D3">
      <w:pPr>
        <w:pStyle w:val="FootnoteText"/>
        <w:ind w:left="547" w:hanging="547"/>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 xml:space="preserve">Véase, Senate of Canada, </w:t>
      </w:r>
      <w:r w:rsidRPr="00EB1FC4">
        <w:rPr>
          <w:rFonts w:ascii="Calibri" w:hAnsi="Calibri"/>
          <w:i/>
          <w:sz w:val="16"/>
          <w:szCs w:val="16"/>
          <w:lang w:val="en-US"/>
        </w:rPr>
        <w:t>Enhancing Canada’s Role in the OAS: Canadian Adherence to the American Convention on Human Rights, Report of the Standing Senate Committee on Human Rights</w:t>
      </w:r>
      <w:r w:rsidRPr="00EB1FC4">
        <w:rPr>
          <w:rFonts w:ascii="Calibri" w:hAnsi="Calibri"/>
          <w:sz w:val="16"/>
          <w:szCs w:val="16"/>
          <w:lang w:val="en-US"/>
        </w:rPr>
        <w:t xml:space="preserve">, May 2003, págs. </w:t>
      </w:r>
      <w:r w:rsidRPr="00EB1FC4">
        <w:rPr>
          <w:rFonts w:ascii="Calibri" w:hAnsi="Calibri"/>
          <w:sz w:val="16"/>
          <w:szCs w:val="16"/>
          <w:lang w:val="es-ES_tradnl"/>
        </w:rPr>
        <w:t xml:space="preserve">55-58.  </w:t>
      </w:r>
    </w:p>
  </w:footnote>
  <w:footnote w:id="92">
    <w:p w:rsidR="00543111" w:rsidRPr="00EB1FC4" w:rsidRDefault="00543111" w:rsidP="00B63B41">
      <w:pPr>
        <w:ind w:left="540" w:hanging="540"/>
        <w:jc w:val="both"/>
        <w:rPr>
          <w:rFonts w:ascii="Calibri" w:hAnsi="Calibri"/>
          <w:sz w:val="16"/>
          <w:szCs w:val="16"/>
          <w:lang w:val="es-EC"/>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Véase, por ejemplo, CIDH, </w:t>
      </w:r>
      <w:r w:rsidRPr="001E0FC8">
        <w:rPr>
          <w:rFonts w:ascii="Calibri" w:hAnsi="Calibri"/>
          <w:i/>
          <w:sz w:val="16"/>
          <w:szCs w:val="16"/>
          <w:lang w:val="es-ES"/>
        </w:rPr>
        <w:t>Informe sobre la situación de los derechos humanos de los solicitantes de asilo en el marco del sistema canadiense de determinación de la condición de refugiado</w:t>
      </w:r>
      <w:r w:rsidRPr="00EB1FC4">
        <w:rPr>
          <w:rFonts w:ascii="Calibri" w:hAnsi="Calibri"/>
          <w:sz w:val="16"/>
          <w:szCs w:val="16"/>
          <w:lang w:val="es-ES"/>
        </w:rPr>
        <w:t xml:space="preserve">, OEA/Ser.L/V/II.106, Doc. 40 rev., 28 </w:t>
      </w:r>
      <w:r>
        <w:rPr>
          <w:rFonts w:ascii="Calibri" w:hAnsi="Calibri"/>
          <w:sz w:val="16"/>
          <w:szCs w:val="16"/>
          <w:lang w:val="es-ES"/>
        </w:rPr>
        <w:t xml:space="preserve">de febrero de 2000, párr. 182. </w:t>
      </w:r>
      <w:r w:rsidRPr="00EB1FC4">
        <w:rPr>
          <w:rFonts w:ascii="Calibri" w:hAnsi="Calibri"/>
          <w:sz w:val="16"/>
          <w:szCs w:val="16"/>
          <w:lang w:val="es-ES"/>
        </w:rPr>
        <w:t xml:space="preserve"> También el anterior </w:t>
      </w:r>
      <w:r w:rsidRPr="00EB1FC4">
        <w:rPr>
          <w:rFonts w:ascii="Calibri" w:hAnsi="Calibri"/>
          <w:sz w:val="16"/>
          <w:szCs w:val="16"/>
          <w:lang w:val="es-EC"/>
        </w:rPr>
        <w:t xml:space="preserve">Comisionado Sir Clare K. Roberts, en su calidad de Relator para Canadá, y el Presidente de la Comisión de Asuntos Jurídicos y Políticos (CAJP) del Consejo Permanente de la OEA, realizaron una visita a Canadá entre el 21 y el 22 de abril de 2008, con el objeto de promocionar la adhesión a la Convención Americana por parte del Estado canadiense. Durante la visita sostuvieron reuniones con autoridades de los Ministerios de Relaciones Exteriores y de Justicia, de la Corte Suprema, la Agencia de Servicios de Frontera, de Ciudadanía y Migración, de Desarrollo Internacional, así como también con representantes de organizaciones de la sociedad civil. Para más detalles, véase, </w:t>
      </w:r>
      <w:hyperlink r:id="rId6" w:anchor="Visitas" w:history="1">
        <w:r w:rsidRPr="00EB1FC4">
          <w:rPr>
            <w:rStyle w:val="Hyperlink"/>
            <w:rFonts w:ascii="Calibri" w:hAnsi="Calibri"/>
            <w:sz w:val="16"/>
            <w:szCs w:val="16"/>
            <w:lang w:val="es-EC"/>
          </w:rPr>
          <w:t>http://www.cidh.oas.org/annualrep/2008sp/cap2.sp.htm#Visitas</w:t>
        </w:r>
      </w:hyperlink>
      <w:r w:rsidRPr="00EB1FC4">
        <w:rPr>
          <w:rFonts w:ascii="Calibri" w:hAnsi="Calibri"/>
          <w:sz w:val="16"/>
          <w:szCs w:val="16"/>
          <w:lang w:val="es-EC"/>
        </w:rPr>
        <w:t xml:space="preserve"> (párrafo 39).</w:t>
      </w:r>
    </w:p>
  </w:footnote>
  <w:footnote w:id="93">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Presentation by Ambassador S. Vasciannie, Permament Representative of Jamaica, on behalf of the member states of CARICOM, Special Meeting of the Permanent Council, November 7, 2012, OEA/Ser.G CP/INF. 6601/12, November 30, 2012.</w:t>
      </w:r>
    </w:p>
  </w:footnote>
  <w:footnote w:id="94">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Presentation by Ambassador S. Vasciannie, Permament Representative of Jamaica, on behalf of the member states of CARICOM, Special Meeting of the Permanent Council, November 7, 2012, OEA/Ser.G CP/INF. 6601/12, November 30, 2012.</w:t>
      </w:r>
    </w:p>
  </w:footnote>
  <w:footnote w:id="95">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La Comisión ha recibido un número significativo de peticiones del Caribe aludiendo a asuntos vinculados con la imposición obligatoria de la pena de muerte como consecuencia de la condena por homicidio en varios Estados del Caribe de habla inglesa. Varias de estas peticiones resultaron en decisiones de la CIDH y sentencias de la Corte Interamericana, las cuales han propendido cambios fundamentales en la legislación y políticas de estos países en esta materia.  La CIDH ha documentado cómo en la actualidad sólo dos de estos países mantienen la pena de muerte obligatoria y uno de ellos se encuentra en proceso de reforma en línea con las decisiones de la Corte Interamericana. La CIDH ha clarificado que la Convención Americana no prohíbe la imposición de la pena de muerte, pero establece restricciones y prohibiciones específicas respecto de su aplicación.  Para más detalles sobre este asunto, véase, generalmente, CIDH, </w:t>
      </w:r>
      <w:r w:rsidRPr="00EB1FC4">
        <w:rPr>
          <w:rFonts w:ascii="Calibri" w:hAnsi="Calibri"/>
          <w:i/>
          <w:sz w:val="16"/>
          <w:szCs w:val="16"/>
          <w:lang w:val="es-ES"/>
        </w:rPr>
        <w:t>La Pena de Muerte en el Sistema Interamericano de Derechos Humanos: De Restricciones a Abolición</w:t>
      </w:r>
      <w:r w:rsidRPr="00EB1FC4">
        <w:rPr>
          <w:rFonts w:ascii="Calibri" w:hAnsi="Calibri"/>
          <w:sz w:val="16"/>
          <w:szCs w:val="16"/>
          <w:lang w:val="es-ES"/>
        </w:rPr>
        <w:t xml:space="preserve">, OEA/Ser.L/V/II. Doc. 68, 31 de diciembre de 2011; Brian D. Tittemore, </w:t>
      </w:r>
      <w:r w:rsidRPr="00EB1FC4">
        <w:rPr>
          <w:rFonts w:ascii="Calibri" w:hAnsi="Calibri"/>
          <w:i/>
          <w:sz w:val="16"/>
          <w:szCs w:val="16"/>
          <w:lang w:val="es-ES"/>
        </w:rPr>
        <w:t>The Mandatory Death Penalty in the Commonwealth Caribbean and the Inter-American Human Rights System: An Evolution in the Development and Implementation of International Human Rights Protections</w:t>
      </w:r>
      <w:r w:rsidRPr="00EB1FC4">
        <w:rPr>
          <w:rFonts w:ascii="Calibri" w:hAnsi="Calibri"/>
          <w:sz w:val="16"/>
          <w:szCs w:val="16"/>
          <w:lang w:val="es-ES"/>
        </w:rPr>
        <w:t>, 13 Wm. &amp; Mary Bill Rts. J. 445 (2004)</w:t>
      </w:r>
      <w:r w:rsidRPr="00EB1FC4">
        <w:rPr>
          <w:rFonts w:ascii="Calibri" w:hAnsi="Calibri"/>
          <w:sz w:val="16"/>
          <w:szCs w:val="16"/>
          <w:lang w:val="es-ES"/>
        </w:rPr>
        <w:tab/>
      </w:r>
    </w:p>
  </w:footnote>
  <w:footnote w:id="96">
    <w:p w:rsidR="00543111" w:rsidRPr="00003FF7" w:rsidRDefault="00543111" w:rsidP="00B63B41">
      <w:pPr>
        <w:pStyle w:val="NormalWeb"/>
        <w:shd w:val="clear" w:color="auto" w:fill="FFFFFF"/>
        <w:spacing w:before="0" w:beforeAutospacing="0" w:after="0" w:afterAutospacing="0"/>
        <w:ind w:left="540" w:right="144" w:hanging="540"/>
        <w:jc w:val="both"/>
        <w:rPr>
          <w:rFonts w:ascii="Calibri" w:hAnsi="Calibri"/>
          <w:sz w:val="16"/>
          <w:szCs w:val="16"/>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 xml:space="preserve">La CIDH ha reconocido en el pasado el éxito del modelo de CARICOM en promover la adopción de distintos tipos de legislación en los países del Caribe de habla inglesa sobre la violencia doméstica, la reforma de delitos sexuales, acoso sexual y la creación de Tribunales de Familia, entre otras medidas, como la ratificación universal de la Convención de Belém do Pará. </w:t>
      </w:r>
      <w:r w:rsidRPr="00EB1FC4">
        <w:rPr>
          <w:rFonts w:ascii="Calibri" w:hAnsi="Calibri"/>
          <w:sz w:val="16"/>
          <w:szCs w:val="16"/>
          <w:lang w:val="es-ES"/>
        </w:rPr>
        <w:t xml:space="preserve">Para más discusión, véase, CIDH, </w:t>
      </w:r>
      <w:r>
        <w:rPr>
          <w:rFonts w:ascii="Calibri" w:hAnsi="Calibri"/>
          <w:i/>
          <w:sz w:val="16"/>
          <w:szCs w:val="16"/>
          <w:lang w:val="es-ES"/>
        </w:rPr>
        <w:t>Acceso a la J</w:t>
      </w:r>
      <w:r w:rsidRPr="00EB1FC4">
        <w:rPr>
          <w:rFonts w:ascii="Calibri" w:hAnsi="Calibri"/>
          <w:i/>
          <w:sz w:val="16"/>
          <w:szCs w:val="16"/>
          <w:lang w:val="es-ES"/>
        </w:rPr>
        <w:t xml:space="preserve">usticia para las </w:t>
      </w:r>
      <w:r>
        <w:rPr>
          <w:rFonts w:ascii="Calibri" w:hAnsi="Calibri"/>
          <w:i/>
          <w:sz w:val="16"/>
          <w:szCs w:val="16"/>
          <w:lang w:val="es-ES"/>
        </w:rPr>
        <w:t>m</w:t>
      </w:r>
      <w:r w:rsidRPr="00EB1FC4">
        <w:rPr>
          <w:rFonts w:ascii="Calibri" w:hAnsi="Calibri"/>
          <w:i/>
          <w:sz w:val="16"/>
          <w:szCs w:val="16"/>
          <w:lang w:val="es-ES"/>
        </w:rPr>
        <w:t xml:space="preserve">ujeres </w:t>
      </w:r>
      <w:r>
        <w:rPr>
          <w:rFonts w:ascii="Calibri" w:hAnsi="Calibri"/>
          <w:i/>
          <w:sz w:val="16"/>
          <w:szCs w:val="16"/>
          <w:lang w:val="es-ES"/>
        </w:rPr>
        <w:t>v</w:t>
      </w:r>
      <w:r w:rsidRPr="00EB1FC4">
        <w:rPr>
          <w:rFonts w:ascii="Calibri" w:hAnsi="Calibri"/>
          <w:i/>
          <w:sz w:val="16"/>
          <w:szCs w:val="16"/>
          <w:lang w:val="es-ES"/>
        </w:rPr>
        <w:t xml:space="preserve">íctimas de </w:t>
      </w:r>
      <w:r>
        <w:rPr>
          <w:rFonts w:ascii="Calibri" w:hAnsi="Calibri"/>
          <w:i/>
          <w:sz w:val="16"/>
          <w:szCs w:val="16"/>
          <w:lang w:val="es-ES"/>
        </w:rPr>
        <w:t>v</w:t>
      </w:r>
      <w:r w:rsidRPr="00EB1FC4">
        <w:rPr>
          <w:rFonts w:ascii="Calibri" w:hAnsi="Calibri"/>
          <w:i/>
          <w:sz w:val="16"/>
          <w:szCs w:val="16"/>
          <w:lang w:val="es-ES"/>
        </w:rPr>
        <w:t>iolencia en las Américas</w:t>
      </w:r>
      <w:r w:rsidRPr="00EB1FC4">
        <w:rPr>
          <w:rFonts w:ascii="Calibri" w:hAnsi="Calibri"/>
          <w:sz w:val="16"/>
          <w:szCs w:val="16"/>
          <w:lang w:val="es-ES"/>
        </w:rPr>
        <w:t>, OEA/Ser.L/V/II. Doc. 68, 20 de enero de 2007, párrs.</w:t>
      </w:r>
      <w:r>
        <w:rPr>
          <w:rFonts w:ascii="Calibri" w:hAnsi="Calibri"/>
          <w:sz w:val="16"/>
          <w:szCs w:val="16"/>
          <w:lang w:val="es-ES"/>
        </w:rPr>
        <w:t xml:space="preserve"> </w:t>
      </w:r>
      <w:r w:rsidRPr="00003FF7">
        <w:rPr>
          <w:rFonts w:ascii="Calibri" w:hAnsi="Calibri"/>
          <w:sz w:val="16"/>
          <w:szCs w:val="16"/>
        </w:rPr>
        <w:t>258-259.</w:t>
      </w:r>
    </w:p>
  </w:footnote>
  <w:footnote w:id="97">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n-US"/>
        </w:rPr>
        <w:t xml:space="preserve"> </w:t>
      </w:r>
      <w:r>
        <w:rPr>
          <w:rFonts w:ascii="Calibri" w:hAnsi="Calibri"/>
          <w:sz w:val="16"/>
          <w:szCs w:val="16"/>
          <w:lang w:val="en-US"/>
        </w:rPr>
        <w:tab/>
      </w:r>
      <w:r w:rsidRPr="00EB1FC4">
        <w:rPr>
          <w:rFonts w:ascii="Calibri" w:hAnsi="Calibri"/>
          <w:sz w:val="16"/>
          <w:szCs w:val="16"/>
          <w:lang w:val="en-US"/>
        </w:rPr>
        <w:t xml:space="preserve">Véase, Senate of Canada, </w:t>
      </w:r>
      <w:r w:rsidRPr="00EB1FC4">
        <w:rPr>
          <w:rFonts w:ascii="Calibri" w:hAnsi="Calibri"/>
          <w:i/>
          <w:sz w:val="16"/>
          <w:szCs w:val="16"/>
          <w:lang w:val="en-US"/>
        </w:rPr>
        <w:t>Enhancing Canada’s Role in the OAS: Canadian Adherence to the American Convention on Human Rights, Report of the Standing Senate Committee on Human Rights</w:t>
      </w:r>
      <w:r w:rsidRPr="00EB1FC4">
        <w:rPr>
          <w:rFonts w:ascii="Calibri" w:hAnsi="Calibri"/>
          <w:sz w:val="16"/>
          <w:szCs w:val="16"/>
          <w:lang w:val="en-US"/>
        </w:rPr>
        <w:t>, May 2003, pág. 40.</w:t>
      </w:r>
    </w:p>
  </w:footnote>
  <w:footnote w:id="98">
    <w:p w:rsidR="00543111" w:rsidRPr="00EB1FC4" w:rsidRDefault="00543111" w:rsidP="00B63B41">
      <w:pPr>
        <w:pStyle w:val="FootnoteText"/>
        <w:ind w:left="540" w:hanging="540"/>
        <w:jc w:val="both"/>
        <w:rPr>
          <w:rFonts w:ascii="Calibri" w:hAnsi="Calibri"/>
          <w:sz w:val="16"/>
          <w:szCs w:val="16"/>
          <w:lang w:val="en-U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por ejemplo, Informe nacional presentado por los Estados Unidos ante el Comité de Derechos Humanos sobre el cumplimiento con sus obligaciones bajo el Pacto Internacional de Derechos Civiles y Políticos, 22 de mayo de 2012, párr. </w:t>
      </w:r>
      <w:r w:rsidRPr="00EB1FC4">
        <w:rPr>
          <w:rFonts w:ascii="Calibri" w:hAnsi="Calibri"/>
          <w:sz w:val="16"/>
          <w:szCs w:val="16"/>
          <w:lang w:val="en-US"/>
        </w:rPr>
        <w:t>2. En dicho informe, el Estado asevera que:</w:t>
      </w:r>
    </w:p>
    <w:p w:rsidR="00543111" w:rsidRPr="00EB1FC4" w:rsidRDefault="00543111" w:rsidP="00FB5DA4">
      <w:pPr>
        <w:pStyle w:val="FootnoteText"/>
        <w:ind w:left="540"/>
        <w:jc w:val="both"/>
        <w:rPr>
          <w:rFonts w:ascii="Calibri" w:hAnsi="Calibri"/>
          <w:sz w:val="16"/>
          <w:szCs w:val="16"/>
          <w:lang w:val="en-US"/>
        </w:rPr>
      </w:pPr>
      <w:r w:rsidRPr="00EB1FC4">
        <w:rPr>
          <w:rFonts w:ascii="Calibri" w:hAnsi="Calibri"/>
          <w:sz w:val="16"/>
          <w:szCs w:val="16"/>
          <w:lang w:val="en-US"/>
        </w:rPr>
        <w:t>…the United States has taken this opportunity to engage in a process of stock-taking and self-examination.  The United States hopes to use this process to improve its human rights performance. Thus, this report is not an end in itself, but an important tool in the continuing development of practical and effective human rights strategies by the U.S. Government. As President Obama has stated, “Despite the real gains that we’ve made, there are still laws to change and there are still hearts to open”.</w:t>
      </w:r>
    </w:p>
    <w:p w:rsidR="00543111" w:rsidRPr="00EB1FC4" w:rsidRDefault="00543111" w:rsidP="004D67BC">
      <w:pPr>
        <w:pStyle w:val="FootnoteText"/>
        <w:ind w:left="547"/>
        <w:jc w:val="both"/>
        <w:rPr>
          <w:rFonts w:ascii="Calibri" w:hAnsi="Calibri"/>
          <w:sz w:val="16"/>
          <w:szCs w:val="16"/>
          <w:lang w:val="es-ES"/>
        </w:rPr>
      </w:pPr>
      <w:r w:rsidRPr="00EB1FC4">
        <w:rPr>
          <w:rFonts w:ascii="Calibri" w:hAnsi="Calibri"/>
          <w:sz w:val="16"/>
          <w:szCs w:val="16"/>
          <w:lang w:val="es-ES"/>
        </w:rPr>
        <w:t xml:space="preserve">Véase también, Informe Nacional de Estados Unidos ante el Comité para la Eliminación de la Discriminación Racial, CERD/C/USA/7-9, </w:t>
      </w:r>
      <w:r w:rsidR="00F0147A">
        <w:rPr>
          <w:rFonts w:ascii="Calibri" w:hAnsi="Calibri"/>
          <w:sz w:val="16"/>
          <w:szCs w:val="16"/>
          <w:lang w:val="es-ES"/>
        </w:rPr>
        <w:t>Octubre</w:t>
      </w:r>
      <w:r w:rsidRPr="00EB1FC4">
        <w:rPr>
          <w:rFonts w:ascii="Calibri" w:hAnsi="Calibri"/>
          <w:sz w:val="16"/>
          <w:szCs w:val="16"/>
          <w:lang w:val="es-ES"/>
        </w:rPr>
        <w:t xml:space="preserve"> 3, 2013, párrafo 3.</w:t>
      </w:r>
    </w:p>
  </w:footnote>
  <w:footnote w:id="99">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CIDH, </w:t>
      </w:r>
      <w:r w:rsidRPr="00EB1FC4">
        <w:rPr>
          <w:rFonts w:ascii="Calibri" w:hAnsi="Calibri"/>
          <w:i/>
          <w:sz w:val="16"/>
          <w:szCs w:val="16"/>
          <w:lang w:val="es-ES"/>
        </w:rPr>
        <w:t xml:space="preserve">Informe sobre la </w:t>
      </w:r>
      <w:r>
        <w:rPr>
          <w:rFonts w:ascii="Calibri" w:hAnsi="Calibri"/>
          <w:i/>
          <w:sz w:val="16"/>
          <w:szCs w:val="16"/>
          <w:lang w:val="es-ES"/>
        </w:rPr>
        <w:t>s</w:t>
      </w:r>
      <w:r w:rsidRPr="00EB1FC4">
        <w:rPr>
          <w:rFonts w:ascii="Calibri" w:hAnsi="Calibri"/>
          <w:i/>
          <w:sz w:val="16"/>
          <w:szCs w:val="16"/>
          <w:lang w:val="es-ES"/>
        </w:rPr>
        <w:t xml:space="preserve">ituación de los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umanos en Argentina</w:t>
      </w:r>
      <w:r w:rsidRPr="00EB1FC4">
        <w:rPr>
          <w:rFonts w:ascii="Calibri" w:hAnsi="Calibri"/>
          <w:sz w:val="16"/>
          <w:szCs w:val="16"/>
          <w:lang w:val="es-ES"/>
        </w:rPr>
        <w:t xml:space="preserve">, OEA/Ser.L/V/II.49 Doc. 19, 11 de abril de 1980.  Durante la visita, la CIDH sostuvo reuniones con miembros de la Junta Militar de gobierno, representantes de diversas instituciones políticas, religiosas, culturales, sindicales y estudiantiles, visitó recintos penitenciarios  y cárceles a través del país y realizó diversas actuaciones tendientes actuaciones tendientes a esclarecer ciertos hechos que le habían sido denunciados.   Asimismo la CIDH recibió en Buenos Aires, Córdoba y Tucumán un número significativo de denuncias que se le formularon por presuntas violaciones de los derechos humanos.   </w:t>
      </w:r>
    </w:p>
  </w:footnote>
  <w:footnote w:id="100">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La CIDH se refirió además a cómo la elección del Ingeniero Alberto Fujimori en mayo de 2000, no se había llevado a cabo conforme a las debidas garantías de limpieza electoral que exige el ejercicio soberano de voluntad del pueblo peruano, en violación del artículo 23 de la Convención Americana.  La CIDH urgió al restablecimiento del Estado de derecho en Perú y a la convocatoria de elecciones libres, soberanas, justas y auténticas que cumpliesen con los estándares internacionales en la materia. Véase, CIDH, </w:t>
      </w:r>
      <w:r w:rsidRPr="00EB1FC4">
        <w:rPr>
          <w:rFonts w:ascii="Calibri" w:hAnsi="Calibri"/>
          <w:i/>
          <w:sz w:val="16"/>
          <w:szCs w:val="16"/>
          <w:lang w:val="es-ES"/>
        </w:rPr>
        <w:t xml:space="preserve">Segundo </w:t>
      </w:r>
      <w:r>
        <w:rPr>
          <w:rFonts w:ascii="Calibri" w:hAnsi="Calibri"/>
          <w:i/>
          <w:sz w:val="16"/>
          <w:szCs w:val="16"/>
          <w:lang w:val="es-ES"/>
        </w:rPr>
        <w:t>i</w:t>
      </w:r>
      <w:r w:rsidRPr="00EB1FC4">
        <w:rPr>
          <w:rFonts w:ascii="Calibri" w:hAnsi="Calibri"/>
          <w:i/>
          <w:sz w:val="16"/>
          <w:szCs w:val="16"/>
          <w:lang w:val="es-ES"/>
        </w:rPr>
        <w:t xml:space="preserve">nforme sobre la </w:t>
      </w:r>
      <w:r>
        <w:rPr>
          <w:rFonts w:ascii="Calibri" w:hAnsi="Calibri"/>
          <w:i/>
          <w:sz w:val="16"/>
          <w:szCs w:val="16"/>
          <w:lang w:val="es-ES"/>
        </w:rPr>
        <w:t>s</w:t>
      </w:r>
      <w:r w:rsidRPr="00EB1FC4">
        <w:rPr>
          <w:rFonts w:ascii="Calibri" w:hAnsi="Calibri"/>
          <w:i/>
          <w:sz w:val="16"/>
          <w:szCs w:val="16"/>
          <w:lang w:val="es-ES"/>
        </w:rPr>
        <w:t xml:space="preserve">ituación de los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umanos en el Perú</w:t>
      </w:r>
      <w:r w:rsidRPr="00EB1FC4">
        <w:rPr>
          <w:rFonts w:ascii="Calibri" w:hAnsi="Calibri"/>
          <w:sz w:val="16"/>
          <w:szCs w:val="16"/>
          <w:lang w:val="es-ES"/>
        </w:rPr>
        <w:t>, OEA/Ser.L/V/II.106 Doc. 59 rev. 2 junio 2000, Reflexiones Finales.</w:t>
      </w:r>
    </w:p>
  </w:footnote>
  <w:footnote w:id="101">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En el caso de Perú, dicho país ratificó la Convención Americana el 28 de julio de 1978 y aceptó la competencia de la Corte el 21 de enero de 1981.</w:t>
      </w:r>
    </w:p>
  </w:footnote>
  <w:footnote w:id="102">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Corte IDH. </w:t>
      </w:r>
      <w:r w:rsidRPr="00EB1FC4">
        <w:rPr>
          <w:rFonts w:ascii="Calibri" w:hAnsi="Calibri"/>
          <w:bCs/>
          <w:i/>
          <w:color w:val="000000"/>
          <w:sz w:val="16"/>
          <w:szCs w:val="16"/>
          <w:lang w:val="es-ES"/>
        </w:rPr>
        <w:t>Caso La Cantuta Vs. Perú</w:t>
      </w:r>
      <w:r w:rsidRPr="00EB1FC4">
        <w:rPr>
          <w:rFonts w:ascii="Calibri" w:hAnsi="Calibri"/>
          <w:bCs/>
          <w:color w:val="000000"/>
          <w:sz w:val="16"/>
          <w:szCs w:val="16"/>
          <w:lang w:val="es-ES"/>
        </w:rPr>
        <w:t xml:space="preserve">. </w:t>
      </w:r>
      <w:r w:rsidRPr="00EB1FC4">
        <w:rPr>
          <w:rFonts w:ascii="Calibri" w:hAnsi="Calibri"/>
          <w:color w:val="000000"/>
          <w:sz w:val="16"/>
          <w:szCs w:val="16"/>
          <w:lang w:val="es-ES"/>
        </w:rPr>
        <w:t xml:space="preserve">Sentencia de 29 de noviembre de 2006 Serie C No. 162; </w:t>
      </w:r>
      <w:r w:rsidRPr="00EB1FC4">
        <w:rPr>
          <w:rFonts w:ascii="Calibri" w:hAnsi="Calibri"/>
          <w:sz w:val="16"/>
          <w:szCs w:val="16"/>
          <w:lang w:val="es-ES"/>
        </w:rPr>
        <w:t xml:space="preserve">Corte IDH. </w:t>
      </w:r>
      <w:r w:rsidRPr="00EB1FC4">
        <w:rPr>
          <w:rFonts w:ascii="Calibri" w:hAnsi="Calibri"/>
          <w:i/>
          <w:sz w:val="16"/>
          <w:szCs w:val="16"/>
          <w:lang w:val="es-ES"/>
        </w:rPr>
        <w:t xml:space="preserve">Caso Barrios Altos Vs. Perú. </w:t>
      </w:r>
      <w:r w:rsidRPr="00EB1FC4">
        <w:rPr>
          <w:rFonts w:ascii="Calibri" w:hAnsi="Calibri"/>
          <w:sz w:val="16"/>
          <w:szCs w:val="16"/>
          <w:lang w:val="es-ES"/>
        </w:rPr>
        <w:t>Sentencia de 14 de marzo de 2001. Serie C No. 75; CIDH, Informe de Fondo No. 28/92, Argentina, 2 de octubre de 1992.</w:t>
      </w:r>
    </w:p>
  </w:footnote>
  <w:footnote w:id="103">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En el caso de Argentina, la CIDH ha documentado como el 14 de junio de 2005, la Corte Suprema de Justicia de dicho país resolvió en un caso sobre la desaparición del matrimonio </w:t>
      </w:r>
      <w:r w:rsidRPr="00EB1FC4">
        <w:rPr>
          <w:rFonts w:ascii="Calibri" w:hAnsi="Calibri"/>
          <w:i/>
          <w:sz w:val="16"/>
          <w:szCs w:val="16"/>
          <w:lang w:val="es-ES"/>
        </w:rPr>
        <w:t>Poblete</w:t>
      </w:r>
      <w:r w:rsidRPr="00EB1FC4">
        <w:rPr>
          <w:rFonts w:ascii="Calibri" w:hAnsi="Calibri"/>
          <w:sz w:val="16"/>
          <w:szCs w:val="16"/>
          <w:lang w:val="es-ES"/>
        </w:rPr>
        <w:t xml:space="preserve">, que las leyes de obediencia debida y punto final eran inaplicables basando en gran parte la sentencia en los dictámenes del sistema interamericano.  La sentencia en particular comienza con la mención del informe aprobado por la CIDH en el 1992, indicando que a partir de ese momento había quedado establecido que las leyes de amnistía eran violatorias de la Convención Americana, por lo que el Estado argentino debería haber adoptado “las medidas necesarias para esclarecer los hechos e individualizar a los responsables”.  La sentencia también hace referencia a la decisión de la Corte Interamericana en el caso de </w:t>
      </w:r>
      <w:r w:rsidRPr="00EB1FC4">
        <w:rPr>
          <w:rFonts w:ascii="Calibri" w:hAnsi="Calibri"/>
          <w:i/>
          <w:sz w:val="16"/>
          <w:szCs w:val="16"/>
          <w:lang w:val="es-ES"/>
        </w:rPr>
        <w:t>Barrios Altos</w:t>
      </w:r>
      <w:r w:rsidRPr="00EB1FC4">
        <w:rPr>
          <w:rFonts w:ascii="Calibri" w:hAnsi="Calibri"/>
          <w:sz w:val="16"/>
          <w:szCs w:val="16"/>
          <w:lang w:val="es-ES"/>
        </w:rPr>
        <w:t xml:space="preserve"> de Perú.  Como resultado de esta decisión de la Corte Suprema de Justicia se llevaron a cabo en Argentina juicios contra personas acusadas de graves violaciones a los derechos humanos durante la dictadura. </w:t>
      </w:r>
    </w:p>
    <w:p w:rsidR="00543111" w:rsidRPr="00EB1FC4" w:rsidRDefault="00543111" w:rsidP="00CF3175">
      <w:pPr>
        <w:pStyle w:val="FootnoteText"/>
        <w:ind w:left="540"/>
        <w:jc w:val="both"/>
        <w:rPr>
          <w:rFonts w:ascii="Calibri" w:hAnsi="Calibri"/>
          <w:sz w:val="16"/>
          <w:szCs w:val="16"/>
          <w:lang w:val="es-ES"/>
        </w:rPr>
      </w:pPr>
      <w:r w:rsidRPr="00EB1FC4">
        <w:rPr>
          <w:rFonts w:ascii="Calibri" w:hAnsi="Calibri"/>
          <w:sz w:val="16"/>
          <w:szCs w:val="16"/>
          <w:lang w:val="es-ES"/>
        </w:rPr>
        <w:t xml:space="preserve">En el caso de Perú, en el 2005 la Corte Interamericana concluyó que la obligación del Estado peruano de dejar sin efecto las leyes de amnistía había sido cumplida. A su vez y en cumplimiento de las sentencias de la Corte, el Estado peruano continuó buscando hacer justicia acusando por los crímenes al ex presidente Alberto Fujimori, quien había huido del país en 2002, y solicitó su extradición.  La Justicia peruana condenó en 2008 a 35 años de prisión al ex jefe del organismo de inteligencia peruano SIN, Julio Salazar Monroe, y a 15 años a otros cuatro ex integrantes del Grupo Colina, por los delitos de desaparición forzada y homicidio calificado en el caso de la Cantuta.  En 2009, la justicia peruana además condenó a Fujimori a 25 años de prisión, al establecer su responsabilidad penal por la desaparición y ejecución de 27 personas en los casos de </w:t>
      </w:r>
      <w:r w:rsidRPr="00EB1FC4">
        <w:rPr>
          <w:rFonts w:ascii="Calibri" w:hAnsi="Calibri"/>
          <w:i/>
          <w:sz w:val="16"/>
          <w:szCs w:val="16"/>
          <w:lang w:val="es-ES"/>
        </w:rPr>
        <w:t>La Cantuta</w:t>
      </w:r>
      <w:r w:rsidRPr="00EB1FC4">
        <w:rPr>
          <w:rFonts w:ascii="Calibri" w:hAnsi="Calibri"/>
          <w:sz w:val="16"/>
          <w:szCs w:val="16"/>
          <w:lang w:val="es-ES"/>
        </w:rPr>
        <w:t xml:space="preserve"> y </w:t>
      </w:r>
      <w:r w:rsidRPr="00EB1FC4">
        <w:rPr>
          <w:rFonts w:ascii="Calibri" w:hAnsi="Calibri"/>
          <w:i/>
          <w:sz w:val="16"/>
          <w:szCs w:val="16"/>
          <w:lang w:val="es-ES"/>
        </w:rPr>
        <w:t>Barrios Altos</w:t>
      </w:r>
      <w:r w:rsidRPr="00EB1FC4">
        <w:rPr>
          <w:rFonts w:ascii="Calibri" w:hAnsi="Calibri"/>
          <w:sz w:val="16"/>
          <w:szCs w:val="16"/>
          <w:lang w:val="es-ES"/>
        </w:rPr>
        <w:t>.</w:t>
      </w:r>
    </w:p>
    <w:p w:rsidR="00543111" w:rsidRPr="00EB1FC4" w:rsidRDefault="00543111" w:rsidP="00CF3175">
      <w:pPr>
        <w:pStyle w:val="FootnoteText"/>
        <w:ind w:left="540"/>
        <w:jc w:val="both"/>
        <w:rPr>
          <w:rFonts w:ascii="Calibri" w:hAnsi="Calibri"/>
          <w:sz w:val="16"/>
          <w:szCs w:val="16"/>
          <w:lang w:val="es-ES"/>
        </w:rPr>
      </w:pPr>
      <w:r w:rsidRPr="00EB1FC4">
        <w:rPr>
          <w:rFonts w:ascii="Calibri" w:hAnsi="Calibri"/>
          <w:sz w:val="16"/>
          <w:szCs w:val="16"/>
          <w:lang w:val="es-ES"/>
        </w:rPr>
        <w:t>Véase, Plan Estratégico de la CIDH, 2011-2015, Parte II: Programas y Planes de Acción, pág. 28.</w:t>
      </w:r>
    </w:p>
  </w:footnote>
  <w:footnote w:id="104">
    <w:p w:rsidR="00543111" w:rsidRPr="00EB1FC4" w:rsidRDefault="00543111" w:rsidP="00B63B41">
      <w:pPr>
        <w:pStyle w:val="Heading5"/>
        <w:ind w:left="540" w:hanging="540"/>
        <w:rPr>
          <w:rFonts w:ascii="Calibri" w:hAnsi="Calibri"/>
          <w:color w:val="555555"/>
          <w:sz w:val="16"/>
          <w:szCs w:val="16"/>
          <w:lang w:val="es-ES"/>
        </w:rPr>
      </w:pPr>
      <w:r w:rsidRPr="00EB1FC4">
        <w:rPr>
          <w:rStyle w:val="FootnoteReference"/>
          <w:rFonts w:ascii="Calibri" w:hAnsi="Calibri"/>
          <w:b w:val="0"/>
          <w:sz w:val="16"/>
          <w:szCs w:val="16"/>
        </w:rPr>
        <w:footnoteRef/>
      </w:r>
      <w:r w:rsidRPr="00EB1FC4">
        <w:rPr>
          <w:rFonts w:ascii="Calibri" w:hAnsi="Calibri"/>
          <w:b w:val="0"/>
          <w:sz w:val="16"/>
          <w:szCs w:val="16"/>
          <w:lang w:val="es-ES"/>
        </w:rPr>
        <w:t xml:space="preserve"> </w:t>
      </w:r>
      <w:r>
        <w:rPr>
          <w:rFonts w:ascii="Calibri" w:hAnsi="Calibri"/>
          <w:b w:val="0"/>
          <w:sz w:val="16"/>
          <w:szCs w:val="16"/>
          <w:lang w:val="es-ES"/>
        </w:rPr>
        <w:tab/>
      </w:r>
      <w:r w:rsidRPr="00EB1FC4">
        <w:rPr>
          <w:rFonts w:ascii="Calibri" w:hAnsi="Calibri"/>
          <w:b w:val="0"/>
          <w:sz w:val="16"/>
          <w:szCs w:val="16"/>
          <w:lang w:val="es-ES"/>
        </w:rPr>
        <w:t>Véase, por ejemplo, Convención Interamericana para Prevenir, Sancionar y Erradicar la Violencia contra la Mujer  (“Convención de Belém do Pará”) (1994); Convención Interamericana para la Eliminación de Todas las Formas de Discriminación contra las Personas con Discapacidad (1999); Convención Interamericana contra toda Forma de Discriminación e Intolerancia (2013); Convención Interamericana contra el Racismo, la Discriminación Racial y Formas Conexas de Intolerancia (2013).  Véase también a nivel universal, Convención sobre la Eliminación de todas las Formas de Discriminación contra la Mujer (1979); Convención sobre los Derechos del Niño (1990); Convención Internacional sobre la Eliminación de todas las Formas de Discriminación Racial (1965).</w:t>
      </w:r>
    </w:p>
  </w:footnote>
  <w:footnote w:id="105">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Los únicos Estados que no han ratificado la Convención de Belém do Pará son Estados Unidos, Canadá y Cuba. Véase, Anexo, Tabla sobre Estado de Ratificaciones y Firmas, Convención de Belém do Pará (Documentos Básicos, 2014)  </w:t>
      </w:r>
    </w:p>
  </w:footnote>
  <w:footnote w:id="106">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Para más discusión, véase, CIDH, </w:t>
      </w:r>
      <w:r>
        <w:rPr>
          <w:rFonts w:ascii="Calibri" w:hAnsi="Calibri"/>
          <w:i/>
          <w:sz w:val="16"/>
          <w:szCs w:val="16"/>
          <w:lang w:val="es-ES"/>
        </w:rPr>
        <w:t>Acceso a la j</w:t>
      </w:r>
      <w:r w:rsidRPr="00EB1FC4">
        <w:rPr>
          <w:rFonts w:ascii="Calibri" w:hAnsi="Calibri"/>
          <w:i/>
          <w:sz w:val="16"/>
          <w:szCs w:val="16"/>
          <w:lang w:val="es-ES"/>
        </w:rPr>
        <w:t xml:space="preserve">usticia para las </w:t>
      </w:r>
      <w:r>
        <w:rPr>
          <w:rFonts w:ascii="Calibri" w:hAnsi="Calibri"/>
          <w:i/>
          <w:sz w:val="16"/>
          <w:szCs w:val="16"/>
          <w:lang w:val="es-ES"/>
        </w:rPr>
        <w:t>m</w:t>
      </w:r>
      <w:r w:rsidRPr="00EB1FC4">
        <w:rPr>
          <w:rFonts w:ascii="Calibri" w:hAnsi="Calibri"/>
          <w:i/>
          <w:sz w:val="16"/>
          <w:szCs w:val="16"/>
          <w:lang w:val="es-ES"/>
        </w:rPr>
        <w:t xml:space="preserve">ujeres </w:t>
      </w:r>
      <w:r>
        <w:rPr>
          <w:rFonts w:ascii="Calibri" w:hAnsi="Calibri"/>
          <w:i/>
          <w:sz w:val="16"/>
          <w:szCs w:val="16"/>
          <w:lang w:val="es-ES"/>
        </w:rPr>
        <w:t>v</w:t>
      </w:r>
      <w:r w:rsidRPr="00EB1FC4">
        <w:rPr>
          <w:rFonts w:ascii="Calibri" w:hAnsi="Calibri"/>
          <w:i/>
          <w:sz w:val="16"/>
          <w:szCs w:val="16"/>
          <w:lang w:val="es-ES"/>
        </w:rPr>
        <w:t xml:space="preserve">íctimas de </w:t>
      </w:r>
      <w:r>
        <w:rPr>
          <w:rFonts w:ascii="Calibri" w:hAnsi="Calibri"/>
          <w:i/>
          <w:sz w:val="16"/>
          <w:szCs w:val="16"/>
          <w:lang w:val="es-ES"/>
        </w:rPr>
        <w:t>v</w:t>
      </w:r>
      <w:r w:rsidRPr="00EB1FC4">
        <w:rPr>
          <w:rFonts w:ascii="Calibri" w:hAnsi="Calibri"/>
          <w:i/>
          <w:sz w:val="16"/>
          <w:szCs w:val="16"/>
          <w:lang w:val="es-ES"/>
        </w:rPr>
        <w:t xml:space="preserve">iolencia en las Américas, </w:t>
      </w:r>
      <w:r w:rsidRPr="00EB1FC4">
        <w:rPr>
          <w:rFonts w:ascii="Calibri" w:hAnsi="Calibri"/>
          <w:sz w:val="16"/>
          <w:szCs w:val="16"/>
          <w:lang w:val="es-ES"/>
        </w:rPr>
        <w:t xml:space="preserve">20 de enero de 2007, párrs, 102-122; CIDH, </w:t>
      </w:r>
      <w:r>
        <w:rPr>
          <w:rFonts w:ascii="Calibri" w:hAnsi="Calibri"/>
          <w:i/>
          <w:sz w:val="16"/>
          <w:szCs w:val="16"/>
          <w:lang w:val="es-ES"/>
        </w:rPr>
        <w:t>Acceso a la justicia para mujeres ví</w:t>
      </w:r>
      <w:r w:rsidRPr="00EB1FC4">
        <w:rPr>
          <w:rFonts w:ascii="Calibri" w:hAnsi="Calibri"/>
          <w:i/>
          <w:sz w:val="16"/>
          <w:szCs w:val="16"/>
          <w:lang w:val="es-ES"/>
        </w:rPr>
        <w:t xml:space="preserve">ctimas de </w:t>
      </w:r>
      <w:r>
        <w:rPr>
          <w:rFonts w:ascii="Calibri" w:hAnsi="Calibri"/>
          <w:i/>
          <w:sz w:val="16"/>
          <w:szCs w:val="16"/>
          <w:lang w:val="es-ES"/>
        </w:rPr>
        <w:t>v</w:t>
      </w:r>
      <w:r w:rsidRPr="00EB1FC4">
        <w:rPr>
          <w:rFonts w:ascii="Calibri" w:hAnsi="Calibri"/>
          <w:i/>
          <w:sz w:val="16"/>
          <w:szCs w:val="16"/>
          <w:lang w:val="es-ES"/>
        </w:rPr>
        <w:t xml:space="preserve">iolencia </w:t>
      </w:r>
      <w:r>
        <w:rPr>
          <w:rFonts w:ascii="Calibri" w:hAnsi="Calibri"/>
          <w:i/>
          <w:sz w:val="16"/>
          <w:szCs w:val="16"/>
          <w:lang w:val="es-ES"/>
        </w:rPr>
        <w:t>s</w:t>
      </w:r>
      <w:r w:rsidRPr="00EB1FC4">
        <w:rPr>
          <w:rFonts w:ascii="Calibri" w:hAnsi="Calibri"/>
          <w:i/>
          <w:sz w:val="16"/>
          <w:szCs w:val="16"/>
          <w:lang w:val="es-ES"/>
        </w:rPr>
        <w:t>exual en Mesoamérica</w:t>
      </w:r>
      <w:r w:rsidRPr="00EB1FC4">
        <w:rPr>
          <w:rFonts w:ascii="Calibri" w:hAnsi="Calibri"/>
          <w:sz w:val="16"/>
          <w:szCs w:val="16"/>
          <w:lang w:val="es-ES"/>
        </w:rPr>
        <w:t>, OEA/Ser.L./V/II. Doc. 63, 9 de diciembre de 2011, párrs. 129-155; Comisión Interamericana de Mujeres (CIM</w:t>
      </w:r>
      <w:r w:rsidRPr="00EB1FC4">
        <w:rPr>
          <w:rFonts w:ascii="Calibri" w:hAnsi="Calibri"/>
          <w:i/>
          <w:sz w:val="16"/>
          <w:szCs w:val="16"/>
          <w:lang w:val="es-ES"/>
        </w:rPr>
        <w:t>), Segundo informe hemisférico sobre la implementación de la Convención de Belém do Pará</w:t>
      </w:r>
      <w:r w:rsidRPr="00EB1FC4">
        <w:rPr>
          <w:rFonts w:ascii="Calibri" w:hAnsi="Calibri"/>
          <w:sz w:val="16"/>
          <w:szCs w:val="16"/>
          <w:lang w:val="es-ES"/>
        </w:rPr>
        <w:t>, MESECVI, Agosto 2012.</w:t>
      </w:r>
    </w:p>
  </w:footnote>
  <w:footnote w:id="107">
    <w:p w:rsidR="00543111" w:rsidRPr="00EB1FC4" w:rsidRDefault="00543111" w:rsidP="00B63B41">
      <w:pPr>
        <w:pStyle w:val="FootnoteText"/>
        <w:ind w:left="540" w:hanging="540"/>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CEPAL, </w:t>
      </w:r>
      <w:r w:rsidRPr="00EB1FC4">
        <w:rPr>
          <w:rFonts w:ascii="Calibri" w:hAnsi="Calibri"/>
          <w:i/>
          <w:sz w:val="16"/>
          <w:szCs w:val="16"/>
          <w:lang w:val="es-ES"/>
        </w:rPr>
        <w:t>¡Ni Una Más! El derecho a una vida libre de violencia en América Latina y el Caribe</w:t>
      </w:r>
      <w:r w:rsidRPr="00EB1FC4">
        <w:rPr>
          <w:rFonts w:ascii="Calibri" w:hAnsi="Calibri"/>
          <w:sz w:val="16"/>
          <w:szCs w:val="16"/>
          <w:lang w:val="es-ES"/>
        </w:rPr>
        <w:t xml:space="preserve">, Octubre de 2007. </w:t>
      </w:r>
    </w:p>
  </w:footnote>
  <w:footnote w:id="108">
    <w:p w:rsidR="00543111" w:rsidRPr="00EB1FC4" w:rsidRDefault="00543111" w:rsidP="00B63B41">
      <w:pPr>
        <w:ind w:left="540" w:hanging="540"/>
        <w:jc w:val="both"/>
        <w:rPr>
          <w:rFonts w:ascii="Calibri" w:hAnsi="Calibri" w:cs="Tahoma"/>
          <w:bCs/>
          <w: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Para más detalles, véase CIDH, Audiencia Temática, </w:t>
      </w:r>
      <w:r w:rsidRPr="00EB1FC4">
        <w:rPr>
          <w:rFonts w:ascii="Calibri" w:hAnsi="Calibri" w:cs="Tahoma"/>
          <w:bCs/>
          <w:i/>
          <w:sz w:val="16"/>
          <w:szCs w:val="16"/>
          <w:lang w:val="es-ES"/>
        </w:rPr>
        <w:t>Retos y desafíos para la protección de las mujeres contra la violencia a 20 años de la Convención de Belém do Pará</w:t>
      </w:r>
      <w:r w:rsidRPr="00EB1FC4">
        <w:rPr>
          <w:rFonts w:ascii="Calibri" w:hAnsi="Calibri" w:cs="Tahoma"/>
          <w:bCs/>
          <w:sz w:val="16"/>
          <w:szCs w:val="16"/>
          <w:lang w:val="es-ES"/>
        </w:rPr>
        <w:t>, 150º Periodo de Sesiones, 27 de marzo de 2014.</w:t>
      </w:r>
      <w:r w:rsidRPr="00EB1FC4">
        <w:rPr>
          <w:rFonts w:ascii="Calibri" w:hAnsi="Calibri" w:cs="Tahoma"/>
          <w:bCs/>
          <w:i/>
          <w:sz w:val="16"/>
          <w:szCs w:val="16"/>
          <w:lang w:val="es-ES"/>
        </w:rPr>
        <w:t xml:space="preserve">   </w:t>
      </w:r>
    </w:p>
    <w:p w:rsidR="00543111" w:rsidRPr="00EB1FC4" w:rsidRDefault="00543111" w:rsidP="00747F82">
      <w:pPr>
        <w:ind w:left="540"/>
        <w:jc w:val="both"/>
        <w:rPr>
          <w:rFonts w:ascii="Calibri" w:hAnsi="Calibri"/>
          <w:sz w:val="16"/>
          <w:szCs w:val="16"/>
          <w:lang w:val="es-ES_tradnl"/>
        </w:rPr>
      </w:pPr>
      <w:r w:rsidRPr="00EB1FC4">
        <w:rPr>
          <w:rFonts w:ascii="Calibri" w:hAnsi="Calibri"/>
          <w:sz w:val="16"/>
          <w:szCs w:val="16"/>
          <w:lang w:val="es-ES_tradnl"/>
        </w:rPr>
        <w:t xml:space="preserve">En relación a lo anterior, con ocasión de la Día Internacional de la Mujer 2014, la CIDH emitió un comunicado de prensa en el que nota que “veinte años después de la adopción de la Convención de Belém do Pará, los problemas existentes recalcan la necesidad de que los Estados desarrollen y apliquen mejor la debida diligencia para responder de manera adecuada a la violencia y a la discriminación contra la mujer”.  Véase, </w:t>
      </w:r>
      <w:r w:rsidRPr="00EB1FC4">
        <w:rPr>
          <w:rFonts w:ascii="Calibri" w:hAnsi="Calibri"/>
          <w:sz w:val="16"/>
          <w:szCs w:val="16"/>
          <w:lang w:val="es-ES"/>
        </w:rPr>
        <w:t xml:space="preserve">CIDH, Comunicado de prensa: </w:t>
      </w:r>
      <w:r w:rsidRPr="00EB1FC4">
        <w:rPr>
          <w:rFonts w:ascii="Calibri" w:hAnsi="Calibri"/>
          <w:i/>
          <w:sz w:val="16"/>
          <w:szCs w:val="16"/>
          <w:lang w:val="es-ES"/>
        </w:rPr>
        <w:t>En el Día Internacional de la Mujer, la CIDH manifiesta su profunda preocupación sobre la protección de los derechos de las mujeres en las Américas</w:t>
      </w:r>
      <w:r w:rsidRPr="00EB1FC4">
        <w:rPr>
          <w:rFonts w:ascii="Calibri" w:hAnsi="Calibri"/>
          <w:sz w:val="16"/>
          <w:szCs w:val="16"/>
          <w:lang w:val="es-ES"/>
        </w:rPr>
        <w:t xml:space="preserve">, 8 de marzo de 2014.  </w:t>
      </w:r>
      <w:r w:rsidRPr="00EB1FC4">
        <w:rPr>
          <w:rFonts w:ascii="Calibri" w:hAnsi="Calibri"/>
          <w:sz w:val="16"/>
          <w:szCs w:val="16"/>
          <w:lang w:val="es-ES_tradnl"/>
        </w:rPr>
        <w:t xml:space="preserve">En el año 2013, la CIDH y la Comisión Interamericana de Mujeres, en el marco de un comunicado de prensa conjunto, a su vez reconocieron los pasos adoptados por los Estados, a partir de la ratificación de la Convención de Belém do Pará y otros tratados interamericanos, </w:t>
      </w:r>
      <w:r w:rsidRPr="00EB1FC4">
        <w:rPr>
          <w:rFonts w:ascii="Calibri" w:hAnsi="Calibri"/>
          <w:sz w:val="16"/>
          <w:szCs w:val="16"/>
          <w:lang w:val="es-ES"/>
        </w:rPr>
        <w:t xml:space="preserve">para avanzar los principios de la igualdad de género y el empoderamiento de las mujeres en distintas áreas vinculadas con la protección de sus derechos civiles, políticos, económicos, sociales y culturales. Sin perjuicio de ello, hicieron notar que a pesar de los avances continúan existiendo “vacíos significativos entre el reconocimiento formal de los derechos de las mujeres en las leyes y políticas públicas existentes, y su implementación práctica. Para la gran mayoría de las mujeres a través de las Américas, las leyes que existen en papel todavía no se traducen en una igualdad y justicia real”. Véase, CIDH, Comunicado de prensa: </w:t>
      </w:r>
      <w:r w:rsidRPr="00EB1FC4">
        <w:rPr>
          <w:rStyle w:val="Strong"/>
          <w:rFonts w:ascii="Calibri" w:hAnsi="Calibri" w:cs="Tahoma"/>
          <w:b w:val="0"/>
          <w:i/>
          <w:color w:val="333333"/>
          <w:sz w:val="16"/>
          <w:szCs w:val="16"/>
          <w:lang w:val="es-ES"/>
        </w:rPr>
        <w:t>Los derechos de las mujeres: La ruta para cumplir con la promesa en las Américas</w:t>
      </w:r>
      <w:r w:rsidRPr="00EB1FC4">
        <w:rPr>
          <w:rStyle w:val="Strong"/>
          <w:rFonts w:ascii="Calibri" w:hAnsi="Calibri" w:cs="Tahoma"/>
          <w:b w:val="0"/>
          <w:color w:val="333333"/>
          <w:sz w:val="16"/>
          <w:szCs w:val="16"/>
          <w:lang w:val="es-ES"/>
        </w:rPr>
        <w:t>, 8 de marzo de 2013.</w:t>
      </w:r>
    </w:p>
  </w:footnote>
  <w:footnote w:id="109">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pt-BR"/>
        </w:rPr>
        <w:t xml:space="preserve"> </w:t>
      </w:r>
      <w:r>
        <w:rPr>
          <w:rFonts w:ascii="Calibri" w:hAnsi="Calibri"/>
          <w:sz w:val="16"/>
          <w:szCs w:val="16"/>
          <w:lang w:val="pt-BR"/>
        </w:rPr>
        <w:tab/>
      </w:r>
      <w:r w:rsidRPr="00EB1FC4">
        <w:rPr>
          <w:rFonts w:ascii="Calibri" w:hAnsi="Calibri"/>
          <w:sz w:val="16"/>
          <w:szCs w:val="16"/>
          <w:lang w:val="pt-BR"/>
        </w:rPr>
        <w:t>CIDH, Informe N</w:t>
      </w:r>
      <w:r>
        <w:rPr>
          <w:rFonts w:ascii="Calibri" w:hAnsi="Calibri"/>
          <w:sz w:val="16"/>
          <w:szCs w:val="16"/>
          <w:lang w:val="pt-BR"/>
        </w:rPr>
        <w:t xml:space="preserve">o. </w:t>
      </w:r>
      <w:r w:rsidRPr="00EB1FC4">
        <w:rPr>
          <w:rFonts w:ascii="Calibri" w:hAnsi="Calibri"/>
          <w:sz w:val="16"/>
          <w:szCs w:val="16"/>
          <w:lang w:val="pt-BR"/>
        </w:rPr>
        <w:t xml:space="preserve">54/01, Caso 12.051, </w:t>
      </w:r>
      <w:r w:rsidRPr="00EB1FC4">
        <w:rPr>
          <w:rFonts w:ascii="Calibri" w:hAnsi="Calibri"/>
          <w:i/>
          <w:sz w:val="16"/>
          <w:szCs w:val="16"/>
          <w:lang w:val="pt-BR"/>
        </w:rPr>
        <w:t>Maria da Penha Maia Fernandes</w:t>
      </w:r>
      <w:r w:rsidRPr="00EB1FC4">
        <w:rPr>
          <w:rFonts w:ascii="Calibri" w:hAnsi="Calibri"/>
          <w:sz w:val="16"/>
          <w:szCs w:val="16"/>
          <w:lang w:val="pt-BR"/>
        </w:rPr>
        <w:t xml:space="preserve">, Brasil, 16 de abril de 2001.   </w:t>
      </w:r>
      <w:r w:rsidRPr="00EB1FC4">
        <w:rPr>
          <w:rFonts w:ascii="Calibri" w:hAnsi="Calibri"/>
          <w:sz w:val="16"/>
          <w:szCs w:val="16"/>
          <w:lang w:val="es-ES"/>
        </w:rPr>
        <w:t xml:space="preserve">La CIDH ha reconocido en distintas ocasiones el impacto positivo de esta decisión en el abordaje de la violencia doméstica en Brasil, incluyendo la </w:t>
      </w:r>
      <w:r w:rsidRPr="00EB1FC4">
        <w:rPr>
          <w:rFonts w:ascii="Calibri" w:eastAsia="Geeza Pro" w:hAnsi="Calibri"/>
          <w:sz w:val="16"/>
          <w:szCs w:val="16"/>
          <w:lang w:val="es-ES"/>
        </w:rPr>
        <w:t>aprobación en el 2006 de la “Ley Maria da Penha”, que prevé sanciones penales para actos de violencia doméstica y familiar contra las mujeres, promueve programas de rehabilitación para los agresores y crea cuerpos policiales y tribunales especializados.  Véase, CIDH, Plan Estratégico 2011-2015, Parte III, páginas 21-22.</w:t>
      </w:r>
    </w:p>
  </w:footnote>
  <w:footnote w:id="110">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B90612">
        <w:rPr>
          <w:rFonts w:ascii="Calibri" w:hAnsi="Calibri"/>
          <w:sz w:val="16"/>
          <w:szCs w:val="16"/>
          <w:lang w:val="es-ES"/>
        </w:rPr>
        <w:t xml:space="preserve"> </w:t>
      </w:r>
      <w:r w:rsidRPr="00B90612">
        <w:rPr>
          <w:rFonts w:ascii="Calibri" w:hAnsi="Calibri"/>
          <w:sz w:val="16"/>
          <w:szCs w:val="16"/>
          <w:lang w:val="es-ES"/>
        </w:rPr>
        <w:tab/>
      </w:r>
      <w:r w:rsidRPr="00B90612">
        <w:rPr>
          <w:rFonts w:ascii="Calibri" w:hAnsi="Calibri" w:cs="Arial"/>
          <w:sz w:val="16"/>
          <w:szCs w:val="16"/>
          <w:lang w:val="es-ES"/>
        </w:rPr>
        <w:t xml:space="preserve">Corte IDH. </w:t>
      </w:r>
      <w:r w:rsidRPr="00867F93">
        <w:rPr>
          <w:rFonts w:ascii="Calibri" w:hAnsi="Calibri"/>
          <w:bCs/>
          <w:i/>
          <w:sz w:val="16"/>
          <w:szCs w:val="16"/>
          <w:lang w:val="es-ES"/>
        </w:rPr>
        <w:t>Caso González y otras (“Campo Algodonero”) Vs. México</w:t>
      </w:r>
      <w:r w:rsidRPr="00EB1FC4">
        <w:rPr>
          <w:rFonts w:ascii="Calibri" w:hAnsi="Calibri"/>
          <w:bCs/>
          <w:sz w:val="16"/>
          <w:szCs w:val="16"/>
          <w:lang w:val="es-ES"/>
        </w:rPr>
        <w:t xml:space="preserve">. </w:t>
      </w:r>
      <w:r w:rsidRPr="00EB1FC4">
        <w:rPr>
          <w:rFonts w:ascii="Calibri" w:hAnsi="Calibri"/>
          <w:sz w:val="16"/>
          <w:szCs w:val="16"/>
          <w:lang w:val="es-ES"/>
        </w:rPr>
        <w:t>Excepción Preliminar, Fondo, Reparaciones y Costas. Sentencia de 16 de noviembre de 2009. Serie C No. 205.</w:t>
      </w:r>
    </w:p>
  </w:footnote>
  <w:footnote w:id="111">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generalmente, CIDH, </w:t>
      </w:r>
      <w:r>
        <w:rPr>
          <w:rFonts w:ascii="Calibri" w:hAnsi="Calibri"/>
          <w:i/>
          <w:sz w:val="16"/>
          <w:szCs w:val="16"/>
          <w:lang w:val="es-ES"/>
        </w:rPr>
        <w:t>Estándares j</w:t>
      </w:r>
      <w:r w:rsidRPr="00EB1FC4">
        <w:rPr>
          <w:rFonts w:ascii="Calibri" w:hAnsi="Calibri"/>
          <w:i/>
          <w:sz w:val="16"/>
          <w:szCs w:val="16"/>
          <w:lang w:val="es-ES"/>
        </w:rPr>
        <w:t xml:space="preserve">urídicos </w:t>
      </w:r>
      <w:r>
        <w:rPr>
          <w:rFonts w:ascii="Calibri" w:hAnsi="Calibri"/>
          <w:i/>
          <w:sz w:val="16"/>
          <w:szCs w:val="16"/>
          <w:lang w:val="es-ES"/>
        </w:rPr>
        <w:t>vinculados a la i</w:t>
      </w:r>
      <w:r w:rsidRPr="00EB1FC4">
        <w:rPr>
          <w:rFonts w:ascii="Calibri" w:hAnsi="Calibri"/>
          <w:i/>
          <w:sz w:val="16"/>
          <w:szCs w:val="16"/>
          <w:lang w:val="es-ES"/>
        </w:rPr>
        <w:t xml:space="preserve">gualdad de </w:t>
      </w:r>
      <w:r>
        <w:rPr>
          <w:rFonts w:ascii="Calibri" w:hAnsi="Calibri"/>
          <w:i/>
          <w:sz w:val="16"/>
          <w:szCs w:val="16"/>
          <w:lang w:val="es-ES"/>
        </w:rPr>
        <w:t>g</w:t>
      </w:r>
      <w:r w:rsidRPr="00EB1FC4">
        <w:rPr>
          <w:rFonts w:ascii="Calibri" w:hAnsi="Calibri"/>
          <w:i/>
          <w:sz w:val="16"/>
          <w:szCs w:val="16"/>
          <w:lang w:val="es-ES"/>
        </w:rPr>
        <w:t xml:space="preserve">énero y a los </w:t>
      </w:r>
      <w:r>
        <w:rPr>
          <w:rFonts w:ascii="Calibri" w:hAnsi="Calibri"/>
          <w:i/>
          <w:sz w:val="16"/>
          <w:szCs w:val="16"/>
          <w:lang w:val="es-ES"/>
        </w:rPr>
        <w:t>derechos de las m</w:t>
      </w:r>
      <w:r w:rsidRPr="00EB1FC4">
        <w:rPr>
          <w:rFonts w:ascii="Calibri" w:hAnsi="Calibri"/>
          <w:i/>
          <w:sz w:val="16"/>
          <w:szCs w:val="16"/>
          <w:lang w:val="es-ES"/>
        </w:rPr>
        <w:t xml:space="preserve">ujeres en el </w:t>
      </w:r>
      <w:r>
        <w:rPr>
          <w:rFonts w:ascii="Calibri" w:hAnsi="Calibri"/>
          <w:i/>
          <w:sz w:val="16"/>
          <w:szCs w:val="16"/>
          <w:lang w:val="es-ES"/>
        </w:rPr>
        <w:t>s</w:t>
      </w:r>
      <w:r w:rsidRPr="00EB1FC4">
        <w:rPr>
          <w:rFonts w:ascii="Calibri" w:hAnsi="Calibri"/>
          <w:i/>
          <w:sz w:val="16"/>
          <w:szCs w:val="16"/>
          <w:lang w:val="es-ES"/>
        </w:rPr>
        <w:t xml:space="preserve">istema </w:t>
      </w:r>
      <w:r>
        <w:rPr>
          <w:rFonts w:ascii="Calibri" w:hAnsi="Calibri"/>
          <w:i/>
          <w:sz w:val="16"/>
          <w:szCs w:val="16"/>
          <w:lang w:val="es-ES"/>
        </w:rPr>
        <w:t>i</w:t>
      </w:r>
      <w:r w:rsidRPr="00EB1FC4">
        <w:rPr>
          <w:rFonts w:ascii="Calibri" w:hAnsi="Calibri"/>
          <w:i/>
          <w:sz w:val="16"/>
          <w:szCs w:val="16"/>
          <w:lang w:val="es-ES"/>
        </w:rPr>
        <w:t xml:space="preserve">nteramericano de </w:t>
      </w:r>
      <w:r>
        <w:rPr>
          <w:rFonts w:ascii="Calibri" w:hAnsi="Calibri"/>
          <w:i/>
          <w:sz w:val="16"/>
          <w:szCs w:val="16"/>
          <w:lang w:val="es-ES"/>
        </w:rPr>
        <w:t>d</w:t>
      </w:r>
      <w:r w:rsidRPr="00EB1FC4">
        <w:rPr>
          <w:rFonts w:ascii="Calibri" w:hAnsi="Calibri"/>
          <w:i/>
          <w:sz w:val="16"/>
          <w:szCs w:val="16"/>
          <w:lang w:val="es-ES"/>
        </w:rPr>
        <w:t xml:space="preserve">erechos </w:t>
      </w:r>
      <w:r>
        <w:rPr>
          <w:rFonts w:ascii="Calibri" w:hAnsi="Calibri"/>
          <w:i/>
          <w:sz w:val="16"/>
          <w:szCs w:val="16"/>
          <w:lang w:val="es-ES"/>
        </w:rPr>
        <w:t>h</w:t>
      </w:r>
      <w:r w:rsidRPr="00EB1FC4">
        <w:rPr>
          <w:rFonts w:ascii="Calibri" w:hAnsi="Calibri"/>
          <w:i/>
          <w:sz w:val="16"/>
          <w:szCs w:val="16"/>
          <w:lang w:val="es-ES"/>
        </w:rPr>
        <w:t xml:space="preserve">umanos: </w:t>
      </w:r>
      <w:r>
        <w:rPr>
          <w:rFonts w:ascii="Calibri" w:hAnsi="Calibri"/>
          <w:i/>
          <w:sz w:val="16"/>
          <w:szCs w:val="16"/>
          <w:lang w:val="es-ES"/>
        </w:rPr>
        <w:t>d</w:t>
      </w:r>
      <w:r w:rsidRPr="00EB1FC4">
        <w:rPr>
          <w:rFonts w:ascii="Calibri" w:hAnsi="Calibri"/>
          <w:i/>
          <w:sz w:val="16"/>
          <w:szCs w:val="16"/>
          <w:lang w:val="es-ES"/>
        </w:rPr>
        <w:t xml:space="preserve">esarrollo y </w:t>
      </w:r>
      <w:r>
        <w:rPr>
          <w:rFonts w:ascii="Calibri" w:hAnsi="Calibri"/>
          <w:i/>
          <w:sz w:val="16"/>
          <w:szCs w:val="16"/>
          <w:lang w:val="es-ES"/>
        </w:rPr>
        <w:t>a</w:t>
      </w:r>
      <w:r w:rsidRPr="00EB1FC4">
        <w:rPr>
          <w:rFonts w:ascii="Calibri" w:hAnsi="Calibri"/>
          <w:i/>
          <w:sz w:val="16"/>
          <w:szCs w:val="16"/>
          <w:lang w:val="es-ES"/>
        </w:rPr>
        <w:t>plicación</w:t>
      </w:r>
      <w:r w:rsidRPr="00EB1FC4">
        <w:rPr>
          <w:rFonts w:ascii="Calibri" w:hAnsi="Calibri"/>
          <w:sz w:val="16"/>
          <w:szCs w:val="16"/>
          <w:lang w:val="es-ES"/>
        </w:rPr>
        <w:t>, OEA/Ser.L./V/II.143 Doc. 60, 3 de noviembre de 2011.</w:t>
      </w:r>
    </w:p>
  </w:footnote>
  <w:footnote w:id="112">
    <w:p w:rsidR="00543111" w:rsidRPr="00747F82"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Por ejemplo, véase, Corte IDH. </w:t>
      </w:r>
      <w:r w:rsidRPr="00EB1FC4">
        <w:rPr>
          <w:rFonts w:ascii="Calibri" w:hAnsi="Calibri"/>
          <w:i/>
          <w:sz w:val="16"/>
          <w:szCs w:val="16"/>
          <w:lang w:val="es-ES"/>
        </w:rPr>
        <w:t>Caso de la Comunidad Mayagna (Sumo) Awas Tingni Vs. Nicaragua</w:t>
      </w:r>
      <w:r w:rsidRPr="00EB1FC4">
        <w:rPr>
          <w:rFonts w:ascii="Calibri" w:hAnsi="Calibri"/>
          <w:sz w:val="16"/>
          <w:szCs w:val="16"/>
          <w:lang w:val="es-ES"/>
        </w:rPr>
        <w:t xml:space="preserve">. Excepciones Preliminares. Sentencia de 1 de febrero de 2000. Serie C No. 66; Corte IDH. </w:t>
      </w:r>
      <w:r w:rsidRPr="00EB1FC4">
        <w:rPr>
          <w:rFonts w:ascii="Calibri" w:hAnsi="Calibri"/>
          <w:i/>
          <w:sz w:val="16"/>
          <w:szCs w:val="16"/>
          <w:lang w:val="es-ES"/>
        </w:rPr>
        <w:t>Caso de la Comunidad Indígena Yakye Axa Vs. Paraguay</w:t>
      </w:r>
      <w:r w:rsidRPr="00EB1FC4">
        <w:rPr>
          <w:rFonts w:ascii="Calibri" w:hAnsi="Calibri"/>
          <w:sz w:val="16"/>
          <w:szCs w:val="16"/>
          <w:lang w:val="es-ES"/>
        </w:rPr>
        <w:t>. Sentencia de 17 de junio de 2005. Se</w:t>
      </w:r>
      <w:r>
        <w:rPr>
          <w:rFonts w:ascii="Calibri" w:hAnsi="Calibri"/>
          <w:sz w:val="16"/>
          <w:szCs w:val="16"/>
          <w:lang w:val="es-ES"/>
        </w:rPr>
        <w:t>rie C No. 125</w:t>
      </w:r>
      <w:r w:rsidRPr="00EB1FC4">
        <w:rPr>
          <w:rFonts w:ascii="Calibri" w:hAnsi="Calibri"/>
          <w:sz w:val="16"/>
          <w:szCs w:val="16"/>
          <w:lang w:val="es-ES"/>
        </w:rPr>
        <w:t xml:space="preserve">; Corte IDH. </w:t>
      </w:r>
      <w:r w:rsidRPr="00EB1FC4">
        <w:rPr>
          <w:rFonts w:ascii="Calibri" w:hAnsi="Calibri"/>
          <w:i/>
          <w:sz w:val="16"/>
          <w:szCs w:val="16"/>
          <w:lang w:val="es-ES"/>
        </w:rPr>
        <w:t>Caso Comunidad Indígena Sawhoyamaxa Vs. Paraguay</w:t>
      </w:r>
      <w:r w:rsidRPr="00EB1FC4">
        <w:rPr>
          <w:rFonts w:ascii="Calibri" w:hAnsi="Calibri"/>
          <w:sz w:val="16"/>
          <w:szCs w:val="16"/>
          <w:lang w:val="es-ES"/>
        </w:rPr>
        <w:t xml:space="preserve">. Sentencia de 29 de marzo de 2006. </w:t>
      </w:r>
      <w:r w:rsidRPr="00B90612">
        <w:rPr>
          <w:rFonts w:ascii="Calibri" w:hAnsi="Calibri"/>
          <w:sz w:val="16"/>
          <w:szCs w:val="16"/>
          <w:lang w:val="es-ES"/>
        </w:rPr>
        <w:t xml:space="preserve">Serie C No. 146; </w:t>
      </w:r>
      <w:r w:rsidRPr="00B90612">
        <w:rPr>
          <w:rFonts w:ascii="Calibri" w:hAnsi="Calibri"/>
          <w:color w:val="000000"/>
          <w:sz w:val="16"/>
          <w:szCs w:val="16"/>
          <w:lang w:val="es-ES"/>
        </w:rPr>
        <w:t xml:space="preserve">Corte IDH. </w:t>
      </w:r>
      <w:r w:rsidRPr="00B90612">
        <w:rPr>
          <w:rFonts w:ascii="Calibri" w:hAnsi="Calibri"/>
          <w:bCs/>
          <w:i/>
          <w:color w:val="000000"/>
          <w:sz w:val="16"/>
          <w:szCs w:val="16"/>
          <w:lang w:val="es-ES"/>
        </w:rPr>
        <w:t>Caso Comunidad Indígena Xákmok Kásek. Vs. Paraguay.</w:t>
      </w:r>
      <w:r w:rsidRPr="00B90612">
        <w:rPr>
          <w:rFonts w:ascii="Calibri" w:hAnsi="Calibri"/>
          <w:b/>
          <w:bCs/>
          <w:color w:val="000000"/>
          <w:sz w:val="16"/>
          <w:szCs w:val="16"/>
          <w:lang w:val="es-ES"/>
        </w:rPr>
        <w:t xml:space="preserve"> </w:t>
      </w:r>
      <w:r w:rsidRPr="00EB1FC4">
        <w:rPr>
          <w:rFonts w:ascii="Calibri" w:hAnsi="Calibri"/>
          <w:color w:val="000000"/>
          <w:sz w:val="16"/>
          <w:szCs w:val="16"/>
          <w:lang w:val="es-ES"/>
        </w:rPr>
        <w:t>Fondo, Reparaciones y Costas. Sentencia de 24 de agosto de 2010 Serie C No. 214.</w:t>
      </w:r>
    </w:p>
  </w:footnote>
  <w:footnote w:id="113">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747F82">
        <w:rPr>
          <w:rFonts w:ascii="Calibri" w:hAnsi="Calibri"/>
          <w:sz w:val="16"/>
          <w:szCs w:val="16"/>
          <w:lang w:val="es-ES"/>
        </w:rPr>
        <w:t xml:space="preserve"> </w:t>
      </w:r>
      <w:r w:rsidRPr="00747F82">
        <w:rPr>
          <w:rFonts w:ascii="Calibri" w:hAnsi="Calibri"/>
          <w:sz w:val="16"/>
          <w:szCs w:val="16"/>
          <w:lang w:val="es-ES"/>
        </w:rPr>
        <w:tab/>
        <w:t xml:space="preserve">Véase, por ejemplo, Corte IDH. </w:t>
      </w:r>
      <w:r w:rsidRPr="00747F82">
        <w:rPr>
          <w:rFonts w:ascii="Calibri" w:hAnsi="Calibri"/>
          <w:i/>
          <w:sz w:val="16"/>
          <w:szCs w:val="16"/>
          <w:lang w:val="es-ES"/>
        </w:rPr>
        <w:t xml:space="preserve">Caso Forneron e hija Vs. </w:t>
      </w:r>
      <w:r w:rsidRPr="00EB1FC4">
        <w:rPr>
          <w:rFonts w:ascii="Calibri" w:hAnsi="Calibri"/>
          <w:i/>
          <w:sz w:val="16"/>
          <w:szCs w:val="16"/>
          <w:lang w:val="es-AR"/>
        </w:rPr>
        <w:t>Argentina</w:t>
      </w:r>
      <w:r w:rsidRPr="00EB1FC4">
        <w:rPr>
          <w:rFonts w:ascii="Calibri" w:hAnsi="Calibri"/>
          <w:sz w:val="16"/>
          <w:szCs w:val="16"/>
          <w:lang w:val="es-AR"/>
        </w:rPr>
        <w:t xml:space="preserve">. Fondo, Reparaciones y Costas. </w:t>
      </w:r>
      <w:r w:rsidRPr="00747F82">
        <w:rPr>
          <w:rFonts w:ascii="Calibri" w:hAnsi="Calibri"/>
          <w:sz w:val="16"/>
          <w:szCs w:val="16"/>
          <w:lang w:val="es-ES"/>
        </w:rPr>
        <w:t xml:space="preserve">Sentencia de 27 de abril de 2012. Serie C No. 242; </w:t>
      </w:r>
      <w:r w:rsidRPr="00EB1FC4">
        <w:rPr>
          <w:rFonts w:ascii="Calibri" w:hAnsi="Calibri"/>
          <w:sz w:val="16"/>
          <w:szCs w:val="16"/>
          <w:lang w:val="es-AR"/>
        </w:rPr>
        <w:t xml:space="preserve">Corte IDH. </w:t>
      </w:r>
      <w:r w:rsidRPr="00EB1FC4">
        <w:rPr>
          <w:rFonts w:ascii="Calibri" w:hAnsi="Calibri"/>
          <w:i/>
          <w:sz w:val="16"/>
          <w:szCs w:val="16"/>
          <w:lang w:val="es-AR"/>
        </w:rPr>
        <w:t>Caso Atala Riffo y Niñas Vs. Chile</w:t>
      </w:r>
      <w:r w:rsidRPr="00EB1FC4">
        <w:rPr>
          <w:rFonts w:ascii="Calibri" w:hAnsi="Calibri"/>
          <w:sz w:val="16"/>
          <w:szCs w:val="16"/>
          <w:lang w:val="es-AR"/>
        </w:rPr>
        <w:t xml:space="preserve">. Fondo, Reparaciones y Costas. Sentencia del 24 de febrero de 2012. Serie C No. 239; </w:t>
      </w:r>
      <w:r w:rsidRPr="00EB1FC4">
        <w:rPr>
          <w:rFonts w:ascii="Calibri" w:hAnsi="Calibri"/>
          <w:sz w:val="16"/>
          <w:szCs w:val="16"/>
          <w:lang w:val="es-ES"/>
        </w:rPr>
        <w:t xml:space="preserve">Corte IDH. </w:t>
      </w:r>
      <w:r w:rsidRPr="00EB1FC4">
        <w:rPr>
          <w:rFonts w:ascii="Calibri" w:hAnsi="Calibri"/>
          <w:i/>
          <w:sz w:val="16"/>
          <w:szCs w:val="16"/>
          <w:lang w:val="es-ES"/>
        </w:rPr>
        <w:t>Caso de los “Niños de la Calle” (Villagrán Morales y otros)</w:t>
      </w:r>
      <w:r w:rsidRPr="00EB1FC4">
        <w:rPr>
          <w:rFonts w:ascii="Calibri" w:hAnsi="Calibri"/>
          <w:sz w:val="16"/>
          <w:szCs w:val="16"/>
          <w:lang w:val="es-ES"/>
        </w:rPr>
        <w:t xml:space="preserve"> Vs. Guatemala. Excepciones Preliminares. Sentencia de 11 de septiembre de 1997. Serie C No. 32.; Corte IDH. </w:t>
      </w:r>
      <w:r w:rsidRPr="00EB1FC4">
        <w:rPr>
          <w:rFonts w:ascii="Calibri" w:hAnsi="Calibri"/>
          <w:i/>
          <w:sz w:val="16"/>
          <w:szCs w:val="16"/>
          <w:lang w:val="es-ES"/>
        </w:rPr>
        <w:t>Caso de las Niñas Yean y Bosico Vs. República Dominicana</w:t>
      </w:r>
      <w:r w:rsidRPr="00EB1FC4">
        <w:rPr>
          <w:rFonts w:ascii="Calibri" w:hAnsi="Calibri"/>
          <w:sz w:val="16"/>
          <w:szCs w:val="16"/>
          <w:lang w:val="es-ES"/>
        </w:rPr>
        <w:t xml:space="preserve">. Sentencia de 8 de septiembre de 2005. Serie C No. 130. </w:t>
      </w:r>
    </w:p>
  </w:footnote>
  <w:footnote w:id="114">
    <w:p w:rsidR="00543111" w:rsidRPr="00EB1FC4" w:rsidRDefault="00543111" w:rsidP="00B63B41">
      <w:pPr>
        <w:shd w:val="clear" w:color="auto" w:fill="FFFFFF"/>
        <w:ind w:left="540" w:right="144" w:hanging="540"/>
        <w:jc w:val="both"/>
        <w:rPr>
          <w:rFonts w:ascii="Calibri" w:hAnsi="Calibri" w:cs="Tahoma"/>
          <w:b/>
          <w:sz w:val="16"/>
          <w:szCs w:val="16"/>
          <w:lang w:val="es-ES"/>
        </w:rPr>
      </w:pPr>
      <w:r w:rsidRPr="00F5075E">
        <w:rPr>
          <w:rFonts w:ascii="Calibri" w:hAnsi="Calibri"/>
          <w:sz w:val="16"/>
          <w:szCs w:val="16"/>
          <w:lang w:val="es-ES"/>
        </w:rPr>
        <w:t xml:space="preserve">  </w:t>
      </w:r>
      <w:r w:rsidRPr="00F5075E">
        <w:rPr>
          <w:rStyle w:val="FootnoteReference"/>
          <w:rFonts w:ascii="Calibri" w:hAnsi="Calibri"/>
          <w:sz w:val="16"/>
          <w:szCs w:val="16"/>
        </w:rPr>
        <w:footnoteRef/>
      </w:r>
      <w:r w:rsidRPr="00F5075E">
        <w:rPr>
          <w:rFonts w:ascii="Calibri" w:hAnsi="Calibri"/>
          <w:sz w:val="16"/>
          <w:szCs w:val="16"/>
          <w:lang w:val="es-ES"/>
        </w:rPr>
        <w:t xml:space="preserve"> </w:t>
      </w:r>
      <w:r w:rsidRPr="00F5075E">
        <w:rPr>
          <w:rFonts w:ascii="Calibri" w:hAnsi="Calibri"/>
          <w:sz w:val="16"/>
          <w:szCs w:val="16"/>
          <w:lang w:val="es-ES"/>
        </w:rPr>
        <w:tab/>
        <w:t>Véase, por ejemplo, informes y comunicados de prensa que han resultado de visitas a países con un enfoque temático,</w:t>
      </w:r>
      <w:r w:rsidRPr="00EB1FC4">
        <w:rPr>
          <w:rFonts w:ascii="Calibri" w:hAnsi="Calibri"/>
          <w:sz w:val="16"/>
          <w:szCs w:val="16"/>
          <w:lang w:val="es-ES"/>
        </w:rPr>
        <w:t xml:space="preserve"> CIDH, Comunicado de Prensa, No. 97/13,</w:t>
      </w:r>
      <w:r w:rsidRPr="00EB1FC4">
        <w:rPr>
          <w:rFonts w:ascii="Calibri" w:hAnsi="Calibri"/>
          <w:b/>
          <w:sz w:val="16"/>
          <w:szCs w:val="16"/>
          <w:lang w:val="es-ES"/>
        </w:rPr>
        <w:t xml:space="preserve"> </w:t>
      </w:r>
      <w:r w:rsidRPr="00EB1FC4">
        <w:rPr>
          <w:rStyle w:val="Strong"/>
          <w:rFonts w:ascii="Calibri" w:hAnsi="Calibri" w:cs="Tahoma"/>
          <w:b w:val="0"/>
          <w:i/>
          <w:sz w:val="16"/>
          <w:szCs w:val="16"/>
          <w:lang w:val="es-ES"/>
        </w:rPr>
        <w:t>CIDH culmina visita a República Dominicana</w:t>
      </w:r>
      <w:r w:rsidRPr="00EB1FC4">
        <w:rPr>
          <w:rStyle w:val="Strong"/>
          <w:rFonts w:ascii="Calibri" w:hAnsi="Calibri" w:cs="Tahoma"/>
          <w:b w:val="0"/>
          <w:sz w:val="16"/>
          <w:szCs w:val="16"/>
          <w:lang w:val="es-ES"/>
        </w:rPr>
        <w:t xml:space="preserve">, 6 de diciembre de 2013; CIDH, </w:t>
      </w:r>
      <w:r w:rsidRPr="00EB1FC4">
        <w:rPr>
          <w:rStyle w:val="Strong"/>
          <w:rFonts w:ascii="Calibri" w:hAnsi="Calibri" w:cs="Tahoma"/>
          <w:b w:val="0"/>
          <w:i/>
          <w:sz w:val="16"/>
          <w:szCs w:val="16"/>
          <w:lang w:val="es-ES"/>
        </w:rPr>
        <w:t xml:space="preserve">Informe de la Comisión Interamericana de Derechos Humanos sobre la </w:t>
      </w:r>
      <w:r>
        <w:rPr>
          <w:rStyle w:val="Strong"/>
          <w:rFonts w:ascii="Calibri" w:hAnsi="Calibri" w:cs="Tahoma"/>
          <w:b w:val="0"/>
          <w:i/>
          <w:sz w:val="16"/>
          <w:szCs w:val="16"/>
          <w:lang w:val="es-ES"/>
        </w:rPr>
        <w:t>s</w:t>
      </w:r>
      <w:r w:rsidRPr="00EB1FC4">
        <w:rPr>
          <w:rStyle w:val="Strong"/>
          <w:rFonts w:ascii="Calibri" w:hAnsi="Calibri" w:cs="Tahoma"/>
          <w:b w:val="0"/>
          <w:i/>
          <w:sz w:val="16"/>
          <w:szCs w:val="16"/>
          <w:lang w:val="es-ES"/>
        </w:rPr>
        <w:t xml:space="preserve">ituación de </w:t>
      </w:r>
      <w:r>
        <w:rPr>
          <w:rStyle w:val="Strong"/>
          <w:rFonts w:ascii="Calibri" w:hAnsi="Calibri" w:cs="Tahoma"/>
          <w:b w:val="0"/>
          <w:i/>
          <w:sz w:val="16"/>
          <w:szCs w:val="16"/>
          <w:lang w:val="es-ES"/>
        </w:rPr>
        <w:t>p</w:t>
      </w:r>
      <w:r w:rsidRPr="00EB1FC4">
        <w:rPr>
          <w:rStyle w:val="Strong"/>
          <w:rFonts w:ascii="Calibri" w:hAnsi="Calibri" w:cs="Tahoma"/>
          <w:b w:val="0"/>
          <w:i/>
          <w:sz w:val="16"/>
          <w:szCs w:val="16"/>
          <w:lang w:val="es-ES"/>
        </w:rPr>
        <w:t xml:space="preserve">ersonas </w:t>
      </w:r>
      <w:r>
        <w:rPr>
          <w:rStyle w:val="Strong"/>
          <w:rFonts w:ascii="Calibri" w:hAnsi="Calibri" w:cs="Tahoma"/>
          <w:b w:val="0"/>
          <w:i/>
          <w:sz w:val="16"/>
          <w:szCs w:val="16"/>
          <w:lang w:val="es-ES"/>
        </w:rPr>
        <w:t>p</w:t>
      </w:r>
      <w:r w:rsidRPr="00EB1FC4">
        <w:rPr>
          <w:rStyle w:val="Strong"/>
          <w:rFonts w:ascii="Calibri" w:hAnsi="Calibri" w:cs="Tahoma"/>
          <w:b w:val="0"/>
          <w:i/>
          <w:sz w:val="16"/>
          <w:szCs w:val="16"/>
          <w:lang w:val="es-ES"/>
        </w:rPr>
        <w:t xml:space="preserve">rivadas de </w:t>
      </w:r>
      <w:r>
        <w:rPr>
          <w:rStyle w:val="Strong"/>
          <w:rFonts w:ascii="Calibri" w:hAnsi="Calibri" w:cs="Tahoma"/>
          <w:b w:val="0"/>
          <w:i/>
          <w:sz w:val="16"/>
          <w:szCs w:val="16"/>
          <w:lang w:val="es-ES"/>
        </w:rPr>
        <w:t>l</w:t>
      </w:r>
      <w:r w:rsidRPr="00EB1FC4">
        <w:rPr>
          <w:rStyle w:val="Strong"/>
          <w:rFonts w:ascii="Calibri" w:hAnsi="Calibri" w:cs="Tahoma"/>
          <w:b w:val="0"/>
          <w:i/>
          <w:sz w:val="16"/>
          <w:szCs w:val="16"/>
          <w:lang w:val="es-ES"/>
        </w:rPr>
        <w:t>ibertad en Honduras</w:t>
      </w:r>
      <w:r w:rsidRPr="00EB1FC4">
        <w:rPr>
          <w:rStyle w:val="Strong"/>
          <w:rFonts w:ascii="Calibri" w:hAnsi="Calibri" w:cs="Tahoma"/>
          <w:b w:val="0"/>
          <w:sz w:val="16"/>
          <w:szCs w:val="16"/>
          <w:lang w:val="es-ES"/>
        </w:rPr>
        <w:t xml:space="preserve">, OEA/Ser.L/V/II.147 Doc. 6, 18 de marzo de 2013; CIDH, </w:t>
      </w:r>
      <w:r w:rsidRPr="00EB1FC4">
        <w:rPr>
          <w:rStyle w:val="Strong"/>
          <w:rFonts w:ascii="Calibri" w:hAnsi="Calibri" w:cs="Tahoma"/>
          <w:b w:val="0"/>
          <w:i/>
          <w:sz w:val="16"/>
          <w:szCs w:val="16"/>
          <w:lang w:val="es-ES"/>
        </w:rPr>
        <w:t>Comun</w:t>
      </w:r>
      <w:r>
        <w:rPr>
          <w:rStyle w:val="Strong"/>
          <w:rFonts w:ascii="Calibri" w:hAnsi="Calibri" w:cs="Tahoma"/>
          <w:b w:val="0"/>
          <w:i/>
          <w:sz w:val="16"/>
          <w:szCs w:val="16"/>
          <w:lang w:val="es-ES"/>
        </w:rPr>
        <w:t>idades Cautivas: Situación del p</w:t>
      </w:r>
      <w:r w:rsidRPr="00EB1FC4">
        <w:rPr>
          <w:rStyle w:val="Strong"/>
          <w:rFonts w:ascii="Calibri" w:hAnsi="Calibri" w:cs="Tahoma"/>
          <w:b w:val="0"/>
          <w:i/>
          <w:sz w:val="16"/>
          <w:szCs w:val="16"/>
          <w:lang w:val="es-ES"/>
        </w:rPr>
        <w:t xml:space="preserve">ueblo </w:t>
      </w:r>
      <w:r>
        <w:rPr>
          <w:rStyle w:val="Strong"/>
          <w:rFonts w:ascii="Calibri" w:hAnsi="Calibri" w:cs="Tahoma"/>
          <w:b w:val="0"/>
          <w:i/>
          <w:sz w:val="16"/>
          <w:szCs w:val="16"/>
          <w:lang w:val="es-ES"/>
        </w:rPr>
        <w:t>i</w:t>
      </w:r>
      <w:r w:rsidRPr="00EB1FC4">
        <w:rPr>
          <w:rStyle w:val="Strong"/>
          <w:rFonts w:ascii="Calibri" w:hAnsi="Calibri" w:cs="Tahoma"/>
          <w:b w:val="0"/>
          <w:i/>
          <w:sz w:val="16"/>
          <w:szCs w:val="16"/>
          <w:lang w:val="es-ES"/>
        </w:rPr>
        <w:t xml:space="preserve">ndígena Guaraní y </w:t>
      </w:r>
      <w:r>
        <w:rPr>
          <w:rStyle w:val="Strong"/>
          <w:rFonts w:ascii="Calibri" w:hAnsi="Calibri" w:cs="Tahoma"/>
          <w:b w:val="0"/>
          <w:i/>
          <w:sz w:val="16"/>
          <w:szCs w:val="16"/>
          <w:lang w:val="es-ES"/>
        </w:rPr>
        <w:t>f</w:t>
      </w:r>
      <w:r w:rsidRPr="00EB1FC4">
        <w:rPr>
          <w:rStyle w:val="Strong"/>
          <w:rFonts w:ascii="Calibri" w:hAnsi="Calibri" w:cs="Tahoma"/>
          <w:b w:val="0"/>
          <w:i/>
          <w:sz w:val="16"/>
          <w:szCs w:val="16"/>
          <w:lang w:val="es-ES"/>
        </w:rPr>
        <w:t xml:space="preserve">ormas </w:t>
      </w:r>
      <w:r>
        <w:rPr>
          <w:rStyle w:val="Strong"/>
          <w:rFonts w:ascii="Calibri" w:hAnsi="Calibri" w:cs="Tahoma"/>
          <w:b w:val="0"/>
          <w:i/>
          <w:sz w:val="16"/>
          <w:szCs w:val="16"/>
          <w:lang w:val="es-ES"/>
        </w:rPr>
        <w:t>c</w:t>
      </w:r>
      <w:r w:rsidRPr="00EB1FC4">
        <w:rPr>
          <w:rStyle w:val="Strong"/>
          <w:rFonts w:ascii="Calibri" w:hAnsi="Calibri" w:cs="Tahoma"/>
          <w:b w:val="0"/>
          <w:i/>
          <w:sz w:val="16"/>
          <w:szCs w:val="16"/>
          <w:lang w:val="es-ES"/>
        </w:rPr>
        <w:t xml:space="preserve">ontemporáneas de </w:t>
      </w:r>
      <w:r>
        <w:rPr>
          <w:rStyle w:val="Strong"/>
          <w:rFonts w:ascii="Calibri" w:hAnsi="Calibri" w:cs="Tahoma"/>
          <w:b w:val="0"/>
          <w:i/>
          <w:sz w:val="16"/>
          <w:szCs w:val="16"/>
          <w:lang w:val="es-ES"/>
        </w:rPr>
        <w:t>e</w:t>
      </w:r>
      <w:r w:rsidRPr="00EB1FC4">
        <w:rPr>
          <w:rStyle w:val="Strong"/>
          <w:rFonts w:ascii="Calibri" w:hAnsi="Calibri" w:cs="Tahoma"/>
          <w:b w:val="0"/>
          <w:i/>
          <w:sz w:val="16"/>
          <w:szCs w:val="16"/>
          <w:lang w:val="es-ES"/>
        </w:rPr>
        <w:t>sclavitud en el Chaco de Bolivia</w:t>
      </w:r>
      <w:r w:rsidRPr="00EB1FC4">
        <w:rPr>
          <w:rStyle w:val="Strong"/>
          <w:rFonts w:ascii="Calibri" w:hAnsi="Calibri" w:cs="Tahoma"/>
          <w:b w:val="0"/>
          <w:sz w:val="16"/>
          <w:szCs w:val="16"/>
          <w:lang w:val="es-ES"/>
        </w:rPr>
        <w:t xml:space="preserve">, OEA/Ser.L/V/II. Doc. 58, 24 de diciembre de 2009; CIDH, </w:t>
      </w:r>
      <w:r>
        <w:rPr>
          <w:rStyle w:val="Strong"/>
          <w:rFonts w:ascii="Calibri" w:hAnsi="Calibri" w:cs="Tahoma"/>
          <w:b w:val="0"/>
          <w:i/>
          <w:sz w:val="16"/>
          <w:szCs w:val="16"/>
          <w:lang w:val="es-ES"/>
        </w:rPr>
        <w:t>Observaciones p</w:t>
      </w:r>
      <w:r w:rsidRPr="00EB1FC4">
        <w:rPr>
          <w:rStyle w:val="Strong"/>
          <w:rFonts w:ascii="Calibri" w:hAnsi="Calibri" w:cs="Tahoma"/>
          <w:b w:val="0"/>
          <w:i/>
          <w:sz w:val="16"/>
          <w:szCs w:val="16"/>
          <w:lang w:val="es-ES"/>
        </w:rPr>
        <w:t>reliminares de la Comisión Interamericana de Derechos Humanos tras</w:t>
      </w:r>
      <w:r w:rsidRPr="00EB1FC4">
        <w:rPr>
          <w:rStyle w:val="Strong"/>
          <w:rFonts w:ascii="Calibri" w:hAnsi="Calibri" w:cs="Tahoma"/>
          <w:b w:val="0"/>
          <w:sz w:val="16"/>
          <w:szCs w:val="16"/>
          <w:lang w:val="es-ES"/>
        </w:rPr>
        <w:t xml:space="preserve"> </w:t>
      </w:r>
      <w:r w:rsidRPr="00EB1FC4">
        <w:rPr>
          <w:rStyle w:val="Strong"/>
          <w:rFonts w:ascii="Calibri" w:hAnsi="Calibri" w:cs="Tahoma"/>
          <w:b w:val="0"/>
          <w:i/>
          <w:sz w:val="16"/>
          <w:szCs w:val="16"/>
          <w:lang w:val="es-ES"/>
        </w:rPr>
        <w:t xml:space="preserve">la </w:t>
      </w:r>
      <w:r>
        <w:rPr>
          <w:rStyle w:val="Strong"/>
          <w:rFonts w:ascii="Calibri" w:hAnsi="Calibri" w:cs="Tahoma"/>
          <w:b w:val="0"/>
          <w:i/>
          <w:sz w:val="16"/>
          <w:szCs w:val="16"/>
          <w:lang w:val="es-ES"/>
        </w:rPr>
        <w:t>visita del r</w:t>
      </w:r>
      <w:r w:rsidRPr="00EB1FC4">
        <w:rPr>
          <w:rStyle w:val="Strong"/>
          <w:rFonts w:ascii="Calibri" w:hAnsi="Calibri" w:cs="Tahoma"/>
          <w:b w:val="0"/>
          <w:i/>
          <w:sz w:val="16"/>
          <w:szCs w:val="16"/>
          <w:lang w:val="es-ES"/>
        </w:rPr>
        <w:t xml:space="preserve">elator sobre los </w:t>
      </w:r>
      <w:r>
        <w:rPr>
          <w:rStyle w:val="Strong"/>
          <w:rFonts w:ascii="Calibri" w:hAnsi="Calibri" w:cs="Tahoma"/>
          <w:b w:val="0"/>
          <w:i/>
          <w:sz w:val="16"/>
          <w:szCs w:val="16"/>
          <w:lang w:val="es-ES"/>
        </w:rPr>
        <w:t>d</w:t>
      </w:r>
      <w:r w:rsidRPr="00EB1FC4">
        <w:rPr>
          <w:rStyle w:val="Strong"/>
          <w:rFonts w:ascii="Calibri" w:hAnsi="Calibri" w:cs="Tahoma"/>
          <w:b w:val="0"/>
          <w:i/>
          <w:sz w:val="16"/>
          <w:szCs w:val="16"/>
          <w:lang w:val="es-ES"/>
        </w:rPr>
        <w:t xml:space="preserve">erechos de los Afrodescendientes y contra la </w:t>
      </w:r>
      <w:r>
        <w:rPr>
          <w:rStyle w:val="Strong"/>
          <w:rFonts w:ascii="Calibri" w:hAnsi="Calibri" w:cs="Tahoma"/>
          <w:b w:val="0"/>
          <w:i/>
          <w:sz w:val="16"/>
          <w:szCs w:val="16"/>
          <w:lang w:val="es-ES"/>
        </w:rPr>
        <w:t>d</w:t>
      </w:r>
      <w:r w:rsidRPr="00EB1FC4">
        <w:rPr>
          <w:rStyle w:val="Strong"/>
          <w:rFonts w:ascii="Calibri" w:hAnsi="Calibri" w:cs="Tahoma"/>
          <w:b w:val="0"/>
          <w:i/>
          <w:sz w:val="16"/>
          <w:szCs w:val="16"/>
          <w:lang w:val="es-ES"/>
        </w:rPr>
        <w:t xml:space="preserve">iscriminación </w:t>
      </w:r>
      <w:r>
        <w:rPr>
          <w:rStyle w:val="Strong"/>
          <w:rFonts w:ascii="Calibri" w:hAnsi="Calibri" w:cs="Tahoma"/>
          <w:b w:val="0"/>
          <w:i/>
          <w:sz w:val="16"/>
          <w:szCs w:val="16"/>
          <w:lang w:val="es-ES"/>
        </w:rPr>
        <w:t>r</w:t>
      </w:r>
      <w:r w:rsidRPr="00EB1FC4">
        <w:rPr>
          <w:rStyle w:val="Strong"/>
          <w:rFonts w:ascii="Calibri" w:hAnsi="Calibri" w:cs="Tahoma"/>
          <w:b w:val="0"/>
          <w:i/>
          <w:sz w:val="16"/>
          <w:szCs w:val="16"/>
          <w:lang w:val="es-ES"/>
        </w:rPr>
        <w:t>acial a la República de Colombia</w:t>
      </w:r>
      <w:r w:rsidRPr="00EB1FC4">
        <w:rPr>
          <w:rStyle w:val="Strong"/>
          <w:rFonts w:ascii="Calibri" w:hAnsi="Calibri" w:cs="Tahoma"/>
          <w:b w:val="0"/>
          <w:sz w:val="16"/>
          <w:szCs w:val="16"/>
          <w:lang w:val="es-ES"/>
        </w:rPr>
        <w:t xml:space="preserve">, OEA/Ser.L/V/II.134 Doc. 66, 27 de marzo de 2009; CIDH, </w:t>
      </w:r>
      <w:r>
        <w:rPr>
          <w:rStyle w:val="Strong"/>
          <w:rFonts w:ascii="Calibri" w:hAnsi="Calibri" w:cs="Tahoma"/>
          <w:b w:val="0"/>
          <w:i/>
          <w:sz w:val="16"/>
          <w:szCs w:val="16"/>
          <w:lang w:val="es-ES"/>
        </w:rPr>
        <w:t>Las m</w:t>
      </w:r>
      <w:r w:rsidRPr="00EB1FC4">
        <w:rPr>
          <w:rStyle w:val="Strong"/>
          <w:rFonts w:ascii="Calibri" w:hAnsi="Calibri" w:cs="Tahoma"/>
          <w:b w:val="0"/>
          <w:i/>
          <w:sz w:val="16"/>
          <w:szCs w:val="16"/>
          <w:lang w:val="es-ES"/>
        </w:rPr>
        <w:t xml:space="preserve">ujeres </w:t>
      </w:r>
      <w:r>
        <w:rPr>
          <w:rStyle w:val="Strong"/>
          <w:rFonts w:ascii="Calibri" w:hAnsi="Calibri" w:cs="Tahoma"/>
          <w:b w:val="0"/>
          <w:i/>
          <w:sz w:val="16"/>
          <w:szCs w:val="16"/>
          <w:lang w:val="es-ES"/>
        </w:rPr>
        <w:t>f</w:t>
      </w:r>
      <w:r w:rsidRPr="00EB1FC4">
        <w:rPr>
          <w:rStyle w:val="Strong"/>
          <w:rFonts w:ascii="Calibri" w:hAnsi="Calibri" w:cs="Tahoma"/>
          <w:b w:val="0"/>
          <w:i/>
          <w:sz w:val="16"/>
          <w:szCs w:val="16"/>
          <w:lang w:val="es-ES"/>
        </w:rPr>
        <w:t xml:space="preserve">rente a la </w:t>
      </w:r>
      <w:r>
        <w:rPr>
          <w:rStyle w:val="Strong"/>
          <w:rFonts w:ascii="Calibri" w:hAnsi="Calibri" w:cs="Tahoma"/>
          <w:b w:val="0"/>
          <w:i/>
          <w:sz w:val="16"/>
          <w:szCs w:val="16"/>
          <w:lang w:val="es-ES"/>
        </w:rPr>
        <w:t>v</w:t>
      </w:r>
      <w:r w:rsidRPr="00EB1FC4">
        <w:rPr>
          <w:rStyle w:val="Strong"/>
          <w:rFonts w:ascii="Calibri" w:hAnsi="Calibri" w:cs="Tahoma"/>
          <w:b w:val="0"/>
          <w:i/>
          <w:sz w:val="16"/>
          <w:szCs w:val="16"/>
          <w:lang w:val="es-ES"/>
        </w:rPr>
        <w:t xml:space="preserve">iolencia y la </w:t>
      </w:r>
      <w:r>
        <w:rPr>
          <w:rStyle w:val="Strong"/>
          <w:rFonts w:ascii="Calibri" w:hAnsi="Calibri" w:cs="Tahoma"/>
          <w:b w:val="0"/>
          <w:i/>
          <w:sz w:val="16"/>
          <w:szCs w:val="16"/>
          <w:lang w:val="es-ES"/>
        </w:rPr>
        <w:t>d</w:t>
      </w:r>
      <w:r w:rsidRPr="00EB1FC4">
        <w:rPr>
          <w:rStyle w:val="Strong"/>
          <w:rFonts w:ascii="Calibri" w:hAnsi="Calibri" w:cs="Tahoma"/>
          <w:b w:val="0"/>
          <w:i/>
          <w:sz w:val="16"/>
          <w:szCs w:val="16"/>
          <w:lang w:val="es-ES"/>
        </w:rPr>
        <w:t xml:space="preserve">iscriminación </w:t>
      </w:r>
      <w:r>
        <w:rPr>
          <w:rStyle w:val="Strong"/>
          <w:rFonts w:ascii="Calibri" w:hAnsi="Calibri" w:cs="Tahoma"/>
          <w:b w:val="0"/>
          <w:i/>
          <w:sz w:val="16"/>
          <w:szCs w:val="16"/>
          <w:lang w:val="es-ES"/>
        </w:rPr>
        <w:t>d</w:t>
      </w:r>
      <w:r w:rsidRPr="00EB1FC4">
        <w:rPr>
          <w:rStyle w:val="Strong"/>
          <w:rFonts w:ascii="Calibri" w:hAnsi="Calibri" w:cs="Tahoma"/>
          <w:b w:val="0"/>
          <w:i/>
          <w:sz w:val="16"/>
          <w:szCs w:val="16"/>
          <w:lang w:val="es-ES"/>
        </w:rPr>
        <w:t xml:space="preserve">erivadas del </w:t>
      </w:r>
      <w:r>
        <w:rPr>
          <w:rStyle w:val="Strong"/>
          <w:rFonts w:ascii="Calibri" w:hAnsi="Calibri" w:cs="Tahoma"/>
          <w:b w:val="0"/>
          <w:i/>
          <w:sz w:val="16"/>
          <w:szCs w:val="16"/>
          <w:lang w:val="es-ES"/>
        </w:rPr>
        <w:t>c</w:t>
      </w:r>
      <w:r w:rsidRPr="00EB1FC4">
        <w:rPr>
          <w:rStyle w:val="Strong"/>
          <w:rFonts w:ascii="Calibri" w:hAnsi="Calibri" w:cs="Tahoma"/>
          <w:b w:val="0"/>
          <w:i/>
          <w:sz w:val="16"/>
          <w:szCs w:val="16"/>
          <w:lang w:val="es-ES"/>
        </w:rPr>
        <w:t xml:space="preserve">onflicto </w:t>
      </w:r>
      <w:r>
        <w:rPr>
          <w:rStyle w:val="Strong"/>
          <w:rFonts w:ascii="Calibri" w:hAnsi="Calibri" w:cs="Tahoma"/>
          <w:b w:val="0"/>
          <w:i/>
          <w:sz w:val="16"/>
          <w:szCs w:val="16"/>
          <w:lang w:val="es-ES"/>
        </w:rPr>
        <w:t>a</w:t>
      </w:r>
      <w:r w:rsidRPr="00EB1FC4">
        <w:rPr>
          <w:rStyle w:val="Strong"/>
          <w:rFonts w:ascii="Calibri" w:hAnsi="Calibri" w:cs="Tahoma"/>
          <w:b w:val="0"/>
          <w:i/>
          <w:sz w:val="16"/>
          <w:szCs w:val="16"/>
          <w:lang w:val="es-ES"/>
        </w:rPr>
        <w:t>rmado en Colombia</w:t>
      </w:r>
      <w:r w:rsidRPr="00EB1FC4">
        <w:rPr>
          <w:rStyle w:val="Strong"/>
          <w:rFonts w:ascii="Calibri" w:hAnsi="Calibri" w:cs="Tahoma"/>
          <w:b w:val="0"/>
          <w:sz w:val="16"/>
          <w:szCs w:val="16"/>
          <w:lang w:val="es-ES"/>
        </w:rPr>
        <w:t>, OEA/Ser.L/V/II. Doc. 67, 18 de octubre de 2006.</w:t>
      </w:r>
    </w:p>
  </w:footnote>
  <w:footnote w:id="115">
    <w:p w:rsidR="00543111" w:rsidRPr="00EB1FC4" w:rsidRDefault="00543111" w:rsidP="00B63B41">
      <w:pPr>
        <w:pStyle w:val="Default"/>
        <w:ind w:left="540" w:hanging="540"/>
        <w:jc w:val="both"/>
        <w:rPr>
          <w:sz w:val="16"/>
          <w:szCs w:val="16"/>
          <w:lang w:val="es-ES"/>
        </w:rPr>
      </w:pPr>
      <w:r w:rsidRPr="00EB1FC4">
        <w:rPr>
          <w:rStyle w:val="FootnoteReference"/>
          <w:sz w:val="16"/>
          <w:szCs w:val="16"/>
        </w:rPr>
        <w:footnoteRef/>
      </w:r>
      <w:r w:rsidRPr="00EB1FC4">
        <w:rPr>
          <w:sz w:val="16"/>
          <w:szCs w:val="16"/>
          <w:lang w:val="es-ES"/>
        </w:rPr>
        <w:t xml:space="preserve"> </w:t>
      </w:r>
      <w:r>
        <w:rPr>
          <w:sz w:val="16"/>
          <w:szCs w:val="16"/>
          <w:lang w:val="es-ES"/>
        </w:rPr>
        <w:tab/>
      </w:r>
      <w:r w:rsidRPr="00EB1FC4">
        <w:rPr>
          <w:sz w:val="16"/>
          <w:szCs w:val="16"/>
          <w:lang w:val="es-ES"/>
        </w:rPr>
        <w:t>Una de las primeras sentencias discutidas por la CIDH sobre este tema fue la Sentencia T‐025 de 2004 adoptada por la Corte Constitucional de Colombia, la cual aborda una serie de derechos de la población desplazada que están siendo vulnerados al interior del país y la necesidad del Estado colombiano de asegurar un nivel de protección para esta población.  La Corte Constitucional en dicha sentencia identifica el mínimo de protección que la población desplazada debe recibir por parte del Estado, el cual comprende una serie de derechos relevantes para las personas afectadas, incluyendo: a ser registradas, a especial protección; a ayuda inmediata por el término de tres meses; a la entrega de un documento que acredite su inscripción en una entidad promotora de salud; a retornar en condiciones de seguridad; y a que se identifiquen circunstancias específicas de su situación personal para definir cómo pueden generar ingresos, entre otros derechos.  La CIDH a su vez se ha referido de forma positiva al Auto 092-08, en el cual la Corte Constitucional verifica que el desplazamiento forzado tiene un impacto desproporcionado en las mujeres por los diversos riesgos de género identificados como causas del desplazamiento. La Corte en dicho auto establece el deber de las autoridades de prevenir el impacto desproporcionado del desplazamiento sobre las mujeres y de garantizar los derechos fundamentales de las mujeres afectadas por dicho fenómeno, y ordenó el diseño e implementación de 13 programas para la protección de los derechos de las mujeres desplazadas, con la participación de la CIDH, entre otras entidades. Véase, http://www.corteconstitucional.gov.co</w:t>
      </w:r>
    </w:p>
  </w:footnote>
  <w:footnote w:id="116">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_tradnl"/>
        </w:rPr>
        <w:t xml:space="preserve">Véase, en general, Informe Nacional ante el Consejo de Derechos Humanos con motivo del Examen Periódico Universal presentado por Costa Rica (2014), disponible en: </w:t>
      </w:r>
      <w:hyperlink r:id="rId7" w:history="1">
        <w:r w:rsidRPr="00EB1FC4">
          <w:rPr>
            <w:rStyle w:val="Hyperlink"/>
            <w:rFonts w:ascii="Calibri" w:hAnsi="Calibri"/>
            <w:sz w:val="16"/>
            <w:szCs w:val="16"/>
            <w:lang w:val="es-ES_tradnl"/>
          </w:rPr>
          <w:t>http://www.ohchr.org/EN/HRBodies/UPR/Pages/Documentation.aspx</w:t>
        </w:r>
      </w:hyperlink>
    </w:p>
  </w:footnote>
  <w:footnote w:id="117">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_tradnl"/>
        </w:rPr>
        <w:t xml:space="preserve">Informe Nacional ante el Consejo de Derechos Humanos con motivo del Examen Periódico Universal presentado por Ecuador (2012), disponible en: </w:t>
      </w:r>
      <w:hyperlink r:id="rId8" w:history="1">
        <w:r w:rsidRPr="00EB1FC4">
          <w:rPr>
            <w:rStyle w:val="Hyperlink"/>
            <w:rFonts w:ascii="Calibri" w:hAnsi="Calibri"/>
            <w:sz w:val="16"/>
            <w:szCs w:val="16"/>
            <w:lang w:val="es-ES_tradnl"/>
          </w:rPr>
          <w:t>http://www.ohchr.org/EN/HRBodies/UPR/Pages/Documentation.aspx</w:t>
        </w:r>
      </w:hyperlink>
    </w:p>
  </w:footnote>
  <w:footnote w:id="118">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en general, Naciones Unidas, Comité de Derechos Económicos, Sociales y Culturales, </w:t>
      </w:r>
      <w:r w:rsidRPr="00EB1FC4">
        <w:rPr>
          <w:rFonts w:ascii="Calibri" w:hAnsi="Calibri"/>
          <w:i/>
          <w:sz w:val="16"/>
          <w:szCs w:val="16"/>
          <w:lang w:val="es-ES"/>
        </w:rPr>
        <w:t>Observaciones sobre Ecuador</w:t>
      </w:r>
      <w:r w:rsidRPr="00EB1FC4">
        <w:rPr>
          <w:rFonts w:ascii="Calibri" w:hAnsi="Calibri"/>
          <w:sz w:val="16"/>
          <w:szCs w:val="16"/>
          <w:lang w:val="es-ES"/>
        </w:rPr>
        <w:t xml:space="preserve">, E/C.12/ECU/CO/3, 13 de diciembre de 2012; Comité de Derechos Humanos, </w:t>
      </w:r>
      <w:r w:rsidRPr="00EB1FC4">
        <w:rPr>
          <w:rFonts w:ascii="Calibri" w:hAnsi="Calibri"/>
          <w:i/>
          <w:sz w:val="16"/>
          <w:szCs w:val="16"/>
          <w:lang w:val="es-ES"/>
        </w:rPr>
        <w:t>Observaciones finales sobre Ecuador</w:t>
      </w:r>
      <w:r w:rsidRPr="00EB1FC4">
        <w:rPr>
          <w:rFonts w:ascii="Calibri" w:hAnsi="Calibri"/>
          <w:sz w:val="16"/>
          <w:szCs w:val="16"/>
          <w:lang w:val="es-ES"/>
        </w:rPr>
        <w:t>, CCPR/C/ECU/CO/5, 4 de noviembre de 2008.</w:t>
      </w:r>
    </w:p>
  </w:footnote>
  <w:footnote w:id="119">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w:t>
      </w:r>
      <w:r w:rsidRPr="00EB1FC4">
        <w:rPr>
          <w:rFonts w:ascii="Calibri" w:hAnsi="Calibri"/>
          <w:color w:val="000000"/>
          <w:sz w:val="16"/>
          <w:szCs w:val="16"/>
          <w:lang w:val="es-ES"/>
        </w:rPr>
        <w:t xml:space="preserve">Corte IDH. </w:t>
      </w:r>
      <w:r w:rsidRPr="00EB1FC4">
        <w:rPr>
          <w:rFonts w:ascii="Calibri" w:hAnsi="Calibri"/>
          <w:bCs/>
          <w:i/>
          <w:color w:val="000000"/>
          <w:sz w:val="16"/>
          <w:szCs w:val="16"/>
          <w:lang w:val="es-ES"/>
        </w:rPr>
        <w:t xml:space="preserve">Caso Fernández Ortega y otros Vs. México. </w:t>
      </w:r>
      <w:r w:rsidRPr="00EB1FC4">
        <w:rPr>
          <w:rFonts w:ascii="Calibri" w:hAnsi="Calibri"/>
          <w:color w:val="000000"/>
          <w:sz w:val="16"/>
          <w:szCs w:val="16"/>
          <w:lang w:val="es-ES"/>
        </w:rPr>
        <w:t xml:space="preserve">Interpretación de la Sentencia de Excepción Preliminar, Fondo, Reparaciones y Costas. Sentencia de 15 de mayo de 2011. Serie C No. 224; Corte IDH. </w:t>
      </w:r>
      <w:r w:rsidRPr="00EB1FC4">
        <w:rPr>
          <w:rFonts w:ascii="Calibri" w:hAnsi="Calibri"/>
          <w:bCs/>
          <w:i/>
          <w:color w:val="000000"/>
          <w:sz w:val="16"/>
          <w:szCs w:val="16"/>
          <w:lang w:val="es-ES"/>
        </w:rPr>
        <w:t xml:space="preserve">Caso Rosendo Cantú y Otras Vs. México. </w:t>
      </w:r>
      <w:r w:rsidRPr="00EB1FC4">
        <w:rPr>
          <w:rFonts w:ascii="Calibri" w:hAnsi="Calibri"/>
          <w:color w:val="000000"/>
          <w:sz w:val="16"/>
          <w:szCs w:val="16"/>
          <w:lang w:val="es-ES"/>
        </w:rPr>
        <w:t xml:space="preserve">Interpretación de la Sentencia de Excepción Preliminar, Fondo, Reparaciones y Costas. Sentencia de 15 de mayo de 2011. Serie C No. 225; Corte IDH. </w:t>
      </w:r>
      <w:r w:rsidRPr="00EB1FC4">
        <w:rPr>
          <w:rFonts w:ascii="Calibri" w:hAnsi="Calibri"/>
          <w:bCs/>
          <w:i/>
          <w:color w:val="000000"/>
          <w:sz w:val="16"/>
          <w:szCs w:val="16"/>
          <w:lang w:val="es-ES"/>
        </w:rPr>
        <w:t>Caso Cabrera García y Montiel Flores Vs. México.</w:t>
      </w:r>
      <w:r w:rsidRPr="00EB1FC4">
        <w:rPr>
          <w:rFonts w:ascii="Calibri" w:hAnsi="Calibri"/>
          <w:b/>
          <w:bCs/>
          <w:color w:val="000000"/>
          <w:sz w:val="16"/>
          <w:szCs w:val="16"/>
          <w:lang w:val="es-ES"/>
        </w:rPr>
        <w:t xml:space="preserve"> </w:t>
      </w:r>
      <w:r w:rsidRPr="00EB1FC4">
        <w:rPr>
          <w:rFonts w:ascii="Calibri" w:hAnsi="Calibri"/>
          <w:color w:val="000000"/>
          <w:sz w:val="16"/>
          <w:szCs w:val="16"/>
          <w:lang w:val="es-ES"/>
        </w:rPr>
        <w:t xml:space="preserve">Excepción Preliminar, Fondo, Reparaciones y Costas. Sentencia de 26 de noviembre de 2010. Serie C No. 220; </w:t>
      </w:r>
      <w:r w:rsidRPr="00EB1FC4">
        <w:rPr>
          <w:rFonts w:ascii="Calibri" w:hAnsi="Calibri" w:cs="Arial"/>
          <w:sz w:val="16"/>
          <w:szCs w:val="16"/>
          <w:lang w:val="es-UY"/>
        </w:rPr>
        <w:t xml:space="preserve">Corte IDH. </w:t>
      </w:r>
      <w:r w:rsidRPr="00EB1FC4">
        <w:rPr>
          <w:rFonts w:ascii="Calibri" w:hAnsi="Calibri"/>
          <w:bCs/>
          <w:i/>
          <w:color w:val="000000"/>
          <w:sz w:val="16"/>
          <w:szCs w:val="16"/>
          <w:lang w:val="es-ES"/>
        </w:rPr>
        <w:t>Caso González y otras (“Campo Algodonero”) Vs. México</w:t>
      </w:r>
      <w:r w:rsidRPr="00EB1FC4">
        <w:rPr>
          <w:rFonts w:ascii="Calibri" w:hAnsi="Calibri"/>
          <w:b/>
          <w:bCs/>
          <w:color w:val="000000"/>
          <w:sz w:val="16"/>
          <w:szCs w:val="16"/>
          <w:lang w:val="es-ES"/>
        </w:rPr>
        <w:t xml:space="preserve">. </w:t>
      </w:r>
      <w:r w:rsidRPr="00EB1FC4">
        <w:rPr>
          <w:rFonts w:ascii="Calibri" w:hAnsi="Calibri"/>
          <w:color w:val="000000"/>
          <w:sz w:val="16"/>
          <w:szCs w:val="16"/>
          <w:lang w:val="es-ES"/>
        </w:rPr>
        <w:t xml:space="preserve">Excepción Preliminar, Fondo, Reparaciones y Costas. Sentencia de 16 de noviembre de 2009. Serie C No. 205; Corte IDH. </w:t>
      </w:r>
      <w:r w:rsidRPr="00EB1FC4">
        <w:rPr>
          <w:rFonts w:ascii="Calibri" w:hAnsi="Calibri"/>
          <w:bCs/>
          <w:i/>
          <w:color w:val="000000"/>
          <w:sz w:val="16"/>
          <w:szCs w:val="16"/>
          <w:lang w:val="es-ES"/>
        </w:rPr>
        <w:t xml:space="preserve">Caso Radilla Pacheco Vs. México. </w:t>
      </w:r>
      <w:r w:rsidRPr="00EB1FC4">
        <w:rPr>
          <w:rFonts w:ascii="Calibri" w:hAnsi="Calibri"/>
          <w:color w:val="000000"/>
          <w:sz w:val="16"/>
          <w:szCs w:val="16"/>
          <w:lang w:val="es-ES"/>
        </w:rPr>
        <w:t>Excepciones Preliminares, Fondo, Reparaciones y Costas. Sentencia de 23 de Noviembre de 2009. Serie C No. 209.</w:t>
      </w:r>
    </w:p>
    <w:p w:rsidR="00543111" w:rsidRPr="00EB1FC4" w:rsidRDefault="00543111" w:rsidP="00747F82">
      <w:pPr>
        <w:pStyle w:val="FootnoteText"/>
        <w:ind w:left="540"/>
        <w:jc w:val="both"/>
        <w:rPr>
          <w:rFonts w:ascii="Calibri" w:hAnsi="Calibri"/>
          <w:sz w:val="16"/>
          <w:szCs w:val="16"/>
          <w:lang w:val="es-ES_tradnl"/>
        </w:rPr>
      </w:pPr>
      <w:r w:rsidRPr="00EB1FC4">
        <w:rPr>
          <w:rFonts w:ascii="Calibri" w:hAnsi="Calibri"/>
          <w:sz w:val="16"/>
          <w:szCs w:val="16"/>
          <w:lang w:val="es-ES"/>
        </w:rPr>
        <w:t xml:space="preserve">Respuestas a los cuestionarios recibidas por organizaciones de México a su vez comunican que la ratificación de instrumentos interamericanos por el Estado ha tenido un impacto positivo, sobretodo en el sentido de proporcionar más herramientas a la sociedad civil. Sin embargo, concluyen que las mismas no han logrado evitar o transformar hasta este momento, una situación nacional de crisis en materia de derechos humanos.  </w:t>
      </w:r>
      <w:r w:rsidRPr="00EB1FC4">
        <w:rPr>
          <w:rFonts w:ascii="Calibri" w:hAnsi="Calibri"/>
          <w:sz w:val="16"/>
          <w:szCs w:val="16"/>
          <w:lang w:val="es-ES_tradnl"/>
        </w:rPr>
        <w:t>Véase, por ejemplo, Respuesta al cuestionario de Centro de Derechos Humanos de la Montaña, Comisión Mexicana de Defensa y Promoción de los Derechos Humanos A.C., y Centro PRODH-México.</w:t>
      </w:r>
    </w:p>
  </w:footnote>
  <w:footnote w:id="120">
    <w:p w:rsidR="00543111" w:rsidRPr="00EB1FC4" w:rsidRDefault="00543111" w:rsidP="00B63B41">
      <w:pPr>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CIDH, Comunicado d</w:t>
      </w:r>
      <w:r>
        <w:rPr>
          <w:rFonts w:ascii="Calibri" w:hAnsi="Calibri"/>
          <w:sz w:val="16"/>
          <w:szCs w:val="16"/>
          <w:lang w:val="es-ES"/>
        </w:rPr>
        <w:t>e Prensa, CIDH Culmina el 141º p</w:t>
      </w:r>
      <w:r w:rsidRPr="00EB1FC4">
        <w:rPr>
          <w:rFonts w:ascii="Calibri" w:hAnsi="Calibri"/>
          <w:sz w:val="16"/>
          <w:szCs w:val="16"/>
          <w:lang w:val="es-ES"/>
        </w:rPr>
        <w:t xml:space="preserve">eriodo de </w:t>
      </w:r>
      <w:r>
        <w:rPr>
          <w:rFonts w:ascii="Calibri" w:hAnsi="Calibri"/>
          <w:sz w:val="16"/>
          <w:szCs w:val="16"/>
          <w:lang w:val="es-ES"/>
        </w:rPr>
        <w:t>s</w:t>
      </w:r>
      <w:r w:rsidRPr="00EB1FC4">
        <w:rPr>
          <w:rFonts w:ascii="Calibri" w:hAnsi="Calibri"/>
          <w:sz w:val="16"/>
          <w:szCs w:val="16"/>
          <w:lang w:val="es-ES"/>
        </w:rPr>
        <w:t xml:space="preserve">esiones, 1 de abril de 2011. Sobre esta reforma en particular, el Estado asevera en su respuesta al cuestionario que la misma: </w:t>
      </w:r>
    </w:p>
    <w:p w:rsidR="00543111" w:rsidRPr="00EB1FC4" w:rsidRDefault="00543111" w:rsidP="00FB5DA4">
      <w:pPr>
        <w:pStyle w:val="Default"/>
        <w:ind w:left="540"/>
        <w:jc w:val="both"/>
        <w:rPr>
          <w:sz w:val="16"/>
          <w:szCs w:val="16"/>
          <w:lang w:val="es-ES"/>
        </w:rPr>
      </w:pPr>
      <w:r w:rsidRPr="00EB1FC4">
        <w:rPr>
          <w:color w:val="auto"/>
          <w:sz w:val="16"/>
          <w:szCs w:val="16"/>
          <w:lang w:val="es-ES"/>
        </w:rPr>
        <w:t>Implica una modificación de raíz de la forma en que las autoridades deben sustentar su actuación, en tanto deben apegarse a las obligaciones y estándares interamericanos de derechos humanos para asegurar su aplicación directa en México.  Mediante la reforma se inserta plenamente el concepto de derechos humanos a nuestra Constitución, incorporando el catálogo constitucional de derechos humanos aquellos consagrados en los tratados internacionales de los que México es Estado Parte. Asimismo, se incluye el principio pro persona como principio rector de interpretación de las normas de derechos humanos.</w:t>
      </w:r>
    </w:p>
    <w:p w:rsidR="00543111" w:rsidRPr="00EB1FC4" w:rsidRDefault="00543111" w:rsidP="00747F82">
      <w:pPr>
        <w:pStyle w:val="FootnoteText"/>
        <w:ind w:left="540"/>
        <w:jc w:val="both"/>
        <w:rPr>
          <w:rFonts w:ascii="Calibri" w:hAnsi="Calibri"/>
          <w:sz w:val="16"/>
          <w:szCs w:val="16"/>
          <w:lang w:val="es-ES"/>
        </w:rPr>
      </w:pPr>
      <w:r w:rsidRPr="00EB1FC4">
        <w:rPr>
          <w:rFonts w:ascii="Calibri" w:hAnsi="Calibri"/>
          <w:sz w:val="16"/>
          <w:szCs w:val="16"/>
          <w:lang w:val="es-ES"/>
        </w:rPr>
        <w:t>El Estado a su vez informa sobre diversas actividades llevadas a cabo por el poder judicial como resultado de esta reforma constitucional, incluyendo el conocimiento del caso Radilla por la Suprema Corte de la Justicia de la Nación (SCJN).  A partir de la resolución del caso Radilla, se establece la obligación para el Poder judicial de realizar un control de convencionalidad ex officio entre las normas internas y la Convención Americana, teniendo como marco del artículo 1° de la Constitución.</w:t>
      </w:r>
    </w:p>
  </w:footnote>
  <w:footnote w:id="121">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
        </w:rPr>
        <w:t xml:space="preserve">La CIDH tiene entendido que la reciente aprobación de estas reformas se da en el marco del cumplimiento por parte del Estado mexicano de las recomendaciones emitidas por la CIDH en su informe de país del 1998, en el caso de las Hermanas González Pérez y a las reparaciones establecidas en las sentencias de la Corte arriba indicadas.  </w:t>
      </w:r>
      <w:r w:rsidRPr="00EB1FC4">
        <w:rPr>
          <w:rFonts w:ascii="Calibri" w:hAnsi="Calibri"/>
          <w:sz w:val="16"/>
          <w:szCs w:val="16"/>
          <w:lang w:val="es-ES_tradnl"/>
        </w:rPr>
        <w:t>CIDH, Comunicado de Prensa No. 53/14, CIDH valora reformas de justicia militar en México, 9 de mayo de 2014.</w:t>
      </w:r>
    </w:p>
  </w:footnote>
  <w:footnote w:id="122">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_tradnl"/>
        </w:rPr>
        <w:t xml:space="preserve"> </w:t>
      </w:r>
      <w:r>
        <w:rPr>
          <w:rFonts w:ascii="Calibri" w:hAnsi="Calibri"/>
          <w:sz w:val="16"/>
          <w:szCs w:val="16"/>
          <w:lang w:val="es-ES_tradnl"/>
        </w:rPr>
        <w:tab/>
      </w:r>
      <w:r w:rsidRPr="00EB1FC4">
        <w:rPr>
          <w:rFonts w:ascii="Calibri" w:hAnsi="Calibri"/>
          <w:sz w:val="16"/>
          <w:szCs w:val="16"/>
          <w:lang w:val="es-ES_tradnl"/>
        </w:rPr>
        <w:t>CIDH, Comunicado de Prensa No. 53/14, CIDH valora reformas de justicia militar en México, 9 de mayo de 2014.</w:t>
      </w:r>
    </w:p>
  </w:footnote>
  <w:footnote w:id="123">
    <w:p w:rsidR="00543111" w:rsidRPr="00EB1FC4" w:rsidRDefault="00543111" w:rsidP="00B63B41">
      <w:pPr>
        <w:pStyle w:val="NormalWeb"/>
        <w:shd w:val="clear" w:color="auto" w:fill="FFFFFF"/>
        <w:spacing w:before="0" w:beforeAutospacing="0" w:after="0" w:afterAutospacing="0"/>
        <w:ind w:left="540" w:right="144" w:hanging="540"/>
        <w:rPr>
          <w:rFonts w:ascii="Calibri" w:hAnsi="Calibri" w:cs="Tahoma"/>
          <w:sz w:val="16"/>
          <w:szCs w:val="16"/>
          <w:lang w:val="es-ES_tradnl"/>
        </w:rPr>
      </w:pPr>
      <w:r w:rsidRPr="00EB1FC4">
        <w:rPr>
          <w:rStyle w:val="FootnoteReference"/>
          <w:rFonts w:ascii="Calibri" w:hAnsi="Calibri"/>
          <w:sz w:val="16"/>
          <w:szCs w:val="16"/>
        </w:rPr>
        <w:footnoteRef/>
      </w:r>
      <w:r w:rsidRPr="00747F82">
        <w:rPr>
          <w:rFonts w:ascii="Calibri" w:hAnsi="Calibri"/>
          <w:sz w:val="16"/>
          <w:szCs w:val="16"/>
          <w:lang w:val="es-ES_tradnl"/>
        </w:rPr>
        <w:t xml:space="preserve"> </w:t>
      </w:r>
      <w:r>
        <w:rPr>
          <w:rFonts w:ascii="Calibri" w:hAnsi="Calibri"/>
          <w:sz w:val="16"/>
          <w:szCs w:val="16"/>
          <w:lang w:val="es-ES_tradnl"/>
        </w:rPr>
        <w:tab/>
      </w:r>
      <w:r w:rsidRPr="00747F82">
        <w:rPr>
          <w:rFonts w:ascii="Calibri" w:hAnsi="Calibri"/>
          <w:sz w:val="16"/>
          <w:szCs w:val="16"/>
          <w:lang w:val="es-ES_tradnl"/>
        </w:rPr>
        <w:t xml:space="preserve">CIDH, Comunicado de Prensa No. 76/14, </w:t>
      </w:r>
      <w:r w:rsidRPr="00EB1FC4">
        <w:rPr>
          <w:rStyle w:val="Strong"/>
          <w:rFonts w:ascii="Calibri" w:hAnsi="Calibri" w:cs="Tahoma"/>
          <w:b w:val="0"/>
          <w:sz w:val="16"/>
          <w:szCs w:val="16"/>
          <w:lang w:val="es-ES_tradnl"/>
        </w:rPr>
        <w:t>CIDH valora retiro de reservas por parte de México</w:t>
      </w:r>
      <w:r w:rsidRPr="00747F82">
        <w:rPr>
          <w:rFonts w:ascii="Calibri" w:hAnsi="Calibri"/>
          <w:sz w:val="16"/>
          <w:szCs w:val="16"/>
          <w:lang w:val="es-ES_tradnl"/>
        </w:rPr>
        <w:t>, 22 de julio de 2014.</w:t>
      </w:r>
    </w:p>
  </w:footnote>
  <w:footnote w:id="124">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_tradnl"/>
        </w:rPr>
        <w:t xml:space="preserve">Véase, en general, Informe Nacional ante el Consejo de Derechos Humanos con motivo del Examen Periódico Universal presentado por Panamá (2010) disponible en: </w:t>
      </w:r>
      <w:hyperlink r:id="rId9" w:history="1">
        <w:r w:rsidRPr="00EB1FC4">
          <w:rPr>
            <w:rStyle w:val="Hyperlink"/>
            <w:rFonts w:ascii="Calibri" w:hAnsi="Calibri"/>
            <w:sz w:val="16"/>
            <w:szCs w:val="16"/>
            <w:lang w:val="es-ES_tradnl"/>
          </w:rPr>
          <w:t>http://www.ohchr.org/EN/HRBodies/UPR/Pages/Documentation.aspx</w:t>
        </w:r>
      </w:hyperlink>
    </w:p>
  </w:footnote>
  <w:footnote w:id="125">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en general, Naciones Unidas, Consejo de Derechos Humanos, Informe del Grupo de Trabajo de Expertos sobre los Afrodescendientes, </w:t>
      </w:r>
      <w:r w:rsidRPr="00EB1FC4">
        <w:rPr>
          <w:rFonts w:ascii="Calibri" w:hAnsi="Calibri"/>
          <w:i/>
          <w:sz w:val="16"/>
          <w:szCs w:val="16"/>
          <w:lang w:val="es-ES"/>
        </w:rPr>
        <w:t>Misión a Panamá</w:t>
      </w:r>
      <w:r w:rsidRPr="00EB1FC4">
        <w:rPr>
          <w:rFonts w:ascii="Calibri" w:hAnsi="Calibri"/>
          <w:sz w:val="16"/>
          <w:szCs w:val="16"/>
          <w:lang w:val="es-ES"/>
        </w:rPr>
        <w:t xml:space="preserve">, A/HRC/24/52/Add.2, 21 de agosto de 2013; Comité para la Eliminación de la Discriminación contra la Mujer, </w:t>
      </w:r>
      <w:r w:rsidRPr="00EB1FC4">
        <w:rPr>
          <w:rFonts w:ascii="Calibri" w:hAnsi="Calibri"/>
          <w:i/>
          <w:sz w:val="16"/>
          <w:szCs w:val="16"/>
          <w:lang w:val="es-ES"/>
        </w:rPr>
        <w:t>Observaciones Finales sobre Panamá</w:t>
      </w:r>
      <w:r w:rsidRPr="00EB1FC4">
        <w:rPr>
          <w:rFonts w:ascii="Calibri" w:hAnsi="Calibri"/>
          <w:sz w:val="16"/>
          <w:szCs w:val="16"/>
          <w:lang w:val="es-ES"/>
        </w:rPr>
        <w:t>, CEDAW/C/PAN/CO/7, 5 de febrero de 2010.</w:t>
      </w:r>
    </w:p>
  </w:footnote>
  <w:footnote w:id="126">
    <w:p w:rsidR="00543111" w:rsidRPr="00EB1FC4" w:rsidRDefault="00543111" w:rsidP="00B63B41">
      <w:pPr>
        <w:pStyle w:val="FootnoteText"/>
        <w:ind w:left="540" w:hanging="540"/>
        <w:jc w:val="both"/>
        <w:rPr>
          <w:rFonts w:ascii="Calibri" w:hAnsi="Calibri"/>
          <w:sz w:val="16"/>
          <w:szCs w:val="16"/>
          <w:lang w:val="es-ES"/>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
        </w:rPr>
        <w:t xml:space="preserve">Véase, en general, Naciones Unidas, Comité de Derechos Humanos, </w:t>
      </w:r>
      <w:r w:rsidRPr="00EB1FC4">
        <w:rPr>
          <w:rFonts w:ascii="Calibri" w:hAnsi="Calibri"/>
          <w:i/>
          <w:sz w:val="16"/>
          <w:szCs w:val="16"/>
          <w:lang w:val="es-ES"/>
        </w:rPr>
        <w:t>Observaciones sobre Paraguay</w:t>
      </w:r>
      <w:r w:rsidRPr="00EB1FC4">
        <w:rPr>
          <w:rFonts w:ascii="Calibri" w:hAnsi="Calibri"/>
          <w:sz w:val="16"/>
          <w:szCs w:val="16"/>
          <w:lang w:val="es-ES"/>
        </w:rPr>
        <w:t>, CCPR/C/PRY/CO/3, 29 de abril de 2013.</w:t>
      </w:r>
    </w:p>
  </w:footnote>
  <w:footnote w:id="127">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_tradnl"/>
        </w:rPr>
        <w:t xml:space="preserve">Véase, en general Informe Nacional ante el Consejo de Derechos Humanos con motivo del Examen Periódico Universal presentado por Paraguay (2010), disponible en: </w:t>
      </w:r>
      <w:hyperlink r:id="rId10" w:history="1">
        <w:r w:rsidRPr="00EB1FC4">
          <w:rPr>
            <w:rStyle w:val="Hyperlink"/>
            <w:rFonts w:ascii="Calibri" w:hAnsi="Calibri"/>
            <w:sz w:val="16"/>
            <w:szCs w:val="16"/>
            <w:lang w:val="es-ES_tradnl"/>
          </w:rPr>
          <w:t>http://www.ohchr.org/EN/HRBodies/UPR/Pages/Documentation.aspx</w:t>
        </w:r>
      </w:hyperlink>
    </w:p>
  </w:footnote>
  <w:footnote w:id="128">
    <w:p w:rsidR="00543111" w:rsidRPr="00EB1FC4" w:rsidRDefault="00543111" w:rsidP="00B63B41">
      <w:pPr>
        <w:pStyle w:val="FootnoteText"/>
        <w:ind w:left="540" w:hanging="540"/>
        <w:jc w:val="both"/>
        <w:rPr>
          <w:rFonts w:ascii="Calibri" w:hAnsi="Calibri"/>
          <w:sz w:val="16"/>
          <w:szCs w:val="16"/>
          <w:lang w:val="es-ES_tradnl"/>
        </w:rPr>
      </w:pPr>
      <w:r w:rsidRPr="00EB1FC4">
        <w:rPr>
          <w:rStyle w:val="FootnoteReference"/>
          <w:rFonts w:ascii="Calibri" w:hAnsi="Calibri"/>
          <w:sz w:val="16"/>
          <w:szCs w:val="16"/>
        </w:rPr>
        <w:footnoteRef/>
      </w:r>
      <w:r w:rsidRPr="00EB1FC4">
        <w:rPr>
          <w:rFonts w:ascii="Calibri" w:hAnsi="Calibri"/>
          <w:sz w:val="16"/>
          <w:szCs w:val="16"/>
          <w:lang w:val="es-ES"/>
        </w:rPr>
        <w:t xml:space="preserve"> </w:t>
      </w:r>
      <w:r>
        <w:rPr>
          <w:rFonts w:ascii="Calibri" w:hAnsi="Calibri"/>
          <w:sz w:val="16"/>
          <w:szCs w:val="16"/>
          <w:lang w:val="es-ES"/>
        </w:rPr>
        <w:tab/>
      </w:r>
      <w:r w:rsidRPr="00EB1FC4">
        <w:rPr>
          <w:rFonts w:ascii="Calibri" w:hAnsi="Calibri"/>
          <w:sz w:val="16"/>
          <w:szCs w:val="16"/>
          <w:lang w:val="es-ES_tradnl"/>
        </w:rPr>
        <w:t xml:space="preserve">Véase, en general, Informe Nacional ante el Consejo de Derechos Humanos con motivo del Examen Periódico Universal presentado por Uruguay (2013), disponible en: </w:t>
      </w:r>
      <w:hyperlink r:id="rId11" w:history="1">
        <w:r w:rsidRPr="00EB1FC4">
          <w:rPr>
            <w:rStyle w:val="Hyperlink"/>
            <w:rFonts w:ascii="Calibri" w:hAnsi="Calibri"/>
            <w:sz w:val="16"/>
            <w:szCs w:val="16"/>
            <w:lang w:val="es-ES_tradnl"/>
          </w:rPr>
          <w:t>http://www.ohchr.org/EN/HRBodies/UPR/Pages/Documentation.aspx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2A0750" w:rsidRDefault="00543111">
    <w:pPr>
      <w:pStyle w:val="Header"/>
      <w:jc w:val="right"/>
      <w:rPr>
        <w:rFonts w:ascii="Calibri" w:hAnsi="Calibri"/>
        <w:color w:val="4A442A"/>
        <w:sz w:val="14"/>
        <w:szCs w:val="14"/>
      </w:rPr>
    </w:pPr>
    <w:r w:rsidRPr="002A0750">
      <w:rPr>
        <w:rFonts w:ascii="Calibri" w:hAnsi="Calibri"/>
        <w:color w:val="4A442A"/>
        <w:sz w:val="14"/>
        <w:szCs w:val="14"/>
      </w:rPr>
      <w:t xml:space="preserve">Capítulo I Introducción  |  </w:t>
    </w:r>
    <w:r w:rsidRPr="002A0750">
      <w:rPr>
        <w:rFonts w:ascii="Calibri" w:hAnsi="Calibri"/>
        <w:color w:val="4A442A"/>
        <w:sz w:val="14"/>
        <w:szCs w:val="14"/>
      </w:rPr>
      <w:fldChar w:fldCharType="begin"/>
    </w:r>
    <w:r w:rsidRPr="002A0750">
      <w:rPr>
        <w:rFonts w:ascii="Calibri" w:hAnsi="Calibri"/>
        <w:color w:val="4A442A"/>
        <w:sz w:val="14"/>
        <w:szCs w:val="14"/>
      </w:rPr>
      <w:instrText xml:space="preserve"> PAGE   \* MERGEFORMAT </w:instrText>
    </w:r>
    <w:r w:rsidRPr="002A0750">
      <w:rPr>
        <w:rFonts w:ascii="Calibri" w:hAnsi="Calibri"/>
        <w:color w:val="4A442A"/>
        <w:sz w:val="14"/>
        <w:szCs w:val="14"/>
      </w:rPr>
      <w:fldChar w:fldCharType="separate"/>
    </w:r>
    <w:r>
      <w:rPr>
        <w:rFonts w:ascii="Calibri" w:hAnsi="Calibri"/>
        <w:noProof/>
        <w:color w:val="4A442A"/>
        <w:sz w:val="14"/>
        <w:szCs w:val="14"/>
      </w:rPr>
      <w:t>3</w:t>
    </w:r>
    <w:r w:rsidRPr="002A0750">
      <w:rPr>
        <w:rFonts w:ascii="Calibri" w:hAnsi="Calibri"/>
        <w:noProof/>
        <w:color w:val="4A442A"/>
        <w:sz w:val="14"/>
        <w:szCs w:val="14"/>
      </w:rPr>
      <w:fldChar w:fldCharType="end"/>
    </w:r>
  </w:p>
  <w:p w:rsidR="00543111" w:rsidRPr="002A0750" w:rsidRDefault="00543111">
    <w:pPr>
      <w:pStyle w:val="Header"/>
      <w:rPr>
        <w:rFonts w:ascii="Calibri" w:hAnsi="Calibri"/>
        <w:color w:val="4A442A"/>
        <w:sz w:val="14"/>
        <w:szCs w:val="1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pPr>
      <w:pStyle w:val="Header"/>
      <w:jc w:val="right"/>
      <w:rPr>
        <w:rFonts w:ascii="Calibri" w:hAnsi="Calibri"/>
        <w:noProof/>
        <w:color w:val="4A442A"/>
        <w:sz w:val="14"/>
        <w:szCs w:val="14"/>
        <w:lang w:val="es-ES"/>
      </w:rPr>
    </w:pPr>
    <w:r w:rsidRPr="003B69B1">
      <w:rPr>
        <w:rFonts w:ascii="Calibri" w:hAnsi="Calibri"/>
        <w:color w:val="4A442A"/>
        <w:sz w:val="14"/>
        <w:szCs w:val="14"/>
        <w:lang w:val="es-ES"/>
      </w:rPr>
      <w:t xml:space="preserve">Capítulo 3 Aportes de la universalidad: Ejemplos  |  </w:t>
    </w:r>
    <w:r w:rsidRPr="003B69B1">
      <w:rPr>
        <w:rFonts w:ascii="Calibri" w:hAnsi="Calibri"/>
        <w:color w:val="4A442A"/>
        <w:sz w:val="14"/>
        <w:szCs w:val="14"/>
      </w:rPr>
      <w:fldChar w:fldCharType="begin"/>
    </w:r>
    <w:r w:rsidRPr="003B69B1">
      <w:rPr>
        <w:rFonts w:ascii="Calibri" w:hAnsi="Calibri"/>
        <w:color w:val="4A442A"/>
        <w:sz w:val="14"/>
        <w:szCs w:val="14"/>
        <w:lang w:val="es-ES"/>
      </w:rPr>
      <w:instrText xml:space="preserve"> PAGE   \* MERGEFORMAT </w:instrText>
    </w:r>
    <w:r w:rsidRPr="003B69B1">
      <w:rPr>
        <w:rFonts w:ascii="Calibri" w:hAnsi="Calibri"/>
        <w:color w:val="4A442A"/>
        <w:sz w:val="14"/>
        <w:szCs w:val="14"/>
      </w:rPr>
      <w:fldChar w:fldCharType="separate"/>
    </w:r>
    <w:r w:rsidR="00C40DFD">
      <w:rPr>
        <w:rFonts w:ascii="Calibri" w:hAnsi="Calibri"/>
        <w:noProof/>
        <w:color w:val="4A442A"/>
        <w:sz w:val="14"/>
        <w:szCs w:val="14"/>
        <w:lang w:val="es-ES"/>
      </w:rPr>
      <w:t>49</w:t>
    </w:r>
    <w:r w:rsidRPr="003B69B1">
      <w:rPr>
        <w:rFonts w:ascii="Calibri" w:hAnsi="Calibri"/>
        <w:noProof/>
        <w:color w:val="4A442A"/>
        <w:sz w:val="14"/>
        <w:szCs w:val="14"/>
      </w:rPr>
      <w:fldChar w:fldCharType="end"/>
    </w:r>
  </w:p>
  <w:p w:rsidR="00543111" w:rsidRPr="003B69B1" w:rsidRDefault="00543111">
    <w:pPr>
      <w:pStyle w:val="Header"/>
      <w:jc w:val="right"/>
      <w:rPr>
        <w:rFonts w:ascii="Calibri" w:hAnsi="Calibri"/>
        <w:noProof/>
        <w:color w:val="4A442A"/>
        <w:sz w:val="14"/>
        <w:szCs w:val="14"/>
        <w:lang w:val="es-ES"/>
      </w:rPr>
    </w:pPr>
  </w:p>
  <w:p w:rsidR="00543111" w:rsidRDefault="00543111">
    <w:pPr>
      <w:pStyle w:val="Header"/>
      <w:jc w:val="right"/>
      <w:rPr>
        <w:rFonts w:ascii="Calibri" w:hAnsi="Calibri"/>
        <w:color w:val="4A442A"/>
        <w:sz w:val="14"/>
        <w:szCs w:val="14"/>
        <w:lang w:val="es-ES"/>
      </w:rPr>
    </w:pPr>
  </w:p>
  <w:p w:rsidR="0054614D" w:rsidRPr="003B69B1" w:rsidRDefault="0054614D">
    <w:pPr>
      <w:pStyle w:val="Header"/>
      <w:jc w:val="right"/>
      <w:rPr>
        <w:rFonts w:ascii="Calibri" w:hAnsi="Calibri"/>
        <w:color w:val="4A442A"/>
        <w:sz w:val="14"/>
        <w:szCs w:val="14"/>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C12992" w:rsidRDefault="00543111" w:rsidP="00C12992">
    <w:pPr>
      <w:pStyle w:val="Header"/>
      <w:rPr>
        <w:rFonts w:ascii="Calibri" w:hAnsi="Calibri"/>
        <w:color w:val="4A442A"/>
        <w:sz w:val="14"/>
        <w:szCs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rsidP="00244448">
    <w:pPr>
      <w:pStyle w:val="Header"/>
      <w:jc w:val="right"/>
      <w:rPr>
        <w:rFonts w:ascii="Calibri" w:hAnsi="Calibri"/>
        <w:color w:val="4A442A"/>
        <w:sz w:val="14"/>
        <w:szCs w:val="14"/>
        <w:lang w:val="es-ES"/>
      </w:rPr>
    </w:pPr>
    <w:r w:rsidRPr="003B69B1">
      <w:rPr>
        <w:rFonts w:ascii="Calibri" w:hAnsi="Calibri"/>
        <w:color w:val="4A442A"/>
        <w:sz w:val="14"/>
        <w:szCs w:val="14"/>
        <w:lang w:val="es-ES"/>
      </w:rPr>
      <w:t xml:space="preserve">Capítulo 4 Conclusiones, recomendaciones y pasos al futuro  |  </w:t>
    </w:r>
    <w:r w:rsidRPr="003B69B1">
      <w:rPr>
        <w:rFonts w:ascii="Calibri" w:hAnsi="Calibri"/>
        <w:color w:val="4A442A"/>
        <w:sz w:val="14"/>
        <w:szCs w:val="14"/>
      </w:rPr>
      <w:fldChar w:fldCharType="begin"/>
    </w:r>
    <w:r w:rsidRPr="003B69B1">
      <w:rPr>
        <w:rFonts w:ascii="Calibri" w:hAnsi="Calibri"/>
        <w:color w:val="4A442A"/>
        <w:sz w:val="14"/>
        <w:szCs w:val="14"/>
        <w:lang w:val="es-ES"/>
      </w:rPr>
      <w:instrText xml:space="preserve"> PAGE   \* MERGEFORMAT </w:instrText>
    </w:r>
    <w:r w:rsidRPr="003B69B1">
      <w:rPr>
        <w:rFonts w:ascii="Calibri" w:hAnsi="Calibri"/>
        <w:color w:val="4A442A"/>
        <w:sz w:val="14"/>
        <w:szCs w:val="14"/>
      </w:rPr>
      <w:fldChar w:fldCharType="separate"/>
    </w:r>
    <w:r w:rsidR="00C40DFD">
      <w:rPr>
        <w:rFonts w:ascii="Calibri" w:hAnsi="Calibri"/>
        <w:noProof/>
        <w:color w:val="4A442A"/>
        <w:sz w:val="14"/>
        <w:szCs w:val="14"/>
        <w:lang w:val="es-ES"/>
      </w:rPr>
      <w:t>53</w:t>
    </w:r>
    <w:r w:rsidRPr="003B69B1">
      <w:rPr>
        <w:rFonts w:ascii="Calibri" w:hAnsi="Calibri"/>
        <w:noProof/>
        <w:color w:val="4A442A"/>
        <w:sz w:val="14"/>
        <w:szCs w:val="14"/>
      </w:rPr>
      <w:fldChar w:fldCharType="end"/>
    </w:r>
  </w:p>
  <w:p w:rsidR="00543111" w:rsidRPr="003B69B1" w:rsidRDefault="00543111" w:rsidP="00244448">
    <w:pPr>
      <w:pStyle w:val="Header"/>
      <w:jc w:val="right"/>
      <w:rPr>
        <w:rFonts w:ascii="Calibri" w:hAnsi="Calibri"/>
        <w:color w:val="4A442A"/>
        <w:sz w:val="14"/>
        <w:szCs w:val="14"/>
        <w:lang w:val="es-ES"/>
      </w:rPr>
    </w:pPr>
  </w:p>
  <w:p w:rsidR="00543111" w:rsidRDefault="00543111" w:rsidP="00244448">
    <w:pPr>
      <w:pStyle w:val="Header"/>
      <w:jc w:val="right"/>
      <w:rPr>
        <w:rFonts w:ascii="Calibri" w:hAnsi="Calibri"/>
        <w:color w:val="4A442A"/>
        <w:sz w:val="14"/>
        <w:szCs w:val="14"/>
        <w:lang w:val="es-ES"/>
      </w:rPr>
    </w:pPr>
  </w:p>
  <w:p w:rsidR="0054614D" w:rsidRPr="003B69B1" w:rsidRDefault="0054614D" w:rsidP="00244448">
    <w:pPr>
      <w:pStyle w:val="Header"/>
      <w:jc w:val="right"/>
      <w:rPr>
        <w:rFonts w:ascii="Calibri" w:hAnsi="Calibri"/>
        <w:color w:val="4A442A"/>
        <w:sz w:val="14"/>
        <w:szCs w:val="14"/>
        <w:lang w:val="es-E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F010D6" w:rsidRDefault="00543111" w:rsidP="00C12992">
    <w:pPr>
      <w:pStyle w:val="Header"/>
      <w:rPr>
        <w:rFonts w:ascii="Calibri" w:hAnsi="Calibri"/>
        <w:color w:val="4A442A"/>
        <w:sz w:val="14"/>
        <w:szCs w:val="14"/>
        <w:lang w:val="es-E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2A0750" w:rsidRDefault="00543111" w:rsidP="002A0750">
    <w:pPr>
      <w:pStyle w:val="Header"/>
      <w:rPr>
        <w:rFonts w:ascii="Calibri" w:hAnsi="Calibri"/>
        <w:color w:val="4A442A"/>
        <w:sz w:val="14"/>
        <w:szCs w:val="14"/>
        <w:lang w:val="es-E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822F05" w:rsidRDefault="00543111" w:rsidP="00822F0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444C71" w:rsidRDefault="00543111" w:rsidP="00822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Default="005431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2A0750" w:rsidRDefault="00543111">
    <w:pPr>
      <w:pStyle w:val="Header"/>
      <w:rPr>
        <w:rFonts w:ascii="Calibri" w:hAnsi="Calibri"/>
        <w:color w:val="4A442A"/>
        <w:sz w:val="14"/>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2A0750" w:rsidRDefault="00543111">
    <w:pPr>
      <w:pStyle w:val="Header"/>
      <w:rPr>
        <w:rFonts w:ascii="Calibri" w:hAnsi="Calibri"/>
        <w:color w:val="4A442A"/>
        <w:sz w:val="14"/>
        <w:szCs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pPr>
      <w:pStyle w:val="Header"/>
      <w:rPr>
        <w:rFonts w:ascii="Calibri" w:hAnsi="Calibri"/>
        <w:noProof/>
        <w:color w:val="4A442A"/>
        <w:sz w:val="14"/>
        <w:szCs w:val="14"/>
        <w:lang w:val="es-ES"/>
      </w:rPr>
    </w:pPr>
    <w:r w:rsidRPr="003B69B1">
      <w:rPr>
        <w:rFonts w:ascii="Calibri" w:hAnsi="Calibri"/>
        <w:color w:val="4A442A"/>
        <w:sz w:val="14"/>
        <w:szCs w:val="14"/>
      </w:rPr>
      <w:fldChar w:fldCharType="begin"/>
    </w:r>
    <w:r w:rsidRPr="003B69B1">
      <w:rPr>
        <w:rFonts w:ascii="Calibri" w:hAnsi="Calibri"/>
        <w:color w:val="4A442A"/>
        <w:sz w:val="14"/>
        <w:szCs w:val="14"/>
        <w:lang w:val="es-ES"/>
      </w:rPr>
      <w:instrText xml:space="preserve"> PAGE   \* MERGEFORMAT </w:instrText>
    </w:r>
    <w:r w:rsidRPr="003B69B1">
      <w:rPr>
        <w:rFonts w:ascii="Calibri" w:hAnsi="Calibri"/>
        <w:color w:val="4A442A"/>
        <w:sz w:val="14"/>
        <w:szCs w:val="14"/>
      </w:rPr>
      <w:fldChar w:fldCharType="separate"/>
    </w:r>
    <w:r w:rsidR="00C40DFD">
      <w:rPr>
        <w:rFonts w:ascii="Calibri" w:hAnsi="Calibri"/>
        <w:noProof/>
        <w:color w:val="4A442A"/>
        <w:sz w:val="14"/>
        <w:szCs w:val="14"/>
        <w:lang w:val="es-ES"/>
      </w:rPr>
      <w:t>54</w:t>
    </w:r>
    <w:r w:rsidRPr="003B69B1">
      <w:rPr>
        <w:rFonts w:ascii="Calibri" w:hAnsi="Calibri"/>
        <w:noProof/>
        <w:color w:val="4A442A"/>
        <w:sz w:val="14"/>
        <w:szCs w:val="14"/>
      </w:rPr>
      <w:fldChar w:fldCharType="end"/>
    </w:r>
    <w:r w:rsidRPr="003B69B1">
      <w:rPr>
        <w:rFonts w:ascii="Calibri" w:hAnsi="Calibri"/>
        <w:noProof/>
        <w:color w:val="4A442A"/>
        <w:sz w:val="14"/>
        <w:szCs w:val="14"/>
        <w:lang w:val="es-ES"/>
      </w:rPr>
      <w:t xml:space="preserve">  |  Consideraciones sobre la ratificación universal de la Convención Americana y otros tratados interamericanos </w:t>
    </w:r>
    <w:r w:rsidR="003B69B1">
      <w:rPr>
        <w:rFonts w:ascii="Calibri" w:hAnsi="Calibri"/>
        <w:noProof/>
        <w:color w:val="4A442A"/>
        <w:sz w:val="14"/>
        <w:szCs w:val="14"/>
        <w:lang w:val="es-ES"/>
      </w:rPr>
      <w:br/>
      <w:t xml:space="preserve">           </w:t>
    </w:r>
    <w:r w:rsidRPr="003B69B1">
      <w:rPr>
        <w:rFonts w:ascii="Calibri" w:hAnsi="Calibri"/>
        <w:noProof/>
        <w:color w:val="4A442A"/>
        <w:sz w:val="14"/>
        <w:szCs w:val="14"/>
        <w:lang w:val="es-ES"/>
      </w:rPr>
      <w:t>en materia</w:t>
    </w:r>
    <w:r w:rsidR="003B69B1">
      <w:rPr>
        <w:rFonts w:ascii="Calibri" w:hAnsi="Calibri"/>
        <w:noProof/>
        <w:color w:val="4A442A"/>
        <w:sz w:val="14"/>
        <w:szCs w:val="14"/>
        <w:lang w:val="es-ES"/>
      </w:rPr>
      <w:t xml:space="preserve"> </w:t>
    </w:r>
    <w:r w:rsidRPr="003B69B1">
      <w:rPr>
        <w:rFonts w:ascii="Calibri" w:hAnsi="Calibri"/>
        <w:noProof/>
        <w:color w:val="4A442A"/>
        <w:sz w:val="14"/>
        <w:szCs w:val="14"/>
        <w:lang w:val="es-ES"/>
      </w:rPr>
      <w:t>de derechos humanos</w:t>
    </w:r>
  </w:p>
  <w:p w:rsidR="00543111" w:rsidRDefault="00543111" w:rsidP="002A0750">
    <w:pPr>
      <w:pStyle w:val="Header"/>
      <w:rPr>
        <w:rFonts w:ascii="Calibri" w:hAnsi="Calibri"/>
        <w:color w:val="4A442A"/>
        <w:sz w:val="14"/>
        <w:szCs w:val="14"/>
        <w:lang w:val="es-ES"/>
      </w:rPr>
    </w:pPr>
  </w:p>
  <w:p w:rsidR="00543111" w:rsidRDefault="00543111" w:rsidP="002A0750">
    <w:pPr>
      <w:pStyle w:val="Header"/>
      <w:rPr>
        <w:rFonts w:ascii="Calibri" w:hAnsi="Calibri"/>
        <w:color w:val="4A442A"/>
        <w:sz w:val="14"/>
        <w:szCs w:val="14"/>
        <w:lang w:val="es-ES"/>
      </w:rPr>
    </w:pPr>
  </w:p>
  <w:p w:rsidR="0054614D" w:rsidRPr="002A0750" w:rsidRDefault="0054614D" w:rsidP="002A0750">
    <w:pPr>
      <w:pStyle w:val="Header"/>
      <w:rPr>
        <w:rFonts w:ascii="Calibri" w:hAnsi="Calibri"/>
        <w:color w:val="4A442A"/>
        <w:sz w:val="14"/>
        <w:szCs w:val="14"/>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pPr>
      <w:pStyle w:val="Header"/>
      <w:jc w:val="right"/>
      <w:rPr>
        <w:rFonts w:ascii="Calibri" w:hAnsi="Calibri"/>
        <w:color w:val="4A442A"/>
        <w:sz w:val="14"/>
        <w:szCs w:val="14"/>
      </w:rPr>
    </w:pPr>
    <w:r w:rsidRPr="003B69B1">
      <w:rPr>
        <w:rFonts w:ascii="Calibri" w:hAnsi="Calibri"/>
        <w:color w:val="4A442A"/>
        <w:sz w:val="14"/>
        <w:szCs w:val="14"/>
      </w:rPr>
      <w:t xml:space="preserve">Capítulo 1 Introducción  |  </w:t>
    </w:r>
    <w:r w:rsidRPr="003B69B1">
      <w:rPr>
        <w:rFonts w:ascii="Calibri" w:hAnsi="Calibri"/>
        <w:color w:val="4A442A"/>
        <w:sz w:val="14"/>
        <w:szCs w:val="14"/>
      </w:rPr>
      <w:fldChar w:fldCharType="begin"/>
    </w:r>
    <w:r w:rsidRPr="003B69B1">
      <w:rPr>
        <w:rFonts w:ascii="Calibri" w:hAnsi="Calibri"/>
        <w:color w:val="4A442A"/>
        <w:sz w:val="14"/>
        <w:szCs w:val="14"/>
      </w:rPr>
      <w:instrText xml:space="preserve"> PAGE   \* MERGEFORMAT </w:instrText>
    </w:r>
    <w:r w:rsidRPr="003B69B1">
      <w:rPr>
        <w:rFonts w:ascii="Calibri" w:hAnsi="Calibri"/>
        <w:color w:val="4A442A"/>
        <w:sz w:val="14"/>
        <w:szCs w:val="14"/>
      </w:rPr>
      <w:fldChar w:fldCharType="separate"/>
    </w:r>
    <w:r w:rsidR="00C40DFD">
      <w:rPr>
        <w:rFonts w:ascii="Calibri" w:hAnsi="Calibri"/>
        <w:noProof/>
        <w:color w:val="4A442A"/>
        <w:sz w:val="14"/>
        <w:szCs w:val="14"/>
      </w:rPr>
      <w:t>17</w:t>
    </w:r>
    <w:r w:rsidRPr="003B69B1">
      <w:rPr>
        <w:rFonts w:ascii="Calibri" w:hAnsi="Calibri"/>
        <w:noProof/>
        <w:color w:val="4A442A"/>
        <w:sz w:val="14"/>
        <w:szCs w:val="14"/>
      </w:rPr>
      <w:fldChar w:fldCharType="end"/>
    </w:r>
  </w:p>
  <w:p w:rsidR="00543111" w:rsidRDefault="00543111" w:rsidP="00EB1FC4">
    <w:pPr>
      <w:pStyle w:val="Header"/>
      <w:jc w:val="right"/>
      <w:rPr>
        <w:rFonts w:ascii="Calibri" w:hAnsi="Calibri"/>
        <w:color w:val="4A442A"/>
        <w:sz w:val="14"/>
        <w:szCs w:val="14"/>
      </w:rPr>
    </w:pPr>
  </w:p>
  <w:p w:rsidR="0054614D" w:rsidRPr="003B69B1" w:rsidRDefault="0054614D" w:rsidP="00EB1FC4">
    <w:pPr>
      <w:pStyle w:val="Header"/>
      <w:jc w:val="right"/>
      <w:rPr>
        <w:rFonts w:ascii="Calibri" w:hAnsi="Calibri"/>
        <w:color w:val="4A442A"/>
        <w:sz w:val="14"/>
        <w:szCs w:val="14"/>
      </w:rPr>
    </w:pPr>
  </w:p>
  <w:p w:rsidR="00543111" w:rsidRPr="003B69B1" w:rsidRDefault="00543111" w:rsidP="00EB1FC4">
    <w:pPr>
      <w:pStyle w:val="Header"/>
      <w:jc w:val="right"/>
      <w:rPr>
        <w:rFonts w:ascii="Calibri" w:hAnsi="Calibri"/>
        <w:color w:val="4A442A"/>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CB7C09" w:rsidRDefault="00543111" w:rsidP="00CB7C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3B69B1" w:rsidRDefault="00543111" w:rsidP="00373D92">
    <w:pPr>
      <w:pStyle w:val="Header"/>
      <w:jc w:val="right"/>
      <w:rPr>
        <w:rFonts w:ascii="Calibri" w:hAnsi="Calibri"/>
        <w:noProof/>
        <w:color w:val="4A442A"/>
        <w:sz w:val="14"/>
        <w:szCs w:val="14"/>
        <w:lang w:val="es-ES"/>
      </w:rPr>
    </w:pPr>
    <w:r w:rsidRPr="003B69B1">
      <w:rPr>
        <w:rFonts w:ascii="Calibri" w:hAnsi="Calibri"/>
        <w:color w:val="4A442A"/>
        <w:sz w:val="14"/>
        <w:szCs w:val="14"/>
        <w:lang w:val="es-ES"/>
      </w:rPr>
      <w:t xml:space="preserve">Capítulo 2 Desafíos en el camino hacia la universalidad en el sistema interamericano de derechos humanos: retos pendientes  |  </w:t>
    </w:r>
    <w:r w:rsidRPr="003B69B1">
      <w:rPr>
        <w:rFonts w:ascii="Calibri" w:hAnsi="Calibri"/>
        <w:color w:val="4A442A"/>
        <w:sz w:val="14"/>
        <w:szCs w:val="14"/>
      </w:rPr>
      <w:fldChar w:fldCharType="begin"/>
    </w:r>
    <w:r w:rsidRPr="003B69B1">
      <w:rPr>
        <w:rFonts w:ascii="Calibri" w:hAnsi="Calibri"/>
        <w:color w:val="4A442A"/>
        <w:sz w:val="14"/>
        <w:szCs w:val="14"/>
        <w:lang w:val="es-ES"/>
      </w:rPr>
      <w:instrText xml:space="preserve"> PAGE   \* MERGEFORMAT </w:instrText>
    </w:r>
    <w:r w:rsidRPr="003B69B1">
      <w:rPr>
        <w:rFonts w:ascii="Calibri" w:hAnsi="Calibri"/>
        <w:color w:val="4A442A"/>
        <w:sz w:val="14"/>
        <w:szCs w:val="14"/>
      </w:rPr>
      <w:fldChar w:fldCharType="separate"/>
    </w:r>
    <w:r w:rsidR="00C40DFD">
      <w:rPr>
        <w:rFonts w:ascii="Calibri" w:hAnsi="Calibri"/>
        <w:noProof/>
        <w:color w:val="4A442A"/>
        <w:sz w:val="14"/>
        <w:szCs w:val="14"/>
        <w:lang w:val="es-ES"/>
      </w:rPr>
      <w:t>37</w:t>
    </w:r>
    <w:r w:rsidRPr="003B69B1">
      <w:rPr>
        <w:rFonts w:ascii="Calibri" w:hAnsi="Calibri"/>
        <w:noProof/>
        <w:color w:val="4A442A"/>
        <w:sz w:val="14"/>
        <w:szCs w:val="14"/>
      </w:rPr>
      <w:fldChar w:fldCharType="end"/>
    </w:r>
  </w:p>
  <w:p w:rsidR="00543111" w:rsidRDefault="00543111" w:rsidP="00373D92">
    <w:pPr>
      <w:pStyle w:val="Header"/>
      <w:jc w:val="right"/>
      <w:rPr>
        <w:rFonts w:ascii="Calibri" w:hAnsi="Calibri"/>
        <w:noProof/>
        <w:color w:val="4A442A"/>
        <w:sz w:val="16"/>
        <w:szCs w:val="16"/>
        <w:lang w:val="es-ES"/>
      </w:rPr>
    </w:pPr>
  </w:p>
  <w:p w:rsidR="0054614D" w:rsidRPr="00003FF7" w:rsidRDefault="0054614D" w:rsidP="00373D92">
    <w:pPr>
      <w:pStyle w:val="Header"/>
      <w:jc w:val="right"/>
      <w:rPr>
        <w:rFonts w:ascii="Calibri" w:hAnsi="Calibri"/>
        <w:noProof/>
        <w:color w:val="4A442A"/>
        <w:sz w:val="16"/>
        <w:szCs w:val="16"/>
        <w:lang w:val="es-ES"/>
      </w:rPr>
    </w:pPr>
  </w:p>
  <w:p w:rsidR="00543111" w:rsidRPr="00B4164D" w:rsidRDefault="00543111" w:rsidP="00373D92">
    <w:pPr>
      <w:pStyle w:val="Header"/>
      <w:jc w:val="right"/>
      <w:rPr>
        <w:rFonts w:ascii="Calibri" w:hAnsi="Calibri"/>
        <w:color w:val="4A442A"/>
        <w:sz w:val="16"/>
        <w:szCs w:val="16"/>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11" w:rsidRPr="00C12992" w:rsidRDefault="00543111" w:rsidP="00C129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4D3"/>
    <w:multiLevelType w:val="hybridMultilevel"/>
    <w:tmpl w:val="B19E87A6"/>
    <w:lvl w:ilvl="0" w:tplc="9522E4F4">
      <w:start w:val="2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751BF6"/>
    <w:multiLevelType w:val="hybridMultilevel"/>
    <w:tmpl w:val="B136FFE8"/>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006CEA"/>
    <w:multiLevelType w:val="hybridMultilevel"/>
    <w:tmpl w:val="711A7734"/>
    <w:lvl w:ilvl="0" w:tplc="D102DF84">
      <w:start w:val="1"/>
      <w:numFmt w:val="upperRoman"/>
      <w:lvlText w:val="%1."/>
      <w:lvlJc w:val="left"/>
      <w:pPr>
        <w:tabs>
          <w:tab w:val="num" w:pos="1440"/>
        </w:tabs>
        <w:ind w:left="1440" w:hanging="720"/>
      </w:pPr>
      <w:rPr>
        <w:rFonts w:hint="default"/>
      </w:rPr>
    </w:lvl>
    <w:lvl w:ilvl="1" w:tplc="D5FCD5FE">
      <w:start w:val="1"/>
      <w:numFmt w:val="decimal"/>
      <w:lvlText w:val="%2."/>
      <w:lvlJc w:val="left"/>
      <w:pPr>
        <w:tabs>
          <w:tab w:val="num" w:pos="900"/>
        </w:tabs>
        <w:ind w:left="900" w:hanging="360"/>
      </w:pPr>
      <w:rPr>
        <w:rFonts w:ascii="Univers" w:hAnsi="Univers" w:hint="default"/>
        <w:b w:val="0"/>
        <w:sz w:val="20"/>
        <w:szCs w:val="20"/>
      </w:rPr>
    </w:lvl>
    <w:lvl w:ilvl="2" w:tplc="0409001B">
      <w:start w:val="1"/>
      <w:numFmt w:val="lowerRoman"/>
      <w:lvlText w:val="%3."/>
      <w:lvlJc w:val="right"/>
      <w:pPr>
        <w:tabs>
          <w:tab w:val="num" w:pos="2520"/>
        </w:tabs>
        <w:ind w:left="2520" w:hanging="180"/>
      </w:pPr>
    </w:lvl>
    <w:lvl w:ilvl="3" w:tplc="7FEC2162">
      <w:start w:val="1"/>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0D3D79"/>
    <w:multiLevelType w:val="hybridMultilevel"/>
    <w:tmpl w:val="17F8CB94"/>
    <w:lvl w:ilvl="0" w:tplc="0409000B">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
    <w:nsid w:val="10DB4FE1"/>
    <w:multiLevelType w:val="hybridMultilevel"/>
    <w:tmpl w:val="7924E1BE"/>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802160"/>
    <w:multiLevelType w:val="hybridMultilevel"/>
    <w:tmpl w:val="1658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42B6B"/>
    <w:multiLevelType w:val="hybridMultilevel"/>
    <w:tmpl w:val="056C6216"/>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429CD968">
      <w:start w:val="1"/>
      <w:numFmt w:val="bullet"/>
      <w:lvlText w:val=""/>
      <w:lvlJc w:val="left"/>
      <w:pPr>
        <w:tabs>
          <w:tab w:val="num" w:pos="2160"/>
        </w:tabs>
        <w:ind w:left="2160" w:hanging="360"/>
      </w:pPr>
      <w:rPr>
        <w:rFonts w:ascii="Symbol" w:hAnsi="Symbol" w:hint="default"/>
        <w:b w:val="0"/>
        <w:i w:val="0"/>
        <w:sz w:val="20"/>
      </w:rPr>
    </w:lvl>
    <w:lvl w:ilvl="3" w:tplc="0409000B">
      <w:start w:val="1"/>
      <w:numFmt w:val="bullet"/>
      <w:lvlText w:val=""/>
      <w:lvlJc w:val="left"/>
      <w:pPr>
        <w:tabs>
          <w:tab w:val="num" w:pos="2880"/>
        </w:tabs>
        <w:ind w:left="2880" w:hanging="360"/>
      </w:pPr>
      <w:rPr>
        <w:rFonts w:ascii="Wingdings" w:hAnsi="Wingdings" w:hint="default"/>
        <w:b w:val="0"/>
        <w:i w:val="0"/>
        <w:sz w:val="2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B34F1F"/>
    <w:multiLevelType w:val="hybridMultilevel"/>
    <w:tmpl w:val="5726E71E"/>
    <w:lvl w:ilvl="0" w:tplc="110087D6">
      <w:start w:val="1"/>
      <w:numFmt w:val="bullet"/>
      <w:lvlText w:val="•"/>
      <w:lvlJc w:val="left"/>
      <w:pPr>
        <w:tabs>
          <w:tab w:val="num" w:pos="720"/>
        </w:tabs>
        <w:ind w:left="720" w:hanging="360"/>
      </w:pPr>
      <w:rPr>
        <w:rFonts w:ascii="Arial" w:hAnsi="Arial" w:hint="default"/>
      </w:rPr>
    </w:lvl>
    <w:lvl w:ilvl="1" w:tplc="BB925C98" w:tentative="1">
      <w:start w:val="1"/>
      <w:numFmt w:val="bullet"/>
      <w:lvlText w:val="•"/>
      <w:lvlJc w:val="left"/>
      <w:pPr>
        <w:tabs>
          <w:tab w:val="num" w:pos="1440"/>
        </w:tabs>
        <w:ind w:left="1440" w:hanging="360"/>
      </w:pPr>
      <w:rPr>
        <w:rFonts w:ascii="Arial" w:hAnsi="Arial" w:hint="default"/>
      </w:rPr>
    </w:lvl>
    <w:lvl w:ilvl="2" w:tplc="A8AA3096" w:tentative="1">
      <w:start w:val="1"/>
      <w:numFmt w:val="bullet"/>
      <w:lvlText w:val="•"/>
      <w:lvlJc w:val="left"/>
      <w:pPr>
        <w:tabs>
          <w:tab w:val="num" w:pos="2160"/>
        </w:tabs>
        <w:ind w:left="2160" w:hanging="360"/>
      </w:pPr>
      <w:rPr>
        <w:rFonts w:ascii="Arial" w:hAnsi="Arial" w:hint="default"/>
      </w:rPr>
    </w:lvl>
    <w:lvl w:ilvl="3" w:tplc="3F6EEA7A" w:tentative="1">
      <w:start w:val="1"/>
      <w:numFmt w:val="bullet"/>
      <w:lvlText w:val="•"/>
      <w:lvlJc w:val="left"/>
      <w:pPr>
        <w:tabs>
          <w:tab w:val="num" w:pos="2880"/>
        </w:tabs>
        <w:ind w:left="2880" w:hanging="360"/>
      </w:pPr>
      <w:rPr>
        <w:rFonts w:ascii="Arial" w:hAnsi="Arial" w:hint="default"/>
      </w:rPr>
    </w:lvl>
    <w:lvl w:ilvl="4" w:tplc="0B7E5E08" w:tentative="1">
      <w:start w:val="1"/>
      <w:numFmt w:val="bullet"/>
      <w:lvlText w:val="•"/>
      <w:lvlJc w:val="left"/>
      <w:pPr>
        <w:tabs>
          <w:tab w:val="num" w:pos="3600"/>
        </w:tabs>
        <w:ind w:left="3600" w:hanging="360"/>
      </w:pPr>
      <w:rPr>
        <w:rFonts w:ascii="Arial" w:hAnsi="Arial" w:hint="default"/>
      </w:rPr>
    </w:lvl>
    <w:lvl w:ilvl="5" w:tplc="D77655B4" w:tentative="1">
      <w:start w:val="1"/>
      <w:numFmt w:val="bullet"/>
      <w:lvlText w:val="•"/>
      <w:lvlJc w:val="left"/>
      <w:pPr>
        <w:tabs>
          <w:tab w:val="num" w:pos="4320"/>
        </w:tabs>
        <w:ind w:left="4320" w:hanging="360"/>
      </w:pPr>
      <w:rPr>
        <w:rFonts w:ascii="Arial" w:hAnsi="Arial" w:hint="default"/>
      </w:rPr>
    </w:lvl>
    <w:lvl w:ilvl="6" w:tplc="57BA0BD0" w:tentative="1">
      <w:start w:val="1"/>
      <w:numFmt w:val="bullet"/>
      <w:lvlText w:val="•"/>
      <w:lvlJc w:val="left"/>
      <w:pPr>
        <w:tabs>
          <w:tab w:val="num" w:pos="5040"/>
        </w:tabs>
        <w:ind w:left="5040" w:hanging="360"/>
      </w:pPr>
      <w:rPr>
        <w:rFonts w:ascii="Arial" w:hAnsi="Arial" w:hint="default"/>
      </w:rPr>
    </w:lvl>
    <w:lvl w:ilvl="7" w:tplc="95626D8A" w:tentative="1">
      <w:start w:val="1"/>
      <w:numFmt w:val="bullet"/>
      <w:lvlText w:val="•"/>
      <w:lvlJc w:val="left"/>
      <w:pPr>
        <w:tabs>
          <w:tab w:val="num" w:pos="5760"/>
        </w:tabs>
        <w:ind w:left="5760" w:hanging="360"/>
      </w:pPr>
      <w:rPr>
        <w:rFonts w:ascii="Arial" w:hAnsi="Arial" w:hint="default"/>
      </w:rPr>
    </w:lvl>
    <w:lvl w:ilvl="8" w:tplc="B94E709A" w:tentative="1">
      <w:start w:val="1"/>
      <w:numFmt w:val="bullet"/>
      <w:lvlText w:val="•"/>
      <w:lvlJc w:val="left"/>
      <w:pPr>
        <w:tabs>
          <w:tab w:val="num" w:pos="6480"/>
        </w:tabs>
        <w:ind w:left="6480" w:hanging="360"/>
      </w:pPr>
      <w:rPr>
        <w:rFonts w:ascii="Arial" w:hAnsi="Arial" w:hint="default"/>
      </w:rPr>
    </w:lvl>
  </w:abstractNum>
  <w:abstractNum w:abstractNumId="8">
    <w:nsid w:val="15644E8F"/>
    <w:multiLevelType w:val="hybridMultilevel"/>
    <w:tmpl w:val="EE6C51A4"/>
    <w:lvl w:ilvl="0" w:tplc="04090001">
      <w:start w:val="1"/>
      <w:numFmt w:val="bullet"/>
      <w:lvlText w:val=""/>
      <w:lvlJc w:val="left"/>
      <w:pPr>
        <w:tabs>
          <w:tab w:val="num" w:pos="720"/>
        </w:tabs>
        <w:ind w:left="720" w:hanging="360"/>
      </w:pPr>
      <w:rPr>
        <w:rFonts w:ascii="Symbol" w:hAnsi="Symbol" w:hint="default"/>
      </w:rPr>
    </w:lvl>
    <w:lvl w:ilvl="1" w:tplc="2E32A498">
      <w:start w:val="1"/>
      <w:numFmt w:val="upperRoman"/>
      <w:lvlText w:val="%2."/>
      <w:lvlJc w:val="left"/>
      <w:pPr>
        <w:tabs>
          <w:tab w:val="num" w:pos="1800"/>
        </w:tabs>
        <w:ind w:left="1800" w:hanging="720"/>
      </w:pPr>
      <w:rPr>
        <w:rFonts w:hint="default"/>
      </w:rPr>
    </w:lvl>
    <w:lvl w:ilvl="2" w:tplc="89201B30">
      <w:start w:val="1"/>
      <w:numFmt w:val="decimal"/>
      <w:lvlText w:val="(%3)"/>
      <w:lvlJc w:val="left"/>
      <w:pPr>
        <w:tabs>
          <w:tab w:val="num" w:pos="2175"/>
        </w:tabs>
        <w:ind w:left="2175" w:hanging="375"/>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F234EB"/>
    <w:multiLevelType w:val="hybridMultilevel"/>
    <w:tmpl w:val="A5A09A06"/>
    <w:lvl w:ilvl="0" w:tplc="93E099A2">
      <w:start w:val="1"/>
      <w:numFmt w:val="upperRoman"/>
      <w:lvlText w:val="%1."/>
      <w:lvlJc w:val="left"/>
      <w:pPr>
        <w:tabs>
          <w:tab w:val="num" w:pos="1080"/>
        </w:tabs>
        <w:ind w:left="1080" w:hanging="720"/>
      </w:pPr>
      <w:rPr>
        <w:rFonts w:hint="default"/>
        <w:i w:val="0"/>
      </w:rPr>
    </w:lvl>
    <w:lvl w:ilvl="1" w:tplc="D5188BB4">
      <w:start w:val="3"/>
      <w:numFmt w:val="upperLetter"/>
      <w:lvlText w:val="%2."/>
      <w:lvlJc w:val="left"/>
      <w:pPr>
        <w:tabs>
          <w:tab w:val="num" w:pos="1440"/>
        </w:tabs>
        <w:ind w:left="1440" w:hanging="360"/>
      </w:pPr>
      <w:rPr>
        <w:rFonts w:hint="default"/>
        <w:b w:val="0"/>
        <w:i w:val="0"/>
      </w:rPr>
    </w:lvl>
    <w:lvl w:ilvl="2" w:tplc="9F46DA1A">
      <w:start w:val="22"/>
      <w:numFmt w:val="decimal"/>
      <w:lvlText w:val="%3."/>
      <w:lvlJc w:val="left"/>
      <w:pPr>
        <w:tabs>
          <w:tab w:val="num" w:pos="2340"/>
        </w:tabs>
        <w:ind w:left="2340" w:hanging="360"/>
      </w:pPr>
      <w:rPr>
        <w:rFonts w:hint="default"/>
      </w:rPr>
    </w:lvl>
    <w:lvl w:ilvl="3" w:tplc="43C65192">
      <w:start w:val="1"/>
      <w:numFmt w:val="decimal"/>
      <w:lvlText w:val="%4."/>
      <w:lvlJc w:val="left"/>
      <w:pPr>
        <w:tabs>
          <w:tab w:val="num" w:pos="540"/>
        </w:tabs>
        <w:ind w:left="540" w:hanging="360"/>
      </w:pPr>
      <w:rPr>
        <w:rFonts w:hint="default"/>
        <w:color w:val="80808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087751"/>
    <w:multiLevelType w:val="hybridMultilevel"/>
    <w:tmpl w:val="8E90B7D2"/>
    <w:lvl w:ilvl="0" w:tplc="3160B79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B077FC"/>
    <w:multiLevelType w:val="hybridMultilevel"/>
    <w:tmpl w:val="939E839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88B1607"/>
    <w:multiLevelType w:val="hybridMultilevel"/>
    <w:tmpl w:val="7026D856"/>
    <w:lvl w:ilvl="0" w:tplc="E6141D60">
      <w:start w:val="1"/>
      <w:numFmt w:val="bullet"/>
      <w:lvlText w:val=""/>
      <w:lvlJc w:val="left"/>
      <w:pPr>
        <w:tabs>
          <w:tab w:val="num" w:pos="720"/>
        </w:tabs>
        <w:ind w:left="720" w:hanging="360"/>
      </w:pPr>
      <w:rPr>
        <w:rFonts w:ascii="Wingdings" w:hAnsi="Wingdings" w:hint="default"/>
      </w:rPr>
    </w:lvl>
    <w:lvl w:ilvl="1" w:tplc="60B8D00A" w:tentative="1">
      <w:start w:val="1"/>
      <w:numFmt w:val="bullet"/>
      <w:lvlText w:val=""/>
      <w:lvlJc w:val="left"/>
      <w:pPr>
        <w:tabs>
          <w:tab w:val="num" w:pos="1440"/>
        </w:tabs>
        <w:ind w:left="1440" w:hanging="360"/>
      </w:pPr>
      <w:rPr>
        <w:rFonts w:ascii="Wingdings" w:hAnsi="Wingdings" w:hint="default"/>
      </w:rPr>
    </w:lvl>
    <w:lvl w:ilvl="2" w:tplc="A6C68A1E" w:tentative="1">
      <w:start w:val="1"/>
      <w:numFmt w:val="bullet"/>
      <w:lvlText w:val=""/>
      <w:lvlJc w:val="left"/>
      <w:pPr>
        <w:tabs>
          <w:tab w:val="num" w:pos="2160"/>
        </w:tabs>
        <w:ind w:left="2160" w:hanging="360"/>
      </w:pPr>
      <w:rPr>
        <w:rFonts w:ascii="Wingdings" w:hAnsi="Wingdings" w:hint="default"/>
      </w:rPr>
    </w:lvl>
    <w:lvl w:ilvl="3" w:tplc="106C4810" w:tentative="1">
      <w:start w:val="1"/>
      <w:numFmt w:val="bullet"/>
      <w:lvlText w:val=""/>
      <w:lvlJc w:val="left"/>
      <w:pPr>
        <w:tabs>
          <w:tab w:val="num" w:pos="2880"/>
        </w:tabs>
        <w:ind w:left="2880" w:hanging="360"/>
      </w:pPr>
      <w:rPr>
        <w:rFonts w:ascii="Wingdings" w:hAnsi="Wingdings" w:hint="default"/>
      </w:rPr>
    </w:lvl>
    <w:lvl w:ilvl="4" w:tplc="F3EE968E" w:tentative="1">
      <w:start w:val="1"/>
      <w:numFmt w:val="bullet"/>
      <w:lvlText w:val=""/>
      <w:lvlJc w:val="left"/>
      <w:pPr>
        <w:tabs>
          <w:tab w:val="num" w:pos="3600"/>
        </w:tabs>
        <w:ind w:left="3600" w:hanging="360"/>
      </w:pPr>
      <w:rPr>
        <w:rFonts w:ascii="Wingdings" w:hAnsi="Wingdings" w:hint="default"/>
      </w:rPr>
    </w:lvl>
    <w:lvl w:ilvl="5" w:tplc="66FE963A" w:tentative="1">
      <w:start w:val="1"/>
      <w:numFmt w:val="bullet"/>
      <w:lvlText w:val=""/>
      <w:lvlJc w:val="left"/>
      <w:pPr>
        <w:tabs>
          <w:tab w:val="num" w:pos="4320"/>
        </w:tabs>
        <w:ind w:left="4320" w:hanging="360"/>
      </w:pPr>
      <w:rPr>
        <w:rFonts w:ascii="Wingdings" w:hAnsi="Wingdings" w:hint="default"/>
      </w:rPr>
    </w:lvl>
    <w:lvl w:ilvl="6" w:tplc="DED2A7C2" w:tentative="1">
      <w:start w:val="1"/>
      <w:numFmt w:val="bullet"/>
      <w:lvlText w:val=""/>
      <w:lvlJc w:val="left"/>
      <w:pPr>
        <w:tabs>
          <w:tab w:val="num" w:pos="5040"/>
        </w:tabs>
        <w:ind w:left="5040" w:hanging="360"/>
      </w:pPr>
      <w:rPr>
        <w:rFonts w:ascii="Wingdings" w:hAnsi="Wingdings" w:hint="default"/>
      </w:rPr>
    </w:lvl>
    <w:lvl w:ilvl="7" w:tplc="416426FE" w:tentative="1">
      <w:start w:val="1"/>
      <w:numFmt w:val="bullet"/>
      <w:lvlText w:val=""/>
      <w:lvlJc w:val="left"/>
      <w:pPr>
        <w:tabs>
          <w:tab w:val="num" w:pos="5760"/>
        </w:tabs>
        <w:ind w:left="5760" w:hanging="360"/>
      </w:pPr>
      <w:rPr>
        <w:rFonts w:ascii="Wingdings" w:hAnsi="Wingdings" w:hint="default"/>
      </w:rPr>
    </w:lvl>
    <w:lvl w:ilvl="8" w:tplc="260021B4" w:tentative="1">
      <w:start w:val="1"/>
      <w:numFmt w:val="bullet"/>
      <w:lvlText w:val=""/>
      <w:lvlJc w:val="left"/>
      <w:pPr>
        <w:tabs>
          <w:tab w:val="num" w:pos="6480"/>
        </w:tabs>
        <w:ind w:left="6480" w:hanging="360"/>
      </w:pPr>
      <w:rPr>
        <w:rFonts w:ascii="Wingdings" w:hAnsi="Wingdings" w:hint="default"/>
      </w:rPr>
    </w:lvl>
  </w:abstractNum>
  <w:abstractNum w:abstractNumId="13">
    <w:nsid w:val="2D97232C"/>
    <w:multiLevelType w:val="hybridMultilevel"/>
    <w:tmpl w:val="E74A84F8"/>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0A600B"/>
    <w:multiLevelType w:val="hybridMultilevel"/>
    <w:tmpl w:val="C840B89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62150FB"/>
    <w:multiLevelType w:val="hybridMultilevel"/>
    <w:tmpl w:val="D29A1CCC"/>
    <w:lvl w:ilvl="0" w:tplc="3648B59E">
      <w:start w:val="1"/>
      <w:numFmt w:val="bullet"/>
      <w:lvlText w:val="•"/>
      <w:lvlJc w:val="left"/>
      <w:pPr>
        <w:tabs>
          <w:tab w:val="num" w:pos="720"/>
        </w:tabs>
        <w:ind w:left="720" w:hanging="360"/>
      </w:pPr>
      <w:rPr>
        <w:rFonts w:ascii="Arial" w:hAnsi="Arial" w:hint="default"/>
      </w:rPr>
    </w:lvl>
    <w:lvl w:ilvl="1" w:tplc="EEE8BA42" w:tentative="1">
      <w:start w:val="1"/>
      <w:numFmt w:val="bullet"/>
      <w:lvlText w:val="•"/>
      <w:lvlJc w:val="left"/>
      <w:pPr>
        <w:tabs>
          <w:tab w:val="num" w:pos="1440"/>
        </w:tabs>
        <w:ind w:left="1440" w:hanging="360"/>
      </w:pPr>
      <w:rPr>
        <w:rFonts w:ascii="Arial" w:hAnsi="Arial" w:hint="default"/>
      </w:rPr>
    </w:lvl>
    <w:lvl w:ilvl="2" w:tplc="F4B0AAA8" w:tentative="1">
      <w:start w:val="1"/>
      <w:numFmt w:val="bullet"/>
      <w:lvlText w:val="•"/>
      <w:lvlJc w:val="left"/>
      <w:pPr>
        <w:tabs>
          <w:tab w:val="num" w:pos="2160"/>
        </w:tabs>
        <w:ind w:left="2160" w:hanging="360"/>
      </w:pPr>
      <w:rPr>
        <w:rFonts w:ascii="Arial" w:hAnsi="Arial" w:hint="default"/>
      </w:rPr>
    </w:lvl>
    <w:lvl w:ilvl="3" w:tplc="59383036" w:tentative="1">
      <w:start w:val="1"/>
      <w:numFmt w:val="bullet"/>
      <w:lvlText w:val="•"/>
      <w:lvlJc w:val="left"/>
      <w:pPr>
        <w:tabs>
          <w:tab w:val="num" w:pos="2880"/>
        </w:tabs>
        <w:ind w:left="2880" w:hanging="360"/>
      </w:pPr>
      <w:rPr>
        <w:rFonts w:ascii="Arial" w:hAnsi="Arial" w:hint="default"/>
      </w:rPr>
    </w:lvl>
    <w:lvl w:ilvl="4" w:tplc="DFDCA1B0" w:tentative="1">
      <w:start w:val="1"/>
      <w:numFmt w:val="bullet"/>
      <w:lvlText w:val="•"/>
      <w:lvlJc w:val="left"/>
      <w:pPr>
        <w:tabs>
          <w:tab w:val="num" w:pos="3600"/>
        </w:tabs>
        <w:ind w:left="3600" w:hanging="360"/>
      </w:pPr>
      <w:rPr>
        <w:rFonts w:ascii="Arial" w:hAnsi="Arial" w:hint="default"/>
      </w:rPr>
    </w:lvl>
    <w:lvl w:ilvl="5" w:tplc="4AF4DAB8" w:tentative="1">
      <w:start w:val="1"/>
      <w:numFmt w:val="bullet"/>
      <w:lvlText w:val="•"/>
      <w:lvlJc w:val="left"/>
      <w:pPr>
        <w:tabs>
          <w:tab w:val="num" w:pos="4320"/>
        </w:tabs>
        <w:ind w:left="4320" w:hanging="360"/>
      </w:pPr>
      <w:rPr>
        <w:rFonts w:ascii="Arial" w:hAnsi="Arial" w:hint="default"/>
      </w:rPr>
    </w:lvl>
    <w:lvl w:ilvl="6" w:tplc="7116F994" w:tentative="1">
      <w:start w:val="1"/>
      <w:numFmt w:val="bullet"/>
      <w:lvlText w:val="•"/>
      <w:lvlJc w:val="left"/>
      <w:pPr>
        <w:tabs>
          <w:tab w:val="num" w:pos="5040"/>
        </w:tabs>
        <w:ind w:left="5040" w:hanging="360"/>
      </w:pPr>
      <w:rPr>
        <w:rFonts w:ascii="Arial" w:hAnsi="Arial" w:hint="default"/>
      </w:rPr>
    </w:lvl>
    <w:lvl w:ilvl="7" w:tplc="495E1F30" w:tentative="1">
      <w:start w:val="1"/>
      <w:numFmt w:val="bullet"/>
      <w:lvlText w:val="•"/>
      <w:lvlJc w:val="left"/>
      <w:pPr>
        <w:tabs>
          <w:tab w:val="num" w:pos="5760"/>
        </w:tabs>
        <w:ind w:left="5760" w:hanging="360"/>
      </w:pPr>
      <w:rPr>
        <w:rFonts w:ascii="Arial" w:hAnsi="Arial" w:hint="default"/>
      </w:rPr>
    </w:lvl>
    <w:lvl w:ilvl="8" w:tplc="C960089A" w:tentative="1">
      <w:start w:val="1"/>
      <w:numFmt w:val="bullet"/>
      <w:lvlText w:val="•"/>
      <w:lvlJc w:val="left"/>
      <w:pPr>
        <w:tabs>
          <w:tab w:val="num" w:pos="6480"/>
        </w:tabs>
        <w:ind w:left="6480" w:hanging="360"/>
      </w:pPr>
      <w:rPr>
        <w:rFonts w:ascii="Arial" w:hAnsi="Arial" w:hint="default"/>
      </w:rPr>
    </w:lvl>
  </w:abstractNum>
  <w:abstractNum w:abstractNumId="16">
    <w:nsid w:val="3A340D81"/>
    <w:multiLevelType w:val="hybridMultilevel"/>
    <w:tmpl w:val="69903998"/>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355299"/>
    <w:multiLevelType w:val="hybridMultilevel"/>
    <w:tmpl w:val="1F22A022"/>
    <w:lvl w:ilvl="0" w:tplc="429CD968">
      <w:start w:val="1"/>
      <w:numFmt w:val="bullet"/>
      <w:lvlText w:val=""/>
      <w:lvlJc w:val="left"/>
      <w:pPr>
        <w:tabs>
          <w:tab w:val="num" w:pos="720"/>
        </w:tabs>
        <w:ind w:left="720" w:hanging="360"/>
      </w:pPr>
      <w:rPr>
        <w:rFonts w:ascii="Symbol" w:hAnsi="Symbol" w:hint="default"/>
        <w:b w:val="0"/>
        <w:i w:val="0"/>
        <w:sz w:val="20"/>
      </w:rPr>
    </w:lvl>
    <w:lvl w:ilvl="1" w:tplc="0409000B">
      <w:start w:val="1"/>
      <w:numFmt w:val="bullet"/>
      <w:lvlText w:val=""/>
      <w:lvlJc w:val="left"/>
      <w:pPr>
        <w:tabs>
          <w:tab w:val="num" w:pos="1440"/>
        </w:tabs>
        <w:ind w:left="1440" w:hanging="360"/>
      </w:pPr>
      <w:rPr>
        <w:rFonts w:ascii="Wingdings" w:hAnsi="Wingdings"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D85931"/>
    <w:multiLevelType w:val="hybridMultilevel"/>
    <w:tmpl w:val="F34C2AE4"/>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5729C8"/>
    <w:multiLevelType w:val="hybridMultilevel"/>
    <w:tmpl w:val="4AC4A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9C78B0"/>
    <w:multiLevelType w:val="hybridMultilevel"/>
    <w:tmpl w:val="898C3D76"/>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BC0645"/>
    <w:multiLevelType w:val="hybridMultilevel"/>
    <w:tmpl w:val="38D6B518"/>
    <w:lvl w:ilvl="0" w:tplc="15CEE274">
      <w:start w:val="505"/>
      <w:numFmt w:val="bullet"/>
      <w:lvlText w:val="-"/>
      <w:lvlJc w:val="left"/>
      <w:pPr>
        <w:tabs>
          <w:tab w:val="num" w:pos="720"/>
        </w:tabs>
        <w:ind w:left="720" w:hanging="360"/>
      </w:pPr>
      <w:rPr>
        <w:rFonts w:ascii="Univers" w:eastAsia="Times New Roman" w:hAnsi="Univers" w:cs="Times New Roman" w:hint="default"/>
      </w:rPr>
    </w:lvl>
    <w:lvl w:ilvl="1" w:tplc="99085B1E">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C97495"/>
    <w:multiLevelType w:val="hybridMultilevel"/>
    <w:tmpl w:val="5A8643CC"/>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A93701"/>
    <w:multiLevelType w:val="hybridMultilevel"/>
    <w:tmpl w:val="D470632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AA14858"/>
    <w:multiLevelType w:val="hybridMultilevel"/>
    <w:tmpl w:val="51E05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87349"/>
    <w:multiLevelType w:val="hybridMultilevel"/>
    <w:tmpl w:val="34A0411A"/>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7C1DEF"/>
    <w:multiLevelType w:val="hybridMultilevel"/>
    <w:tmpl w:val="259ACA62"/>
    <w:lvl w:ilvl="0" w:tplc="0409000B">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7">
    <w:nsid w:val="510C07E0"/>
    <w:multiLevelType w:val="hybridMultilevel"/>
    <w:tmpl w:val="1BB448AA"/>
    <w:lvl w:ilvl="0" w:tplc="7F7AEB94">
      <w:start w:val="18"/>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F1BB5"/>
    <w:multiLevelType w:val="multilevel"/>
    <w:tmpl w:val="4346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003D3E"/>
    <w:multiLevelType w:val="hybridMultilevel"/>
    <w:tmpl w:val="5DF0340A"/>
    <w:lvl w:ilvl="0" w:tplc="D6B09538">
      <w:start w:val="1"/>
      <w:numFmt w:val="bullet"/>
      <w:lvlText w:val=""/>
      <w:lvlJc w:val="left"/>
      <w:pPr>
        <w:tabs>
          <w:tab w:val="num" w:pos="720"/>
        </w:tabs>
        <w:ind w:left="720" w:hanging="360"/>
      </w:pPr>
      <w:rPr>
        <w:rFonts w:ascii="Wingdings" w:hAnsi="Wingdings" w:hint="default"/>
      </w:rPr>
    </w:lvl>
    <w:lvl w:ilvl="1" w:tplc="02E0B38A" w:tentative="1">
      <w:start w:val="1"/>
      <w:numFmt w:val="bullet"/>
      <w:lvlText w:val=""/>
      <w:lvlJc w:val="left"/>
      <w:pPr>
        <w:tabs>
          <w:tab w:val="num" w:pos="1440"/>
        </w:tabs>
        <w:ind w:left="1440" w:hanging="360"/>
      </w:pPr>
      <w:rPr>
        <w:rFonts w:ascii="Wingdings" w:hAnsi="Wingdings" w:hint="default"/>
      </w:rPr>
    </w:lvl>
    <w:lvl w:ilvl="2" w:tplc="482C1A14" w:tentative="1">
      <w:start w:val="1"/>
      <w:numFmt w:val="bullet"/>
      <w:lvlText w:val=""/>
      <w:lvlJc w:val="left"/>
      <w:pPr>
        <w:tabs>
          <w:tab w:val="num" w:pos="2160"/>
        </w:tabs>
        <w:ind w:left="2160" w:hanging="360"/>
      </w:pPr>
      <w:rPr>
        <w:rFonts w:ascii="Wingdings" w:hAnsi="Wingdings" w:hint="default"/>
      </w:rPr>
    </w:lvl>
    <w:lvl w:ilvl="3" w:tplc="D9D0AEEA" w:tentative="1">
      <w:start w:val="1"/>
      <w:numFmt w:val="bullet"/>
      <w:lvlText w:val=""/>
      <w:lvlJc w:val="left"/>
      <w:pPr>
        <w:tabs>
          <w:tab w:val="num" w:pos="2880"/>
        </w:tabs>
        <w:ind w:left="2880" w:hanging="360"/>
      </w:pPr>
      <w:rPr>
        <w:rFonts w:ascii="Wingdings" w:hAnsi="Wingdings" w:hint="default"/>
      </w:rPr>
    </w:lvl>
    <w:lvl w:ilvl="4" w:tplc="F28EB0A8" w:tentative="1">
      <w:start w:val="1"/>
      <w:numFmt w:val="bullet"/>
      <w:lvlText w:val=""/>
      <w:lvlJc w:val="left"/>
      <w:pPr>
        <w:tabs>
          <w:tab w:val="num" w:pos="3600"/>
        </w:tabs>
        <w:ind w:left="3600" w:hanging="360"/>
      </w:pPr>
      <w:rPr>
        <w:rFonts w:ascii="Wingdings" w:hAnsi="Wingdings" w:hint="default"/>
      </w:rPr>
    </w:lvl>
    <w:lvl w:ilvl="5" w:tplc="A6442D66" w:tentative="1">
      <w:start w:val="1"/>
      <w:numFmt w:val="bullet"/>
      <w:lvlText w:val=""/>
      <w:lvlJc w:val="left"/>
      <w:pPr>
        <w:tabs>
          <w:tab w:val="num" w:pos="4320"/>
        </w:tabs>
        <w:ind w:left="4320" w:hanging="360"/>
      </w:pPr>
      <w:rPr>
        <w:rFonts w:ascii="Wingdings" w:hAnsi="Wingdings" w:hint="default"/>
      </w:rPr>
    </w:lvl>
    <w:lvl w:ilvl="6" w:tplc="2B4EA466" w:tentative="1">
      <w:start w:val="1"/>
      <w:numFmt w:val="bullet"/>
      <w:lvlText w:val=""/>
      <w:lvlJc w:val="left"/>
      <w:pPr>
        <w:tabs>
          <w:tab w:val="num" w:pos="5040"/>
        </w:tabs>
        <w:ind w:left="5040" w:hanging="360"/>
      </w:pPr>
      <w:rPr>
        <w:rFonts w:ascii="Wingdings" w:hAnsi="Wingdings" w:hint="default"/>
      </w:rPr>
    </w:lvl>
    <w:lvl w:ilvl="7" w:tplc="7E6A27EA" w:tentative="1">
      <w:start w:val="1"/>
      <w:numFmt w:val="bullet"/>
      <w:lvlText w:val=""/>
      <w:lvlJc w:val="left"/>
      <w:pPr>
        <w:tabs>
          <w:tab w:val="num" w:pos="5760"/>
        </w:tabs>
        <w:ind w:left="5760" w:hanging="360"/>
      </w:pPr>
      <w:rPr>
        <w:rFonts w:ascii="Wingdings" w:hAnsi="Wingdings" w:hint="default"/>
      </w:rPr>
    </w:lvl>
    <w:lvl w:ilvl="8" w:tplc="AD7E34FE" w:tentative="1">
      <w:start w:val="1"/>
      <w:numFmt w:val="bullet"/>
      <w:lvlText w:val=""/>
      <w:lvlJc w:val="left"/>
      <w:pPr>
        <w:tabs>
          <w:tab w:val="num" w:pos="6480"/>
        </w:tabs>
        <w:ind w:left="6480" w:hanging="360"/>
      </w:pPr>
      <w:rPr>
        <w:rFonts w:ascii="Wingdings" w:hAnsi="Wingdings" w:hint="default"/>
      </w:rPr>
    </w:lvl>
  </w:abstractNum>
  <w:abstractNum w:abstractNumId="30">
    <w:nsid w:val="59154602"/>
    <w:multiLevelType w:val="hybridMultilevel"/>
    <w:tmpl w:val="5EE25EF4"/>
    <w:lvl w:ilvl="0" w:tplc="19F6459A">
      <w:start w:val="1"/>
      <w:numFmt w:val="upperRoman"/>
      <w:lvlText w:val="%1."/>
      <w:lvlJc w:val="left"/>
      <w:pPr>
        <w:tabs>
          <w:tab w:val="num" w:pos="1080"/>
        </w:tabs>
        <w:ind w:left="1080" w:hanging="720"/>
      </w:pPr>
      <w:rPr>
        <w:rFonts w:hint="default"/>
      </w:rPr>
    </w:lvl>
    <w:lvl w:ilvl="1" w:tplc="4C8E367E">
      <w:start w:val="1"/>
      <w:numFmt w:val="upperLetter"/>
      <w:pStyle w:val="Style2"/>
      <w:lvlText w:val="%2."/>
      <w:lvlJc w:val="left"/>
      <w:pPr>
        <w:tabs>
          <w:tab w:val="num" w:pos="2160"/>
        </w:tabs>
        <w:ind w:left="2160" w:hanging="108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0D76B034">
      <w:start w:val="1"/>
      <w:numFmt w:val="decimal"/>
      <w:lvlText w:val="%4."/>
      <w:lvlJc w:val="left"/>
      <w:pPr>
        <w:tabs>
          <w:tab w:val="num" w:pos="2880"/>
        </w:tabs>
        <w:ind w:left="2880" w:hanging="360"/>
      </w:pPr>
      <w:rPr>
        <w:rFonts w:hint="default"/>
      </w:rPr>
    </w:lvl>
    <w:lvl w:ilvl="4" w:tplc="18582BFE">
      <w:start w:val="1"/>
      <w:numFmt w:val="lowerRoman"/>
      <w:lvlText w:val="%5."/>
      <w:lvlJc w:val="left"/>
      <w:pPr>
        <w:tabs>
          <w:tab w:val="num" w:pos="3960"/>
        </w:tabs>
        <w:ind w:left="3960" w:hanging="720"/>
      </w:pPr>
      <w:rPr>
        <w:rFonts w:ascii="Calibri" w:eastAsia="Times New Roman" w:hAnsi="Calibri" w:cs="Times New Roman" w:hint="default"/>
      </w:rPr>
    </w:lvl>
    <w:lvl w:ilvl="5" w:tplc="C97C2BAC">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A4020BA"/>
    <w:multiLevelType w:val="hybridMultilevel"/>
    <w:tmpl w:val="D9122C72"/>
    <w:lvl w:ilvl="0" w:tplc="0409000B">
      <w:start w:val="1"/>
      <w:numFmt w:val="bullet"/>
      <w:lvlText w:val=""/>
      <w:lvlJc w:val="left"/>
      <w:pPr>
        <w:tabs>
          <w:tab w:val="num" w:pos="1080"/>
        </w:tabs>
        <w:ind w:left="1080" w:hanging="360"/>
      </w:pPr>
      <w:rPr>
        <w:rFonts w:ascii="Wingdings" w:hAnsi="Wingdings" w:hint="default"/>
      </w:rPr>
    </w:lvl>
    <w:lvl w:ilvl="1" w:tplc="429CD968">
      <w:start w:val="1"/>
      <w:numFmt w:val="bullet"/>
      <w:lvlText w:val=""/>
      <w:lvlJc w:val="left"/>
      <w:pPr>
        <w:tabs>
          <w:tab w:val="num" w:pos="1800"/>
        </w:tabs>
        <w:ind w:left="1800" w:hanging="360"/>
      </w:pPr>
      <w:rPr>
        <w:rFonts w:ascii="Symbol" w:hAnsi="Symbol" w:hint="default"/>
        <w:b w:val="0"/>
        <w:i w:val="0"/>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C185A99"/>
    <w:multiLevelType w:val="hybridMultilevel"/>
    <w:tmpl w:val="B9E4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3083D"/>
    <w:multiLevelType w:val="hybridMultilevel"/>
    <w:tmpl w:val="D45EC000"/>
    <w:lvl w:ilvl="0" w:tplc="677C904E">
      <w:start w:val="22"/>
      <w:numFmt w:val="decimal"/>
      <w:lvlText w:val="%1."/>
      <w:lvlJc w:val="left"/>
      <w:pPr>
        <w:tabs>
          <w:tab w:val="num" w:pos="2340"/>
        </w:tabs>
        <w:ind w:left="2340" w:hanging="360"/>
      </w:pPr>
      <w:rPr>
        <w:rFonts w:hint="default"/>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A07CC"/>
    <w:multiLevelType w:val="hybridMultilevel"/>
    <w:tmpl w:val="2A660D14"/>
    <w:lvl w:ilvl="0" w:tplc="F316186E">
      <w:start w:val="1"/>
      <w:numFmt w:val="upperLetter"/>
      <w:pStyle w:val="Style1"/>
      <w:lvlText w:val="%1."/>
      <w:lvlJc w:val="left"/>
      <w:pPr>
        <w:ind w:left="1080" w:hanging="360"/>
      </w:pPr>
      <w:rPr>
        <w:rFonts w:hint="default"/>
      </w:rPr>
    </w:lvl>
    <w:lvl w:ilvl="1" w:tplc="053AF470">
      <w:start w:val="4"/>
      <w:numFmt w:val="upperRoman"/>
      <w:lvlText w:val="%2."/>
      <w:lvlJc w:val="left"/>
      <w:pPr>
        <w:tabs>
          <w:tab w:val="num" w:pos="2160"/>
        </w:tabs>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AD53C2B"/>
    <w:multiLevelType w:val="hybridMultilevel"/>
    <w:tmpl w:val="219A82DE"/>
    <w:lvl w:ilvl="0" w:tplc="429CD96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E086A56"/>
    <w:multiLevelType w:val="hybridMultilevel"/>
    <w:tmpl w:val="7C36974E"/>
    <w:lvl w:ilvl="0" w:tplc="429CD968">
      <w:start w:val="1"/>
      <w:numFmt w:val="bullet"/>
      <w:lvlText w:val=""/>
      <w:lvlJc w:val="left"/>
      <w:pPr>
        <w:tabs>
          <w:tab w:val="num" w:pos="3240"/>
        </w:tabs>
        <w:ind w:left="3240" w:hanging="360"/>
      </w:pPr>
      <w:rPr>
        <w:rFonts w:ascii="Symbol" w:hAnsi="Symbol" w:hint="default"/>
        <w:b w:val="0"/>
        <w:i w:val="0"/>
        <w:sz w:val="20"/>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num w:numId="1">
    <w:abstractNumId w:val="30"/>
  </w:num>
  <w:num w:numId="2">
    <w:abstractNumId w:val="1"/>
  </w:num>
  <w:num w:numId="3">
    <w:abstractNumId w:val="6"/>
  </w:num>
  <w:num w:numId="4">
    <w:abstractNumId w:val="12"/>
  </w:num>
  <w:num w:numId="5">
    <w:abstractNumId w:val="29"/>
  </w:num>
  <w:num w:numId="6">
    <w:abstractNumId w:val="13"/>
  </w:num>
  <w:num w:numId="7">
    <w:abstractNumId w:val="35"/>
  </w:num>
  <w:num w:numId="8">
    <w:abstractNumId w:val="31"/>
  </w:num>
  <w:num w:numId="9">
    <w:abstractNumId w:val="23"/>
  </w:num>
  <w:num w:numId="10">
    <w:abstractNumId w:val="18"/>
  </w:num>
  <w:num w:numId="11">
    <w:abstractNumId w:val="25"/>
  </w:num>
  <w:num w:numId="12">
    <w:abstractNumId w:val="36"/>
  </w:num>
  <w:num w:numId="13">
    <w:abstractNumId w:val="3"/>
  </w:num>
  <w:num w:numId="14">
    <w:abstractNumId w:val="26"/>
  </w:num>
  <w:num w:numId="15">
    <w:abstractNumId w:val="9"/>
  </w:num>
  <w:num w:numId="16">
    <w:abstractNumId w:val="14"/>
  </w:num>
  <w:num w:numId="17">
    <w:abstractNumId w:val="2"/>
  </w:num>
  <w:num w:numId="18">
    <w:abstractNumId w:val="20"/>
  </w:num>
  <w:num w:numId="19">
    <w:abstractNumId w:val="4"/>
  </w:num>
  <w:num w:numId="20">
    <w:abstractNumId w:val="15"/>
  </w:num>
  <w:num w:numId="21">
    <w:abstractNumId w:val="7"/>
  </w:num>
  <w:num w:numId="22">
    <w:abstractNumId w:val="22"/>
  </w:num>
  <w:num w:numId="23">
    <w:abstractNumId w:val="17"/>
  </w:num>
  <w:num w:numId="24">
    <w:abstractNumId w:val="11"/>
  </w:num>
  <w:num w:numId="25">
    <w:abstractNumId w:val="8"/>
  </w:num>
  <w:num w:numId="26">
    <w:abstractNumId w:val="21"/>
  </w:num>
  <w:num w:numId="27">
    <w:abstractNumId w:val="19"/>
  </w:num>
  <w:num w:numId="28">
    <w:abstractNumId w:val="32"/>
  </w:num>
  <w:num w:numId="29">
    <w:abstractNumId w:val="34"/>
  </w:num>
  <w:num w:numId="30">
    <w:abstractNumId w:val="5"/>
  </w:num>
  <w:num w:numId="31">
    <w:abstractNumId w:val="27"/>
  </w:num>
  <w:num w:numId="32">
    <w:abstractNumId w:val="16"/>
  </w:num>
  <w:num w:numId="33">
    <w:abstractNumId w:val="10"/>
  </w:num>
  <w:num w:numId="34">
    <w:abstractNumId w:val="0"/>
  </w:num>
  <w:num w:numId="35">
    <w:abstractNumId w:val="24"/>
  </w:num>
  <w:num w:numId="36">
    <w:abstractNumId w:val="28"/>
  </w:num>
  <w:num w:numId="37">
    <w:abstractNumId w:val="34"/>
    <w:lvlOverride w:ilvl="0">
      <w:startOverride w:val="1"/>
    </w:lvlOverride>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1EC7"/>
    <w:rsid w:val="000026C9"/>
    <w:rsid w:val="00002BBE"/>
    <w:rsid w:val="00002D89"/>
    <w:rsid w:val="000032AD"/>
    <w:rsid w:val="00003FF7"/>
    <w:rsid w:val="0001036D"/>
    <w:rsid w:val="00010681"/>
    <w:rsid w:val="00010F0D"/>
    <w:rsid w:val="00011600"/>
    <w:rsid w:val="00012EAA"/>
    <w:rsid w:val="0001301C"/>
    <w:rsid w:val="00013EDC"/>
    <w:rsid w:val="00014A25"/>
    <w:rsid w:val="0001523F"/>
    <w:rsid w:val="00016655"/>
    <w:rsid w:val="00016E80"/>
    <w:rsid w:val="00022FD5"/>
    <w:rsid w:val="000243E4"/>
    <w:rsid w:val="000265A3"/>
    <w:rsid w:val="00026EDA"/>
    <w:rsid w:val="00027E96"/>
    <w:rsid w:val="00032211"/>
    <w:rsid w:val="00032AEC"/>
    <w:rsid w:val="00032DB9"/>
    <w:rsid w:val="00033B0E"/>
    <w:rsid w:val="00034A66"/>
    <w:rsid w:val="0003518B"/>
    <w:rsid w:val="00036C80"/>
    <w:rsid w:val="00041424"/>
    <w:rsid w:val="00041963"/>
    <w:rsid w:val="00044106"/>
    <w:rsid w:val="000444A5"/>
    <w:rsid w:val="000452F9"/>
    <w:rsid w:val="000462E5"/>
    <w:rsid w:val="00046E47"/>
    <w:rsid w:val="00053281"/>
    <w:rsid w:val="0005446B"/>
    <w:rsid w:val="0005455B"/>
    <w:rsid w:val="00054608"/>
    <w:rsid w:val="00054892"/>
    <w:rsid w:val="00054DF0"/>
    <w:rsid w:val="00054E79"/>
    <w:rsid w:val="00056CE9"/>
    <w:rsid w:val="00057EFD"/>
    <w:rsid w:val="00061063"/>
    <w:rsid w:val="00061134"/>
    <w:rsid w:val="00061D3F"/>
    <w:rsid w:val="00062CB8"/>
    <w:rsid w:val="00064A84"/>
    <w:rsid w:val="00065AE7"/>
    <w:rsid w:val="0006645D"/>
    <w:rsid w:val="000702EF"/>
    <w:rsid w:val="00070547"/>
    <w:rsid w:val="00070839"/>
    <w:rsid w:val="00070851"/>
    <w:rsid w:val="00070E15"/>
    <w:rsid w:val="00071465"/>
    <w:rsid w:val="000717EA"/>
    <w:rsid w:val="00071FB0"/>
    <w:rsid w:val="00072889"/>
    <w:rsid w:val="00072FF8"/>
    <w:rsid w:val="00073960"/>
    <w:rsid w:val="00073E8C"/>
    <w:rsid w:val="00073F6B"/>
    <w:rsid w:val="00074647"/>
    <w:rsid w:val="000801AC"/>
    <w:rsid w:val="00080337"/>
    <w:rsid w:val="0008037D"/>
    <w:rsid w:val="000811A0"/>
    <w:rsid w:val="00081C43"/>
    <w:rsid w:val="0008231E"/>
    <w:rsid w:val="000825FF"/>
    <w:rsid w:val="0008297C"/>
    <w:rsid w:val="000848CA"/>
    <w:rsid w:val="00085392"/>
    <w:rsid w:val="000857F4"/>
    <w:rsid w:val="00086712"/>
    <w:rsid w:val="00086E60"/>
    <w:rsid w:val="000903C2"/>
    <w:rsid w:val="000909D2"/>
    <w:rsid w:val="0009208D"/>
    <w:rsid w:val="00092351"/>
    <w:rsid w:val="00092819"/>
    <w:rsid w:val="00094FF0"/>
    <w:rsid w:val="00096068"/>
    <w:rsid w:val="00097EBA"/>
    <w:rsid w:val="00097ECE"/>
    <w:rsid w:val="000A05A4"/>
    <w:rsid w:val="000A05FD"/>
    <w:rsid w:val="000A0642"/>
    <w:rsid w:val="000A06DE"/>
    <w:rsid w:val="000A086C"/>
    <w:rsid w:val="000A190D"/>
    <w:rsid w:val="000A1AFE"/>
    <w:rsid w:val="000A3C89"/>
    <w:rsid w:val="000A4F36"/>
    <w:rsid w:val="000A5C26"/>
    <w:rsid w:val="000A5D33"/>
    <w:rsid w:val="000A5E63"/>
    <w:rsid w:val="000A6AAE"/>
    <w:rsid w:val="000A6C03"/>
    <w:rsid w:val="000B03E3"/>
    <w:rsid w:val="000B22C0"/>
    <w:rsid w:val="000B2512"/>
    <w:rsid w:val="000B381F"/>
    <w:rsid w:val="000B4D7F"/>
    <w:rsid w:val="000B7DEE"/>
    <w:rsid w:val="000C00F6"/>
    <w:rsid w:val="000C0E6C"/>
    <w:rsid w:val="000C45B0"/>
    <w:rsid w:val="000C4742"/>
    <w:rsid w:val="000C7AAC"/>
    <w:rsid w:val="000D0E3B"/>
    <w:rsid w:val="000D2D2E"/>
    <w:rsid w:val="000D2F11"/>
    <w:rsid w:val="000D308B"/>
    <w:rsid w:val="000D3690"/>
    <w:rsid w:val="000D64B5"/>
    <w:rsid w:val="000D6554"/>
    <w:rsid w:val="000D69BA"/>
    <w:rsid w:val="000D6EF4"/>
    <w:rsid w:val="000D742C"/>
    <w:rsid w:val="000D781C"/>
    <w:rsid w:val="000D7E95"/>
    <w:rsid w:val="000E0C86"/>
    <w:rsid w:val="000E12A4"/>
    <w:rsid w:val="000E2045"/>
    <w:rsid w:val="000E2439"/>
    <w:rsid w:val="000E68EE"/>
    <w:rsid w:val="000F0837"/>
    <w:rsid w:val="000F0B6D"/>
    <w:rsid w:val="000F22AF"/>
    <w:rsid w:val="000F42D0"/>
    <w:rsid w:val="000F6256"/>
    <w:rsid w:val="000F62D4"/>
    <w:rsid w:val="000F6EA7"/>
    <w:rsid w:val="00100D91"/>
    <w:rsid w:val="00101ADC"/>
    <w:rsid w:val="00101D80"/>
    <w:rsid w:val="00102839"/>
    <w:rsid w:val="001029AC"/>
    <w:rsid w:val="00103069"/>
    <w:rsid w:val="00103CBE"/>
    <w:rsid w:val="00104918"/>
    <w:rsid w:val="00105F21"/>
    <w:rsid w:val="0010711E"/>
    <w:rsid w:val="0011002A"/>
    <w:rsid w:val="001106FC"/>
    <w:rsid w:val="00110F7B"/>
    <w:rsid w:val="001116AC"/>
    <w:rsid w:val="00112049"/>
    <w:rsid w:val="00112477"/>
    <w:rsid w:val="001142D5"/>
    <w:rsid w:val="0011495E"/>
    <w:rsid w:val="00116C61"/>
    <w:rsid w:val="001175A5"/>
    <w:rsid w:val="0011771D"/>
    <w:rsid w:val="00117EE5"/>
    <w:rsid w:val="00120933"/>
    <w:rsid w:val="00120A89"/>
    <w:rsid w:val="00121ABE"/>
    <w:rsid w:val="001238FD"/>
    <w:rsid w:val="001249F9"/>
    <w:rsid w:val="00124A99"/>
    <w:rsid w:val="00125C17"/>
    <w:rsid w:val="0012702B"/>
    <w:rsid w:val="00130296"/>
    <w:rsid w:val="00130BFB"/>
    <w:rsid w:val="0013105F"/>
    <w:rsid w:val="001335B9"/>
    <w:rsid w:val="00133DEA"/>
    <w:rsid w:val="001366D5"/>
    <w:rsid w:val="00137303"/>
    <w:rsid w:val="00137E9F"/>
    <w:rsid w:val="0014017A"/>
    <w:rsid w:val="00141064"/>
    <w:rsid w:val="001414D4"/>
    <w:rsid w:val="00142085"/>
    <w:rsid w:val="00142BB7"/>
    <w:rsid w:val="0014776B"/>
    <w:rsid w:val="001504B3"/>
    <w:rsid w:val="00150FB2"/>
    <w:rsid w:val="00152EAE"/>
    <w:rsid w:val="00153EA2"/>
    <w:rsid w:val="00155A4D"/>
    <w:rsid w:val="00156712"/>
    <w:rsid w:val="00156DA7"/>
    <w:rsid w:val="001613C2"/>
    <w:rsid w:val="001622CD"/>
    <w:rsid w:val="00163A41"/>
    <w:rsid w:val="001654ED"/>
    <w:rsid w:val="00165B1C"/>
    <w:rsid w:val="00165CF0"/>
    <w:rsid w:val="00165E7D"/>
    <w:rsid w:val="00167044"/>
    <w:rsid w:val="0016749A"/>
    <w:rsid w:val="00170780"/>
    <w:rsid w:val="001707FA"/>
    <w:rsid w:val="00171A8C"/>
    <w:rsid w:val="00172B6E"/>
    <w:rsid w:val="00172E3D"/>
    <w:rsid w:val="0017530B"/>
    <w:rsid w:val="0017571F"/>
    <w:rsid w:val="0017676C"/>
    <w:rsid w:val="00177A97"/>
    <w:rsid w:val="001807FA"/>
    <w:rsid w:val="00181BE3"/>
    <w:rsid w:val="00181BF2"/>
    <w:rsid w:val="00182F21"/>
    <w:rsid w:val="00184A38"/>
    <w:rsid w:val="001851EC"/>
    <w:rsid w:val="00185282"/>
    <w:rsid w:val="001868E4"/>
    <w:rsid w:val="00186D70"/>
    <w:rsid w:val="001917DA"/>
    <w:rsid w:val="001927FE"/>
    <w:rsid w:val="001962AB"/>
    <w:rsid w:val="00197345"/>
    <w:rsid w:val="00197FF5"/>
    <w:rsid w:val="001A0C8D"/>
    <w:rsid w:val="001A3836"/>
    <w:rsid w:val="001A414B"/>
    <w:rsid w:val="001A58FF"/>
    <w:rsid w:val="001A68F6"/>
    <w:rsid w:val="001A6A73"/>
    <w:rsid w:val="001A7122"/>
    <w:rsid w:val="001B1645"/>
    <w:rsid w:val="001B2664"/>
    <w:rsid w:val="001B30B3"/>
    <w:rsid w:val="001B4104"/>
    <w:rsid w:val="001B4573"/>
    <w:rsid w:val="001B47CD"/>
    <w:rsid w:val="001B5E83"/>
    <w:rsid w:val="001B656F"/>
    <w:rsid w:val="001B6DC3"/>
    <w:rsid w:val="001B73D7"/>
    <w:rsid w:val="001C0BC4"/>
    <w:rsid w:val="001C27BB"/>
    <w:rsid w:val="001C2B87"/>
    <w:rsid w:val="001C389B"/>
    <w:rsid w:val="001C621C"/>
    <w:rsid w:val="001C7881"/>
    <w:rsid w:val="001D0CDA"/>
    <w:rsid w:val="001D1BBE"/>
    <w:rsid w:val="001D20D3"/>
    <w:rsid w:val="001D2533"/>
    <w:rsid w:val="001D321F"/>
    <w:rsid w:val="001D438A"/>
    <w:rsid w:val="001D4928"/>
    <w:rsid w:val="001D4BEF"/>
    <w:rsid w:val="001D4EA6"/>
    <w:rsid w:val="001D5451"/>
    <w:rsid w:val="001E0FC8"/>
    <w:rsid w:val="001E140D"/>
    <w:rsid w:val="001E14E7"/>
    <w:rsid w:val="001E271D"/>
    <w:rsid w:val="001E29D3"/>
    <w:rsid w:val="001E2B7F"/>
    <w:rsid w:val="001E3631"/>
    <w:rsid w:val="001E512C"/>
    <w:rsid w:val="001E5519"/>
    <w:rsid w:val="001F0383"/>
    <w:rsid w:val="001F107D"/>
    <w:rsid w:val="001F111A"/>
    <w:rsid w:val="001F1D6F"/>
    <w:rsid w:val="001F2439"/>
    <w:rsid w:val="001F33F6"/>
    <w:rsid w:val="001F4D68"/>
    <w:rsid w:val="001F5BE8"/>
    <w:rsid w:val="001F7590"/>
    <w:rsid w:val="001F75AB"/>
    <w:rsid w:val="001F7F5F"/>
    <w:rsid w:val="00200D53"/>
    <w:rsid w:val="002029D4"/>
    <w:rsid w:val="00202DB3"/>
    <w:rsid w:val="00203C6D"/>
    <w:rsid w:val="00205470"/>
    <w:rsid w:val="00206EBF"/>
    <w:rsid w:val="0020743B"/>
    <w:rsid w:val="00207D0C"/>
    <w:rsid w:val="00210701"/>
    <w:rsid w:val="002125BC"/>
    <w:rsid w:val="00212B21"/>
    <w:rsid w:val="00212B73"/>
    <w:rsid w:val="00212E17"/>
    <w:rsid w:val="00212F5C"/>
    <w:rsid w:val="00213ABF"/>
    <w:rsid w:val="00214A35"/>
    <w:rsid w:val="00216628"/>
    <w:rsid w:val="00217134"/>
    <w:rsid w:val="002204C0"/>
    <w:rsid w:val="00221E70"/>
    <w:rsid w:val="00221F1B"/>
    <w:rsid w:val="0022326D"/>
    <w:rsid w:val="00223435"/>
    <w:rsid w:val="00223FB4"/>
    <w:rsid w:val="0022452E"/>
    <w:rsid w:val="00224C06"/>
    <w:rsid w:val="002258E8"/>
    <w:rsid w:val="00225F6F"/>
    <w:rsid w:val="0022771C"/>
    <w:rsid w:val="002308AB"/>
    <w:rsid w:val="00231ACF"/>
    <w:rsid w:val="00235334"/>
    <w:rsid w:val="00237EA5"/>
    <w:rsid w:val="0024154A"/>
    <w:rsid w:val="002416A4"/>
    <w:rsid w:val="00244448"/>
    <w:rsid w:val="00245374"/>
    <w:rsid w:val="0024658B"/>
    <w:rsid w:val="002467B0"/>
    <w:rsid w:val="0024688F"/>
    <w:rsid w:val="00246D84"/>
    <w:rsid w:val="00247711"/>
    <w:rsid w:val="00250536"/>
    <w:rsid w:val="0025476B"/>
    <w:rsid w:val="0025489B"/>
    <w:rsid w:val="0025506E"/>
    <w:rsid w:val="002550F8"/>
    <w:rsid w:val="0025570C"/>
    <w:rsid w:val="00255E36"/>
    <w:rsid w:val="00256176"/>
    <w:rsid w:val="00256EFC"/>
    <w:rsid w:val="00256F09"/>
    <w:rsid w:val="002576A5"/>
    <w:rsid w:val="002577FA"/>
    <w:rsid w:val="0026000F"/>
    <w:rsid w:val="00260C46"/>
    <w:rsid w:val="002617AE"/>
    <w:rsid w:val="0026200A"/>
    <w:rsid w:val="002635CB"/>
    <w:rsid w:val="00265B6C"/>
    <w:rsid w:val="00266964"/>
    <w:rsid w:val="00266F80"/>
    <w:rsid w:val="0026733B"/>
    <w:rsid w:val="00272658"/>
    <w:rsid w:val="00273A43"/>
    <w:rsid w:val="002750C5"/>
    <w:rsid w:val="00275713"/>
    <w:rsid w:val="00276EE5"/>
    <w:rsid w:val="0028126B"/>
    <w:rsid w:val="00282937"/>
    <w:rsid w:val="00282EF1"/>
    <w:rsid w:val="0028367E"/>
    <w:rsid w:val="0028584D"/>
    <w:rsid w:val="00285BD7"/>
    <w:rsid w:val="0028654D"/>
    <w:rsid w:val="0029156F"/>
    <w:rsid w:val="00291B6D"/>
    <w:rsid w:val="00291EE0"/>
    <w:rsid w:val="0029429F"/>
    <w:rsid w:val="00297034"/>
    <w:rsid w:val="002971C9"/>
    <w:rsid w:val="002A06B5"/>
    <w:rsid w:val="002A0750"/>
    <w:rsid w:val="002A320D"/>
    <w:rsid w:val="002A37A0"/>
    <w:rsid w:val="002A3CFB"/>
    <w:rsid w:val="002A45CE"/>
    <w:rsid w:val="002A5FB9"/>
    <w:rsid w:val="002B3460"/>
    <w:rsid w:val="002B4853"/>
    <w:rsid w:val="002B4AF7"/>
    <w:rsid w:val="002B5418"/>
    <w:rsid w:val="002B5793"/>
    <w:rsid w:val="002B5EBF"/>
    <w:rsid w:val="002B6F74"/>
    <w:rsid w:val="002C0D11"/>
    <w:rsid w:val="002C18E9"/>
    <w:rsid w:val="002C1F5A"/>
    <w:rsid w:val="002C2E5E"/>
    <w:rsid w:val="002C4AAF"/>
    <w:rsid w:val="002C4E99"/>
    <w:rsid w:val="002C530F"/>
    <w:rsid w:val="002C6247"/>
    <w:rsid w:val="002C6CDD"/>
    <w:rsid w:val="002D20A0"/>
    <w:rsid w:val="002D29A5"/>
    <w:rsid w:val="002D3F2D"/>
    <w:rsid w:val="002D46BC"/>
    <w:rsid w:val="002D523A"/>
    <w:rsid w:val="002D5EB2"/>
    <w:rsid w:val="002D69E5"/>
    <w:rsid w:val="002D7602"/>
    <w:rsid w:val="002E255E"/>
    <w:rsid w:val="002E4A67"/>
    <w:rsid w:val="002E571C"/>
    <w:rsid w:val="002E5F84"/>
    <w:rsid w:val="002F10E1"/>
    <w:rsid w:val="002F27EF"/>
    <w:rsid w:val="002F3BDD"/>
    <w:rsid w:val="002F4E04"/>
    <w:rsid w:val="002F51B4"/>
    <w:rsid w:val="002F5B07"/>
    <w:rsid w:val="002F657F"/>
    <w:rsid w:val="002F79A3"/>
    <w:rsid w:val="002F7DD7"/>
    <w:rsid w:val="003007DC"/>
    <w:rsid w:val="003010A9"/>
    <w:rsid w:val="00303431"/>
    <w:rsid w:val="00306DED"/>
    <w:rsid w:val="00310851"/>
    <w:rsid w:val="00312933"/>
    <w:rsid w:val="003139FA"/>
    <w:rsid w:val="00320DAD"/>
    <w:rsid w:val="003219F9"/>
    <w:rsid w:val="003221C8"/>
    <w:rsid w:val="0032662A"/>
    <w:rsid w:val="00330963"/>
    <w:rsid w:val="00331E75"/>
    <w:rsid w:val="003323CF"/>
    <w:rsid w:val="00332E3C"/>
    <w:rsid w:val="00332FD9"/>
    <w:rsid w:val="0033534C"/>
    <w:rsid w:val="00335DEB"/>
    <w:rsid w:val="00337DAF"/>
    <w:rsid w:val="00341442"/>
    <w:rsid w:val="003437E4"/>
    <w:rsid w:val="00344134"/>
    <w:rsid w:val="00344486"/>
    <w:rsid w:val="0034458E"/>
    <w:rsid w:val="003469C0"/>
    <w:rsid w:val="00346AA6"/>
    <w:rsid w:val="00350420"/>
    <w:rsid w:val="00354CB0"/>
    <w:rsid w:val="00361A11"/>
    <w:rsid w:val="00361F9A"/>
    <w:rsid w:val="00362523"/>
    <w:rsid w:val="003627BD"/>
    <w:rsid w:val="00363057"/>
    <w:rsid w:val="003632C0"/>
    <w:rsid w:val="0036501D"/>
    <w:rsid w:val="00366318"/>
    <w:rsid w:val="00372CE5"/>
    <w:rsid w:val="003730C5"/>
    <w:rsid w:val="00373ADD"/>
    <w:rsid w:val="00373D92"/>
    <w:rsid w:val="00376908"/>
    <w:rsid w:val="00376FE9"/>
    <w:rsid w:val="00377C79"/>
    <w:rsid w:val="00381642"/>
    <w:rsid w:val="00382D88"/>
    <w:rsid w:val="00382E48"/>
    <w:rsid w:val="00384C58"/>
    <w:rsid w:val="0038586D"/>
    <w:rsid w:val="00386589"/>
    <w:rsid w:val="00387E3F"/>
    <w:rsid w:val="00391EA0"/>
    <w:rsid w:val="003927AD"/>
    <w:rsid w:val="00393AAF"/>
    <w:rsid w:val="003973C7"/>
    <w:rsid w:val="00397D61"/>
    <w:rsid w:val="003A0289"/>
    <w:rsid w:val="003A2616"/>
    <w:rsid w:val="003A3C16"/>
    <w:rsid w:val="003A48F1"/>
    <w:rsid w:val="003A72DD"/>
    <w:rsid w:val="003B0007"/>
    <w:rsid w:val="003B010D"/>
    <w:rsid w:val="003B1066"/>
    <w:rsid w:val="003B18A3"/>
    <w:rsid w:val="003B1AB4"/>
    <w:rsid w:val="003B2770"/>
    <w:rsid w:val="003B2FD9"/>
    <w:rsid w:val="003B3710"/>
    <w:rsid w:val="003B69B1"/>
    <w:rsid w:val="003B7453"/>
    <w:rsid w:val="003B7820"/>
    <w:rsid w:val="003B7A2D"/>
    <w:rsid w:val="003B7C2F"/>
    <w:rsid w:val="003B7FC4"/>
    <w:rsid w:val="003C1ED7"/>
    <w:rsid w:val="003C2AAF"/>
    <w:rsid w:val="003C30F9"/>
    <w:rsid w:val="003C3580"/>
    <w:rsid w:val="003C35B7"/>
    <w:rsid w:val="003C4ADA"/>
    <w:rsid w:val="003C4F35"/>
    <w:rsid w:val="003C60AC"/>
    <w:rsid w:val="003C627D"/>
    <w:rsid w:val="003C7621"/>
    <w:rsid w:val="003D0256"/>
    <w:rsid w:val="003D1054"/>
    <w:rsid w:val="003D1F9C"/>
    <w:rsid w:val="003D3A8C"/>
    <w:rsid w:val="003D3BBE"/>
    <w:rsid w:val="003D6B34"/>
    <w:rsid w:val="003E0BB3"/>
    <w:rsid w:val="003E0D9C"/>
    <w:rsid w:val="003E0F12"/>
    <w:rsid w:val="003E107C"/>
    <w:rsid w:val="003E4AE0"/>
    <w:rsid w:val="003E4E7C"/>
    <w:rsid w:val="003E724D"/>
    <w:rsid w:val="003E7288"/>
    <w:rsid w:val="003E78B9"/>
    <w:rsid w:val="003F1E57"/>
    <w:rsid w:val="003F2AF9"/>
    <w:rsid w:val="003F4CA0"/>
    <w:rsid w:val="003F517F"/>
    <w:rsid w:val="003F7621"/>
    <w:rsid w:val="00400378"/>
    <w:rsid w:val="00403C6A"/>
    <w:rsid w:val="00403E48"/>
    <w:rsid w:val="00404539"/>
    <w:rsid w:val="00404F9A"/>
    <w:rsid w:val="004071D6"/>
    <w:rsid w:val="00410A88"/>
    <w:rsid w:val="0041176F"/>
    <w:rsid w:val="00412909"/>
    <w:rsid w:val="004150D7"/>
    <w:rsid w:val="00416424"/>
    <w:rsid w:val="00417FD4"/>
    <w:rsid w:val="004200E6"/>
    <w:rsid w:val="00422DC1"/>
    <w:rsid w:val="0042331C"/>
    <w:rsid w:val="00423C46"/>
    <w:rsid w:val="0043008A"/>
    <w:rsid w:val="004309C5"/>
    <w:rsid w:val="00431A85"/>
    <w:rsid w:val="0043244D"/>
    <w:rsid w:val="00437232"/>
    <w:rsid w:val="00441A18"/>
    <w:rsid w:val="00441FD4"/>
    <w:rsid w:val="004420EF"/>
    <w:rsid w:val="00444199"/>
    <w:rsid w:val="00444D84"/>
    <w:rsid w:val="00445D3B"/>
    <w:rsid w:val="004462F2"/>
    <w:rsid w:val="00446EA8"/>
    <w:rsid w:val="004500F2"/>
    <w:rsid w:val="0045059D"/>
    <w:rsid w:val="00450632"/>
    <w:rsid w:val="00450E07"/>
    <w:rsid w:val="004544D5"/>
    <w:rsid w:val="00454B0C"/>
    <w:rsid w:val="004557BF"/>
    <w:rsid w:val="004573CA"/>
    <w:rsid w:val="00461EEA"/>
    <w:rsid w:val="00462DC4"/>
    <w:rsid w:val="00462E7B"/>
    <w:rsid w:val="00462FF1"/>
    <w:rsid w:val="00472208"/>
    <w:rsid w:val="00472968"/>
    <w:rsid w:val="00473D58"/>
    <w:rsid w:val="00474D2B"/>
    <w:rsid w:val="00474DDA"/>
    <w:rsid w:val="00475F39"/>
    <w:rsid w:val="0047669B"/>
    <w:rsid w:val="004770FE"/>
    <w:rsid w:val="004813DF"/>
    <w:rsid w:val="0048158C"/>
    <w:rsid w:val="00483980"/>
    <w:rsid w:val="00483C47"/>
    <w:rsid w:val="00487D7B"/>
    <w:rsid w:val="004908C8"/>
    <w:rsid w:val="00491BEE"/>
    <w:rsid w:val="00492702"/>
    <w:rsid w:val="00493929"/>
    <w:rsid w:val="004A07C0"/>
    <w:rsid w:val="004A25E4"/>
    <w:rsid w:val="004A2D08"/>
    <w:rsid w:val="004A30A6"/>
    <w:rsid w:val="004A368E"/>
    <w:rsid w:val="004A39C1"/>
    <w:rsid w:val="004A3EED"/>
    <w:rsid w:val="004A58FE"/>
    <w:rsid w:val="004A5ADC"/>
    <w:rsid w:val="004A686A"/>
    <w:rsid w:val="004A7944"/>
    <w:rsid w:val="004A7C0C"/>
    <w:rsid w:val="004B0B9E"/>
    <w:rsid w:val="004B0DBB"/>
    <w:rsid w:val="004B1F80"/>
    <w:rsid w:val="004B4116"/>
    <w:rsid w:val="004B4881"/>
    <w:rsid w:val="004B5C62"/>
    <w:rsid w:val="004B62FF"/>
    <w:rsid w:val="004B7B4E"/>
    <w:rsid w:val="004C11D7"/>
    <w:rsid w:val="004C1DEE"/>
    <w:rsid w:val="004C3059"/>
    <w:rsid w:val="004C5AA7"/>
    <w:rsid w:val="004D1335"/>
    <w:rsid w:val="004D2C78"/>
    <w:rsid w:val="004D38C8"/>
    <w:rsid w:val="004D6201"/>
    <w:rsid w:val="004D62AB"/>
    <w:rsid w:val="004D67BC"/>
    <w:rsid w:val="004E0861"/>
    <w:rsid w:val="004E2CE3"/>
    <w:rsid w:val="004E6663"/>
    <w:rsid w:val="004E7112"/>
    <w:rsid w:val="004E7AE6"/>
    <w:rsid w:val="004E7AFA"/>
    <w:rsid w:val="004F1227"/>
    <w:rsid w:val="004F1766"/>
    <w:rsid w:val="004F2259"/>
    <w:rsid w:val="004F36F9"/>
    <w:rsid w:val="004F383B"/>
    <w:rsid w:val="004F45EE"/>
    <w:rsid w:val="004F50B5"/>
    <w:rsid w:val="004F6204"/>
    <w:rsid w:val="004F7871"/>
    <w:rsid w:val="00502E42"/>
    <w:rsid w:val="00503B1E"/>
    <w:rsid w:val="00503F45"/>
    <w:rsid w:val="00503F8E"/>
    <w:rsid w:val="0050487A"/>
    <w:rsid w:val="00505B0D"/>
    <w:rsid w:val="00507CFB"/>
    <w:rsid w:val="00510270"/>
    <w:rsid w:val="00510BFF"/>
    <w:rsid w:val="005110E4"/>
    <w:rsid w:val="0051158D"/>
    <w:rsid w:val="005129D6"/>
    <w:rsid w:val="00513F10"/>
    <w:rsid w:val="00514126"/>
    <w:rsid w:val="00515A4B"/>
    <w:rsid w:val="00516639"/>
    <w:rsid w:val="00523F86"/>
    <w:rsid w:val="00525C39"/>
    <w:rsid w:val="00526155"/>
    <w:rsid w:val="00530BDC"/>
    <w:rsid w:val="00531F51"/>
    <w:rsid w:val="00532809"/>
    <w:rsid w:val="005330D6"/>
    <w:rsid w:val="00535414"/>
    <w:rsid w:val="00535E8E"/>
    <w:rsid w:val="00536C6F"/>
    <w:rsid w:val="005408D3"/>
    <w:rsid w:val="00540D7D"/>
    <w:rsid w:val="00542BA8"/>
    <w:rsid w:val="00543111"/>
    <w:rsid w:val="00544151"/>
    <w:rsid w:val="00544617"/>
    <w:rsid w:val="00544956"/>
    <w:rsid w:val="00544DCE"/>
    <w:rsid w:val="00544DD5"/>
    <w:rsid w:val="00544FD8"/>
    <w:rsid w:val="005451B3"/>
    <w:rsid w:val="0054614D"/>
    <w:rsid w:val="00546790"/>
    <w:rsid w:val="00546BAC"/>
    <w:rsid w:val="0054777E"/>
    <w:rsid w:val="00547E29"/>
    <w:rsid w:val="00550EFF"/>
    <w:rsid w:val="00551B1B"/>
    <w:rsid w:val="0055214C"/>
    <w:rsid w:val="0055288A"/>
    <w:rsid w:val="0055302D"/>
    <w:rsid w:val="00553819"/>
    <w:rsid w:val="00553A92"/>
    <w:rsid w:val="00554978"/>
    <w:rsid w:val="00554CB7"/>
    <w:rsid w:val="00555123"/>
    <w:rsid w:val="00555D27"/>
    <w:rsid w:val="00557134"/>
    <w:rsid w:val="005619B7"/>
    <w:rsid w:val="00561A8B"/>
    <w:rsid w:val="0056327F"/>
    <w:rsid w:val="0056508C"/>
    <w:rsid w:val="00571154"/>
    <w:rsid w:val="00571DA7"/>
    <w:rsid w:val="005728CE"/>
    <w:rsid w:val="00572CB8"/>
    <w:rsid w:val="0057451A"/>
    <w:rsid w:val="0057466A"/>
    <w:rsid w:val="00575AA3"/>
    <w:rsid w:val="00576258"/>
    <w:rsid w:val="00576F27"/>
    <w:rsid w:val="00577300"/>
    <w:rsid w:val="0058140E"/>
    <w:rsid w:val="00581AB1"/>
    <w:rsid w:val="00581DFA"/>
    <w:rsid w:val="005825B8"/>
    <w:rsid w:val="005833E0"/>
    <w:rsid w:val="00583CA1"/>
    <w:rsid w:val="005854BA"/>
    <w:rsid w:val="005857CA"/>
    <w:rsid w:val="00587A89"/>
    <w:rsid w:val="00590149"/>
    <w:rsid w:val="00590755"/>
    <w:rsid w:val="00591DCC"/>
    <w:rsid w:val="00592765"/>
    <w:rsid w:val="005933EC"/>
    <w:rsid w:val="00593461"/>
    <w:rsid w:val="00594D05"/>
    <w:rsid w:val="005957D5"/>
    <w:rsid w:val="005962D4"/>
    <w:rsid w:val="00597F21"/>
    <w:rsid w:val="005A0AE9"/>
    <w:rsid w:val="005A0EDB"/>
    <w:rsid w:val="005A1DDF"/>
    <w:rsid w:val="005A33E2"/>
    <w:rsid w:val="005A356A"/>
    <w:rsid w:val="005A3924"/>
    <w:rsid w:val="005A5DD8"/>
    <w:rsid w:val="005A67C3"/>
    <w:rsid w:val="005A6D34"/>
    <w:rsid w:val="005A79F1"/>
    <w:rsid w:val="005A7BD0"/>
    <w:rsid w:val="005B0EB0"/>
    <w:rsid w:val="005B4B8F"/>
    <w:rsid w:val="005B4C71"/>
    <w:rsid w:val="005B51BB"/>
    <w:rsid w:val="005B57E6"/>
    <w:rsid w:val="005B72B8"/>
    <w:rsid w:val="005C0370"/>
    <w:rsid w:val="005C447C"/>
    <w:rsid w:val="005C4AAC"/>
    <w:rsid w:val="005C4EA4"/>
    <w:rsid w:val="005C5E56"/>
    <w:rsid w:val="005C7CAE"/>
    <w:rsid w:val="005D0C6B"/>
    <w:rsid w:val="005D133B"/>
    <w:rsid w:val="005D1BA9"/>
    <w:rsid w:val="005D58A9"/>
    <w:rsid w:val="005D7134"/>
    <w:rsid w:val="005D730F"/>
    <w:rsid w:val="005D7A1B"/>
    <w:rsid w:val="005E30C6"/>
    <w:rsid w:val="005E38A7"/>
    <w:rsid w:val="005E769A"/>
    <w:rsid w:val="005F1135"/>
    <w:rsid w:val="005F1660"/>
    <w:rsid w:val="005F2AA0"/>
    <w:rsid w:val="005F3267"/>
    <w:rsid w:val="005F3483"/>
    <w:rsid w:val="005F3956"/>
    <w:rsid w:val="005F5392"/>
    <w:rsid w:val="005F5C6A"/>
    <w:rsid w:val="005F602C"/>
    <w:rsid w:val="005F6B58"/>
    <w:rsid w:val="0060091A"/>
    <w:rsid w:val="00600A64"/>
    <w:rsid w:val="00600BB6"/>
    <w:rsid w:val="00600EAF"/>
    <w:rsid w:val="0060198D"/>
    <w:rsid w:val="00601A13"/>
    <w:rsid w:val="00601E83"/>
    <w:rsid w:val="00602938"/>
    <w:rsid w:val="00603C73"/>
    <w:rsid w:val="006057CF"/>
    <w:rsid w:val="0060646E"/>
    <w:rsid w:val="00610AD2"/>
    <w:rsid w:val="00611238"/>
    <w:rsid w:val="006117C3"/>
    <w:rsid w:val="00611A59"/>
    <w:rsid w:val="00611C6F"/>
    <w:rsid w:val="00611DBF"/>
    <w:rsid w:val="00612822"/>
    <w:rsid w:val="0061515B"/>
    <w:rsid w:val="00615233"/>
    <w:rsid w:val="0061536E"/>
    <w:rsid w:val="00622562"/>
    <w:rsid w:val="00624192"/>
    <w:rsid w:val="006247CA"/>
    <w:rsid w:val="00625A43"/>
    <w:rsid w:val="006318AF"/>
    <w:rsid w:val="006323D7"/>
    <w:rsid w:val="006336A5"/>
    <w:rsid w:val="00633BFD"/>
    <w:rsid w:val="006341BA"/>
    <w:rsid w:val="006344A0"/>
    <w:rsid w:val="00636520"/>
    <w:rsid w:val="006374CE"/>
    <w:rsid w:val="006376DB"/>
    <w:rsid w:val="006378A9"/>
    <w:rsid w:val="0064122C"/>
    <w:rsid w:val="006415F9"/>
    <w:rsid w:val="00641865"/>
    <w:rsid w:val="00642CA1"/>
    <w:rsid w:val="006434FA"/>
    <w:rsid w:val="0064386D"/>
    <w:rsid w:val="00643BF3"/>
    <w:rsid w:val="00644953"/>
    <w:rsid w:val="00644D19"/>
    <w:rsid w:val="006453A7"/>
    <w:rsid w:val="006466FC"/>
    <w:rsid w:val="00646D3F"/>
    <w:rsid w:val="006510B7"/>
    <w:rsid w:val="006527C7"/>
    <w:rsid w:val="00652B03"/>
    <w:rsid w:val="00653454"/>
    <w:rsid w:val="00655417"/>
    <w:rsid w:val="006562D8"/>
    <w:rsid w:val="00657FC3"/>
    <w:rsid w:val="0066067E"/>
    <w:rsid w:val="00662AE8"/>
    <w:rsid w:val="00665F46"/>
    <w:rsid w:val="00666280"/>
    <w:rsid w:val="00666635"/>
    <w:rsid w:val="00670479"/>
    <w:rsid w:val="00671675"/>
    <w:rsid w:val="00674B2C"/>
    <w:rsid w:val="00674ED9"/>
    <w:rsid w:val="0067555B"/>
    <w:rsid w:val="00675DE6"/>
    <w:rsid w:val="00677E48"/>
    <w:rsid w:val="00682660"/>
    <w:rsid w:val="00682D63"/>
    <w:rsid w:val="006833BB"/>
    <w:rsid w:val="006847FF"/>
    <w:rsid w:val="00684AA4"/>
    <w:rsid w:val="0068546F"/>
    <w:rsid w:val="00685B19"/>
    <w:rsid w:val="00686BC0"/>
    <w:rsid w:val="006915F3"/>
    <w:rsid w:val="006948D6"/>
    <w:rsid w:val="00694D22"/>
    <w:rsid w:val="00695083"/>
    <w:rsid w:val="00695855"/>
    <w:rsid w:val="00696BDF"/>
    <w:rsid w:val="006A0AF0"/>
    <w:rsid w:val="006A0F4C"/>
    <w:rsid w:val="006A182D"/>
    <w:rsid w:val="006A3AA4"/>
    <w:rsid w:val="006A514D"/>
    <w:rsid w:val="006A52A1"/>
    <w:rsid w:val="006A57DE"/>
    <w:rsid w:val="006A7140"/>
    <w:rsid w:val="006A7434"/>
    <w:rsid w:val="006B05F6"/>
    <w:rsid w:val="006B09A8"/>
    <w:rsid w:val="006B11FA"/>
    <w:rsid w:val="006B16A8"/>
    <w:rsid w:val="006B2B3F"/>
    <w:rsid w:val="006B33DD"/>
    <w:rsid w:val="006B3828"/>
    <w:rsid w:val="006B6BFB"/>
    <w:rsid w:val="006B7CE0"/>
    <w:rsid w:val="006B7F63"/>
    <w:rsid w:val="006C37A7"/>
    <w:rsid w:val="006C3E27"/>
    <w:rsid w:val="006C4C16"/>
    <w:rsid w:val="006C57F5"/>
    <w:rsid w:val="006C599F"/>
    <w:rsid w:val="006C5A04"/>
    <w:rsid w:val="006C5E80"/>
    <w:rsid w:val="006C628E"/>
    <w:rsid w:val="006C6A53"/>
    <w:rsid w:val="006D1075"/>
    <w:rsid w:val="006D1096"/>
    <w:rsid w:val="006D170F"/>
    <w:rsid w:val="006D3541"/>
    <w:rsid w:val="006D3B2C"/>
    <w:rsid w:val="006D4740"/>
    <w:rsid w:val="006D54F6"/>
    <w:rsid w:val="006D5E65"/>
    <w:rsid w:val="006D6009"/>
    <w:rsid w:val="006D63A6"/>
    <w:rsid w:val="006D68CA"/>
    <w:rsid w:val="006E37D7"/>
    <w:rsid w:val="006E4FA4"/>
    <w:rsid w:val="006F13E5"/>
    <w:rsid w:val="006F13F1"/>
    <w:rsid w:val="006F19D7"/>
    <w:rsid w:val="006F357F"/>
    <w:rsid w:val="006F3743"/>
    <w:rsid w:val="006F4F1B"/>
    <w:rsid w:val="006F5B1C"/>
    <w:rsid w:val="006F74D7"/>
    <w:rsid w:val="007011C5"/>
    <w:rsid w:val="00701819"/>
    <w:rsid w:val="00706D22"/>
    <w:rsid w:val="00707E39"/>
    <w:rsid w:val="007113D3"/>
    <w:rsid w:val="007130C8"/>
    <w:rsid w:val="00714353"/>
    <w:rsid w:val="00714B30"/>
    <w:rsid w:val="00714EBB"/>
    <w:rsid w:val="00717185"/>
    <w:rsid w:val="0071777D"/>
    <w:rsid w:val="00720E7A"/>
    <w:rsid w:val="00720F7C"/>
    <w:rsid w:val="00721740"/>
    <w:rsid w:val="00726999"/>
    <w:rsid w:val="00726C31"/>
    <w:rsid w:val="00727DF3"/>
    <w:rsid w:val="0073127A"/>
    <w:rsid w:val="00731CBE"/>
    <w:rsid w:val="00731DEA"/>
    <w:rsid w:val="00731FC5"/>
    <w:rsid w:val="007335D0"/>
    <w:rsid w:val="007339B2"/>
    <w:rsid w:val="00734C30"/>
    <w:rsid w:val="00737A25"/>
    <w:rsid w:val="00737B72"/>
    <w:rsid w:val="00737C48"/>
    <w:rsid w:val="007402DE"/>
    <w:rsid w:val="007411DC"/>
    <w:rsid w:val="007416D3"/>
    <w:rsid w:val="007424DD"/>
    <w:rsid w:val="00744C6D"/>
    <w:rsid w:val="00745954"/>
    <w:rsid w:val="00745C04"/>
    <w:rsid w:val="00745C57"/>
    <w:rsid w:val="00746639"/>
    <w:rsid w:val="00746D88"/>
    <w:rsid w:val="00747F82"/>
    <w:rsid w:val="00752E07"/>
    <w:rsid w:val="00753010"/>
    <w:rsid w:val="0075375D"/>
    <w:rsid w:val="00755674"/>
    <w:rsid w:val="00755BA8"/>
    <w:rsid w:val="0075653A"/>
    <w:rsid w:val="00762D65"/>
    <w:rsid w:val="00763DB2"/>
    <w:rsid w:val="0076548D"/>
    <w:rsid w:val="007701AA"/>
    <w:rsid w:val="007705F3"/>
    <w:rsid w:val="0077169C"/>
    <w:rsid w:val="00771829"/>
    <w:rsid w:val="00771E92"/>
    <w:rsid w:val="0077228D"/>
    <w:rsid w:val="00772586"/>
    <w:rsid w:val="0077263B"/>
    <w:rsid w:val="00773335"/>
    <w:rsid w:val="00773FF4"/>
    <w:rsid w:val="00775C9A"/>
    <w:rsid w:val="007769E7"/>
    <w:rsid w:val="00780282"/>
    <w:rsid w:val="007803DF"/>
    <w:rsid w:val="00781139"/>
    <w:rsid w:val="00782764"/>
    <w:rsid w:val="00784A12"/>
    <w:rsid w:val="0078576E"/>
    <w:rsid w:val="00790CE2"/>
    <w:rsid w:val="0079181B"/>
    <w:rsid w:val="00791A13"/>
    <w:rsid w:val="00792293"/>
    <w:rsid w:val="00794878"/>
    <w:rsid w:val="00794D3D"/>
    <w:rsid w:val="00795B8F"/>
    <w:rsid w:val="007A29DE"/>
    <w:rsid w:val="007A3740"/>
    <w:rsid w:val="007A40EF"/>
    <w:rsid w:val="007A65E3"/>
    <w:rsid w:val="007B0799"/>
    <w:rsid w:val="007B1A62"/>
    <w:rsid w:val="007B1CD8"/>
    <w:rsid w:val="007B1FA1"/>
    <w:rsid w:val="007B2190"/>
    <w:rsid w:val="007B21DE"/>
    <w:rsid w:val="007B6BF1"/>
    <w:rsid w:val="007B75FE"/>
    <w:rsid w:val="007C0FD8"/>
    <w:rsid w:val="007C307B"/>
    <w:rsid w:val="007C3768"/>
    <w:rsid w:val="007C54AC"/>
    <w:rsid w:val="007C6AEC"/>
    <w:rsid w:val="007D04DC"/>
    <w:rsid w:val="007D08B7"/>
    <w:rsid w:val="007D0FEE"/>
    <w:rsid w:val="007D2DB4"/>
    <w:rsid w:val="007D3683"/>
    <w:rsid w:val="007D3CBC"/>
    <w:rsid w:val="007D5EC5"/>
    <w:rsid w:val="007D798D"/>
    <w:rsid w:val="007E1F84"/>
    <w:rsid w:val="007E482A"/>
    <w:rsid w:val="007E4B46"/>
    <w:rsid w:val="007E6E04"/>
    <w:rsid w:val="007E7443"/>
    <w:rsid w:val="007F0201"/>
    <w:rsid w:val="007F0A0A"/>
    <w:rsid w:val="007F3D76"/>
    <w:rsid w:val="00801157"/>
    <w:rsid w:val="00801665"/>
    <w:rsid w:val="00801EB9"/>
    <w:rsid w:val="00802FD7"/>
    <w:rsid w:val="00804ADA"/>
    <w:rsid w:val="0080537C"/>
    <w:rsid w:val="0080576F"/>
    <w:rsid w:val="00806454"/>
    <w:rsid w:val="00807865"/>
    <w:rsid w:val="008101DD"/>
    <w:rsid w:val="00810B6B"/>
    <w:rsid w:val="00810D88"/>
    <w:rsid w:val="00811EA3"/>
    <w:rsid w:val="00812C3B"/>
    <w:rsid w:val="00813658"/>
    <w:rsid w:val="00814C96"/>
    <w:rsid w:val="00815345"/>
    <w:rsid w:val="0081669C"/>
    <w:rsid w:val="00816AB6"/>
    <w:rsid w:val="00817A8D"/>
    <w:rsid w:val="00817F0F"/>
    <w:rsid w:val="008208FC"/>
    <w:rsid w:val="008213C5"/>
    <w:rsid w:val="00821896"/>
    <w:rsid w:val="00822099"/>
    <w:rsid w:val="008229F4"/>
    <w:rsid w:val="00822F05"/>
    <w:rsid w:val="008233AA"/>
    <w:rsid w:val="0082386F"/>
    <w:rsid w:val="00825612"/>
    <w:rsid w:val="00827BCF"/>
    <w:rsid w:val="00830612"/>
    <w:rsid w:val="00833CB2"/>
    <w:rsid w:val="0083499D"/>
    <w:rsid w:val="00835A13"/>
    <w:rsid w:val="00835FA9"/>
    <w:rsid w:val="00837D06"/>
    <w:rsid w:val="008407F9"/>
    <w:rsid w:val="00840BCF"/>
    <w:rsid w:val="00841860"/>
    <w:rsid w:val="00841AEB"/>
    <w:rsid w:val="00845B51"/>
    <w:rsid w:val="00846CCC"/>
    <w:rsid w:val="00850FA5"/>
    <w:rsid w:val="008510BC"/>
    <w:rsid w:val="0085378E"/>
    <w:rsid w:val="00853EF2"/>
    <w:rsid w:val="00854670"/>
    <w:rsid w:val="00854A96"/>
    <w:rsid w:val="00854D02"/>
    <w:rsid w:val="0085573F"/>
    <w:rsid w:val="008628E7"/>
    <w:rsid w:val="00863CE8"/>
    <w:rsid w:val="00865023"/>
    <w:rsid w:val="00865171"/>
    <w:rsid w:val="008655D0"/>
    <w:rsid w:val="008668CA"/>
    <w:rsid w:val="00867DE3"/>
    <w:rsid w:val="00867F93"/>
    <w:rsid w:val="00871B2C"/>
    <w:rsid w:val="0087220E"/>
    <w:rsid w:val="008727FD"/>
    <w:rsid w:val="008739E0"/>
    <w:rsid w:val="00874679"/>
    <w:rsid w:val="00874E3D"/>
    <w:rsid w:val="00876258"/>
    <w:rsid w:val="00876297"/>
    <w:rsid w:val="00876EE6"/>
    <w:rsid w:val="008777DE"/>
    <w:rsid w:val="00877D9F"/>
    <w:rsid w:val="00880B19"/>
    <w:rsid w:val="00880E1C"/>
    <w:rsid w:val="008810EC"/>
    <w:rsid w:val="00882369"/>
    <w:rsid w:val="00884208"/>
    <w:rsid w:val="00884760"/>
    <w:rsid w:val="00884F4D"/>
    <w:rsid w:val="00885F36"/>
    <w:rsid w:val="00890692"/>
    <w:rsid w:val="00890D06"/>
    <w:rsid w:val="00892631"/>
    <w:rsid w:val="00893D31"/>
    <w:rsid w:val="00894305"/>
    <w:rsid w:val="0089490A"/>
    <w:rsid w:val="00895EB3"/>
    <w:rsid w:val="00896A5A"/>
    <w:rsid w:val="00896F55"/>
    <w:rsid w:val="008A1A2E"/>
    <w:rsid w:val="008A24D0"/>
    <w:rsid w:val="008A269C"/>
    <w:rsid w:val="008A2EAE"/>
    <w:rsid w:val="008A7673"/>
    <w:rsid w:val="008A7CEB"/>
    <w:rsid w:val="008B257B"/>
    <w:rsid w:val="008B2765"/>
    <w:rsid w:val="008B2EEC"/>
    <w:rsid w:val="008B4F1A"/>
    <w:rsid w:val="008B68BB"/>
    <w:rsid w:val="008C5636"/>
    <w:rsid w:val="008C5B5A"/>
    <w:rsid w:val="008D1717"/>
    <w:rsid w:val="008D50E5"/>
    <w:rsid w:val="008D56CE"/>
    <w:rsid w:val="008D5970"/>
    <w:rsid w:val="008D5EBB"/>
    <w:rsid w:val="008D671D"/>
    <w:rsid w:val="008D6CC2"/>
    <w:rsid w:val="008D75B9"/>
    <w:rsid w:val="008D7C6D"/>
    <w:rsid w:val="008E47E5"/>
    <w:rsid w:val="008E4C7B"/>
    <w:rsid w:val="008E594E"/>
    <w:rsid w:val="008E59C4"/>
    <w:rsid w:val="008E5BC9"/>
    <w:rsid w:val="008E7D83"/>
    <w:rsid w:val="008F549E"/>
    <w:rsid w:val="008F579F"/>
    <w:rsid w:val="008F6476"/>
    <w:rsid w:val="008F7741"/>
    <w:rsid w:val="00901782"/>
    <w:rsid w:val="009037AE"/>
    <w:rsid w:val="00904152"/>
    <w:rsid w:val="00904F9B"/>
    <w:rsid w:val="00905128"/>
    <w:rsid w:val="00907B36"/>
    <w:rsid w:val="009114A0"/>
    <w:rsid w:val="00911859"/>
    <w:rsid w:val="00914A7C"/>
    <w:rsid w:val="00914C49"/>
    <w:rsid w:val="0091681A"/>
    <w:rsid w:val="00921F07"/>
    <w:rsid w:val="009234F2"/>
    <w:rsid w:val="0092507B"/>
    <w:rsid w:val="00925C0D"/>
    <w:rsid w:val="00926F40"/>
    <w:rsid w:val="0092744A"/>
    <w:rsid w:val="00927B4D"/>
    <w:rsid w:val="00927FD8"/>
    <w:rsid w:val="00930C78"/>
    <w:rsid w:val="009314CA"/>
    <w:rsid w:val="00931DB8"/>
    <w:rsid w:val="00932E7C"/>
    <w:rsid w:val="00933AB7"/>
    <w:rsid w:val="00935962"/>
    <w:rsid w:val="00936A7A"/>
    <w:rsid w:val="00937D20"/>
    <w:rsid w:val="009409E5"/>
    <w:rsid w:val="009411A4"/>
    <w:rsid w:val="009448C7"/>
    <w:rsid w:val="009458A8"/>
    <w:rsid w:val="00945E8F"/>
    <w:rsid w:val="009460DB"/>
    <w:rsid w:val="00946EE0"/>
    <w:rsid w:val="00947AFA"/>
    <w:rsid w:val="009519D0"/>
    <w:rsid w:val="00951E6D"/>
    <w:rsid w:val="0095257D"/>
    <w:rsid w:val="00952FC6"/>
    <w:rsid w:val="00953AF4"/>
    <w:rsid w:val="009548D9"/>
    <w:rsid w:val="0095535C"/>
    <w:rsid w:val="00961042"/>
    <w:rsid w:val="0096136A"/>
    <w:rsid w:val="0096164A"/>
    <w:rsid w:val="00961CB0"/>
    <w:rsid w:val="00962E5C"/>
    <w:rsid w:val="00962E7A"/>
    <w:rsid w:val="009707F3"/>
    <w:rsid w:val="00971EEB"/>
    <w:rsid w:val="009735E8"/>
    <w:rsid w:val="00974A9E"/>
    <w:rsid w:val="00975803"/>
    <w:rsid w:val="00975B4A"/>
    <w:rsid w:val="00975E3B"/>
    <w:rsid w:val="00976234"/>
    <w:rsid w:val="009810C7"/>
    <w:rsid w:val="0098179F"/>
    <w:rsid w:val="009829EC"/>
    <w:rsid w:val="00982EBC"/>
    <w:rsid w:val="00983C76"/>
    <w:rsid w:val="00984EF4"/>
    <w:rsid w:val="00985022"/>
    <w:rsid w:val="00985771"/>
    <w:rsid w:val="00987669"/>
    <w:rsid w:val="00990EA0"/>
    <w:rsid w:val="00991752"/>
    <w:rsid w:val="00991F37"/>
    <w:rsid w:val="00993D36"/>
    <w:rsid w:val="00994337"/>
    <w:rsid w:val="00995B94"/>
    <w:rsid w:val="009970B9"/>
    <w:rsid w:val="00997718"/>
    <w:rsid w:val="009A156B"/>
    <w:rsid w:val="009A1D18"/>
    <w:rsid w:val="009A37E2"/>
    <w:rsid w:val="009A5A56"/>
    <w:rsid w:val="009A5E13"/>
    <w:rsid w:val="009A6CBA"/>
    <w:rsid w:val="009A6F51"/>
    <w:rsid w:val="009B2C05"/>
    <w:rsid w:val="009B3749"/>
    <w:rsid w:val="009B4D53"/>
    <w:rsid w:val="009B59D8"/>
    <w:rsid w:val="009B7862"/>
    <w:rsid w:val="009C03C9"/>
    <w:rsid w:val="009C13BF"/>
    <w:rsid w:val="009C1EAA"/>
    <w:rsid w:val="009C26D3"/>
    <w:rsid w:val="009C3056"/>
    <w:rsid w:val="009C610A"/>
    <w:rsid w:val="009C6859"/>
    <w:rsid w:val="009D07D6"/>
    <w:rsid w:val="009D25A1"/>
    <w:rsid w:val="009D2CE9"/>
    <w:rsid w:val="009D4333"/>
    <w:rsid w:val="009D5E84"/>
    <w:rsid w:val="009D61BD"/>
    <w:rsid w:val="009D62DB"/>
    <w:rsid w:val="009D681C"/>
    <w:rsid w:val="009D68D4"/>
    <w:rsid w:val="009D6EE3"/>
    <w:rsid w:val="009D7963"/>
    <w:rsid w:val="009E1C76"/>
    <w:rsid w:val="009E21F9"/>
    <w:rsid w:val="009E4CC2"/>
    <w:rsid w:val="009F0616"/>
    <w:rsid w:val="009F24A7"/>
    <w:rsid w:val="009F51C7"/>
    <w:rsid w:val="009F5329"/>
    <w:rsid w:val="009F7F2E"/>
    <w:rsid w:val="00A024C6"/>
    <w:rsid w:val="00A0262F"/>
    <w:rsid w:val="00A03BF6"/>
    <w:rsid w:val="00A0469A"/>
    <w:rsid w:val="00A101A1"/>
    <w:rsid w:val="00A115AF"/>
    <w:rsid w:val="00A11CE9"/>
    <w:rsid w:val="00A1236A"/>
    <w:rsid w:val="00A1357C"/>
    <w:rsid w:val="00A141F6"/>
    <w:rsid w:val="00A142E4"/>
    <w:rsid w:val="00A145F7"/>
    <w:rsid w:val="00A17852"/>
    <w:rsid w:val="00A20255"/>
    <w:rsid w:val="00A20964"/>
    <w:rsid w:val="00A21558"/>
    <w:rsid w:val="00A21579"/>
    <w:rsid w:val="00A23F57"/>
    <w:rsid w:val="00A31337"/>
    <w:rsid w:val="00A31BF0"/>
    <w:rsid w:val="00A31D2F"/>
    <w:rsid w:val="00A33799"/>
    <w:rsid w:val="00A359CF"/>
    <w:rsid w:val="00A359DC"/>
    <w:rsid w:val="00A36C6A"/>
    <w:rsid w:val="00A432C3"/>
    <w:rsid w:val="00A44F5D"/>
    <w:rsid w:val="00A44F72"/>
    <w:rsid w:val="00A45C6D"/>
    <w:rsid w:val="00A46E68"/>
    <w:rsid w:val="00A50681"/>
    <w:rsid w:val="00A51EC6"/>
    <w:rsid w:val="00A52A5D"/>
    <w:rsid w:val="00A539A0"/>
    <w:rsid w:val="00A54597"/>
    <w:rsid w:val="00A54E13"/>
    <w:rsid w:val="00A552EC"/>
    <w:rsid w:val="00A56E0D"/>
    <w:rsid w:val="00A61526"/>
    <w:rsid w:val="00A6154A"/>
    <w:rsid w:val="00A643F2"/>
    <w:rsid w:val="00A64A84"/>
    <w:rsid w:val="00A66412"/>
    <w:rsid w:val="00A66767"/>
    <w:rsid w:val="00A7014A"/>
    <w:rsid w:val="00A70FB6"/>
    <w:rsid w:val="00A71894"/>
    <w:rsid w:val="00A741E7"/>
    <w:rsid w:val="00A7444B"/>
    <w:rsid w:val="00A74C88"/>
    <w:rsid w:val="00A75872"/>
    <w:rsid w:val="00A77CAF"/>
    <w:rsid w:val="00A8092D"/>
    <w:rsid w:val="00A84E74"/>
    <w:rsid w:val="00A864CF"/>
    <w:rsid w:val="00A8671F"/>
    <w:rsid w:val="00A90752"/>
    <w:rsid w:val="00A90A0D"/>
    <w:rsid w:val="00A92890"/>
    <w:rsid w:val="00A9298C"/>
    <w:rsid w:val="00A92F3E"/>
    <w:rsid w:val="00A93BA3"/>
    <w:rsid w:val="00A9441D"/>
    <w:rsid w:val="00A95D70"/>
    <w:rsid w:val="00A95E62"/>
    <w:rsid w:val="00AA0441"/>
    <w:rsid w:val="00AA09DB"/>
    <w:rsid w:val="00AA1251"/>
    <w:rsid w:val="00AA195B"/>
    <w:rsid w:val="00AA2306"/>
    <w:rsid w:val="00AA2B2E"/>
    <w:rsid w:val="00AA7A68"/>
    <w:rsid w:val="00AB05CD"/>
    <w:rsid w:val="00AB1040"/>
    <w:rsid w:val="00AB1433"/>
    <w:rsid w:val="00AB16D0"/>
    <w:rsid w:val="00AB171F"/>
    <w:rsid w:val="00AB2B99"/>
    <w:rsid w:val="00AB2DFD"/>
    <w:rsid w:val="00AB30DD"/>
    <w:rsid w:val="00AB3166"/>
    <w:rsid w:val="00AB6807"/>
    <w:rsid w:val="00AB6DD7"/>
    <w:rsid w:val="00AC0BFD"/>
    <w:rsid w:val="00AC2788"/>
    <w:rsid w:val="00AC3764"/>
    <w:rsid w:val="00AC4A2F"/>
    <w:rsid w:val="00AC579F"/>
    <w:rsid w:val="00AC7CCA"/>
    <w:rsid w:val="00AD0655"/>
    <w:rsid w:val="00AD1534"/>
    <w:rsid w:val="00AD1F6C"/>
    <w:rsid w:val="00AD36B8"/>
    <w:rsid w:val="00AD5755"/>
    <w:rsid w:val="00AD6361"/>
    <w:rsid w:val="00AD66D7"/>
    <w:rsid w:val="00AE2CFA"/>
    <w:rsid w:val="00AE2FBB"/>
    <w:rsid w:val="00AE34A1"/>
    <w:rsid w:val="00AE4928"/>
    <w:rsid w:val="00AE7266"/>
    <w:rsid w:val="00AF19F8"/>
    <w:rsid w:val="00AF1E04"/>
    <w:rsid w:val="00AF4902"/>
    <w:rsid w:val="00AF54D2"/>
    <w:rsid w:val="00AF62D0"/>
    <w:rsid w:val="00AF6DF1"/>
    <w:rsid w:val="00B040A1"/>
    <w:rsid w:val="00B04AAA"/>
    <w:rsid w:val="00B074CB"/>
    <w:rsid w:val="00B12D57"/>
    <w:rsid w:val="00B14153"/>
    <w:rsid w:val="00B16A2E"/>
    <w:rsid w:val="00B205E9"/>
    <w:rsid w:val="00B2730E"/>
    <w:rsid w:val="00B278C9"/>
    <w:rsid w:val="00B27C5E"/>
    <w:rsid w:val="00B344B0"/>
    <w:rsid w:val="00B34E40"/>
    <w:rsid w:val="00B368CE"/>
    <w:rsid w:val="00B370D9"/>
    <w:rsid w:val="00B40ADD"/>
    <w:rsid w:val="00B4164D"/>
    <w:rsid w:val="00B41D78"/>
    <w:rsid w:val="00B43EC2"/>
    <w:rsid w:val="00B44220"/>
    <w:rsid w:val="00B44B65"/>
    <w:rsid w:val="00B50437"/>
    <w:rsid w:val="00B50B57"/>
    <w:rsid w:val="00B50C1B"/>
    <w:rsid w:val="00B518D8"/>
    <w:rsid w:val="00B51D5B"/>
    <w:rsid w:val="00B52646"/>
    <w:rsid w:val="00B54016"/>
    <w:rsid w:val="00B5726C"/>
    <w:rsid w:val="00B606FE"/>
    <w:rsid w:val="00B61083"/>
    <w:rsid w:val="00B617C3"/>
    <w:rsid w:val="00B6199F"/>
    <w:rsid w:val="00B63956"/>
    <w:rsid w:val="00B63B41"/>
    <w:rsid w:val="00B6430C"/>
    <w:rsid w:val="00B651E2"/>
    <w:rsid w:val="00B654DF"/>
    <w:rsid w:val="00B65796"/>
    <w:rsid w:val="00B746CC"/>
    <w:rsid w:val="00B77380"/>
    <w:rsid w:val="00B804D7"/>
    <w:rsid w:val="00B820C6"/>
    <w:rsid w:val="00B83818"/>
    <w:rsid w:val="00B8623F"/>
    <w:rsid w:val="00B86282"/>
    <w:rsid w:val="00B866B0"/>
    <w:rsid w:val="00B86F4F"/>
    <w:rsid w:val="00B87897"/>
    <w:rsid w:val="00B87BBA"/>
    <w:rsid w:val="00B90612"/>
    <w:rsid w:val="00B92675"/>
    <w:rsid w:val="00B93001"/>
    <w:rsid w:val="00B93910"/>
    <w:rsid w:val="00B93E5C"/>
    <w:rsid w:val="00B96BE5"/>
    <w:rsid w:val="00B976F2"/>
    <w:rsid w:val="00BA042D"/>
    <w:rsid w:val="00BA36EF"/>
    <w:rsid w:val="00BA3D0C"/>
    <w:rsid w:val="00BA7442"/>
    <w:rsid w:val="00BA74C7"/>
    <w:rsid w:val="00BB360B"/>
    <w:rsid w:val="00BB3B6B"/>
    <w:rsid w:val="00BB3BD4"/>
    <w:rsid w:val="00BB473F"/>
    <w:rsid w:val="00BB6C88"/>
    <w:rsid w:val="00BC001F"/>
    <w:rsid w:val="00BC318D"/>
    <w:rsid w:val="00BC458A"/>
    <w:rsid w:val="00BC4658"/>
    <w:rsid w:val="00BC631C"/>
    <w:rsid w:val="00BC75B6"/>
    <w:rsid w:val="00BC799A"/>
    <w:rsid w:val="00BD2C90"/>
    <w:rsid w:val="00BD3FDD"/>
    <w:rsid w:val="00BD5B4E"/>
    <w:rsid w:val="00BD78F5"/>
    <w:rsid w:val="00BE0E98"/>
    <w:rsid w:val="00BE1E67"/>
    <w:rsid w:val="00BE4D8D"/>
    <w:rsid w:val="00BE775D"/>
    <w:rsid w:val="00BF0616"/>
    <w:rsid w:val="00BF0A89"/>
    <w:rsid w:val="00BF4271"/>
    <w:rsid w:val="00BF60A8"/>
    <w:rsid w:val="00C00004"/>
    <w:rsid w:val="00C0165A"/>
    <w:rsid w:val="00C02F10"/>
    <w:rsid w:val="00C043C6"/>
    <w:rsid w:val="00C07A0F"/>
    <w:rsid w:val="00C124A3"/>
    <w:rsid w:val="00C12992"/>
    <w:rsid w:val="00C12D5F"/>
    <w:rsid w:val="00C12F5A"/>
    <w:rsid w:val="00C145F1"/>
    <w:rsid w:val="00C147BF"/>
    <w:rsid w:val="00C15903"/>
    <w:rsid w:val="00C167AC"/>
    <w:rsid w:val="00C1767B"/>
    <w:rsid w:val="00C20A25"/>
    <w:rsid w:val="00C20BD5"/>
    <w:rsid w:val="00C214AF"/>
    <w:rsid w:val="00C25F48"/>
    <w:rsid w:val="00C326DB"/>
    <w:rsid w:val="00C33B19"/>
    <w:rsid w:val="00C3594C"/>
    <w:rsid w:val="00C40DFD"/>
    <w:rsid w:val="00C42194"/>
    <w:rsid w:val="00C42243"/>
    <w:rsid w:val="00C42364"/>
    <w:rsid w:val="00C42873"/>
    <w:rsid w:val="00C42DCE"/>
    <w:rsid w:val="00C4396C"/>
    <w:rsid w:val="00C45CDF"/>
    <w:rsid w:val="00C4667F"/>
    <w:rsid w:val="00C46AC0"/>
    <w:rsid w:val="00C46CB3"/>
    <w:rsid w:val="00C46F3D"/>
    <w:rsid w:val="00C50316"/>
    <w:rsid w:val="00C50DEC"/>
    <w:rsid w:val="00C51A64"/>
    <w:rsid w:val="00C52E77"/>
    <w:rsid w:val="00C537A3"/>
    <w:rsid w:val="00C539DD"/>
    <w:rsid w:val="00C53E36"/>
    <w:rsid w:val="00C543ED"/>
    <w:rsid w:val="00C5457F"/>
    <w:rsid w:val="00C55B72"/>
    <w:rsid w:val="00C55FFD"/>
    <w:rsid w:val="00C563E8"/>
    <w:rsid w:val="00C5782E"/>
    <w:rsid w:val="00C57895"/>
    <w:rsid w:val="00C605D5"/>
    <w:rsid w:val="00C60624"/>
    <w:rsid w:val="00C6094E"/>
    <w:rsid w:val="00C60C63"/>
    <w:rsid w:val="00C6466A"/>
    <w:rsid w:val="00C64BF3"/>
    <w:rsid w:val="00C6575D"/>
    <w:rsid w:val="00C665F0"/>
    <w:rsid w:val="00C666AC"/>
    <w:rsid w:val="00C66B42"/>
    <w:rsid w:val="00C679E9"/>
    <w:rsid w:val="00C7012E"/>
    <w:rsid w:val="00C714A3"/>
    <w:rsid w:val="00C71AFB"/>
    <w:rsid w:val="00C723AB"/>
    <w:rsid w:val="00C723F4"/>
    <w:rsid w:val="00C733C8"/>
    <w:rsid w:val="00C77120"/>
    <w:rsid w:val="00C777CD"/>
    <w:rsid w:val="00C801E5"/>
    <w:rsid w:val="00C83042"/>
    <w:rsid w:val="00C84236"/>
    <w:rsid w:val="00C8656D"/>
    <w:rsid w:val="00C877FB"/>
    <w:rsid w:val="00C92044"/>
    <w:rsid w:val="00C934F2"/>
    <w:rsid w:val="00C94767"/>
    <w:rsid w:val="00C95A96"/>
    <w:rsid w:val="00C96EE1"/>
    <w:rsid w:val="00CA0CDB"/>
    <w:rsid w:val="00CA12C9"/>
    <w:rsid w:val="00CA21C5"/>
    <w:rsid w:val="00CA2793"/>
    <w:rsid w:val="00CA52C0"/>
    <w:rsid w:val="00CA64C2"/>
    <w:rsid w:val="00CA71AB"/>
    <w:rsid w:val="00CA7338"/>
    <w:rsid w:val="00CA7C3D"/>
    <w:rsid w:val="00CB2E16"/>
    <w:rsid w:val="00CB45DE"/>
    <w:rsid w:val="00CB5601"/>
    <w:rsid w:val="00CB7C09"/>
    <w:rsid w:val="00CC18D7"/>
    <w:rsid w:val="00CC1F00"/>
    <w:rsid w:val="00CC2655"/>
    <w:rsid w:val="00CC30FA"/>
    <w:rsid w:val="00CC5E15"/>
    <w:rsid w:val="00CC668E"/>
    <w:rsid w:val="00CC7274"/>
    <w:rsid w:val="00CD0A4E"/>
    <w:rsid w:val="00CD0F83"/>
    <w:rsid w:val="00CD3B5B"/>
    <w:rsid w:val="00CD3B6A"/>
    <w:rsid w:val="00CD471F"/>
    <w:rsid w:val="00CE067A"/>
    <w:rsid w:val="00CE0D9C"/>
    <w:rsid w:val="00CE3B33"/>
    <w:rsid w:val="00CE3EB4"/>
    <w:rsid w:val="00CF3175"/>
    <w:rsid w:val="00CF37F7"/>
    <w:rsid w:val="00CF3EEC"/>
    <w:rsid w:val="00CF579A"/>
    <w:rsid w:val="00CF62F1"/>
    <w:rsid w:val="00CF7205"/>
    <w:rsid w:val="00CF76C3"/>
    <w:rsid w:val="00D01A51"/>
    <w:rsid w:val="00D02962"/>
    <w:rsid w:val="00D02DA4"/>
    <w:rsid w:val="00D05507"/>
    <w:rsid w:val="00D063F6"/>
    <w:rsid w:val="00D07AED"/>
    <w:rsid w:val="00D10A5E"/>
    <w:rsid w:val="00D11F49"/>
    <w:rsid w:val="00D12664"/>
    <w:rsid w:val="00D12A20"/>
    <w:rsid w:val="00D13A26"/>
    <w:rsid w:val="00D13AD4"/>
    <w:rsid w:val="00D155D8"/>
    <w:rsid w:val="00D15B36"/>
    <w:rsid w:val="00D1656A"/>
    <w:rsid w:val="00D213E8"/>
    <w:rsid w:val="00D21AE2"/>
    <w:rsid w:val="00D22000"/>
    <w:rsid w:val="00D23FC8"/>
    <w:rsid w:val="00D2571F"/>
    <w:rsid w:val="00D307E2"/>
    <w:rsid w:val="00D308F9"/>
    <w:rsid w:val="00D32090"/>
    <w:rsid w:val="00D32518"/>
    <w:rsid w:val="00D33D25"/>
    <w:rsid w:val="00D33E40"/>
    <w:rsid w:val="00D347C8"/>
    <w:rsid w:val="00D35570"/>
    <w:rsid w:val="00D35934"/>
    <w:rsid w:val="00D36E60"/>
    <w:rsid w:val="00D4326E"/>
    <w:rsid w:val="00D4466B"/>
    <w:rsid w:val="00D4502A"/>
    <w:rsid w:val="00D45709"/>
    <w:rsid w:val="00D45DC6"/>
    <w:rsid w:val="00D465B4"/>
    <w:rsid w:val="00D4678D"/>
    <w:rsid w:val="00D473EF"/>
    <w:rsid w:val="00D5201E"/>
    <w:rsid w:val="00D52205"/>
    <w:rsid w:val="00D528C1"/>
    <w:rsid w:val="00D541DE"/>
    <w:rsid w:val="00D54281"/>
    <w:rsid w:val="00D54AE2"/>
    <w:rsid w:val="00D5722C"/>
    <w:rsid w:val="00D5723B"/>
    <w:rsid w:val="00D57344"/>
    <w:rsid w:val="00D57F55"/>
    <w:rsid w:val="00D60A09"/>
    <w:rsid w:val="00D63BC3"/>
    <w:rsid w:val="00D64C71"/>
    <w:rsid w:val="00D6522F"/>
    <w:rsid w:val="00D675D0"/>
    <w:rsid w:val="00D703EC"/>
    <w:rsid w:val="00D725E7"/>
    <w:rsid w:val="00D750D9"/>
    <w:rsid w:val="00D75797"/>
    <w:rsid w:val="00D75E92"/>
    <w:rsid w:val="00D77755"/>
    <w:rsid w:val="00D779C6"/>
    <w:rsid w:val="00D801F5"/>
    <w:rsid w:val="00D82841"/>
    <w:rsid w:val="00D85E9F"/>
    <w:rsid w:val="00D85F25"/>
    <w:rsid w:val="00D86360"/>
    <w:rsid w:val="00D90223"/>
    <w:rsid w:val="00D90644"/>
    <w:rsid w:val="00D918FB"/>
    <w:rsid w:val="00D91C08"/>
    <w:rsid w:val="00D929B0"/>
    <w:rsid w:val="00D92CD1"/>
    <w:rsid w:val="00D92EF5"/>
    <w:rsid w:val="00D93348"/>
    <w:rsid w:val="00D9390F"/>
    <w:rsid w:val="00D95566"/>
    <w:rsid w:val="00D965C0"/>
    <w:rsid w:val="00D97543"/>
    <w:rsid w:val="00DA1C92"/>
    <w:rsid w:val="00DA2ACB"/>
    <w:rsid w:val="00DA2C89"/>
    <w:rsid w:val="00DA33AB"/>
    <w:rsid w:val="00DA36A8"/>
    <w:rsid w:val="00DA3D44"/>
    <w:rsid w:val="00DA3E2C"/>
    <w:rsid w:val="00DA413F"/>
    <w:rsid w:val="00DA4AE5"/>
    <w:rsid w:val="00DA4BFF"/>
    <w:rsid w:val="00DA62B9"/>
    <w:rsid w:val="00DB053A"/>
    <w:rsid w:val="00DB11D7"/>
    <w:rsid w:val="00DB15D2"/>
    <w:rsid w:val="00DB3989"/>
    <w:rsid w:val="00DB74AE"/>
    <w:rsid w:val="00DC16B4"/>
    <w:rsid w:val="00DC1D23"/>
    <w:rsid w:val="00DC1D90"/>
    <w:rsid w:val="00DC2019"/>
    <w:rsid w:val="00DC266A"/>
    <w:rsid w:val="00DC42A1"/>
    <w:rsid w:val="00DC53F1"/>
    <w:rsid w:val="00DC5819"/>
    <w:rsid w:val="00DC5C4C"/>
    <w:rsid w:val="00DC5EE5"/>
    <w:rsid w:val="00DD07E1"/>
    <w:rsid w:val="00DD2A39"/>
    <w:rsid w:val="00DD392F"/>
    <w:rsid w:val="00DD47D6"/>
    <w:rsid w:val="00DD662C"/>
    <w:rsid w:val="00DD7967"/>
    <w:rsid w:val="00DD7E3C"/>
    <w:rsid w:val="00DE040A"/>
    <w:rsid w:val="00DE295B"/>
    <w:rsid w:val="00DE3E13"/>
    <w:rsid w:val="00DE61AC"/>
    <w:rsid w:val="00DE767F"/>
    <w:rsid w:val="00DF1808"/>
    <w:rsid w:val="00DF1EC7"/>
    <w:rsid w:val="00DF28BB"/>
    <w:rsid w:val="00DF2A42"/>
    <w:rsid w:val="00DF3F26"/>
    <w:rsid w:val="00DF4A2A"/>
    <w:rsid w:val="00DF7A7C"/>
    <w:rsid w:val="00E000F5"/>
    <w:rsid w:val="00E02E2C"/>
    <w:rsid w:val="00E046C4"/>
    <w:rsid w:val="00E06E4B"/>
    <w:rsid w:val="00E072EE"/>
    <w:rsid w:val="00E115C7"/>
    <w:rsid w:val="00E11852"/>
    <w:rsid w:val="00E120DD"/>
    <w:rsid w:val="00E138DB"/>
    <w:rsid w:val="00E139BB"/>
    <w:rsid w:val="00E14303"/>
    <w:rsid w:val="00E1508F"/>
    <w:rsid w:val="00E1565C"/>
    <w:rsid w:val="00E16811"/>
    <w:rsid w:val="00E2239D"/>
    <w:rsid w:val="00E2286A"/>
    <w:rsid w:val="00E23B72"/>
    <w:rsid w:val="00E24804"/>
    <w:rsid w:val="00E25145"/>
    <w:rsid w:val="00E25361"/>
    <w:rsid w:val="00E27729"/>
    <w:rsid w:val="00E3058B"/>
    <w:rsid w:val="00E321AC"/>
    <w:rsid w:val="00E341FF"/>
    <w:rsid w:val="00E34536"/>
    <w:rsid w:val="00E35D40"/>
    <w:rsid w:val="00E365E1"/>
    <w:rsid w:val="00E373B7"/>
    <w:rsid w:val="00E379BE"/>
    <w:rsid w:val="00E37CAA"/>
    <w:rsid w:val="00E40BF3"/>
    <w:rsid w:val="00E417E7"/>
    <w:rsid w:val="00E42A68"/>
    <w:rsid w:val="00E435DB"/>
    <w:rsid w:val="00E43BBD"/>
    <w:rsid w:val="00E44980"/>
    <w:rsid w:val="00E45243"/>
    <w:rsid w:val="00E45256"/>
    <w:rsid w:val="00E46B22"/>
    <w:rsid w:val="00E47038"/>
    <w:rsid w:val="00E478ED"/>
    <w:rsid w:val="00E47AD3"/>
    <w:rsid w:val="00E50CE7"/>
    <w:rsid w:val="00E57100"/>
    <w:rsid w:val="00E61E80"/>
    <w:rsid w:val="00E6226E"/>
    <w:rsid w:val="00E6454A"/>
    <w:rsid w:val="00E65219"/>
    <w:rsid w:val="00E65524"/>
    <w:rsid w:val="00E65527"/>
    <w:rsid w:val="00E7068A"/>
    <w:rsid w:val="00E70C69"/>
    <w:rsid w:val="00E70DB8"/>
    <w:rsid w:val="00E714DA"/>
    <w:rsid w:val="00E72B77"/>
    <w:rsid w:val="00E72E99"/>
    <w:rsid w:val="00E730DF"/>
    <w:rsid w:val="00E73B3B"/>
    <w:rsid w:val="00E74583"/>
    <w:rsid w:val="00E7536C"/>
    <w:rsid w:val="00E754EF"/>
    <w:rsid w:val="00E77A01"/>
    <w:rsid w:val="00E802AD"/>
    <w:rsid w:val="00E81AEC"/>
    <w:rsid w:val="00E84579"/>
    <w:rsid w:val="00E8552A"/>
    <w:rsid w:val="00E86079"/>
    <w:rsid w:val="00E86238"/>
    <w:rsid w:val="00E8624D"/>
    <w:rsid w:val="00E867CF"/>
    <w:rsid w:val="00E86ED2"/>
    <w:rsid w:val="00E87378"/>
    <w:rsid w:val="00E9004C"/>
    <w:rsid w:val="00E939FE"/>
    <w:rsid w:val="00E93B82"/>
    <w:rsid w:val="00E94226"/>
    <w:rsid w:val="00E9448F"/>
    <w:rsid w:val="00E96C97"/>
    <w:rsid w:val="00E97F71"/>
    <w:rsid w:val="00EA1EE6"/>
    <w:rsid w:val="00EA4B77"/>
    <w:rsid w:val="00EA56B8"/>
    <w:rsid w:val="00EA749E"/>
    <w:rsid w:val="00EA7DCA"/>
    <w:rsid w:val="00EA7FD3"/>
    <w:rsid w:val="00EB1366"/>
    <w:rsid w:val="00EB1939"/>
    <w:rsid w:val="00EB1E97"/>
    <w:rsid w:val="00EB1FC4"/>
    <w:rsid w:val="00EB4A87"/>
    <w:rsid w:val="00EB4D2B"/>
    <w:rsid w:val="00EB73F7"/>
    <w:rsid w:val="00EB74E9"/>
    <w:rsid w:val="00EC054C"/>
    <w:rsid w:val="00EC0BCF"/>
    <w:rsid w:val="00EC0F19"/>
    <w:rsid w:val="00EC2D52"/>
    <w:rsid w:val="00EC3019"/>
    <w:rsid w:val="00EC3369"/>
    <w:rsid w:val="00EC3CE8"/>
    <w:rsid w:val="00EC48FC"/>
    <w:rsid w:val="00EC5677"/>
    <w:rsid w:val="00EC6F11"/>
    <w:rsid w:val="00EC7522"/>
    <w:rsid w:val="00EC76FE"/>
    <w:rsid w:val="00ED0C41"/>
    <w:rsid w:val="00ED263D"/>
    <w:rsid w:val="00ED2684"/>
    <w:rsid w:val="00ED3C52"/>
    <w:rsid w:val="00ED3F2C"/>
    <w:rsid w:val="00ED4879"/>
    <w:rsid w:val="00ED5178"/>
    <w:rsid w:val="00ED56FA"/>
    <w:rsid w:val="00ED620F"/>
    <w:rsid w:val="00ED68FF"/>
    <w:rsid w:val="00EE0B86"/>
    <w:rsid w:val="00EE10A0"/>
    <w:rsid w:val="00EE3CDE"/>
    <w:rsid w:val="00EE3E28"/>
    <w:rsid w:val="00EE50DE"/>
    <w:rsid w:val="00EE5E53"/>
    <w:rsid w:val="00EE7034"/>
    <w:rsid w:val="00EF0202"/>
    <w:rsid w:val="00EF0732"/>
    <w:rsid w:val="00EF0883"/>
    <w:rsid w:val="00EF0AD4"/>
    <w:rsid w:val="00EF1262"/>
    <w:rsid w:val="00EF1493"/>
    <w:rsid w:val="00EF2192"/>
    <w:rsid w:val="00EF4187"/>
    <w:rsid w:val="00EF439D"/>
    <w:rsid w:val="00EF5712"/>
    <w:rsid w:val="00EF610F"/>
    <w:rsid w:val="00EF66DD"/>
    <w:rsid w:val="00EF67DD"/>
    <w:rsid w:val="00EF6D6A"/>
    <w:rsid w:val="00EF740A"/>
    <w:rsid w:val="00F004FE"/>
    <w:rsid w:val="00F010D6"/>
    <w:rsid w:val="00F0147A"/>
    <w:rsid w:val="00F026DE"/>
    <w:rsid w:val="00F040E7"/>
    <w:rsid w:val="00F04189"/>
    <w:rsid w:val="00F05141"/>
    <w:rsid w:val="00F10D64"/>
    <w:rsid w:val="00F1671D"/>
    <w:rsid w:val="00F1689D"/>
    <w:rsid w:val="00F2021E"/>
    <w:rsid w:val="00F21C19"/>
    <w:rsid w:val="00F2386B"/>
    <w:rsid w:val="00F24184"/>
    <w:rsid w:val="00F2421A"/>
    <w:rsid w:val="00F256BC"/>
    <w:rsid w:val="00F262DD"/>
    <w:rsid w:val="00F27577"/>
    <w:rsid w:val="00F326D6"/>
    <w:rsid w:val="00F33CF5"/>
    <w:rsid w:val="00F41423"/>
    <w:rsid w:val="00F41887"/>
    <w:rsid w:val="00F427C7"/>
    <w:rsid w:val="00F42937"/>
    <w:rsid w:val="00F46E2F"/>
    <w:rsid w:val="00F5007D"/>
    <w:rsid w:val="00F501F8"/>
    <w:rsid w:val="00F5075E"/>
    <w:rsid w:val="00F50E7B"/>
    <w:rsid w:val="00F51D67"/>
    <w:rsid w:val="00F54AA3"/>
    <w:rsid w:val="00F562E9"/>
    <w:rsid w:val="00F57548"/>
    <w:rsid w:val="00F57654"/>
    <w:rsid w:val="00F6194A"/>
    <w:rsid w:val="00F61B5D"/>
    <w:rsid w:val="00F61D65"/>
    <w:rsid w:val="00F6348F"/>
    <w:rsid w:val="00F65A6F"/>
    <w:rsid w:val="00F66B6F"/>
    <w:rsid w:val="00F7092C"/>
    <w:rsid w:val="00F71576"/>
    <w:rsid w:val="00F733C0"/>
    <w:rsid w:val="00F73504"/>
    <w:rsid w:val="00F735C5"/>
    <w:rsid w:val="00F740A4"/>
    <w:rsid w:val="00F740C7"/>
    <w:rsid w:val="00F743B4"/>
    <w:rsid w:val="00F75C03"/>
    <w:rsid w:val="00F75E90"/>
    <w:rsid w:val="00F7663D"/>
    <w:rsid w:val="00F76987"/>
    <w:rsid w:val="00F81A67"/>
    <w:rsid w:val="00F81F4C"/>
    <w:rsid w:val="00F82F32"/>
    <w:rsid w:val="00F86030"/>
    <w:rsid w:val="00F91FB8"/>
    <w:rsid w:val="00F92160"/>
    <w:rsid w:val="00F92320"/>
    <w:rsid w:val="00F925B6"/>
    <w:rsid w:val="00F9374F"/>
    <w:rsid w:val="00FA1315"/>
    <w:rsid w:val="00FA257F"/>
    <w:rsid w:val="00FA2A5D"/>
    <w:rsid w:val="00FA4670"/>
    <w:rsid w:val="00FA7086"/>
    <w:rsid w:val="00FA7497"/>
    <w:rsid w:val="00FB042D"/>
    <w:rsid w:val="00FB05EA"/>
    <w:rsid w:val="00FB10FE"/>
    <w:rsid w:val="00FB1457"/>
    <w:rsid w:val="00FB1A25"/>
    <w:rsid w:val="00FB44CC"/>
    <w:rsid w:val="00FB5DA4"/>
    <w:rsid w:val="00FB5FE8"/>
    <w:rsid w:val="00FB6947"/>
    <w:rsid w:val="00FB7F4E"/>
    <w:rsid w:val="00FC052C"/>
    <w:rsid w:val="00FC1618"/>
    <w:rsid w:val="00FC1EF6"/>
    <w:rsid w:val="00FC3073"/>
    <w:rsid w:val="00FC57B5"/>
    <w:rsid w:val="00FC70D1"/>
    <w:rsid w:val="00FC77A6"/>
    <w:rsid w:val="00FD2048"/>
    <w:rsid w:val="00FD377D"/>
    <w:rsid w:val="00FD3924"/>
    <w:rsid w:val="00FD4D52"/>
    <w:rsid w:val="00FD5056"/>
    <w:rsid w:val="00FD6F04"/>
    <w:rsid w:val="00FD75F4"/>
    <w:rsid w:val="00FE20DF"/>
    <w:rsid w:val="00FE3593"/>
    <w:rsid w:val="00FE4105"/>
    <w:rsid w:val="00FE42C0"/>
    <w:rsid w:val="00FE481F"/>
    <w:rsid w:val="00FE4AC9"/>
    <w:rsid w:val="00FE4FBE"/>
    <w:rsid w:val="00FE59E1"/>
    <w:rsid w:val="00FE61E7"/>
    <w:rsid w:val="00FE662D"/>
    <w:rsid w:val="00FE71C6"/>
    <w:rsid w:val="00FF2AB9"/>
    <w:rsid w:val="00FF45C2"/>
    <w:rsid w:val="00FF46BD"/>
    <w:rsid w:val="00FF494D"/>
    <w:rsid w:val="00FF4A0F"/>
    <w:rsid w:val="00FF4BAD"/>
    <w:rsid w:val="00FF5021"/>
    <w:rsid w:val="00FF6046"/>
    <w:rsid w:val="00FF73BD"/>
    <w:rsid w:val="00FF7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rPr>
  </w:style>
  <w:style w:type="paragraph" w:styleId="Heading1">
    <w:name w:val="heading 1"/>
    <w:basedOn w:val="Normal"/>
    <w:next w:val="Normal"/>
    <w:qFormat/>
    <w:rsid w:val="00FF743B"/>
    <w:pPr>
      <w:keepNext/>
      <w:ind w:left="1440" w:hanging="1440"/>
      <w:outlineLvl w:val="0"/>
    </w:pPr>
    <w:rPr>
      <w:rFonts w:ascii="Cambria" w:hAnsi="Cambria" w:cs="Arial"/>
      <w:b/>
      <w:bCs/>
      <w:kern w:val="32"/>
      <w:sz w:val="32"/>
      <w:szCs w:val="32"/>
      <w:lang w:val="es-ES"/>
    </w:rPr>
  </w:style>
  <w:style w:type="paragraph" w:styleId="Heading2">
    <w:name w:val="heading 2"/>
    <w:basedOn w:val="Style1"/>
    <w:next w:val="Normal"/>
    <w:link w:val="Heading2Char"/>
    <w:qFormat/>
    <w:rsid w:val="00A74C88"/>
    <w:pPr>
      <w:outlineLvl w:val="1"/>
    </w:pPr>
    <w:rPr>
      <w:sz w:val="28"/>
      <w:szCs w:val="28"/>
    </w:rPr>
  </w:style>
  <w:style w:type="paragraph" w:styleId="Heading5">
    <w:name w:val="heading 5"/>
    <w:basedOn w:val="Normal"/>
    <w:qFormat/>
    <w:rsid w:val="00B54016"/>
    <w:pPr>
      <w:keepNext/>
      <w:jc w:val="both"/>
      <w:outlineLvl w:val="4"/>
    </w:pPr>
    <w:rPr>
      <w:rFonts w:ascii="Univers" w:hAnsi="Univers"/>
      <w:b/>
      <w:bCs/>
      <w:spacing w:val="-2"/>
      <w:sz w:val="22"/>
      <w:szCs w:val="22"/>
      <w:lang w:val="en-US"/>
    </w:rPr>
  </w:style>
  <w:style w:type="paragraph" w:styleId="Heading6">
    <w:name w:val="heading 6"/>
    <w:basedOn w:val="Normal"/>
    <w:next w:val="Normal"/>
    <w:link w:val="Heading6Char"/>
    <w:semiHidden/>
    <w:unhideWhenUsed/>
    <w:qFormat/>
    <w:rsid w:val="00C95A9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footnote text,Footnote reference,FA Fu,Footnote Text Char Char Char,Footnote Text Cha,FA Fußnotentext,FA Fuﬂnotentext,Texto nota pie Car,Footnote Text Char Char,Ca,fn"/>
    <w:basedOn w:val="Normal"/>
    <w:link w:val="FootnoteTextChar"/>
    <w:semiHidden/>
    <w:rsid w:val="007339B2"/>
    <w:rPr>
      <w:sz w:val="20"/>
      <w:szCs w:val="20"/>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semiHidden/>
    <w:rsid w:val="007339B2"/>
    <w:rPr>
      <w:vertAlign w:val="superscript"/>
    </w:rPr>
  </w:style>
  <w:style w:type="paragraph" w:styleId="Footer">
    <w:name w:val="footer"/>
    <w:basedOn w:val="Normal"/>
    <w:link w:val="FooterChar"/>
    <w:uiPriority w:val="99"/>
    <w:rsid w:val="006B11FA"/>
    <w:pPr>
      <w:tabs>
        <w:tab w:val="center" w:pos="4320"/>
        <w:tab w:val="right" w:pos="8640"/>
      </w:tabs>
    </w:pPr>
    <w:rPr>
      <w:lang w:eastAsia="x-none"/>
    </w:rPr>
  </w:style>
  <w:style w:type="character" w:styleId="PageNumber">
    <w:name w:val="page number"/>
    <w:basedOn w:val="DefaultParagraphFont"/>
    <w:rsid w:val="006B11FA"/>
  </w:style>
  <w:style w:type="paragraph" w:styleId="Title">
    <w:name w:val="Title"/>
    <w:basedOn w:val="Normal"/>
    <w:qFormat/>
    <w:rsid w:val="00205470"/>
    <w:pPr>
      <w:spacing w:before="100" w:beforeAutospacing="1" w:after="100" w:afterAutospacing="1"/>
    </w:pPr>
    <w:rPr>
      <w:lang w:val="en-US"/>
    </w:rPr>
  </w:style>
  <w:style w:type="paragraph" w:customStyle="1" w:styleId="Default">
    <w:name w:val="Default"/>
    <w:rsid w:val="006D6009"/>
    <w:pPr>
      <w:autoSpaceDE w:val="0"/>
      <w:autoSpaceDN w:val="0"/>
      <w:adjustRightInd w:val="0"/>
    </w:pPr>
    <w:rPr>
      <w:rFonts w:ascii="Calibri" w:hAnsi="Calibri" w:cs="Calibri"/>
      <w:color w:val="000000"/>
      <w:sz w:val="24"/>
      <w:szCs w:val="24"/>
    </w:rPr>
  </w:style>
  <w:style w:type="paragraph" w:styleId="NormalWeb">
    <w:name w:val="Normal (Web)"/>
    <w:basedOn w:val="Normal"/>
    <w:uiPriority w:val="99"/>
    <w:rsid w:val="002B5EBF"/>
    <w:pPr>
      <w:spacing w:before="100" w:beforeAutospacing="1" w:after="100" w:afterAutospacing="1"/>
    </w:pPr>
    <w:rPr>
      <w:lang w:val="en-US"/>
    </w:rPr>
  </w:style>
  <w:style w:type="character" w:customStyle="1" w:styleId="style65">
    <w:name w:val="style65"/>
    <w:rsid w:val="00C46CB3"/>
    <w:rPr>
      <w:rFonts w:ascii="Arial" w:hAnsi="Arial" w:cs="Arial" w:hint="default"/>
      <w:b/>
      <w:bCs/>
      <w:color w:val="999999"/>
      <w:sz w:val="24"/>
      <w:szCs w:val="24"/>
    </w:rPr>
  </w:style>
  <w:style w:type="character" w:customStyle="1" w:styleId="FootnoteTextChar">
    <w:name w:val="Footnote Text Char"/>
    <w:aliases w:val="Footnote Text Char Char Char Char Char Char,Footnote Text Char Char Char Char Char1,footnote text Char,Footnote reference Char,FA Fu Char,Footnote Text Char Char Char Char1,Footnote Text Cha Char,FA Fußnotentext Char,Ca Char,fn Char"/>
    <w:link w:val="FootnoteText"/>
    <w:semiHidden/>
    <w:locked/>
    <w:rsid w:val="00572CB8"/>
    <w:rPr>
      <w:lang w:val="fr-FR" w:eastAsia="en-US" w:bidi="ar-SA"/>
    </w:rPr>
  </w:style>
  <w:style w:type="paragraph" w:styleId="BalloonText">
    <w:name w:val="Balloon Text"/>
    <w:basedOn w:val="Normal"/>
    <w:semiHidden/>
    <w:rsid w:val="00572CB8"/>
    <w:rPr>
      <w:rFonts w:ascii="Tahoma" w:hAnsi="Tahoma" w:cs="Tahoma"/>
      <w:sz w:val="16"/>
      <w:szCs w:val="16"/>
    </w:rPr>
  </w:style>
  <w:style w:type="character" w:styleId="Hyperlink">
    <w:name w:val="Hyperlink"/>
    <w:uiPriority w:val="99"/>
    <w:rsid w:val="001F33F6"/>
    <w:rPr>
      <w:color w:val="0000FF"/>
      <w:u w:val="single"/>
    </w:rPr>
  </w:style>
  <w:style w:type="character" w:styleId="Strong">
    <w:name w:val="Strong"/>
    <w:uiPriority w:val="22"/>
    <w:qFormat/>
    <w:rsid w:val="006C628E"/>
    <w:rPr>
      <w:b/>
      <w:bCs/>
    </w:rPr>
  </w:style>
  <w:style w:type="paragraph" w:customStyle="1" w:styleId="cptitle">
    <w:name w:val="cptitle"/>
    <w:basedOn w:val="Normal"/>
    <w:rsid w:val="000D64B5"/>
    <w:pPr>
      <w:spacing w:before="100" w:beforeAutospacing="1" w:after="100" w:afterAutospacing="1"/>
    </w:pPr>
    <w:rPr>
      <w:lang w:val="en-US"/>
    </w:rPr>
  </w:style>
  <w:style w:type="paragraph" w:styleId="BodyTextIndent2">
    <w:name w:val="Body Text Indent 2"/>
    <w:basedOn w:val="Normal"/>
    <w:rsid w:val="00641865"/>
    <w:pPr>
      <w:widowControl w:val="0"/>
      <w:ind w:firstLine="720"/>
      <w:jc w:val="both"/>
    </w:pPr>
    <w:rPr>
      <w:rFonts w:ascii="Univers" w:hAnsi="Univers"/>
      <w:snapToGrid w:val="0"/>
      <w:sz w:val="22"/>
      <w:szCs w:val="20"/>
      <w:lang w:val="es-ES"/>
    </w:rPr>
  </w:style>
  <w:style w:type="paragraph" w:styleId="ListParagraph">
    <w:name w:val="List Paragraph"/>
    <w:basedOn w:val="Normal"/>
    <w:uiPriority w:val="34"/>
    <w:qFormat/>
    <w:rsid w:val="00291B6D"/>
    <w:pPr>
      <w:ind w:left="720"/>
    </w:pPr>
  </w:style>
  <w:style w:type="paragraph" w:styleId="Header">
    <w:name w:val="header"/>
    <w:basedOn w:val="Normal"/>
    <w:link w:val="HeaderChar"/>
    <w:uiPriority w:val="99"/>
    <w:rsid w:val="000F6EA7"/>
    <w:pPr>
      <w:tabs>
        <w:tab w:val="center" w:pos="4320"/>
        <w:tab w:val="right" w:pos="8640"/>
      </w:tabs>
    </w:pPr>
  </w:style>
  <w:style w:type="paragraph" w:customStyle="1" w:styleId="SingleTxtG">
    <w:name w:val="_ Single Txt_G"/>
    <w:basedOn w:val="Normal"/>
    <w:link w:val="SingleTxtGChar"/>
    <w:rsid w:val="00746D88"/>
    <w:pPr>
      <w:spacing w:after="120" w:line="240" w:lineRule="atLeast"/>
      <w:ind w:left="1134" w:right="1134"/>
      <w:jc w:val="both"/>
    </w:pPr>
    <w:rPr>
      <w:sz w:val="20"/>
      <w:szCs w:val="20"/>
      <w:lang w:val="es-ES" w:eastAsia="es-ES"/>
    </w:rPr>
  </w:style>
  <w:style w:type="character" w:customStyle="1" w:styleId="SingleTxtGChar">
    <w:name w:val="_ Single Txt_G Char"/>
    <w:link w:val="SingleTxtG"/>
    <w:locked/>
    <w:rsid w:val="00746D88"/>
    <w:rPr>
      <w:lang w:val="es-ES" w:eastAsia="es-ES" w:bidi="ar-SA"/>
    </w:rPr>
  </w:style>
  <w:style w:type="character" w:customStyle="1" w:styleId="FooterChar">
    <w:name w:val="Footer Char"/>
    <w:link w:val="Footer"/>
    <w:uiPriority w:val="99"/>
    <w:rsid w:val="007F3D76"/>
    <w:rPr>
      <w:sz w:val="24"/>
      <w:szCs w:val="24"/>
      <w:lang w:val="fr-FR"/>
    </w:rPr>
  </w:style>
  <w:style w:type="character" w:customStyle="1" w:styleId="Heading2Char">
    <w:name w:val="Heading 2 Char"/>
    <w:link w:val="Heading2"/>
    <w:rsid w:val="00A74C88"/>
    <w:rPr>
      <w:rFonts w:ascii="Cambria" w:hAnsi="Cambria"/>
      <w:b/>
      <w:i/>
      <w:sz w:val="28"/>
      <w:szCs w:val="28"/>
      <w:lang w:val="es-ES" w:eastAsia="x-none"/>
    </w:rPr>
  </w:style>
  <w:style w:type="paragraph" w:customStyle="1" w:styleId="Style1">
    <w:name w:val="Style1"/>
    <w:basedOn w:val="Normal"/>
    <w:link w:val="Style1Char"/>
    <w:qFormat/>
    <w:rsid w:val="00387E3F"/>
    <w:pPr>
      <w:numPr>
        <w:numId w:val="29"/>
      </w:numPr>
      <w:ind w:left="540" w:hanging="540"/>
      <w:jc w:val="both"/>
    </w:pPr>
    <w:rPr>
      <w:rFonts w:ascii="Cambria" w:hAnsi="Cambria"/>
      <w:b/>
      <w:i/>
      <w:sz w:val="20"/>
      <w:szCs w:val="20"/>
      <w:lang w:val="es-ES" w:eastAsia="x-none"/>
    </w:rPr>
  </w:style>
  <w:style w:type="paragraph" w:customStyle="1" w:styleId="Style2">
    <w:name w:val="Style2"/>
    <w:basedOn w:val="Normal"/>
    <w:link w:val="Style2Char"/>
    <w:qFormat/>
    <w:rsid w:val="00F6348F"/>
    <w:pPr>
      <w:numPr>
        <w:ilvl w:val="1"/>
        <w:numId w:val="1"/>
      </w:numPr>
      <w:tabs>
        <w:tab w:val="clear" w:pos="2160"/>
        <w:tab w:val="num" w:pos="1440"/>
      </w:tabs>
      <w:ind w:left="1440" w:hanging="720"/>
      <w:jc w:val="both"/>
    </w:pPr>
    <w:rPr>
      <w:rFonts w:ascii="Cambria" w:hAnsi="Cambria"/>
      <w:b/>
      <w:sz w:val="20"/>
      <w:szCs w:val="20"/>
      <w:lang w:val="es-ES" w:eastAsia="x-none"/>
    </w:rPr>
  </w:style>
  <w:style w:type="character" w:customStyle="1" w:styleId="Style1Char">
    <w:name w:val="Style1 Char"/>
    <w:link w:val="Style1"/>
    <w:rsid w:val="00387E3F"/>
    <w:rPr>
      <w:rFonts w:ascii="Cambria" w:hAnsi="Cambria"/>
      <w:b/>
      <w:i/>
      <w:lang w:val="es-ES" w:eastAsia="x-none"/>
    </w:rPr>
  </w:style>
  <w:style w:type="paragraph" w:styleId="TOC1">
    <w:name w:val="toc 1"/>
    <w:basedOn w:val="Normal"/>
    <w:next w:val="Normal"/>
    <w:autoRedefine/>
    <w:uiPriority w:val="39"/>
    <w:rsid w:val="00EC0F19"/>
  </w:style>
  <w:style w:type="character" w:customStyle="1" w:styleId="Style2Char">
    <w:name w:val="Style2 Char"/>
    <w:link w:val="Style2"/>
    <w:rsid w:val="00F6348F"/>
    <w:rPr>
      <w:rFonts w:ascii="Cambria" w:hAnsi="Cambria"/>
      <w:b/>
      <w:lang w:val="es-ES"/>
    </w:rPr>
  </w:style>
  <w:style w:type="paragraph" w:styleId="TOC2">
    <w:name w:val="toc 2"/>
    <w:basedOn w:val="Normal"/>
    <w:next w:val="Normal"/>
    <w:autoRedefine/>
    <w:uiPriority w:val="39"/>
    <w:rsid w:val="00543111"/>
    <w:pPr>
      <w:tabs>
        <w:tab w:val="left" w:pos="360"/>
        <w:tab w:val="left" w:pos="720"/>
        <w:tab w:val="right" w:pos="7830"/>
      </w:tabs>
      <w:spacing w:before="60" w:after="60"/>
      <w:ind w:left="720" w:hanging="720"/>
    </w:pPr>
    <w:rPr>
      <w:rFonts w:ascii="Cambria" w:hAnsi="Cambria"/>
      <w:i/>
      <w:noProof/>
      <w:sz w:val="20"/>
      <w:szCs w:val="20"/>
      <w:lang w:val="es-ES"/>
    </w:rPr>
  </w:style>
  <w:style w:type="character" w:customStyle="1" w:styleId="apple-converted-space">
    <w:name w:val="apple-converted-space"/>
    <w:basedOn w:val="DefaultParagraphFont"/>
    <w:rsid w:val="006F19D7"/>
  </w:style>
  <w:style w:type="character" w:customStyle="1" w:styleId="Heading6Char">
    <w:name w:val="Heading 6 Char"/>
    <w:link w:val="Heading6"/>
    <w:semiHidden/>
    <w:rsid w:val="00C95A96"/>
    <w:rPr>
      <w:rFonts w:ascii="Calibri" w:eastAsia="Times New Roman" w:hAnsi="Calibri" w:cs="Times New Roman"/>
      <w:b/>
      <w:bCs/>
      <w:sz w:val="22"/>
      <w:szCs w:val="22"/>
      <w:lang w:val="fr-FR"/>
    </w:rPr>
  </w:style>
  <w:style w:type="character" w:customStyle="1" w:styleId="typewriter">
    <w:name w:val="typewriter"/>
    <w:rsid w:val="00C95A96"/>
    <w:rPr>
      <w:rFonts w:ascii="Courier New" w:hAnsi="Courier New" w:cs="Courier New" w:hint="default"/>
    </w:rPr>
  </w:style>
  <w:style w:type="character" w:customStyle="1" w:styleId="HeaderChar">
    <w:name w:val="Header Char"/>
    <w:link w:val="Header"/>
    <w:uiPriority w:val="99"/>
    <w:rsid w:val="002A0750"/>
    <w:rPr>
      <w:sz w:val="24"/>
      <w:szCs w:val="24"/>
      <w:lang w:val="fr-FR"/>
    </w:rPr>
  </w:style>
  <w:style w:type="paragraph" w:customStyle="1" w:styleId="titulosCuadros">
    <w:name w:val="titulosCuadros"/>
    <w:basedOn w:val="HTMLPreformatted"/>
    <w:link w:val="titulosCuadrosChar"/>
    <w:qFormat/>
    <w:rsid w:val="00010F0D"/>
    <w:pPr>
      <w:tabs>
        <w:tab w:val="left" w:pos="360"/>
      </w:tabs>
      <w:jc w:val="center"/>
      <w:outlineLvl w:val="0"/>
    </w:pPr>
    <w:rPr>
      <w:rFonts w:ascii="Cambria" w:hAnsi="Cambria"/>
      <w:b/>
      <w:color w:val="7F7F7F"/>
      <w:sz w:val="22"/>
      <w:szCs w:val="18"/>
      <w:lang w:val="es-ES"/>
    </w:rPr>
  </w:style>
  <w:style w:type="character" w:customStyle="1" w:styleId="titulosCuadrosChar">
    <w:name w:val="titulosCuadros Char"/>
    <w:link w:val="titulosCuadros"/>
    <w:rsid w:val="00010F0D"/>
    <w:rPr>
      <w:rFonts w:ascii="Cambria" w:hAnsi="Cambria" w:cs="Courier New"/>
      <w:b/>
      <w:color w:val="7F7F7F"/>
      <w:sz w:val="22"/>
      <w:szCs w:val="18"/>
      <w:lang w:val="es-ES"/>
    </w:rPr>
  </w:style>
  <w:style w:type="paragraph" w:styleId="HTMLPreformatted">
    <w:name w:val="HTML Preformatted"/>
    <w:basedOn w:val="Normal"/>
    <w:link w:val="HTMLPreformattedChar"/>
    <w:rsid w:val="00010F0D"/>
    <w:rPr>
      <w:rFonts w:ascii="Courier New" w:hAnsi="Courier New" w:cs="Courier New"/>
      <w:sz w:val="20"/>
      <w:szCs w:val="20"/>
    </w:rPr>
  </w:style>
  <w:style w:type="character" w:customStyle="1" w:styleId="HTMLPreformattedChar">
    <w:name w:val="HTML Preformatted Char"/>
    <w:link w:val="HTMLPreformatted"/>
    <w:rsid w:val="00010F0D"/>
    <w:rPr>
      <w:rFonts w:ascii="Courier New" w:hAnsi="Courier New" w:cs="Courier New"/>
      <w:lang w:val="fr-FR"/>
    </w:rPr>
  </w:style>
  <w:style w:type="paragraph" w:styleId="BodyTextIndent">
    <w:name w:val="Body Text Indent"/>
    <w:basedOn w:val="Normal"/>
    <w:link w:val="BodyTextIndentChar"/>
    <w:rsid w:val="00010F0D"/>
    <w:pPr>
      <w:spacing w:after="120"/>
      <w:ind w:left="360"/>
    </w:pPr>
    <w:rPr>
      <w:rFonts w:ascii="Univers" w:hAnsi="Univers"/>
      <w:b/>
      <w:szCs w:val="20"/>
      <w:lang w:val="es-CO"/>
    </w:rPr>
  </w:style>
  <w:style w:type="character" w:customStyle="1" w:styleId="BodyTextIndentChar">
    <w:name w:val="Body Text Indent Char"/>
    <w:link w:val="BodyTextIndent"/>
    <w:rsid w:val="00010F0D"/>
    <w:rPr>
      <w:rFonts w:ascii="Univers" w:hAnsi="Univers"/>
      <w:b/>
      <w:sz w:val="24"/>
      <w:lang w:val="es-CO"/>
    </w:rPr>
  </w:style>
  <w:style w:type="paragraph" w:styleId="BodyText">
    <w:name w:val="Body Text"/>
    <w:basedOn w:val="Normal"/>
    <w:link w:val="BodyTextChar"/>
    <w:rsid w:val="00010F0D"/>
    <w:pPr>
      <w:spacing w:after="120"/>
    </w:pPr>
  </w:style>
  <w:style w:type="character" w:customStyle="1" w:styleId="BodyTextChar">
    <w:name w:val="Body Text Char"/>
    <w:link w:val="BodyText"/>
    <w:rsid w:val="00010F0D"/>
    <w:rPr>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16242">
      <w:bodyDiv w:val="1"/>
      <w:marLeft w:val="0"/>
      <w:marRight w:val="0"/>
      <w:marTop w:val="0"/>
      <w:marBottom w:val="0"/>
      <w:divBdr>
        <w:top w:val="none" w:sz="0" w:space="0" w:color="auto"/>
        <w:left w:val="none" w:sz="0" w:space="0" w:color="auto"/>
        <w:bottom w:val="none" w:sz="0" w:space="0" w:color="auto"/>
        <w:right w:val="none" w:sz="0" w:space="0" w:color="auto"/>
      </w:divBdr>
      <w:divsChild>
        <w:div w:id="1180970968">
          <w:marLeft w:val="0"/>
          <w:marRight w:val="0"/>
          <w:marTop w:val="0"/>
          <w:marBottom w:val="0"/>
          <w:divBdr>
            <w:top w:val="none" w:sz="0" w:space="0" w:color="auto"/>
            <w:left w:val="none" w:sz="0" w:space="0" w:color="auto"/>
            <w:bottom w:val="none" w:sz="0" w:space="0" w:color="auto"/>
            <w:right w:val="none" w:sz="0" w:space="0" w:color="auto"/>
          </w:divBdr>
          <w:divsChild>
            <w:div w:id="1820881383">
              <w:marLeft w:val="0"/>
              <w:marRight w:val="0"/>
              <w:marTop w:val="0"/>
              <w:marBottom w:val="0"/>
              <w:divBdr>
                <w:top w:val="none" w:sz="0" w:space="0" w:color="auto"/>
                <w:left w:val="none" w:sz="0" w:space="0" w:color="auto"/>
                <w:bottom w:val="none" w:sz="0" w:space="0" w:color="auto"/>
                <w:right w:val="none" w:sz="0" w:space="0" w:color="auto"/>
              </w:divBdr>
              <w:divsChild>
                <w:div w:id="15726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219">
      <w:bodyDiv w:val="1"/>
      <w:marLeft w:val="0"/>
      <w:marRight w:val="0"/>
      <w:marTop w:val="0"/>
      <w:marBottom w:val="0"/>
      <w:divBdr>
        <w:top w:val="none" w:sz="0" w:space="0" w:color="auto"/>
        <w:left w:val="none" w:sz="0" w:space="0" w:color="auto"/>
        <w:bottom w:val="none" w:sz="0" w:space="0" w:color="auto"/>
        <w:right w:val="none" w:sz="0" w:space="0" w:color="auto"/>
      </w:divBdr>
      <w:divsChild>
        <w:div w:id="340855065">
          <w:marLeft w:val="0"/>
          <w:marRight w:val="0"/>
          <w:marTop w:val="0"/>
          <w:marBottom w:val="0"/>
          <w:divBdr>
            <w:top w:val="none" w:sz="0" w:space="0" w:color="auto"/>
            <w:left w:val="none" w:sz="0" w:space="0" w:color="auto"/>
            <w:bottom w:val="none" w:sz="0" w:space="0" w:color="auto"/>
            <w:right w:val="none" w:sz="0" w:space="0" w:color="auto"/>
          </w:divBdr>
        </w:div>
      </w:divsChild>
    </w:div>
    <w:div w:id="210465345">
      <w:bodyDiv w:val="1"/>
      <w:marLeft w:val="0"/>
      <w:marRight w:val="0"/>
      <w:marTop w:val="0"/>
      <w:marBottom w:val="0"/>
      <w:divBdr>
        <w:top w:val="none" w:sz="0" w:space="0" w:color="auto"/>
        <w:left w:val="none" w:sz="0" w:space="0" w:color="auto"/>
        <w:bottom w:val="none" w:sz="0" w:space="0" w:color="auto"/>
        <w:right w:val="none" w:sz="0" w:space="0" w:color="auto"/>
      </w:divBdr>
      <w:divsChild>
        <w:div w:id="218396751">
          <w:marLeft w:val="0"/>
          <w:marRight w:val="0"/>
          <w:marTop w:val="0"/>
          <w:marBottom w:val="0"/>
          <w:divBdr>
            <w:top w:val="none" w:sz="0" w:space="0" w:color="auto"/>
            <w:left w:val="none" w:sz="0" w:space="0" w:color="auto"/>
            <w:bottom w:val="none" w:sz="0" w:space="0" w:color="auto"/>
            <w:right w:val="none" w:sz="0" w:space="0" w:color="auto"/>
          </w:divBdr>
          <w:divsChild>
            <w:div w:id="2052148887">
              <w:marLeft w:val="0"/>
              <w:marRight w:val="0"/>
              <w:marTop w:val="0"/>
              <w:marBottom w:val="0"/>
              <w:divBdr>
                <w:top w:val="none" w:sz="0" w:space="0" w:color="auto"/>
                <w:left w:val="none" w:sz="0" w:space="0" w:color="auto"/>
                <w:bottom w:val="none" w:sz="0" w:space="0" w:color="auto"/>
                <w:right w:val="none" w:sz="0" w:space="0" w:color="auto"/>
              </w:divBdr>
              <w:divsChild>
                <w:div w:id="5432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64727">
      <w:bodyDiv w:val="1"/>
      <w:marLeft w:val="0"/>
      <w:marRight w:val="0"/>
      <w:marTop w:val="0"/>
      <w:marBottom w:val="0"/>
      <w:divBdr>
        <w:top w:val="none" w:sz="0" w:space="0" w:color="auto"/>
        <w:left w:val="none" w:sz="0" w:space="0" w:color="auto"/>
        <w:bottom w:val="none" w:sz="0" w:space="0" w:color="auto"/>
        <w:right w:val="none" w:sz="0" w:space="0" w:color="auto"/>
      </w:divBdr>
      <w:divsChild>
        <w:div w:id="1332677042">
          <w:marLeft w:val="0"/>
          <w:marRight w:val="0"/>
          <w:marTop w:val="0"/>
          <w:marBottom w:val="0"/>
          <w:divBdr>
            <w:top w:val="none" w:sz="0" w:space="0" w:color="auto"/>
            <w:left w:val="none" w:sz="0" w:space="0" w:color="auto"/>
            <w:bottom w:val="none" w:sz="0" w:space="0" w:color="auto"/>
            <w:right w:val="none" w:sz="0" w:space="0" w:color="auto"/>
          </w:divBdr>
          <w:divsChild>
            <w:div w:id="20977279">
              <w:marLeft w:val="0"/>
              <w:marRight w:val="0"/>
              <w:marTop w:val="0"/>
              <w:marBottom w:val="0"/>
              <w:divBdr>
                <w:top w:val="none" w:sz="0" w:space="0" w:color="auto"/>
                <w:left w:val="none" w:sz="0" w:space="0" w:color="auto"/>
                <w:bottom w:val="none" w:sz="0" w:space="0" w:color="auto"/>
                <w:right w:val="none" w:sz="0" w:space="0" w:color="auto"/>
              </w:divBdr>
            </w:div>
            <w:div w:id="31922757">
              <w:marLeft w:val="0"/>
              <w:marRight w:val="0"/>
              <w:marTop w:val="0"/>
              <w:marBottom w:val="0"/>
              <w:divBdr>
                <w:top w:val="none" w:sz="0" w:space="0" w:color="auto"/>
                <w:left w:val="none" w:sz="0" w:space="0" w:color="auto"/>
                <w:bottom w:val="none" w:sz="0" w:space="0" w:color="auto"/>
                <w:right w:val="none" w:sz="0" w:space="0" w:color="auto"/>
              </w:divBdr>
            </w:div>
            <w:div w:id="599415614">
              <w:marLeft w:val="0"/>
              <w:marRight w:val="0"/>
              <w:marTop w:val="0"/>
              <w:marBottom w:val="0"/>
              <w:divBdr>
                <w:top w:val="none" w:sz="0" w:space="0" w:color="auto"/>
                <w:left w:val="none" w:sz="0" w:space="0" w:color="auto"/>
                <w:bottom w:val="none" w:sz="0" w:space="0" w:color="auto"/>
                <w:right w:val="none" w:sz="0" w:space="0" w:color="auto"/>
              </w:divBdr>
            </w:div>
            <w:div w:id="17876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70217">
      <w:bodyDiv w:val="1"/>
      <w:marLeft w:val="0"/>
      <w:marRight w:val="0"/>
      <w:marTop w:val="0"/>
      <w:marBottom w:val="0"/>
      <w:divBdr>
        <w:top w:val="none" w:sz="0" w:space="0" w:color="auto"/>
        <w:left w:val="none" w:sz="0" w:space="0" w:color="auto"/>
        <w:bottom w:val="none" w:sz="0" w:space="0" w:color="auto"/>
        <w:right w:val="none" w:sz="0" w:space="0" w:color="auto"/>
      </w:divBdr>
    </w:div>
    <w:div w:id="263851095">
      <w:bodyDiv w:val="1"/>
      <w:marLeft w:val="0"/>
      <w:marRight w:val="0"/>
      <w:marTop w:val="0"/>
      <w:marBottom w:val="0"/>
      <w:divBdr>
        <w:top w:val="none" w:sz="0" w:space="0" w:color="auto"/>
        <w:left w:val="none" w:sz="0" w:space="0" w:color="auto"/>
        <w:bottom w:val="none" w:sz="0" w:space="0" w:color="auto"/>
        <w:right w:val="none" w:sz="0" w:space="0" w:color="auto"/>
      </w:divBdr>
      <w:divsChild>
        <w:div w:id="1613199332">
          <w:marLeft w:val="0"/>
          <w:marRight w:val="0"/>
          <w:marTop w:val="0"/>
          <w:marBottom w:val="0"/>
          <w:divBdr>
            <w:top w:val="none" w:sz="0" w:space="0" w:color="auto"/>
            <w:left w:val="none" w:sz="0" w:space="0" w:color="auto"/>
            <w:bottom w:val="none" w:sz="0" w:space="0" w:color="auto"/>
            <w:right w:val="none" w:sz="0" w:space="0" w:color="auto"/>
          </w:divBdr>
          <w:divsChild>
            <w:div w:id="1226910969">
              <w:marLeft w:val="0"/>
              <w:marRight w:val="0"/>
              <w:marTop w:val="0"/>
              <w:marBottom w:val="0"/>
              <w:divBdr>
                <w:top w:val="none" w:sz="0" w:space="0" w:color="auto"/>
                <w:left w:val="none" w:sz="0" w:space="0" w:color="auto"/>
                <w:bottom w:val="none" w:sz="0" w:space="0" w:color="auto"/>
                <w:right w:val="none" w:sz="0" w:space="0" w:color="auto"/>
              </w:divBdr>
              <w:divsChild>
                <w:div w:id="1193497141">
                  <w:marLeft w:val="0"/>
                  <w:marRight w:val="0"/>
                  <w:marTop w:val="0"/>
                  <w:marBottom w:val="0"/>
                  <w:divBdr>
                    <w:top w:val="none" w:sz="0" w:space="0" w:color="auto"/>
                    <w:left w:val="none" w:sz="0" w:space="0" w:color="auto"/>
                    <w:bottom w:val="none" w:sz="0" w:space="0" w:color="auto"/>
                    <w:right w:val="none" w:sz="0" w:space="0" w:color="auto"/>
                  </w:divBdr>
                  <w:divsChild>
                    <w:div w:id="614212402">
                      <w:marLeft w:val="0"/>
                      <w:marRight w:val="0"/>
                      <w:marTop w:val="0"/>
                      <w:marBottom w:val="0"/>
                      <w:divBdr>
                        <w:top w:val="none" w:sz="0" w:space="0" w:color="auto"/>
                        <w:left w:val="none" w:sz="0" w:space="0" w:color="auto"/>
                        <w:bottom w:val="none" w:sz="0" w:space="0" w:color="auto"/>
                        <w:right w:val="none" w:sz="0" w:space="0" w:color="auto"/>
                      </w:divBdr>
                      <w:divsChild>
                        <w:div w:id="1770734921">
                          <w:marLeft w:val="0"/>
                          <w:marRight w:val="0"/>
                          <w:marTop w:val="0"/>
                          <w:marBottom w:val="0"/>
                          <w:divBdr>
                            <w:top w:val="none" w:sz="0" w:space="0" w:color="auto"/>
                            <w:left w:val="none" w:sz="0" w:space="0" w:color="auto"/>
                            <w:bottom w:val="none" w:sz="0" w:space="0" w:color="auto"/>
                            <w:right w:val="none" w:sz="0" w:space="0" w:color="auto"/>
                          </w:divBdr>
                          <w:divsChild>
                            <w:div w:id="556625844">
                              <w:marLeft w:val="0"/>
                              <w:marRight w:val="0"/>
                              <w:marTop w:val="0"/>
                              <w:marBottom w:val="0"/>
                              <w:divBdr>
                                <w:top w:val="none" w:sz="0" w:space="0" w:color="auto"/>
                                <w:left w:val="none" w:sz="0" w:space="0" w:color="auto"/>
                                <w:bottom w:val="none" w:sz="0" w:space="0" w:color="auto"/>
                                <w:right w:val="none" w:sz="0" w:space="0" w:color="auto"/>
                              </w:divBdr>
                              <w:divsChild>
                                <w:div w:id="1110973369">
                                  <w:marLeft w:val="0"/>
                                  <w:marRight w:val="0"/>
                                  <w:marTop w:val="0"/>
                                  <w:marBottom w:val="0"/>
                                  <w:divBdr>
                                    <w:top w:val="none" w:sz="0" w:space="0" w:color="auto"/>
                                    <w:left w:val="none" w:sz="0" w:space="0" w:color="auto"/>
                                    <w:bottom w:val="none" w:sz="0" w:space="0" w:color="auto"/>
                                    <w:right w:val="none" w:sz="0" w:space="0" w:color="auto"/>
                                  </w:divBdr>
                                  <w:divsChild>
                                    <w:div w:id="1708797670">
                                      <w:marLeft w:val="0"/>
                                      <w:marRight w:val="0"/>
                                      <w:marTop w:val="0"/>
                                      <w:marBottom w:val="0"/>
                                      <w:divBdr>
                                        <w:top w:val="none" w:sz="0" w:space="0" w:color="auto"/>
                                        <w:left w:val="none" w:sz="0" w:space="0" w:color="auto"/>
                                        <w:bottom w:val="none" w:sz="0" w:space="0" w:color="auto"/>
                                        <w:right w:val="none" w:sz="0" w:space="0" w:color="auto"/>
                                      </w:divBdr>
                                      <w:divsChild>
                                        <w:div w:id="1018389577">
                                          <w:marLeft w:val="0"/>
                                          <w:marRight w:val="0"/>
                                          <w:marTop w:val="0"/>
                                          <w:marBottom w:val="0"/>
                                          <w:divBdr>
                                            <w:top w:val="none" w:sz="0" w:space="0" w:color="auto"/>
                                            <w:left w:val="none" w:sz="0" w:space="0" w:color="auto"/>
                                            <w:bottom w:val="none" w:sz="0" w:space="0" w:color="auto"/>
                                            <w:right w:val="none" w:sz="0" w:space="0" w:color="auto"/>
                                          </w:divBdr>
                                          <w:divsChild>
                                            <w:div w:id="656686209">
                                              <w:marLeft w:val="0"/>
                                              <w:marRight w:val="0"/>
                                              <w:marTop w:val="0"/>
                                              <w:marBottom w:val="0"/>
                                              <w:divBdr>
                                                <w:top w:val="none" w:sz="0" w:space="0" w:color="auto"/>
                                                <w:left w:val="none" w:sz="0" w:space="0" w:color="auto"/>
                                                <w:bottom w:val="none" w:sz="0" w:space="0" w:color="auto"/>
                                                <w:right w:val="none" w:sz="0" w:space="0" w:color="auto"/>
                                              </w:divBdr>
                                              <w:divsChild>
                                                <w:div w:id="715668305">
                                                  <w:marLeft w:val="0"/>
                                                  <w:marRight w:val="0"/>
                                                  <w:marTop w:val="0"/>
                                                  <w:marBottom w:val="0"/>
                                                  <w:divBdr>
                                                    <w:top w:val="none" w:sz="0" w:space="0" w:color="auto"/>
                                                    <w:left w:val="none" w:sz="0" w:space="0" w:color="auto"/>
                                                    <w:bottom w:val="none" w:sz="0" w:space="0" w:color="auto"/>
                                                    <w:right w:val="none" w:sz="0" w:space="0" w:color="auto"/>
                                                  </w:divBdr>
                                                  <w:divsChild>
                                                    <w:div w:id="857080840">
                                                      <w:marLeft w:val="0"/>
                                                      <w:marRight w:val="0"/>
                                                      <w:marTop w:val="0"/>
                                                      <w:marBottom w:val="0"/>
                                                      <w:divBdr>
                                                        <w:top w:val="none" w:sz="0" w:space="0" w:color="auto"/>
                                                        <w:left w:val="none" w:sz="0" w:space="0" w:color="auto"/>
                                                        <w:bottom w:val="none" w:sz="0" w:space="0" w:color="auto"/>
                                                        <w:right w:val="none" w:sz="0" w:space="0" w:color="auto"/>
                                                      </w:divBdr>
                                                      <w:divsChild>
                                                        <w:div w:id="256863925">
                                                          <w:marLeft w:val="0"/>
                                                          <w:marRight w:val="0"/>
                                                          <w:marTop w:val="0"/>
                                                          <w:marBottom w:val="0"/>
                                                          <w:divBdr>
                                                            <w:top w:val="none" w:sz="0" w:space="0" w:color="auto"/>
                                                            <w:left w:val="none" w:sz="0" w:space="0" w:color="auto"/>
                                                            <w:bottom w:val="none" w:sz="0" w:space="0" w:color="auto"/>
                                                            <w:right w:val="none" w:sz="0" w:space="0" w:color="auto"/>
                                                          </w:divBdr>
                                                          <w:divsChild>
                                                            <w:div w:id="1252353538">
                                                              <w:marLeft w:val="0"/>
                                                              <w:marRight w:val="0"/>
                                                              <w:marTop w:val="0"/>
                                                              <w:marBottom w:val="396"/>
                                                              <w:divBdr>
                                                                <w:top w:val="none" w:sz="0" w:space="0" w:color="auto"/>
                                                                <w:left w:val="none" w:sz="0" w:space="0" w:color="auto"/>
                                                                <w:bottom w:val="none" w:sz="0" w:space="0" w:color="auto"/>
                                                                <w:right w:val="none" w:sz="0" w:space="0" w:color="auto"/>
                                                              </w:divBdr>
                                                              <w:divsChild>
                                                                <w:div w:id="180554705">
                                                                  <w:marLeft w:val="0"/>
                                                                  <w:marRight w:val="0"/>
                                                                  <w:marTop w:val="0"/>
                                                                  <w:marBottom w:val="0"/>
                                                                  <w:divBdr>
                                                                    <w:top w:val="none" w:sz="0" w:space="0" w:color="auto"/>
                                                                    <w:left w:val="none" w:sz="0" w:space="0" w:color="auto"/>
                                                                    <w:bottom w:val="none" w:sz="0" w:space="0" w:color="auto"/>
                                                                    <w:right w:val="none" w:sz="0" w:space="0" w:color="auto"/>
                                                                  </w:divBdr>
                                                                  <w:divsChild>
                                                                    <w:div w:id="114642960">
                                                                      <w:marLeft w:val="0"/>
                                                                      <w:marRight w:val="0"/>
                                                                      <w:marTop w:val="0"/>
                                                                      <w:marBottom w:val="0"/>
                                                                      <w:divBdr>
                                                                        <w:top w:val="none" w:sz="0" w:space="0" w:color="auto"/>
                                                                        <w:left w:val="none" w:sz="0" w:space="0" w:color="auto"/>
                                                                        <w:bottom w:val="none" w:sz="0" w:space="0" w:color="auto"/>
                                                                        <w:right w:val="none" w:sz="0" w:space="0" w:color="auto"/>
                                                                      </w:divBdr>
                                                                      <w:divsChild>
                                                                        <w:div w:id="1456947735">
                                                                          <w:marLeft w:val="0"/>
                                                                          <w:marRight w:val="0"/>
                                                                          <w:marTop w:val="0"/>
                                                                          <w:marBottom w:val="0"/>
                                                                          <w:divBdr>
                                                                            <w:top w:val="none" w:sz="0" w:space="0" w:color="auto"/>
                                                                            <w:left w:val="none" w:sz="0" w:space="0" w:color="auto"/>
                                                                            <w:bottom w:val="none" w:sz="0" w:space="0" w:color="auto"/>
                                                                            <w:right w:val="none" w:sz="0" w:space="0" w:color="auto"/>
                                                                          </w:divBdr>
                                                                          <w:divsChild>
                                                                            <w:div w:id="3982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204118">
      <w:bodyDiv w:val="1"/>
      <w:marLeft w:val="0"/>
      <w:marRight w:val="0"/>
      <w:marTop w:val="0"/>
      <w:marBottom w:val="0"/>
      <w:divBdr>
        <w:top w:val="none" w:sz="0" w:space="0" w:color="auto"/>
        <w:left w:val="none" w:sz="0" w:space="0" w:color="auto"/>
        <w:bottom w:val="none" w:sz="0" w:space="0" w:color="auto"/>
        <w:right w:val="none" w:sz="0" w:space="0" w:color="auto"/>
      </w:divBdr>
      <w:divsChild>
        <w:div w:id="543636982">
          <w:marLeft w:val="0"/>
          <w:marRight w:val="0"/>
          <w:marTop w:val="0"/>
          <w:marBottom w:val="0"/>
          <w:divBdr>
            <w:top w:val="none" w:sz="0" w:space="0" w:color="auto"/>
            <w:left w:val="none" w:sz="0" w:space="0" w:color="auto"/>
            <w:bottom w:val="none" w:sz="0" w:space="0" w:color="auto"/>
            <w:right w:val="none" w:sz="0" w:space="0" w:color="auto"/>
          </w:divBdr>
          <w:divsChild>
            <w:div w:id="1807696898">
              <w:marLeft w:val="0"/>
              <w:marRight w:val="0"/>
              <w:marTop w:val="0"/>
              <w:marBottom w:val="0"/>
              <w:divBdr>
                <w:top w:val="none" w:sz="0" w:space="0" w:color="auto"/>
                <w:left w:val="none" w:sz="0" w:space="0" w:color="auto"/>
                <w:bottom w:val="none" w:sz="0" w:space="0" w:color="auto"/>
                <w:right w:val="none" w:sz="0" w:space="0" w:color="auto"/>
              </w:divBdr>
              <w:divsChild>
                <w:div w:id="14244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72016">
      <w:bodyDiv w:val="1"/>
      <w:marLeft w:val="0"/>
      <w:marRight w:val="0"/>
      <w:marTop w:val="0"/>
      <w:marBottom w:val="0"/>
      <w:divBdr>
        <w:top w:val="none" w:sz="0" w:space="0" w:color="auto"/>
        <w:left w:val="none" w:sz="0" w:space="0" w:color="auto"/>
        <w:bottom w:val="none" w:sz="0" w:space="0" w:color="auto"/>
        <w:right w:val="none" w:sz="0" w:space="0" w:color="auto"/>
      </w:divBdr>
    </w:div>
    <w:div w:id="1110784872">
      <w:bodyDiv w:val="1"/>
      <w:marLeft w:val="0"/>
      <w:marRight w:val="0"/>
      <w:marTop w:val="0"/>
      <w:marBottom w:val="0"/>
      <w:divBdr>
        <w:top w:val="none" w:sz="0" w:space="0" w:color="auto"/>
        <w:left w:val="none" w:sz="0" w:space="0" w:color="auto"/>
        <w:bottom w:val="none" w:sz="0" w:space="0" w:color="auto"/>
        <w:right w:val="none" w:sz="0" w:space="0" w:color="auto"/>
      </w:divBdr>
      <w:divsChild>
        <w:div w:id="444933381">
          <w:marLeft w:val="0"/>
          <w:marRight w:val="0"/>
          <w:marTop w:val="0"/>
          <w:marBottom w:val="0"/>
          <w:divBdr>
            <w:top w:val="none" w:sz="0" w:space="0" w:color="auto"/>
            <w:left w:val="none" w:sz="0" w:space="0" w:color="auto"/>
            <w:bottom w:val="none" w:sz="0" w:space="0" w:color="auto"/>
            <w:right w:val="none" w:sz="0" w:space="0" w:color="auto"/>
          </w:divBdr>
          <w:divsChild>
            <w:div w:id="635910474">
              <w:marLeft w:val="0"/>
              <w:marRight w:val="0"/>
              <w:marTop w:val="0"/>
              <w:marBottom w:val="0"/>
              <w:divBdr>
                <w:top w:val="none" w:sz="0" w:space="0" w:color="auto"/>
                <w:left w:val="none" w:sz="0" w:space="0" w:color="auto"/>
                <w:bottom w:val="none" w:sz="0" w:space="0" w:color="auto"/>
                <w:right w:val="none" w:sz="0" w:space="0" w:color="auto"/>
              </w:divBdr>
            </w:div>
            <w:div w:id="15287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086">
      <w:bodyDiv w:val="1"/>
      <w:marLeft w:val="0"/>
      <w:marRight w:val="0"/>
      <w:marTop w:val="0"/>
      <w:marBottom w:val="0"/>
      <w:divBdr>
        <w:top w:val="none" w:sz="0" w:space="0" w:color="auto"/>
        <w:left w:val="none" w:sz="0" w:space="0" w:color="auto"/>
        <w:bottom w:val="none" w:sz="0" w:space="0" w:color="auto"/>
        <w:right w:val="none" w:sz="0" w:space="0" w:color="auto"/>
      </w:divBdr>
      <w:divsChild>
        <w:div w:id="2107187288">
          <w:marLeft w:val="0"/>
          <w:marRight w:val="0"/>
          <w:marTop w:val="0"/>
          <w:marBottom w:val="0"/>
          <w:divBdr>
            <w:top w:val="none" w:sz="0" w:space="0" w:color="auto"/>
            <w:left w:val="none" w:sz="0" w:space="0" w:color="auto"/>
            <w:bottom w:val="none" w:sz="0" w:space="0" w:color="auto"/>
            <w:right w:val="none" w:sz="0" w:space="0" w:color="auto"/>
          </w:divBdr>
          <w:divsChild>
            <w:div w:id="7030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70666">
      <w:bodyDiv w:val="1"/>
      <w:marLeft w:val="0"/>
      <w:marRight w:val="0"/>
      <w:marTop w:val="0"/>
      <w:marBottom w:val="0"/>
      <w:divBdr>
        <w:top w:val="none" w:sz="0" w:space="0" w:color="auto"/>
        <w:left w:val="none" w:sz="0" w:space="0" w:color="auto"/>
        <w:bottom w:val="none" w:sz="0" w:space="0" w:color="auto"/>
        <w:right w:val="none" w:sz="0" w:space="0" w:color="auto"/>
      </w:divBdr>
      <w:divsChild>
        <w:div w:id="1323510489">
          <w:marLeft w:val="0"/>
          <w:marRight w:val="0"/>
          <w:marTop w:val="0"/>
          <w:marBottom w:val="0"/>
          <w:divBdr>
            <w:top w:val="none" w:sz="0" w:space="0" w:color="auto"/>
            <w:left w:val="none" w:sz="0" w:space="0" w:color="auto"/>
            <w:bottom w:val="none" w:sz="0" w:space="0" w:color="auto"/>
            <w:right w:val="none" w:sz="0" w:space="0" w:color="auto"/>
          </w:divBdr>
          <w:divsChild>
            <w:div w:id="1887377985">
              <w:marLeft w:val="0"/>
              <w:marRight w:val="0"/>
              <w:marTop w:val="0"/>
              <w:marBottom w:val="0"/>
              <w:divBdr>
                <w:top w:val="none" w:sz="0" w:space="0" w:color="auto"/>
                <w:left w:val="none" w:sz="0" w:space="0" w:color="auto"/>
                <w:bottom w:val="none" w:sz="0" w:space="0" w:color="auto"/>
                <w:right w:val="none" w:sz="0" w:space="0" w:color="auto"/>
              </w:divBdr>
              <w:divsChild>
                <w:div w:id="9196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2106">
      <w:bodyDiv w:val="1"/>
      <w:marLeft w:val="0"/>
      <w:marRight w:val="0"/>
      <w:marTop w:val="0"/>
      <w:marBottom w:val="0"/>
      <w:divBdr>
        <w:top w:val="none" w:sz="0" w:space="0" w:color="auto"/>
        <w:left w:val="none" w:sz="0" w:space="0" w:color="auto"/>
        <w:bottom w:val="none" w:sz="0" w:space="0" w:color="auto"/>
        <w:right w:val="none" w:sz="0" w:space="0" w:color="auto"/>
      </w:divBdr>
    </w:div>
    <w:div w:id="1780298070">
      <w:bodyDiv w:val="1"/>
      <w:marLeft w:val="0"/>
      <w:marRight w:val="0"/>
      <w:marTop w:val="0"/>
      <w:marBottom w:val="0"/>
      <w:divBdr>
        <w:top w:val="none" w:sz="0" w:space="0" w:color="auto"/>
        <w:left w:val="none" w:sz="0" w:space="0" w:color="auto"/>
        <w:bottom w:val="none" w:sz="0" w:space="0" w:color="auto"/>
        <w:right w:val="none" w:sz="0" w:space="0" w:color="auto"/>
      </w:divBdr>
    </w:div>
    <w:div w:id="19626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oter" Target="footer7.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image" Target="media/image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4.xm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11.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5.jpeg"/><Relationship Id="rId40" Type="http://schemas.openxmlformats.org/officeDocument/2006/relationships/footer" Target="footer12.xm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image" Target="media/image4.jpeg"/><Relationship Id="rId49"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12.xml"/><Relationship Id="rId44"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image" Target="media/image3.jpeg"/><Relationship Id="rId43" Type="http://schemas.openxmlformats.org/officeDocument/2006/relationships/footer" Target="footer14.xm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ohchr.org/EN/HRBodies/UPR/Pages/Documentation.aspx" TargetMode="External"/><Relationship Id="rId3" Type="http://schemas.openxmlformats.org/officeDocument/2006/relationships/hyperlink" Target="http://www.oas.org/es/cidh/actividades/visitas.asp" TargetMode="External"/><Relationship Id="rId7" Type="http://schemas.openxmlformats.org/officeDocument/2006/relationships/hyperlink" Target="http://www.ohchr.org/EN/HRBodies/UPR/Pages/Documentation.aspx" TargetMode="External"/><Relationship Id="rId2" Type="http://schemas.openxmlformats.org/officeDocument/2006/relationships/hyperlink" Target="http://www.oas.org/es/cidh/prensa/comunicados/2013/064.asp" TargetMode="External"/><Relationship Id="rId1" Type="http://schemas.openxmlformats.org/officeDocument/2006/relationships/hyperlink" Target="http://www.cidh.org/Comunicados/Spanish/1998/Comunicados.10-14.htm" TargetMode="External"/><Relationship Id="rId6" Type="http://schemas.openxmlformats.org/officeDocument/2006/relationships/hyperlink" Target="http://www.cidh.oas.org/annualrep/2008sp/cap2.sp.htm" TargetMode="External"/><Relationship Id="rId11" Type="http://schemas.openxmlformats.org/officeDocument/2006/relationships/hyperlink" Target="http://www.ohchr.org/EN/HRBodies/UPR/Pages/Documentation.aspx" TargetMode="External"/><Relationship Id="rId5" Type="http://schemas.openxmlformats.org/officeDocument/2006/relationships/hyperlink" Target="http://www.wcl.american.edu/humright/center/dvresolutions.cfm" TargetMode="External"/><Relationship Id="rId10" Type="http://schemas.openxmlformats.org/officeDocument/2006/relationships/hyperlink" Target="http://www.ohchr.org/EN/HRBodies/UPR/Pages/Documentation.aspx" TargetMode="External"/><Relationship Id="rId4" Type="http://schemas.openxmlformats.org/officeDocument/2006/relationships/hyperlink" Target="http://www.oas.org/es/cidh/informes/anuales.asp" TargetMode="External"/><Relationship Id="rId9" Type="http://schemas.openxmlformats.org/officeDocument/2006/relationships/hyperlink" Target="http://www.ohchr.org/EN/HRBodies/UPR/Pages/Document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BF210-845D-49B8-BEE9-37CFBC8C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11010</Words>
  <Characters>61112</Characters>
  <Application>Microsoft Office Word</Application>
  <DocSecurity>0</DocSecurity>
  <Lines>1328</Lines>
  <Paragraphs>248</Paragraphs>
  <ScaleCrop>false</ScaleCrop>
  <HeadingPairs>
    <vt:vector size="2" baseType="variant">
      <vt:variant>
        <vt:lpstr>Title</vt:lpstr>
      </vt:variant>
      <vt:variant>
        <vt:i4>1</vt:i4>
      </vt:variant>
    </vt:vector>
  </HeadingPairs>
  <TitlesOfParts>
    <vt:vector size="1" baseType="lpstr">
      <vt:lpstr>Universalidad 2014</vt:lpstr>
    </vt:vector>
  </TitlesOfParts>
  <LinksUpToDate>false</LinksUpToDate>
  <CharactersWithSpaces>71874</CharactersWithSpaces>
  <SharedDoc>false</SharedDoc>
  <HLinks>
    <vt:vector size="120" baseType="variant">
      <vt:variant>
        <vt:i4>1114161</vt:i4>
      </vt:variant>
      <vt:variant>
        <vt:i4>50</vt:i4>
      </vt:variant>
      <vt:variant>
        <vt:i4>0</vt:i4>
      </vt:variant>
      <vt:variant>
        <vt:i4>5</vt:i4>
      </vt:variant>
      <vt:variant>
        <vt:lpwstr/>
      </vt:variant>
      <vt:variant>
        <vt:lpwstr>_Toc392951578</vt:lpwstr>
      </vt:variant>
      <vt:variant>
        <vt:i4>1114161</vt:i4>
      </vt:variant>
      <vt:variant>
        <vt:i4>44</vt:i4>
      </vt:variant>
      <vt:variant>
        <vt:i4>0</vt:i4>
      </vt:variant>
      <vt:variant>
        <vt:i4>5</vt:i4>
      </vt:variant>
      <vt:variant>
        <vt:lpwstr/>
      </vt:variant>
      <vt:variant>
        <vt:lpwstr>_Toc392951577</vt:lpwstr>
      </vt:variant>
      <vt:variant>
        <vt:i4>1114161</vt:i4>
      </vt:variant>
      <vt:variant>
        <vt:i4>38</vt:i4>
      </vt:variant>
      <vt:variant>
        <vt:i4>0</vt:i4>
      </vt:variant>
      <vt:variant>
        <vt:i4>5</vt:i4>
      </vt:variant>
      <vt:variant>
        <vt:lpwstr/>
      </vt:variant>
      <vt:variant>
        <vt:lpwstr>_Toc392951576</vt:lpwstr>
      </vt:variant>
      <vt:variant>
        <vt:i4>1114161</vt:i4>
      </vt:variant>
      <vt:variant>
        <vt:i4>32</vt:i4>
      </vt:variant>
      <vt:variant>
        <vt:i4>0</vt:i4>
      </vt:variant>
      <vt:variant>
        <vt:i4>5</vt:i4>
      </vt:variant>
      <vt:variant>
        <vt:lpwstr/>
      </vt:variant>
      <vt:variant>
        <vt:lpwstr>_Toc392951575</vt:lpwstr>
      </vt:variant>
      <vt:variant>
        <vt:i4>1114161</vt:i4>
      </vt:variant>
      <vt:variant>
        <vt:i4>26</vt:i4>
      </vt:variant>
      <vt:variant>
        <vt:i4>0</vt:i4>
      </vt:variant>
      <vt:variant>
        <vt:i4>5</vt:i4>
      </vt:variant>
      <vt:variant>
        <vt:lpwstr/>
      </vt:variant>
      <vt:variant>
        <vt:lpwstr>_Toc392951574</vt:lpwstr>
      </vt:variant>
      <vt:variant>
        <vt:i4>1114161</vt:i4>
      </vt:variant>
      <vt:variant>
        <vt:i4>20</vt:i4>
      </vt:variant>
      <vt:variant>
        <vt:i4>0</vt:i4>
      </vt:variant>
      <vt:variant>
        <vt:i4>5</vt:i4>
      </vt:variant>
      <vt:variant>
        <vt:lpwstr/>
      </vt:variant>
      <vt:variant>
        <vt:lpwstr>_Toc392951573</vt:lpwstr>
      </vt:variant>
      <vt:variant>
        <vt:i4>1114161</vt:i4>
      </vt:variant>
      <vt:variant>
        <vt:i4>14</vt:i4>
      </vt:variant>
      <vt:variant>
        <vt:i4>0</vt:i4>
      </vt:variant>
      <vt:variant>
        <vt:i4>5</vt:i4>
      </vt:variant>
      <vt:variant>
        <vt:lpwstr/>
      </vt:variant>
      <vt:variant>
        <vt:lpwstr>_Toc392951572</vt:lpwstr>
      </vt:variant>
      <vt:variant>
        <vt:i4>1114161</vt:i4>
      </vt:variant>
      <vt:variant>
        <vt:i4>8</vt:i4>
      </vt:variant>
      <vt:variant>
        <vt:i4>0</vt:i4>
      </vt:variant>
      <vt:variant>
        <vt:i4>5</vt:i4>
      </vt:variant>
      <vt:variant>
        <vt:lpwstr/>
      </vt:variant>
      <vt:variant>
        <vt:lpwstr>_Toc392951571</vt:lpwstr>
      </vt:variant>
      <vt:variant>
        <vt:i4>1114161</vt:i4>
      </vt:variant>
      <vt:variant>
        <vt:i4>2</vt:i4>
      </vt:variant>
      <vt:variant>
        <vt:i4>0</vt:i4>
      </vt:variant>
      <vt:variant>
        <vt:i4>5</vt:i4>
      </vt:variant>
      <vt:variant>
        <vt:lpwstr/>
      </vt:variant>
      <vt:variant>
        <vt:lpwstr>_Toc392951570</vt:lpwstr>
      </vt:variant>
      <vt:variant>
        <vt:i4>80</vt:i4>
      </vt:variant>
      <vt:variant>
        <vt:i4>30</vt:i4>
      </vt:variant>
      <vt:variant>
        <vt:i4>0</vt:i4>
      </vt:variant>
      <vt:variant>
        <vt:i4>5</vt:i4>
      </vt:variant>
      <vt:variant>
        <vt:lpwstr>http://www.ohchr.org/EN/HRBodies/UPR/Pages/Documentation.aspx</vt:lpwstr>
      </vt:variant>
      <vt:variant>
        <vt:lpwstr/>
      </vt:variant>
      <vt:variant>
        <vt:i4>80</vt:i4>
      </vt:variant>
      <vt:variant>
        <vt:i4>27</vt:i4>
      </vt:variant>
      <vt:variant>
        <vt:i4>0</vt:i4>
      </vt:variant>
      <vt:variant>
        <vt:i4>5</vt:i4>
      </vt:variant>
      <vt:variant>
        <vt:lpwstr>http://www.ohchr.org/EN/HRBodies/UPR/Pages/Documentation.aspx</vt:lpwstr>
      </vt:variant>
      <vt:variant>
        <vt:lpwstr/>
      </vt:variant>
      <vt:variant>
        <vt:i4>80</vt:i4>
      </vt:variant>
      <vt:variant>
        <vt:i4>24</vt:i4>
      </vt:variant>
      <vt:variant>
        <vt:i4>0</vt:i4>
      </vt:variant>
      <vt:variant>
        <vt:i4>5</vt:i4>
      </vt:variant>
      <vt:variant>
        <vt:lpwstr>http://www.ohchr.org/EN/HRBodies/UPR/Pages/Documentation.aspx</vt:lpwstr>
      </vt:variant>
      <vt:variant>
        <vt:lpwstr/>
      </vt:variant>
      <vt:variant>
        <vt:i4>80</vt:i4>
      </vt:variant>
      <vt:variant>
        <vt:i4>21</vt:i4>
      </vt:variant>
      <vt:variant>
        <vt:i4>0</vt:i4>
      </vt:variant>
      <vt:variant>
        <vt:i4>5</vt:i4>
      </vt:variant>
      <vt:variant>
        <vt:lpwstr>http://www.ohchr.org/EN/HRBodies/UPR/Pages/Documentation.aspx</vt:lpwstr>
      </vt:variant>
      <vt:variant>
        <vt:lpwstr/>
      </vt:variant>
      <vt:variant>
        <vt:i4>80</vt:i4>
      </vt:variant>
      <vt:variant>
        <vt:i4>18</vt:i4>
      </vt:variant>
      <vt:variant>
        <vt:i4>0</vt:i4>
      </vt:variant>
      <vt:variant>
        <vt:i4>5</vt:i4>
      </vt:variant>
      <vt:variant>
        <vt:lpwstr>http://www.ohchr.org/EN/HRBodies/UPR/Pages/Documentation.aspx</vt:lpwstr>
      </vt:variant>
      <vt:variant>
        <vt:lpwstr/>
      </vt:variant>
      <vt:variant>
        <vt:i4>8126588</vt:i4>
      </vt:variant>
      <vt:variant>
        <vt:i4>15</vt:i4>
      </vt:variant>
      <vt:variant>
        <vt:i4>0</vt:i4>
      </vt:variant>
      <vt:variant>
        <vt:i4>5</vt:i4>
      </vt:variant>
      <vt:variant>
        <vt:lpwstr>http://www.cidh.oas.org/annualrep/2008sp/cap2.sp.htm</vt:lpwstr>
      </vt:variant>
      <vt:variant>
        <vt:lpwstr>Visitas</vt:lpwstr>
      </vt:variant>
      <vt:variant>
        <vt:i4>4980821</vt:i4>
      </vt:variant>
      <vt:variant>
        <vt:i4>12</vt:i4>
      </vt:variant>
      <vt:variant>
        <vt:i4>0</vt:i4>
      </vt:variant>
      <vt:variant>
        <vt:i4>5</vt:i4>
      </vt:variant>
      <vt:variant>
        <vt:lpwstr>http://www.wcl.american.edu/humright/center/dvresolutions.cfm</vt:lpwstr>
      </vt:variant>
      <vt:variant>
        <vt:lpwstr/>
      </vt:variant>
      <vt:variant>
        <vt:i4>7602284</vt:i4>
      </vt:variant>
      <vt:variant>
        <vt:i4>9</vt:i4>
      </vt:variant>
      <vt:variant>
        <vt:i4>0</vt:i4>
      </vt:variant>
      <vt:variant>
        <vt:i4>5</vt:i4>
      </vt:variant>
      <vt:variant>
        <vt:lpwstr>http://www.oas.org/es/cidh/informes/anuales.asp</vt:lpwstr>
      </vt:variant>
      <vt:variant>
        <vt:lpwstr/>
      </vt:variant>
      <vt:variant>
        <vt:i4>7798893</vt:i4>
      </vt:variant>
      <vt:variant>
        <vt:i4>6</vt:i4>
      </vt:variant>
      <vt:variant>
        <vt:i4>0</vt:i4>
      </vt:variant>
      <vt:variant>
        <vt:i4>5</vt:i4>
      </vt:variant>
      <vt:variant>
        <vt:lpwstr>http://www.oas.org/es/cidh/actividades/visitas.asp</vt:lpwstr>
      </vt:variant>
      <vt:variant>
        <vt:lpwstr/>
      </vt:variant>
      <vt:variant>
        <vt:i4>7929911</vt:i4>
      </vt:variant>
      <vt:variant>
        <vt:i4>3</vt:i4>
      </vt:variant>
      <vt:variant>
        <vt:i4>0</vt:i4>
      </vt:variant>
      <vt:variant>
        <vt:i4>5</vt:i4>
      </vt:variant>
      <vt:variant>
        <vt:lpwstr>http://www.oas.org/es/cidh/prensa/comunicados/2013/064.asp</vt:lpwstr>
      </vt:variant>
      <vt:variant>
        <vt:lpwstr/>
      </vt:variant>
      <vt:variant>
        <vt:i4>7798897</vt:i4>
      </vt:variant>
      <vt:variant>
        <vt:i4>0</vt:i4>
      </vt:variant>
      <vt:variant>
        <vt:i4>0</vt:i4>
      </vt:variant>
      <vt:variant>
        <vt:i4>5</vt:i4>
      </vt:variant>
      <vt:variant>
        <vt:lpwstr>http://www.cidh.org/Comunicados/Spanish/1998/Comunicados.10-14.htm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Universalidad 2014</dc:title>
  <dc:creator/>
  <cp:lastModifiedBy/>
  <cp:revision>1</cp:revision>
  <dcterms:created xsi:type="dcterms:W3CDTF">2015-06-19T16:59:00Z</dcterms:created>
  <dcterms:modified xsi:type="dcterms:W3CDTF">2015-06-19T17:10:00Z</dcterms:modified>
</cp:coreProperties>
</file>