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F7B33" w14:textId="77777777" w:rsidR="002659F6" w:rsidRPr="009F5033" w:rsidRDefault="002659F6" w:rsidP="009F5033">
      <w:pPr>
        <w:suppressAutoHyphens/>
        <w:spacing w:after="0" w:line="240" w:lineRule="auto"/>
        <w:ind w:right="-270"/>
        <w:jc w:val="center"/>
        <w:rPr>
          <w:rFonts w:ascii="Cambria" w:eastAsia="Batang" w:hAnsi="Cambria"/>
          <w:b/>
          <w:sz w:val="24"/>
          <w:szCs w:val="24"/>
          <w:lang w:val="es-CO"/>
        </w:rPr>
      </w:pPr>
    </w:p>
    <w:p w14:paraId="532EB7EA" w14:textId="4890DD28" w:rsidR="002659F6" w:rsidRPr="009F5033" w:rsidRDefault="002659F6" w:rsidP="009F5033">
      <w:pPr>
        <w:suppressAutoHyphens/>
        <w:spacing w:after="0" w:line="240" w:lineRule="auto"/>
        <w:ind w:right="-270"/>
        <w:jc w:val="center"/>
        <w:rPr>
          <w:rFonts w:ascii="Cambria" w:eastAsia="Batang" w:hAnsi="Cambria"/>
          <w:b/>
          <w:sz w:val="24"/>
          <w:szCs w:val="24"/>
          <w:lang w:val="es-CO"/>
        </w:rPr>
      </w:pPr>
      <w:r w:rsidRPr="009F5033">
        <w:rPr>
          <w:rFonts w:ascii="Cambria" w:eastAsia="Batang" w:hAnsi="Cambria"/>
          <w:b/>
          <w:sz w:val="24"/>
          <w:szCs w:val="24"/>
          <w:lang w:val="es-CO"/>
        </w:rPr>
        <w:t>FICHA TÉCNICA INFORMATIVA</w:t>
      </w:r>
    </w:p>
    <w:p w14:paraId="59146F3B" w14:textId="77777777" w:rsidR="00D73768" w:rsidRDefault="00F3661B" w:rsidP="009F5033">
      <w:pPr>
        <w:suppressAutoHyphens/>
        <w:spacing w:after="0" w:line="240" w:lineRule="auto"/>
        <w:ind w:right="-270"/>
        <w:jc w:val="center"/>
        <w:rPr>
          <w:rFonts w:ascii="Cambria" w:eastAsia="Batang" w:hAnsi="Cambria"/>
          <w:b/>
          <w:sz w:val="24"/>
          <w:szCs w:val="24"/>
          <w:lang w:val="es-CO"/>
        </w:rPr>
      </w:pPr>
      <w:r w:rsidRPr="009F5033">
        <w:rPr>
          <w:rFonts w:ascii="Cambria" w:eastAsia="Batang" w:hAnsi="Cambria"/>
          <w:b/>
          <w:sz w:val="24"/>
          <w:szCs w:val="24"/>
          <w:lang w:val="es-CO"/>
        </w:rPr>
        <w:t xml:space="preserve">CASO </w:t>
      </w:r>
      <w:r w:rsidR="009F5033" w:rsidRPr="009F5033">
        <w:rPr>
          <w:rFonts w:ascii="Cambria" w:eastAsia="Batang" w:hAnsi="Cambria"/>
          <w:b/>
          <w:sz w:val="24"/>
          <w:szCs w:val="24"/>
          <w:lang w:val="es-CO"/>
        </w:rPr>
        <w:t>13.758 FRANKLIN BUSTAMANTE</w:t>
      </w:r>
      <w:r w:rsidR="00300DA5" w:rsidRPr="009F5033">
        <w:rPr>
          <w:rFonts w:ascii="Cambria" w:eastAsia="Batang" w:hAnsi="Cambria"/>
          <w:b/>
          <w:sz w:val="24"/>
          <w:szCs w:val="24"/>
          <w:lang w:val="es-CO"/>
        </w:rPr>
        <w:t xml:space="preserve"> </w:t>
      </w:r>
      <w:r w:rsidR="00D73768">
        <w:rPr>
          <w:rFonts w:ascii="Cambria" w:eastAsia="Batang" w:hAnsi="Cambria"/>
          <w:b/>
          <w:sz w:val="24"/>
          <w:szCs w:val="24"/>
          <w:lang w:val="es-CO"/>
        </w:rPr>
        <w:t xml:space="preserve">RESTREPO </w:t>
      </w:r>
    </w:p>
    <w:p w14:paraId="62ACF499" w14:textId="1DDD97C7" w:rsidR="00F3661B" w:rsidRPr="009F5033" w:rsidRDefault="00300DA5" w:rsidP="009F5033">
      <w:pPr>
        <w:suppressAutoHyphens/>
        <w:spacing w:after="0" w:line="240" w:lineRule="auto"/>
        <w:ind w:right="-270"/>
        <w:jc w:val="center"/>
        <w:rPr>
          <w:rFonts w:ascii="Cambria" w:eastAsia="Batang" w:hAnsi="Cambria"/>
          <w:b/>
          <w:sz w:val="24"/>
          <w:szCs w:val="24"/>
          <w:lang w:val="es-CO"/>
        </w:rPr>
      </w:pPr>
      <w:r w:rsidRPr="009F5033">
        <w:rPr>
          <w:rFonts w:ascii="Cambria" w:eastAsia="Batang" w:hAnsi="Cambria"/>
          <w:b/>
          <w:sz w:val="24"/>
          <w:szCs w:val="24"/>
          <w:lang w:val="es-CO"/>
        </w:rPr>
        <w:t>Y FAMILI</w:t>
      </w:r>
      <w:r w:rsidR="009F5033" w:rsidRPr="009F5033">
        <w:rPr>
          <w:rFonts w:ascii="Cambria" w:eastAsia="Batang" w:hAnsi="Cambria"/>
          <w:b/>
          <w:sz w:val="24"/>
          <w:szCs w:val="24"/>
          <w:lang w:val="es-CO"/>
        </w:rPr>
        <w:t>ARES</w:t>
      </w:r>
    </w:p>
    <w:p w14:paraId="38A16E1F" w14:textId="5147D5EE" w:rsidR="008E72CA" w:rsidRPr="009F5033" w:rsidRDefault="008E72CA" w:rsidP="009F5033">
      <w:pPr>
        <w:suppressAutoHyphens/>
        <w:spacing w:after="0" w:line="240" w:lineRule="auto"/>
        <w:ind w:right="-270"/>
        <w:jc w:val="center"/>
        <w:rPr>
          <w:rFonts w:ascii="Cambria" w:eastAsia="Batang" w:hAnsi="Cambria"/>
          <w:b/>
          <w:sz w:val="24"/>
          <w:szCs w:val="24"/>
          <w:lang w:val="es-CO"/>
        </w:rPr>
      </w:pPr>
      <w:r w:rsidRPr="009F5033">
        <w:rPr>
          <w:rFonts w:ascii="Cambria" w:eastAsia="Batang" w:hAnsi="Cambria"/>
          <w:b/>
          <w:sz w:val="24"/>
          <w:szCs w:val="24"/>
          <w:lang w:val="es-CO"/>
        </w:rPr>
        <w:t>INFORME DE SOLUCIÓN AMISTOSA</w:t>
      </w:r>
      <w:r w:rsidR="009F5033" w:rsidRPr="009F5033">
        <w:rPr>
          <w:rFonts w:ascii="Cambria" w:eastAsia="Batang" w:hAnsi="Cambria"/>
          <w:b/>
          <w:sz w:val="24"/>
          <w:szCs w:val="24"/>
          <w:lang w:val="es-CO"/>
        </w:rPr>
        <w:t xml:space="preserve"> </w:t>
      </w:r>
      <w:hyperlink r:id="rId12" w:history="1">
        <w:r w:rsidR="009F5033" w:rsidRPr="00D73768">
          <w:rPr>
            <w:rStyle w:val="Hyperlink"/>
            <w:rFonts w:ascii="Cambria" w:eastAsia="Batang" w:hAnsi="Cambria"/>
            <w:b/>
            <w:sz w:val="24"/>
            <w:szCs w:val="24"/>
            <w:lang w:val="es-CO"/>
          </w:rPr>
          <w:t>No. 337/21</w:t>
        </w:r>
      </w:hyperlink>
    </w:p>
    <w:p w14:paraId="1FDB7C2D" w14:textId="4237882A" w:rsidR="00F3661B" w:rsidRPr="009F5033" w:rsidRDefault="002659F6" w:rsidP="009F5033">
      <w:pPr>
        <w:suppressAutoHyphens/>
        <w:spacing w:after="0" w:line="240" w:lineRule="auto"/>
        <w:ind w:right="-270"/>
        <w:jc w:val="center"/>
        <w:rPr>
          <w:rFonts w:ascii="Cambria" w:eastAsia="Batang" w:hAnsi="Cambria"/>
          <w:b/>
          <w:sz w:val="24"/>
          <w:szCs w:val="24"/>
          <w:lang w:val="es-CO"/>
        </w:rPr>
      </w:pPr>
      <w:r w:rsidRPr="009F5033">
        <w:rPr>
          <w:rFonts w:ascii="Cambria" w:eastAsia="Batang" w:hAnsi="Cambria"/>
          <w:b/>
          <w:sz w:val="24"/>
          <w:szCs w:val="24"/>
          <w:lang w:val="es-CO"/>
        </w:rPr>
        <w:t>CUMPLIMIENTO TOTAL</w:t>
      </w:r>
    </w:p>
    <w:p w14:paraId="7295383B" w14:textId="260ED645" w:rsidR="00035689" w:rsidRPr="009F5033" w:rsidRDefault="008E72CA" w:rsidP="009F5033">
      <w:pPr>
        <w:suppressAutoHyphens/>
        <w:spacing w:after="0" w:line="240" w:lineRule="auto"/>
        <w:ind w:right="-270"/>
        <w:jc w:val="center"/>
        <w:rPr>
          <w:rFonts w:ascii="Cambria" w:eastAsia="Batang" w:hAnsi="Cambria"/>
          <w:b/>
          <w:sz w:val="24"/>
          <w:szCs w:val="24"/>
          <w:lang w:val="es-CO"/>
        </w:rPr>
      </w:pPr>
      <w:r w:rsidRPr="009F5033">
        <w:rPr>
          <w:rFonts w:ascii="Cambria" w:eastAsia="Batang" w:hAnsi="Cambria"/>
          <w:b/>
          <w:sz w:val="24"/>
          <w:szCs w:val="24"/>
          <w:lang w:val="es-CO"/>
        </w:rPr>
        <w:t>(</w:t>
      </w:r>
      <w:r w:rsidR="00033B04" w:rsidRPr="009F5033">
        <w:rPr>
          <w:rFonts w:ascii="Cambria" w:eastAsia="Batang" w:hAnsi="Cambria"/>
          <w:b/>
          <w:sz w:val="24"/>
          <w:szCs w:val="24"/>
          <w:lang w:val="es-CO"/>
        </w:rPr>
        <w:t>COLOMBIA</w:t>
      </w:r>
      <w:r w:rsidRPr="009F5033">
        <w:rPr>
          <w:rFonts w:ascii="Cambria" w:eastAsia="Batang" w:hAnsi="Cambria"/>
          <w:b/>
          <w:sz w:val="24"/>
          <w:szCs w:val="24"/>
          <w:lang w:val="es-CO"/>
        </w:rPr>
        <w:t>)</w:t>
      </w:r>
    </w:p>
    <w:p w14:paraId="6D4DD232" w14:textId="77777777" w:rsidR="009F5033" w:rsidRPr="00CE0BD2" w:rsidRDefault="009F5033" w:rsidP="009F5033">
      <w:pPr>
        <w:suppressAutoHyphens/>
        <w:spacing w:after="0" w:line="240" w:lineRule="auto"/>
        <w:ind w:left="1440" w:hanging="720"/>
        <w:rPr>
          <w:rFonts w:ascii="Cambria" w:hAnsi="Cambria"/>
          <w:b/>
          <w:caps/>
          <w:color w:val="000000"/>
          <w:sz w:val="20"/>
          <w:szCs w:val="20"/>
          <w:lang w:val="es-ES"/>
        </w:rPr>
      </w:pPr>
    </w:p>
    <w:p w14:paraId="5D85CCA3" w14:textId="77777777" w:rsidR="009F5033" w:rsidRPr="00CE0BD2" w:rsidRDefault="009F5033" w:rsidP="0011449C">
      <w:pPr>
        <w:numPr>
          <w:ilvl w:val="0"/>
          <w:numId w:val="6"/>
        </w:numPr>
        <w:suppressAutoHyphens/>
        <w:spacing w:after="0" w:line="240" w:lineRule="auto"/>
        <w:ind w:hanging="11"/>
        <w:rPr>
          <w:rFonts w:ascii="Cambria" w:hAnsi="Cambria"/>
          <w:b/>
          <w:caps/>
          <w:color w:val="000000"/>
          <w:sz w:val="20"/>
          <w:szCs w:val="20"/>
          <w:lang w:val="es-ES"/>
        </w:rPr>
      </w:pPr>
      <w:r w:rsidRPr="00CE0BD2">
        <w:rPr>
          <w:rFonts w:ascii="Cambria" w:hAnsi="Cambria"/>
          <w:b/>
          <w:caps/>
          <w:color w:val="000000"/>
          <w:sz w:val="20"/>
          <w:szCs w:val="20"/>
          <w:lang w:val="es-ES"/>
        </w:rPr>
        <w:t>resumen del caso</w:t>
      </w:r>
    </w:p>
    <w:p w14:paraId="71086872" w14:textId="77777777" w:rsidR="009F5033" w:rsidRPr="00CE0BD2" w:rsidRDefault="009F5033" w:rsidP="009F5033">
      <w:pPr>
        <w:suppressAutoHyphens/>
        <w:spacing w:after="0" w:line="240" w:lineRule="auto"/>
        <w:ind w:left="1440" w:hanging="720"/>
        <w:rPr>
          <w:rFonts w:ascii="Cambria" w:hAnsi="Cambria"/>
          <w:b/>
          <w:caps/>
          <w:color w:val="000000"/>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9F5033" w:rsidRPr="0011449C" w14:paraId="1531D0DC" w14:textId="77777777" w:rsidTr="00B508B7">
        <w:trPr>
          <w:trHeight w:val="5669"/>
          <w:jc w:val="center"/>
        </w:trPr>
        <w:tc>
          <w:tcPr>
            <w:tcW w:w="9576" w:type="dxa"/>
            <w:shd w:val="clear" w:color="auto" w:fill="F2F2F2"/>
          </w:tcPr>
          <w:p w14:paraId="6A9BD872" w14:textId="66A98001" w:rsidR="009F5033" w:rsidRPr="00CE0BD2" w:rsidRDefault="009F5033" w:rsidP="009F5033">
            <w:pPr>
              <w:tabs>
                <w:tab w:val="left" w:pos="9270"/>
              </w:tabs>
              <w:suppressAutoHyphens/>
              <w:spacing w:after="0" w:line="240" w:lineRule="auto"/>
              <w:jc w:val="both"/>
              <w:rPr>
                <w:rFonts w:ascii="Cambria" w:eastAsia="Batang" w:hAnsi="Cambria"/>
                <w:color w:val="000000"/>
                <w:sz w:val="20"/>
                <w:szCs w:val="20"/>
                <w:lang w:val="es-CO"/>
              </w:rPr>
            </w:pPr>
            <w:r w:rsidRPr="00CE0BD2">
              <w:rPr>
                <w:rFonts w:ascii="Cambria" w:eastAsia="Batang" w:hAnsi="Cambria"/>
                <w:b/>
                <w:color w:val="000000"/>
                <w:sz w:val="20"/>
                <w:szCs w:val="20"/>
                <w:lang w:val="es-CO"/>
              </w:rPr>
              <w:t>Víctima (s):</w:t>
            </w:r>
            <w:r w:rsidRPr="00CE0BD2">
              <w:rPr>
                <w:rFonts w:ascii="Cambria" w:eastAsia="Batang" w:hAnsi="Cambria"/>
                <w:color w:val="000000"/>
                <w:sz w:val="20"/>
                <w:szCs w:val="20"/>
                <w:lang w:val="es-CO"/>
              </w:rPr>
              <w:t xml:space="preserve"> Franklin Bustamante Restrepo</w:t>
            </w:r>
            <w:r w:rsidR="00094F7F" w:rsidRPr="00CE0BD2">
              <w:rPr>
                <w:rFonts w:ascii="Cambria" w:eastAsia="Batang" w:hAnsi="Cambria"/>
                <w:color w:val="000000"/>
                <w:sz w:val="20"/>
                <w:szCs w:val="20"/>
                <w:lang w:val="es-CO"/>
              </w:rPr>
              <w:t xml:space="preserve"> y familiares</w:t>
            </w:r>
          </w:p>
          <w:p w14:paraId="77CB70FE" w14:textId="77777777" w:rsidR="009F5033" w:rsidRPr="00CE0BD2" w:rsidRDefault="009F5033" w:rsidP="009F5033">
            <w:pPr>
              <w:tabs>
                <w:tab w:val="left" w:pos="9270"/>
              </w:tabs>
              <w:suppressAutoHyphens/>
              <w:spacing w:after="0" w:line="240" w:lineRule="auto"/>
              <w:jc w:val="both"/>
              <w:rPr>
                <w:rFonts w:ascii="Cambria" w:eastAsia="Batang" w:hAnsi="Cambria"/>
                <w:bCs/>
                <w:color w:val="000000"/>
                <w:sz w:val="20"/>
                <w:szCs w:val="20"/>
                <w:lang w:val="es-CO"/>
              </w:rPr>
            </w:pPr>
            <w:r w:rsidRPr="00CE0BD2">
              <w:rPr>
                <w:rFonts w:ascii="Cambria" w:eastAsia="Batang" w:hAnsi="Cambria"/>
                <w:b/>
                <w:color w:val="000000"/>
                <w:sz w:val="20"/>
                <w:szCs w:val="20"/>
                <w:lang w:val="es-CO"/>
              </w:rPr>
              <w:t xml:space="preserve">Peticionario (s): </w:t>
            </w:r>
            <w:r w:rsidRPr="00CE0BD2">
              <w:rPr>
                <w:rFonts w:ascii="Cambria" w:eastAsia="Batang" w:hAnsi="Cambria"/>
                <w:bCs/>
                <w:color w:val="000000"/>
                <w:sz w:val="20"/>
                <w:szCs w:val="20"/>
                <w:lang w:val="es-CO"/>
              </w:rPr>
              <w:t>Oscar Darío Villegas Posada</w:t>
            </w:r>
          </w:p>
          <w:p w14:paraId="52BAA979" w14:textId="77777777" w:rsidR="009F5033" w:rsidRPr="00CE0BD2" w:rsidRDefault="009F5033" w:rsidP="009F5033">
            <w:pPr>
              <w:tabs>
                <w:tab w:val="left" w:pos="9270"/>
              </w:tabs>
              <w:suppressAutoHyphens/>
              <w:spacing w:after="0" w:line="240" w:lineRule="auto"/>
              <w:jc w:val="both"/>
              <w:rPr>
                <w:rFonts w:ascii="Cambria" w:eastAsia="Batang" w:hAnsi="Cambria"/>
                <w:color w:val="000000"/>
                <w:sz w:val="20"/>
                <w:szCs w:val="20"/>
                <w:lang w:val="es-CO"/>
              </w:rPr>
            </w:pPr>
            <w:r w:rsidRPr="00CE0BD2">
              <w:rPr>
                <w:rFonts w:ascii="Cambria" w:eastAsia="Batang" w:hAnsi="Cambria"/>
                <w:b/>
                <w:color w:val="000000"/>
                <w:sz w:val="20"/>
                <w:szCs w:val="20"/>
                <w:lang w:val="es-CO"/>
              </w:rPr>
              <w:t>Estado:</w:t>
            </w:r>
            <w:r w:rsidRPr="00CE0BD2">
              <w:rPr>
                <w:rFonts w:ascii="Cambria" w:eastAsia="Batang" w:hAnsi="Cambria"/>
                <w:color w:val="000000"/>
                <w:sz w:val="20"/>
                <w:szCs w:val="20"/>
                <w:lang w:val="es-CO"/>
              </w:rPr>
              <w:t xml:space="preserve"> Colombia</w:t>
            </w:r>
          </w:p>
          <w:p w14:paraId="5E0461B2" w14:textId="77777777" w:rsidR="009F5033" w:rsidRPr="00CE0BD2" w:rsidRDefault="009F5033" w:rsidP="009F5033">
            <w:pPr>
              <w:tabs>
                <w:tab w:val="left" w:pos="9270"/>
              </w:tabs>
              <w:suppressAutoHyphens/>
              <w:spacing w:after="0" w:line="240" w:lineRule="auto"/>
              <w:jc w:val="both"/>
              <w:rPr>
                <w:rFonts w:ascii="Cambria" w:hAnsi="Cambria"/>
                <w:b/>
                <w:bCs/>
                <w:color w:val="000000"/>
                <w:sz w:val="20"/>
                <w:szCs w:val="20"/>
                <w:lang w:val="es-CO"/>
              </w:rPr>
            </w:pPr>
            <w:r w:rsidRPr="00CE0BD2">
              <w:rPr>
                <w:rFonts w:ascii="Cambria" w:hAnsi="Cambria"/>
                <w:b/>
                <w:bCs/>
                <w:color w:val="000000"/>
                <w:sz w:val="20"/>
                <w:szCs w:val="20"/>
                <w:lang w:val="es-CO"/>
              </w:rPr>
              <w:t xml:space="preserve">Fecha de inicio de las negociaciones: </w:t>
            </w:r>
            <w:r w:rsidRPr="00CE0BD2">
              <w:rPr>
                <w:rFonts w:ascii="Cambria" w:hAnsi="Cambria"/>
                <w:color w:val="000000"/>
                <w:sz w:val="20"/>
                <w:szCs w:val="20"/>
                <w:lang w:val="es-CO"/>
              </w:rPr>
              <w:t>30 de noviembre de 2020</w:t>
            </w:r>
          </w:p>
          <w:p w14:paraId="6924C23A" w14:textId="16A53E49" w:rsidR="009F5033" w:rsidRPr="00CE0BD2" w:rsidRDefault="009F5033" w:rsidP="009F5033">
            <w:pPr>
              <w:tabs>
                <w:tab w:val="left" w:pos="9270"/>
              </w:tabs>
              <w:suppressAutoHyphens/>
              <w:spacing w:after="0" w:line="240" w:lineRule="auto"/>
              <w:jc w:val="both"/>
              <w:rPr>
                <w:rFonts w:ascii="Cambria" w:hAnsi="Cambria"/>
                <w:b/>
                <w:bCs/>
                <w:color w:val="000000"/>
                <w:sz w:val="20"/>
                <w:szCs w:val="20"/>
                <w:lang w:val="es-CO"/>
              </w:rPr>
            </w:pPr>
            <w:r w:rsidRPr="00CE0BD2">
              <w:rPr>
                <w:rFonts w:ascii="Cambria" w:hAnsi="Cambria"/>
                <w:b/>
                <w:bCs/>
                <w:color w:val="000000"/>
                <w:sz w:val="20"/>
                <w:szCs w:val="20"/>
                <w:lang w:val="es-CO"/>
              </w:rPr>
              <w:t>Informe de Admisibilidad N</w:t>
            </w:r>
            <w:r w:rsidR="00C345B0" w:rsidRPr="00CE0BD2">
              <w:rPr>
                <w:rFonts w:ascii="Cambria" w:hAnsi="Cambria"/>
                <w:b/>
                <w:bCs/>
                <w:color w:val="000000"/>
                <w:sz w:val="20"/>
                <w:szCs w:val="20"/>
                <w:lang w:val="es-CO"/>
              </w:rPr>
              <w:t>o</w:t>
            </w:r>
            <w:r w:rsidRPr="00CE0BD2">
              <w:rPr>
                <w:rFonts w:ascii="Cambria" w:eastAsia="Batang" w:hAnsi="Cambria"/>
                <w:bCs/>
                <w:color w:val="000000"/>
                <w:sz w:val="20"/>
                <w:szCs w:val="20"/>
                <w:lang w:val="es-CO"/>
              </w:rPr>
              <w:t xml:space="preserve">: </w:t>
            </w:r>
            <w:hyperlink r:id="rId13" w:history="1">
              <w:r w:rsidRPr="00CE0BD2">
                <w:rPr>
                  <w:rFonts w:ascii="Cambria" w:eastAsia="Batang" w:hAnsi="Cambria"/>
                  <w:b/>
                  <w:bCs/>
                  <w:color w:val="0563C1"/>
                  <w:sz w:val="20"/>
                  <w:szCs w:val="20"/>
                  <w:u w:val="single"/>
                  <w:lang w:val="es-CO"/>
                </w:rPr>
                <w:t>36/19</w:t>
              </w:r>
            </w:hyperlink>
            <w:r w:rsidR="00C345B0" w:rsidRPr="0011449C">
              <w:rPr>
                <w:rFonts w:ascii="Cambria" w:hAnsi="Cambria"/>
                <w:sz w:val="20"/>
                <w:szCs w:val="20"/>
                <w:lang w:val="es-CO"/>
              </w:rPr>
              <w:t>,</w:t>
            </w:r>
            <w:r w:rsidRPr="00CE0BD2">
              <w:rPr>
                <w:rFonts w:ascii="Cambria" w:eastAsia="Batang" w:hAnsi="Cambria"/>
                <w:bCs/>
                <w:color w:val="000000"/>
                <w:sz w:val="20"/>
                <w:szCs w:val="20"/>
                <w:lang w:val="es-CO"/>
              </w:rPr>
              <w:t xml:space="preserve"> publicado el 13 de abril de 2019</w:t>
            </w:r>
          </w:p>
          <w:p w14:paraId="423C1FBC" w14:textId="77777777" w:rsidR="009F5033" w:rsidRPr="00CE0BD2" w:rsidRDefault="009F5033" w:rsidP="009F5033">
            <w:pPr>
              <w:tabs>
                <w:tab w:val="left" w:pos="9270"/>
              </w:tabs>
              <w:suppressAutoHyphens/>
              <w:spacing w:after="0" w:line="240" w:lineRule="auto"/>
              <w:jc w:val="both"/>
              <w:rPr>
                <w:rFonts w:ascii="Cambria" w:hAnsi="Cambria"/>
                <w:b/>
                <w:bCs/>
                <w:color w:val="000000"/>
                <w:sz w:val="20"/>
                <w:szCs w:val="20"/>
                <w:lang w:val="es-CO"/>
              </w:rPr>
            </w:pPr>
            <w:r w:rsidRPr="00CE0BD2">
              <w:rPr>
                <w:rFonts w:ascii="Cambria" w:hAnsi="Cambria"/>
                <w:b/>
                <w:bCs/>
                <w:color w:val="000000"/>
                <w:sz w:val="20"/>
                <w:szCs w:val="20"/>
                <w:lang w:val="es-CO"/>
              </w:rPr>
              <w:t xml:space="preserve">Fecha de Firma de ASA: </w:t>
            </w:r>
            <w:r w:rsidRPr="00CE0BD2">
              <w:rPr>
                <w:rFonts w:ascii="Cambria" w:hAnsi="Cambria"/>
                <w:color w:val="000000"/>
                <w:sz w:val="20"/>
                <w:szCs w:val="20"/>
                <w:lang w:val="es-CO"/>
              </w:rPr>
              <w:t>13 de septiembre de 2021</w:t>
            </w:r>
          </w:p>
          <w:p w14:paraId="179A4205" w14:textId="7F143B12" w:rsidR="009F5033" w:rsidRPr="00CE0BD2" w:rsidRDefault="009F5033" w:rsidP="009F5033">
            <w:pPr>
              <w:tabs>
                <w:tab w:val="left" w:pos="9270"/>
              </w:tabs>
              <w:suppressAutoHyphens/>
              <w:spacing w:after="0" w:line="240" w:lineRule="auto"/>
              <w:jc w:val="both"/>
              <w:rPr>
                <w:rFonts w:ascii="Cambria" w:eastAsia="Batang" w:hAnsi="Cambria"/>
                <w:color w:val="000000"/>
                <w:sz w:val="20"/>
                <w:szCs w:val="20"/>
                <w:lang w:val="es-CO"/>
              </w:rPr>
            </w:pPr>
            <w:r w:rsidRPr="00CE0BD2">
              <w:rPr>
                <w:rFonts w:ascii="Cambria" w:eastAsia="Batang" w:hAnsi="Cambria"/>
                <w:b/>
                <w:color w:val="000000"/>
                <w:sz w:val="20"/>
                <w:szCs w:val="20"/>
                <w:lang w:val="es-CO"/>
              </w:rPr>
              <w:t>Informe de Acuerdo de Solución Amistosa N</w:t>
            </w:r>
            <w:r w:rsidR="00C345B0" w:rsidRPr="00CE0BD2">
              <w:rPr>
                <w:rFonts w:ascii="Cambria" w:eastAsia="Batang" w:hAnsi="Cambria"/>
                <w:b/>
                <w:color w:val="000000"/>
                <w:sz w:val="20"/>
                <w:szCs w:val="20"/>
                <w:lang w:val="es-CO"/>
              </w:rPr>
              <w:t>o</w:t>
            </w:r>
            <w:r w:rsidRPr="00CE0BD2">
              <w:rPr>
                <w:rFonts w:ascii="Cambria" w:eastAsia="Batang" w:hAnsi="Cambria"/>
                <w:b/>
                <w:color w:val="000000"/>
                <w:sz w:val="20"/>
                <w:szCs w:val="20"/>
                <w:lang w:val="es-CO"/>
              </w:rPr>
              <w:t xml:space="preserve">: </w:t>
            </w:r>
            <w:hyperlink r:id="rId14" w:history="1">
              <w:r w:rsidRPr="00CE0BD2">
                <w:rPr>
                  <w:rFonts w:ascii="Cambria" w:eastAsia="Batang" w:hAnsi="Cambria"/>
                  <w:b/>
                  <w:color w:val="0563C1"/>
                  <w:sz w:val="20"/>
                  <w:szCs w:val="20"/>
                  <w:u w:val="single"/>
                  <w:lang w:val="es-CO"/>
                </w:rPr>
                <w:t>337/21</w:t>
              </w:r>
            </w:hyperlink>
            <w:r w:rsidR="00C345B0" w:rsidRPr="0011449C">
              <w:rPr>
                <w:rFonts w:ascii="Cambria" w:hAnsi="Cambria"/>
                <w:sz w:val="20"/>
                <w:szCs w:val="20"/>
                <w:lang w:val="es-CO"/>
              </w:rPr>
              <w:t>,</w:t>
            </w:r>
            <w:r w:rsidRPr="00CE0BD2">
              <w:rPr>
                <w:rFonts w:ascii="Cambria" w:eastAsia="Batang" w:hAnsi="Cambria"/>
                <w:b/>
                <w:color w:val="000000"/>
                <w:sz w:val="20"/>
                <w:szCs w:val="20"/>
                <w:lang w:val="es-CO"/>
              </w:rPr>
              <w:t xml:space="preserve"> </w:t>
            </w:r>
            <w:r w:rsidRPr="00CE0BD2">
              <w:rPr>
                <w:rFonts w:ascii="Cambria" w:eastAsia="Batang" w:hAnsi="Cambria"/>
                <w:color w:val="000000"/>
                <w:sz w:val="20"/>
                <w:szCs w:val="20"/>
                <w:lang w:val="es-CO"/>
              </w:rPr>
              <w:t>publicado el 22 de noviembre de 2021</w:t>
            </w:r>
          </w:p>
          <w:p w14:paraId="13E381AD" w14:textId="77777777" w:rsidR="009F5033" w:rsidRPr="00CE0BD2" w:rsidRDefault="009F5033" w:rsidP="009F5033">
            <w:pPr>
              <w:tabs>
                <w:tab w:val="left" w:pos="9270"/>
              </w:tabs>
              <w:suppressAutoHyphens/>
              <w:spacing w:after="0" w:line="240" w:lineRule="auto"/>
              <w:jc w:val="both"/>
              <w:rPr>
                <w:rFonts w:ascii="Cambria" w:hAnsi="Cambria"/>
                <w:color w:val="000000"/>
                <w:sz w:val="20"/>
                <w:szCs w:val="20"/>
                <w:lang w:val="es-CO"/>
              </w:rPr>
            </w:pPr>
            <w:r w:rsidRPr="00CE0BD2">
              <w:rPr>
                <w:rFonts w:ascii="Cambria" w:hAnsi="Cambria"/>
                <w:b/>
                <w:bCs/>
                <w:color w:val="000000"/>
                <w:sz w:val="20"/>
                <w:szCs w:val="20"/>
                <w:lang w:val="es-CO"/>
              </w:rPr>
              <w:t xml:space="preserve">Duración estimada de la fase de negociación: </w:t>
            </w:r>
            <w:r w:rsidRPr="00CE0BD2">
              <w:rPr>
                <w:rFonts w:ascii="Cambria" w:hAnsi="Cambria"/>
                <w:color w:val="000000"/>
                <w:sz w:val="20"/>
                <w:szCs w:val="20"/>
                <w:lang w:val="es-CO"/>
              </w:rPr>
              <w:t xml:space="preserve">1 año </w:t>
            </w:r>
          </w:p>
          <w:p w14:paraId="19F284BE" w14:textId="7A081A80" w:rsidR="009F5033" w:rsidRPr="00CE0BD2" w:rsidRDefault="009F5033" w:rsidP="009F5033">
            <w:pPr>
              <w:tabs>
                <w:tab w:val="left" w:pos="9270"/>
              </w:tabs>
              <w:suppressAutoHyphens/>
              <w:spacing w:after="0" w:line="240" w:lineRule="auto"/>
              <w:jc w:val="both"/>
              <w:rPr>
                <w:rFonts w:ascii="Cambria" w:eastAsia="Batang" w:hAnsi="Cambria"/>
                <w:color w:val="000000"/>
                <w:sz w:val="20"/>
                <w:szCs w:val="20"/>
                <w:lang w:val="es-CO"/>
              </w:rPr>
            </w:pPr>
            <w:r w:rsidRPr="00CE0BD2">
              <w:rPr>
                <w:rFonts w:ascii="Cambria" w:eastAsia="Batang" w:hAnsi="Cambria"/>
                <w:b/>
                <w:color w:val="000000"/>
                <w:sz w:val="20"/>
                <w:szCs w:val="20"/>
                <w:lang w:val="es-CO"/>
              </w:rPr>
              <w:t>Relatoría vinculada:</w:t>
            </w:r>
            <w:r w:rsidRPr="00CE0BD2">
              <w:rPr>
                <w:rFonts w:ascii="Cambria" w:eastAsia="Batang" w:hAnsi="Cambria"/>
                <w:color w:val="000000"/>
                <w:sz w:val="20"/>
                <w:szCs w:val="20"/>
                <w:lang w:val="es-CO"/>
              </w:rPr>
              <w:t xml:space="preserve"> N</w:t>
            </w:r>
            <w:r w:rsidR="00C345B0" w:rsidRPr="00CE0BD2">
              <w:rPr>
                <w:rFonts w:ascii="Cambria" w:eastAsia="Batang" w:hAnsi="Cambria"/>
                <w:color w:val="000000"/>
                <w:sz w:val="20"/>
                <w:szCs w:val="20"/>
                <w:lang w:val="es-CO"/>
              </w:rPr>
              <w:t>iñas, N</w:t>
            </w:r>
            <w:r w:rsidRPr="00CE0BD2">
              <w:rPr>
                <w:rFonts w:ascii="Cambria" w:eastAsia="Batang" w:hAnsi="Cambria"/>
                <w:color w:val="000000"/>
                <w:sz w:val="20"/>
                <w:szCs w:val="20"/>
                <w:lang w:val="es-CO"/>
              </w:rPr>
              <w:t>iños</w:t>
            </w:r>
            <w:r w:rsidR="00C345B0" w:rsidRPr="00CE0BD2">
              <w:rPr>
                <w:rFonts w:ascii="Cambria" w:eastAsia="Batang" w:hAnsi="Cambria"/>
                <w:color w:val="000000"/>
                <w:sz w:val="20"/>
                <w:szCs w:val="20"/>
                <w:lang w:val="es-CO"/>
              </w:rPr>
              <w:t xml:space="preserve"> y Adolescentes</w:t>
            </w:r>
          </w:p>
          <w:p w14:paraId="07DB3E06" w14:textId="77777777" w:rsidR="009F5033" w:rsidRPr="00CE0BD2" w:rsidRDefault="009F5033" w:rsidP="009F5033">
            <w:pPr>
              <w:tabs>
                <w:tab w:val="left" w:pos="9270"/>
              </w:tabs>
              <w:suppressAutoHyphens/>
              <w:spacing w:after="0" w:line="240" w:lineRule="auto"/>
              <w:jc w:val="both"/>
              <w:rPr>
                <w:rFonts w:ascii="Cambria" w:eastAsia="Batang" w:hAnsi="Cambria"/>
                <w:bCs/>
                <w:color w:val="000000"/>
                <w:sz w:val="20"/>
                <w:szCs w:val="20"/>
                <w:lang w:val="es-CO"/>
              </w:rPr>
            </w:pPr>
            <w:r w:rsidRPr="00CE0BD2">
              <w:rPr>
                <w:rFonts w:ascii="Cambria" w:eastAsia="Batang" w:hAnsi="Cambria"/>
                <w:b/>
                <w:color w:val="000000"/>
                <w:sz w:val="20"/>
                <w:szCs w:val="20"/>
                <w:lang w:val="es-CO"/>
              </w:rPr>
              <w:t xml:space="preserve">Temas: </w:t>
            </w:r>
            <w:r w:rsidRPr="00CE0BD2">
              <w:rPr>
                <w:rFonts w:ascii="Cambria" w:eastAsia="Batang" w:hAnsi="Cambria"/>
                <w:bCs/>
                <w:color w:val="000000"/>
                <w:sz w:val="20"/>
                <w:szCs w:val="20"/>
                <w:lang w:val="es-CO"/>
              </w:rPr>
              <w:t>Derecho a la vida / Derechos del niño/ Ejecución extrajudicial / Integridad personal / Protección de la familia / Protecciones judiciales</w:t>
            </w:r>
          </w:p>
          <w:p w14:paraId="00E72D39" w14:textId="77777777" w:rsidR="009F5033" w:rsidRPr="00CE0BD2" w:rsidRDefault="009F5033" w:rsidP="009F5033">
            <w:pPr>
              <w:tabs>
                <w:tab w:val="left" w:pos="9270"/>
              </w:tabs>
              <w:suppressAutoHyphens/>
              <w:spacing w:after="0" w:line="240" w:lineRule="auto"/>
              <w:jc w:val="both"/>
              <w:rPr>
                <w:rFonts w:ascii="Cambria" w:eastAsia="Batang" w:hAnsi="Cambria"/>
                <w:color w:val="000000"/>
                <w:sz w:val="20"/>
                <w:szCs w:val="20"/>
                <w:lang w:val="es-CO"/>
              </w:rPr>
            </w:pPr>
          </w:p>
          <w:p w14:paraId="3FBE8A4C" w14:textId="77777777" w:rsidR="009F5033" w:rsidRPr="00CE0BD2" w:rsidRDefault="009F5033" w:rsidP="009F5033">
            <w:pPr>
              <w:suppressAutoHyphens/>
              <w:spacing w:after="0" w:line="240" w:lineRule="auto"/>
              <w:jc w:val="both"/>
              <w:rPr>
                <w:rFonts w:ascii="Cambria" w:hAnsi="Cambria"/>
                <w:color w:val="000000"/>
                <w:sz w:val="20"/>
                <w:szCs w:val="20"/>
                <w:lang w:val="es-CO"/>
              </w:rPr>
            </w:pPr>
            <w:r w:rsidRPr="00CE0BD2">
              <w:rPr>
                <w:rFonts w:ascii="Cambria" w:eastAsia="Batang" w:hAnsi="Cambria"/>
                <w:b/>
                <w:color w:val="000000"/>
                <w:sz w:val="20"/>
                <w:szCs w:val="20"/>
                <w:lang w:val="es-CO"/>
              </w:rPr>
              <w:t xml:space="preserve">Hechos: </w:t>
            </w:r>
            <w:r w:rsidRPr="00CE0BD2">
              <w:rPr>
                <w:rFonts w:ascii="Cambria" w:hAnsi="Cambria"/>
                <w:color w:val="000000"/>
                <w:sz w:val="20"/>
                <w:szCs w:val="20"/>
                <w:lang w:val="es-CO"/>
              </w:rPr>
              <w:t xml:space="preserve">El peticionario alegó que, el 28 de julio de 1989, dos agentes del DAS habrían descendido de una camioneta de placas LG 15-81, amenazando y arrodillando al niño Franklin Bustamante, quien supuestamente se encontraba discutiendo con un compañero de ventas en el parque Berrio. Uno de los agentes le habría disparado causándole la muerte, después de lo cual ambos agentes se habrían dado a la fuga. El 28 de enero de 1991, el Juzgado 18 de Instrucción Criminal de Medellín habría adelantado una investigación resolviendo su archivo, presuntamente por falta de pruebas. De acuerdo con el peticionario, varios testigos habrían presenciado los hechos y habrían reconocido a los responsables, sin embargo, no habrían declarado en el proceso penal por temor fundado a represalias por parte de los agentes del DAS. La parte peticionaria alegó que, con el archivo de la investigación, se habría negado el derecho de acceso a la justicia, quedando la muerte de la presunta víctima en impunidad. </w:t>
            </w:r>
          </w:p>
          <w:p w14:paraId="0BCC4DFF" w14:textId="77777777" w:rsidR="009F5033" w:rsidRPr="00CE0BD2" w:rsidRDefault="009F5033" w:rsidP="009F5033">
            <w:pPr>
              <w:suppressAutoHyphens/>
              <w:spacing w:after="0" w:line="240" w:lineRule="auto"/>
              <w:jc w:val="both"/>
              <w:rPr>
                <w:rFonts w:ascii="Cambria" w:hAnsi="Cambria"/>
                <w:color w:val="000000"/>
                <w:sz w:val="20"/>
                <w:szCs w:val="20"/>
                <w:lang w:val="es-CO"/>
              </w:rPr>
            </w:pPr>
          </w:p>
          <w:p w14:paraId="37D8DA0C" w14:textId="4CEC3A92" w:rsidR="009F5033" w:rsidRPr="00CE0BD2" w:rsidRDefault="009F5033" w:rsidP="009F5033">
            <w:pPr>
              <w:suppressAutoHyphens/>
              <w:spacing w:after="0" w:line="240" w:lineRule="auto"/>
              <w:jc w:val="both"/>
              <w:rPr>
                <w:rFonts w:ascii="Cambria" w:hAnsi="Cambria"/>
                <w:color w:val="000000"/>
                <w:sz w:val="20"/>
                <w:szCs w:val="20"/>
                <w:lang w:val="es-CO"/>
              </w:rPr>
            </w:pPr>
            <w:r w:rsidRPr="00CE0BD2">
              <w:rPr>
                <w:rFonts w:ascii="Cambria" w:eastAsia="Batang" w:hAnsi="Cambria"/>
                <w:b/>
                <w:color w:val="000000"/>
                <w:sz w:val="20"/>
                <w:szCs w:val="20"/>
                <w:lang w:val="es-CO"/>
              </w:rPr>
              <w:t xml:space="preserve">Derechos declarados admisibles: </w:t>
            </w:r>
            <w:r w:rsidRPr="00CE0BD2">
              <w:rPr>
                <w:rFonts w:ascii="Cambria" w:hAnsi="Cambria"/>
                <w:color w:val="000000"/>
                <w:sz w:val="20"/>
                <w:szCs w:val="20"/>
                <w:lang w:val="es-ES_tradnl"/>
              </w:rPr>
              <w:t xml:space="preserve">El 13 de abril de 2019, la Comisión Interamericana de Derechos Humanos aprobó el Informe de Admisibilidad No. 36/19 en el cual se declaró competente para analizar la presunta violación de los derechos reconocidos en los artículos 4 (derecho a la vida), 5 (integridad personal), 8 (garantías judiciales), 19 (derechos del niño) y 25 (derecho a la protección judicial) de la Convención Americana, en concordancia con las obligaciones establecidas en el artículo 1.1 </w:t>
            </w:r>
            <w:r w:rsidR="00C345B0" w:rsidRPr="00CE0BD2">
              <w:rPr>
                <w:rFonts w:ascii="Cambria" w:hAnsi="Cambria"/>
                <w:color w:val="000000"/>
                <w:sz w:val="20"/>
                <w:szCs w:val="20"/>
                <w:lang w:val="es-ES_tradnl"/>
              </w:rPr>
              <w:t xml:space="preserve">(obligación de respetar los derechos) </w:t>
            </w:r>
            <w:r w:rsidRPr="00CE0BD2">
              <w:rPr>
                <w:rFonts w:ascii="Cambria" w:hAnsi="Cambria"/>
                <w:color w:val="000000"/>
                <w:sz w:val="20"/>
                <w:szCs w:val="20"/>
                <w:lang w:val="es-ES_tradnl"/>
              </w:rPr>
              <w:t>del mismo documento.</w:t>
            </w:r>
          </w:p>
        </w:tc>
      </w:tr>
    </w:tbl>
    <w:p w14:paraId="33263AE0" w14:textId="77777777" w:rsidR="009F5033" w:rsidRPr="00CE0BD2" w:rsidRDefault="009F5033" w:rsidP="009F5033">
      <w:pPr>
        <w:suppressAutoHyphens/>
        <w:spacing w:after="0" w:line="240" w:lineRule="auto"/>
        <w:rPr>
          <w:rFonts w:ascii="Cambria" w:hAnsi="Cambria"/>
          <w:b/>
          <w:caps/>
          <w:color w:val="000000"/>
          <w:sz w:val="20"/>
          <w:szCs w:val="20"/>
          <w:lang w:val="es-ES"/>
        </w:rPr>
      </w:pPr>
    </w:p>
    <w:p w14:paraId="5CAD6AA1" w14:textId="77777777" w:rsidR="009F5033" w:rsidRPr="00CE0BD2" w:rsidRDefault="009F5033" w:rsidP="0011449C">
      <w:pPr>
        <w:numPr>
          <w:ilvl w:val="0"/>
          <w:numId w:val="7"/>
        </w:numPr>
        <w:suppressAutoHyphens/>
        <w:spacing w:after="0" w:line="240" w:lineRule="auto"/>
        <w:jc w:val="both"/>
        <w:rPr>
          <w:rFonts w:ascii="Cambria" w:hAnsi="Cambria"/>
          <w:b/>
          <w:caps/>
          <w:color w:val="000000"/>
          <w:sz w:val="20"/>
          <w:szCs w:val="20"/>
          <w:lang w:val="es-ES"/>
        </w:rPr>
      </w:pPr>
      <w:r w:rsidRPr="00CE0BD2">
        <w:rPr>
          <w:rFonts w:ascii="Cambria" w:hAnsi="Cambria"/>
          <w:b/>
          <w:caps/>
          <w:color w:val="000000"/>
          <w:sz w:val="20"/>
          <w:szCs w:val="20"/>
          <w:lang w:val="es-ES"/>
        </w:rPr>
        <w:t>actividad procesal</w:t>
      </w:r>
    </w:p>
    <w:p w14:paraId="03E098BB" w14:textId="77777777" w:rsidR="009F5033" w:rsidRPr="00CE0BD2" w:rsidRDefault="009F5033" w:rsidP="009F5033">
      <w:pPr>
        <w:suppressAutoHyphens/>
        <w:spacing w:after="0" w:line="240" w:lineRule="auto"/>
        <w:ind w:left="720"/>
        <w:jc w:val="both"/>
        <w:rPr>
          <w:rFonts w:ascii="Cambria" w:hAnsi="Cambria"/>
          <w:b/>
          <w:caps/>
          <w:color w:val="000000"/>
          <w:sz w:val="20"/>
          <w:szCs w:val="20"/>
          <w:lang w:val="es-ES"/>
        </w:rPr>
      </w:pPr>
    </w:p>
    <w:p w14:paraId="5A4FE32C" w14:textId="06EC62EA" w:rsidR="009F5033" w:rsidRPr="00CE0BD2" w:rsidRDefault="00AD5A1F" w:rsidP="0011449C">
      <w:pPr>
        <w:pStyle w:val="ListParagraph"/>
        <w:numPr>
          <w:ilvl w:val="0"/>
          <w:numId w:val="5"/>
        </w:numPr>
        <w:spacing w:after="0" w:line="240" w:lineRule="auto"/>
        <w:ind w:left="0" w:firstLine="720"/>
        <w:jc w:val="both"/>
        <w:rPr>
          <w:rFonts w:ascii="Cambria" w:eastAsia="Batang" w:hAnsi="Cambria" w:cs="Calibri Light"/>
          <w:color w:val="000000"/>
          <w:sz w:val="20"/>
          <w:szCs w:val="20"/>
          <w:lang w:val="es-ES"/>
        </w:rPr>
      </w:pPr>
      <w:r w:rsidRPr="00CE0BD2">
        <w:rPr>
          <w:rFonts w:ascii="Cambria" w:eastAsia="Batang" w:hAnsi="Cambria" w:cs="Calibri Light"/>
          <w:color w:val="000000"/>
          <w:sz w:val="20"/>
          <w:szCs w:val="20"/>
          <w:lang w:val="es-ES"/>
        </w:rPr>
        <w:t>El 13 de septiembre de 2021, las partes firmaron un acuerdo de solución amistosa</w:t>
      </w:r>
      <w:r w:rsidR="009F5033" w:rsidRPr="00CE0BD2">
        <w:rPr>
          <w:rFonts w:ascii="Cambria" w:eastAsia="Batang" w:hAnsi="Cambria" w:cs="Calibri Light"/>
          <w:color w:val="000000"/>
          <w:sz w:val="20"/>
          <w:szCs w:val="20"/>
          <w:lang w:val="es-ES"/>
        </w:rPr>
        <w:t xml:space="preserve">. </w:t>
      </w:r>
    </w:p>
    <w:p w14:paraId="45CAF363" w14:textId="77777777" w:rsidR="009F5033" w:rsidRPr="00CE0BD2" w:rsidRDefault="009F5033" w:rsidP="009F5033">
      <w:pPr>
        <w:pStyle w:val="ListParagraph"/>
        <w:spacing w:after="0" w:line="240" w:lineRule="auto"/>
        <w:jc w:val="both"/>
        <w:rPr>
          <w:rFonts w:ascii="Cambria" w:eastAsia="Batang" w:hAnsi="Cambria" w:cs="Calibri Light"/>
          <w:color w:val="000000"/>
          <w:sz w:val="20"/>
          <w:szCs w:val="20"/>
          <w:lang w:val="es-ES"/>
        </w:rPr>
      </w:pPr>
    </w:p>
    <w:p w14:paraId="15E80618" w14:textId="1548DB1E" w:rsidR="009F5033" w:rsidRPr="00CE0BD2" w:rsidRDefault="00AD5A1F" w:rsidP="0011449C">
      <w:pPr>
        <w:pStyle w:val="ListParagraph"/>
        <w:numPr>
          <w:ilvl w:val="0"/>
          <w:numId w:val="5"/>
        </w:numPr>
        <w:spacing w:after="0" w:line="240" w:lineRule="auto"/>
        <w:ind w:left="0" w:firstLine="720"/>
        <w:jc w:val="both"/>
        <w:rPr>
          <w:rFonts w:ascii="Cambria" w:eastAsia="Batang" w:hAnsi="Cambria" w:cs="Calibri Light"/>
          <w:color w:val="000000"/>
          <w:sz w:val="20"/>
          <w:szCs w:val="20"/>
          <w:lang w:val="es-ES"/>
        </w:rPr>
      </w:pPr>
      <w:r w:rsidRPr="00CE0BD2">
        <w:rPr>
          <w:rFonts w:ascii="Cambria" w:eastAsia="Batang" w:hAnsi="Cambria" w:cs="Calibri Light"/>
          <w:color w:val="000000"/>
          <w:sz w:val="20"/>
          <w:szCs w:val="20"/>
          <w:lang w:val="es-ES"/>
        </w:rPr>
        <w:t>El 22 de noviembre de 2021, la CIDH aprobó el acuerdo suscrito por las partes, mediante el Informe 337/21</w:t>
      </w:r>
      <w:r w:rsidR="009F5033" w:rsidRPr="00CE0BD2">
        <w:rPr>
          <w:rFonts w:ascii="Cambria" w:eastAsia="Batang" w:hAnsi="Cambria" w:cs="Calibri Light"/>
          <w:color w:val="000000"/>
          <w:sz w:val="20"/>
          <w:szCs w:val="20"/>
          <w:lang w:val="es-ES"/>
        </w:rPr>
        <w:t>.</w:t>
      </w:r>
    </w:p>
    <w:p w14:paraId="25F0E962" w14:textId="77777777" w:rsidR="00AD5A1F" w:rsidRDefault="00AD5A1F" w:rsidP="009F5033">
      <w:pPr>
        <w:spacing w:after="0" w:line="240" w:lineRule="auto"/>
        <w:rPr>
          <w:rFonts w:ascii="Cambria" w:hAnsi="Cambria"/>
          <w:b/>
          <w:caps/>
          <w:color w:val="000000"/>
          <w:sz w:val="20"/>
          <w:szCs w:val="20"/>
          <w:lang w:val="es-ES"/>
        </w:rPr>
      </w:pPr>
    </w:p>
    <w:p w14:paraId="62FA8504" w14:textId="77777777" w:rsidR="00CE0BD2" w:rsidRDefault="00CE0BD2" w:rsidP="009F5033">
      <w:pPr>
        <w:spacing w:after="0" w:line="240" w:lineRule="auto"/>
        <w:rPr>
          <w:rFonts w:ascii="Cambria" w:hAnsi="Cambria"/>
          <w:b/>
          <w:caps/>
          <w:color w:val="000000"/>
          <w:sz w:val="20"/>
          <w:szCs w:val="20"/>
          <w:lang w:val="es-ES"/>
        </w:rPr>
      </w:pPr>
    </w:p>
    <w:p w14:paraId="59626432" w14:textId="77777777" w:rsidR="00CE0BD2" w:rsidRDefault="00CE0BD2" w:rsidP="009F5033">
      <w:pPr>
        <w:spacing w:after="0" w:line="240" w:lineRule="auto"/>
        <w:rPr>
          <w:rFonts w:ascii="Cambria" w:hAnsi="Cambria"/>
          <w:b/>
          <w:caps/>
          <w:color w:val="000000"/>
          <w:sz w:val="20"/>
          <w:szCs w:val="20"/>
          <w:lang w:val="es-ES"/>
        </w:rPr>
      </w:pPr>
    </w:p>
    <w:p w14:paraId="63F19B68" w14:textId="77777777" w:rsidR="00CE0BD2" w:rsidRPr="00CE0BD2" w:rsidRDefault="00CE0BD2" w:rsidP="009F5033">
      <w:pPr>
        <w:spacing w:after="0" w:line="240" w:lineRule="auto"/>
        <w:rPr>
          <w:rFonts w:ascii="Cambria" w:hAnsi="Cambria"/>
          <w:b/>
          <w:caps/>
          <w:color w:val="000000"/>
          <w:sz w:val="20"/>
          <w:szCs w:val="20"/>
          <w:lang w:val="es-ES"/>
        </w:rPr>
      </w:pPr>
    </w:p>
    <w:p w14:paraId="693AB9A3" w14:textId="77777777" w:rsidR="009F5033" w:rsidRPr="00CE0BD2" w:rsidRDefault="009F5033" w:rsidP="0011449C">
      <w:pPr>
        <w:numPr>
          <w:ilvl w:val="0"/>
          <w:numId w:val="7"/>
        </w:numPr>
        <w:suppressAutoHyphens/>
        <w:spacing w:after="0" w:line="240" w:lineRule="auto"/>
        <w:ind w:left="0" w:firstLine="720"/>
        <w:jc w:val="both"/>
        <w:rPr>
          <w:rFonts w:ascii="Cambria" w:hAnsi="Cambria"/>
          <w:b/>
          <w:caps/>
          <w:color w:val="000000"/>
          <w:sz w:val="20"/>
          <w:szCs w:val="20"/>
          <w:lang w:val="es-ES"/>
        </w:rPr>
      </w:pPr>
      <w:r w:rsidRPr="00CE0BD2">
        <w:rPr>
          <w:rFonts w:ascii="Cambria" w:hAnsi="Cambria"/>
          <w:b/>
          <w:caps/>
          <w:color w:val="000000"/>
          <w:sz w:val="20"/>
          <w:szCs w:val="20"/>
          <w:lang w:val="es-ES"/>
        </w:rPr>
        <w:lastRenderedPageBreak/>
        <w:t>análisis del cumplimiento de las cláusulas del acuerdo de solución amistosa</w:t>
      </w:r>
    </w:p>
    <w:p w14:paraId="0CF0A232" w14:textId="77777777" w:rsidR="009F5033" w:rsidRPr="00CE0BD2" w:rsidRDefault="009F5033" w:rsidP="009F5033">
      <w:pPr>
        <w:suppressAutoHyphens/>
        <w:spacing w:after="0" w:line="240" w:lineRule="auto"/>
        <w:ind w:left="720"/>
        <w:jc w:val="both"/>
        <w:rPr>
          <w:rFonts w:ascii="Cambria" w:hAnsi="Cambria"/>
          <w:b/>
          <w:caps/>
          <w:color w:val="000000"/>
          <w:sz w:val="20"/>
          <w:szCs w:val="20"/>
          <w:lang w:val="es-E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820"/>
      </w:tblGrid>
      <w:tr w:rsidR="00CE0BD2" w:rsidRPr="00CE0BD2" w14:paraId="791F6EF1" w14:textId="77777777" w:rsidTr="00CE0BD2">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8B14EF" w14:textId="77777777" w:rsidR="00AD5A1F" w:rsidRPr="00CE0BD2" w:rsidRDefault="00AD5A1F" w:rsidP="009F5033">
            <w:pPr>
              <w:tabs>
                <w:tab w:val="center" w:pos="2049"/>
              </w:tabs>
              <w:suppressAutoHyphens/>
              <w:spacing w:after="0" w:line="240" w:lineRule="auto"/>
              <w:jc w:val="center"/>
              <w:rPr>
                <w:rFonts w:ascii="Cambria" w:eastAsia="Batang" w:hAnsi="Cambria"/>
                <w:b/>
                <w:color w:val="000000"/>
                <w:sz w:val="20"/>
                <w:szCs w:val="20"/>
                <w:lang w:val="es-CO"/>
              </w:rPr>
            </w:pPr>
            <w:r w:rsidRPr="00CE0BD2">
              <w:rPr>
                <w:rFonts w:ascii="Cambria" w:eastAsia="Batang" w:hAnsi="Cambria"/>
                <w:b/>
                <w:color w:val="000000"/>
                <w:sz w:val="20"/>
                <w:szCs w:val="20"/>
                <w:lang w:val="es-CO"/>
              </w:rPr>
              <w:t>Cláusula del Acuerdo</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100F14" w14:textId="3BA1622C" w:rsidR="00AD5A1F" w:rsidRPr="00CE0BD2" w:rsidRDefault="00AD5A1F" w:rsidP="00AD5A1F">
            <w:pPr>
              <w:suppressAutoHyphens/>
              <w:spacing w:after="0" w:line="240" w:lineRule="auto"/>
              <w:jc w:val="center"/>
              <w:rPr>
                <w:rFonts w:ascii="Cambria" w:eastAsia="Batang" w:hAnsi="Cambria"/>
                <w:b/>
                <w:color w:val="000000"/>
                <w:sz w:val="20"/>
                <w:szCs w:val="20"/>
                <w:lang w:val="es-CO"/>
              </w:rPr>
            </w:pPr>
            <w:r w:rsidRPr="00CE0BD2">
              <w:rPr>
                <w:rFonts w:ascii="Cambria" w:eastAsia="Batang" w:hAnsi="Cambria"/>
                <w:b/>
                <w:color w:val="000000"/>
                <w:sz w:val="20"/>
                <w:szCs w:val="20"/>
                <w:lang w:val="es-CO"/>
              </w:rPr>
              <w:t>Estado de Cumplimiento</w:t>
            </w:r>
          </w:p>
        </w:tc>
      </w:tr>
      <w:tr w:rsidR="00CE0BD2" w:rsidRPr="00CE0BD2" w14:paraId="159F15B4" w14:textId="77777777" w:rsidTr="00CE0BD2">
        <w:tc>
          <w:tcPr>
            <w:tcW w:w="4536" w:type="dxa"/>
            <w:tcBorders>
              <w:top w:val="single" w:sz="4" w:space="0" w:color="auto"/>
              <w:left w:val="single" w:sz="4" w:space="0" w:color="auto"/>
              <w:bottom w:val="single" w:sz="4" w:space="0" w:color="auto"/>
              <w:right w:val="single" w:sz="4" w:space="0" w:color="auto"/>
            </w:tcBorders>
            <w:vAlign w:val="center"/>
          </w:tcPr>
          <w:p w14:paraId="45F01D58" w14:textId="77777777" w:rsidR="009F5033" w:rsidRPr="00CE0BD2" w:rsidRDefault="009F5033" w:rsidP="009F5033">
            <w:pPr>
              <w:suppressAutoHyphens/>
              <w:spacing w:after="0" w:line="240" w:lineRule="auto"/>
              <w:jc w:val="both"/>
              <w:rPr>
                <w:rFonts w:ascii="Cambria" w:hAnsi="Cambria"/>
                <w:b/>
                <w:bCs/>
                <w:sz w:val="20"/>
                <w:szCs w:val="20"/>
                <w:lang w:val="es-CO"/>
              </w:rPr>
            </w:pPr>
            <w:r w:rsidRPr="00CE0BD2">
              <w:rPr>
                <w:rFonts w:ascii="Cambria" w:hAnsi="Cambria"/>
                <w:b/>
                <w:bCs/>
                <w:sz w:val="20"/>
                <w:szCs w:val="20"/>
                <w:lang w:val="es-CO"/>
              </w:rPr>
              <w:t>CUARTA PARTE: RECONOCIMIENTO DE RESPONSABILIDAD.</w:t>
            </w:r>
          </w:p>
          <w:p w14:paraId="27A2944F" w14:textId="77777777" w:rsidR="009F5033" w:rsidRPr="00CE0BD2" w:rsidRDefault="009F5033" w:rsidP="009F5033">
            <w:pPr>
              <w:suppressAutoHyphens/>
              <w:spacing w:after="0" w:line="240" w:lineRule="auto"/>
              <w:jc w:val="both"/>
              <w:rPr>
                <w:rFonts w:ascii="Cambria" w:hAnsi="Cambria"/>
                <w:b/>
                <w:bCs/>
                <w:sz w:val="20"/>
                <w:szCs w:val="20"/>
                <w:lang w:val="es-CO"/>
              </w:rPr>
            </w:pPr>
          </w:p>
          <w:p w14:paraId="23205E49" w14:textId="77777777" w:rsidR="009F5033" w:rsidRPr="00CE0BD2" w:rsidRDefault="009F5033" w:rsidP="009F5033">
            <w:pPr>
              <w:suppressAutoHyphens/>
              <w:spacing w:after="0" w:line="240" w:lineRule="auto"/>
              <w:jc w:val="both"/>
              <w:rPr>
                <w:rFonts w:ascii="Cambria" w:eastAsia="Batang" w:hAnsi="Cambria"/>
                <w:color w:val="000000"/>
                <w:sz w:val="20"/>
                <w:szCs w:val="20"/>
                <w:lang w:val="es-ES_tradnl"/>
              </w:rPr>
            </w:pPr>
            <w:r w:rsidRPr="00CE0BD2">
              <w:rPr>
                <w:rFonts w:ascii="Cambria" w:eastAsia="Batang" w:hAnsi="Cambria"/>
                <w:color w:val="000000"/>
                <w:sz w:val="20"/>
                <w:szCs w:val="20"/>
                <w:lang w:val="es-CO"/>
              </w:rPr>
              <w:t>El Estado colombiano reconoce su responsabilidad internacional por la violación de los derechos reconocidos en los artículos 8 (garantías judiciales) y 25 (protección judicial) de la Convención Americana sobre Derechos Humanos en relación con el artículo 1.1 del mismo instrumento, en perjuicio de los familiares del señor Franklin Bustamante Restrepo, por la falta de diligencia en la investigación de los hechos sucedidos.</w:t>
            </w:r>
          </w:p>
        </w:tc>
        <w:tc>
          <w:tcPr>
            <w:tcW w:w="4820" w:type="dxa"/>
            <w:tcBorders>
              <w:top w:val="single" w:sz="4" w:space="0" w:color="auto"/>
              <w:left w:val="single" w:sz="4" w:space="0" w:color="auto"/>
              <w:bottom w:val="single" w:sz="4" w:space="0" w:color="auto"/>
              <w:right w:val="single" w:sz="4" w:space="0" w:color="auto"/>
            </w:tcBorders>
            <w:vAlign w:val="center"/>
          </w:tcPr>
          <w:p w14:paraId="2BCDEA37" w14:textId="77777777" w:rsidR="009F5033" w:rsidRPr="00CE0BD2" w:rsidRDefault="009F5033" w:rsidP="009F5033">
            <w:pPr>
              <w:suppressAutoHyphens/>
              <w:spacing w:after="0" w:line="240" w:lineRule="auto"/>
              <w:jc w:val="center"/>
              <w:rPr>
                <w:rFonts w:ascii="Cambria" w:eastAsia="Batang" w:hAnsi="Cambria"/>
                <w:b/>
                <w:bCs/>
                <w:color w:val="000000"/>
                <w:sz w:val="20"/>
                <w:szCs w:val="20"/>
                <w:lang w:val="es-CO"/>
              </w:rPr>
            </w:pPr>
            <w:r w:rsidRPr="00CE0BD2">
              <w:rPr>
                <w:rFonts w:ascii="Cambria" w:eastAsia="Batang" w:hAnsi="Cambria"/>
                <w:b/>
                <w:bCs/>
                <w:color w:val="000000"/>
                <w:sz w:val="20"/>
                <w:szCs w:val="20"/>
                <w:lang w:val="es-CO"/>
              </w:rPr>
              <w:t>Cláusula Declarativa</w:t>
            </w:r>
          </w:p>
        </w:tc>
      </w:tr>
      <w:tr w:rsidR="00CE0BD2" w:rsidRPr="00CE0BD2" w14:paraId="725D1CC4" w14:textId="77777777" w:rsidTr="00CE0BD2">
        <w:tc>
          <w:tcPr>
            <w:tcW w:w="9356" w:type="dxa"/>
            <w:gridSpan w:val="2"/>
            <w:tcBorders>
              <w:top w:val="single" w:sz="4" w:space="0" w:color="auto"/>
              <w:left w:val="single" w:sz="4" w:space="0" w:color="auto"/>
              <w:bottom w:val="single" w:sz="4" w:space="0" w:color="auto"/>
              <w:right w:val="single" w:sz="4" w:space="0" w:color="auto"/>
            </w:tcBorders>
            <w:vAlign w:val="center"/>
          </w:tcPr>
          <w:p w14:paraId="13104614" w14:textId="77777777" w:rsidR="009F5033" w:rsidRPr="00CE0BD2" w:rsidRDefault="009F5033" w:rsidP="009F5033">
            <w:pPr>
              <w:suppressAutoHyphens/>
              <w:spacing w:after="0" w:line="240" w:lineRule="auto"/>
              <w:jc w:val="both"/>
              <w:rPr>
                <w:rFonts w:ascii="Cambria" w:eastAsia="Batang" w:hAnsi="Cambria"/>
                <w:color w:val="000000"/>
                <w:sz w:val="20"/>
                <w:szCs w:val="20"/>
                <w:lang w:val="es-CO"/>
              </w:rPr>
            </w:pPr>
            <w:r w:rsidRPr="00CE0BD2">
              <w:rPr>
                <w:rFonts w:ascii="Cambria" w:hAnsi="Cambria"/>
                <w:b/>
                <w:bCs/>
                <w:sz w:val="20"/>
                <w:szCs w:val="20"/>
                <w:lang w:val="es-CO"/>
              </w:rPr>
              <w:t>QUINTA PARTE: MEDIDAS DE SATISFACCIÓN</w:t>
            </w:r>
          </w:p>
        </w:tc>
      </w:tr>
      <w:tr w:rsidR="00CE0BD2" w:rsidRPr="00CE0BD2" w14:paraId="1529ACF5" w14:textId="77777777" w:rsidTr="00CE0BD2">
        <w:tc>
          <w:tcPr>
            <w:tcW w:w="4536" w:type="dxa"/>
            <w:tcBorders>
              <w:top w:val="single" w:sz="4" w:space="0" w:color="auto"/>
              <w:left w:val="single" w:sz="4" w:space="0" w:color="auto"/>
              <w:bottom w:val="single" w:sz="4" w:space="0" w:color="auto"/>
              <w:right w:val="single" w:sz="4" w:space="0" w:color="auto"/>
            </w:tcBorders>
            <w:vAlign w:val="center"/>
          </w:tcPr>
          <w:p w14:paraId="7925918C" w14:textId="77777777" w:rsidR="009F5033" w:rsidRPr="00CE0BD2" w:rsidRDefault="009F5033" w:rsidP="009F5033">
            <w:pPr>
              <w:suppressAutoHyphens/>
              <w:spacing w:after="0" w:line="240" w:lineRule="auto"/>
              <w:jc w:val="both"/>
              <w:rPr>
                <w:rFonts w:ascii="Cambria" w:eastAsia="Times New Roman" w:hAnsi="Cambria"/>
                <w:b/>
                <w:bCs/>
                <w:sz w:val="20"/>
                <w:szCs w:val="20"/>
                <w:lang w:val="es-CO"/>
              </w:rPr>
            </w:pPr>
            <w:r w:rsidRPr="00CE0BD2">
              <w:rPr>
                <w:rFonts w:ascii="Cambria" w:eastAsia="Times New Roman" w:hAnsi="Cambria"/>
                <w:b/>
                <w:bCs/>
                <w:sz w:val="20"/>
                <w:szCs w:val="20"/>
                <w:lang w:val="es-CO"/>
              </w:rPr>
              <w:t>1.Acto de Reconocimiento de Responsabilidad:</w:t>
            </w:r>
          </w:p>
          <w:p w14:paraId="314D9BED" w14:textId="77777777" w:rsidR="009F5033" w:rsidRPr="00CE0BD2" w:rsidRDefault="009F5033" w:rsidP="009F5033">
            <w:pPr>
              <w:suppressAutoHyphens/>
              <w:spacing w:after="0" w:line="240" w:lineRule="auto"/>
              <w:jc w:val="both"/>
              <w:rPr>
                <w:rFonts w:ascii="Cambria" w:eastAsia="Times New Roman" w:hAnsi="Cambria"/>
                <w:sz w:val="20"/>
                <w:szCs w:val="20"/>
                <w:lang w:val="es-CO"/>
              </w:rPr>
            </w:pPr>
            <w:r w:rsidRPr="00CE0BD2">
              <w:rPr>
                <w:rFonts w:ascii="Cambria" w:eastAsia="Times New Roman" w:hAnsi="Cambria"/>
                <w:sz w:val="20"/>
                <w:szCs w:val="20"/>
                <w:lang w:val="es-CO"/>
              </w:rPr>
              <w:t xml:space="preserve">El Estado colombiano realizará un Acto Público de Reconocimiento de Responsabilidad, el cual se llevará a cabo de manera virtual con la participación de los familiares del señor Franklin Bustamante y sus representantes. El acto se realizará de conformidad con el reconocimiento de responsabilidad señalado en este Acuerdo. </w:t>
            </w:r>
          </w:p>
          <w:p w14:paraId="09639484" w14:textId="77777777" w:rsidR="009F5033" w:rsidRPr="00CE0BD2" w:rsidRDefault="009F5033" w:rsidP="009F5033">
            <w:pPr>
              <w:suppressAutoHyphens/>
              <w:spacing w:after="0" w:line="240" w:lineRule="auto"/>
              <w:jc w:val="both"/>
              <w:rPr>
                <w:rFonts w:ascii="Cambria" w:eastAsia="Times New Roman" w:hAnsi="Cambria"/>
                <w:sz w:val="20"/>
                <w:szCs w:val="20"/>
                <w:lang w:val="es-CO"/>
              </w:rPr>
            </w:pPr>
            <w:r w:rsidRPr="00CE0BD2">
              <w:rPr>
                <w:rFonts w:ascii="Cambria" w:eastAsia="Times New Roman" w:hAnsi="Cambria"/>
                <w:sz w:val="20"/>
                <w:szCs w:val="20"/>
                <w:lang w:val="es-CO"/>
              </w:rPr>
              <w:t>La presente medida estará a cargo de la Agencia Nacional de Defensa Jurídica del Estado.</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C452F05" w14:textId="77777777" w:rsidR="009F5033" w:rsidRPr="00CE0BD2" w:rsidRDefault="009F5033" w:rsidP="009F5033">
            <w:pPr>
              <w:suppressAutoHyphens/>
              <w:spacing w:after="0" w:line="240" w:lineRule="auto"/>
              <w:jc w:val="center"/>
              <w:rPr>
                <w:rFonts w:ascii="Cambria" w:eastAsia="Batang" w:hAnsi="Cambria"/>
                <w:color w:val="000000"/>
                <w:sz w:val="20"/>
                <w:szCs w:val="20"/>
                <w:lang w:val="es-CO"/>
              </w:rPr>
            </w:pPr>
            <w:r w:rsidRPr="00CE0BD2">
              <w:rPr>
                <w:rFonts w:ascii="Cambria" w:eastAsia="Batang" w:hAnsi="Cambria"/>
                <w:b/>
                <w:color w:val="000000"/>
                <w:sz w:val="20"/>
                <w:szCs w:val="20"/>
                <w:lang w:val="es-CO"/>
              </w:rPr>
              <w:t>Total</w:t>
            </w:r>
            <w:r w:rsidRPr="00CE0BD2">
              <w:rPr>
                <w:rFonts w:ascii="Cambria" w:eastAsia="Batang" w:hAnsi="Cambria"/>
                <w:b/>
                <w:color w:val="000000"/>
                <w:sz w:val="20"/>
                <w:szCs w:val="20"/>
                <w:vertAlign w:val="superscript"/>
                <w:lang w:val="es-CO"/>
              </w:rPr>
              <w:footnoteReference w:id="2"/>
            </w:r>
          </w:p>
        </w:tc>
      </w:tr>
      <w:tr w:rsidR="00CE0BD2" w:rsidRPr="00CE0BD2" w14:paraId="2103A4F8" w14:textId="77777777" w:rsidTr="00CE0BD2">
        <w:trPr>
          <w:trHeight w:val="350"/>
        </w:trPr>
        <w:tc>
          <w:tcPr>
            <w:tcW w:w="4536" w:type="dxa"/>
            <w:tcBorders>
              <w:top w:val="single" w:sz="4" w:space="0" w:color="auto"/>
              <w:left w:val="single" w:sz="4" w:space="0" w:color="auto"/>
              <w:bottom w:val="single" w:sz="4" w:space="0" w:color="auto"/>
              <w:right w:val="single" w:sz="4" w:space="0" w:color="auto"/>
            </w:tcBorders>
          </w:tcPr>
          <w:p w14:paraId="7ADCFA2F" w14:textId="77777777" w:rsidR="009F5033" w:rsidRPr="00CE0BD2" w:rsidRDefault="009F5033" w:rsidP="009F5033">
            <w:pPr>
              <w:suppressAutoHyphens/>
              <w:spacing w:after="0" w:line="240" w:lineRule="auto"/>
              <w:jc w:val="both"/>
              <w:rPr>
                <w:rFonts w:ascii="Cambria" w:eastAsia="Times New Roman" w:hAnsi="Cambria"/>
                <w:b/>
                <w:bCs/>
                <w:sz w:val="20"/>
                <w:szCs w:val="20"/>
                <w:lang w:val="es-CO"/>
              </w:rPr>
            </w:pPr>
            <w:r w:rsidRPr="00CE0BD2">
              <w:rPr>
                <w:rFonts w:ascii="Cambria" w:eastAsia="Times New Roman" w:hAnsi="Cambria"/>
                <w:b/>
                <w:bCs/>
                <w:sz w:val="20"/>
                <w:szCs w:val="20"/>
                <w:lang w:val="es-CO"/>
              </w:rPr>
              <w:t>2.Publicación del Informe de Artículo 49:</w:t>
            </w:r>
          </w:p>
          <w:p w14:paraId="21CBA20E" w14:textId="0BA9786E" w:rsidR="009F5033" w:rsidRPr="00CE0BD2" w:rsidRDefault="009F5033" w:rsidP="009F5033">
            <w:pPr>
              <w:suppressAutoHyphens/>
              <w:spacing w:after="0" w:line="240" w:lineRule="auto"/>
              <w:jc w:val="both"/>
              <w:rPr>
                <w:rFonts w:ascii="Cambria" w:eastAsia="Times New Roman" w:hAnsi="Cambria"/>
                <w:sz w:val="20"/>
                <w:szCs w:val="20"/>
                <w:lang w:val="es-ES_tradnl"/>
              </w:rPr>
            </w:pPr>
            <w:r w:rsidRPr="00CE0BD2">
              <w:rPr>
                <w:rFonts w:ascii="Cambria" w:eastAsia="Times New Roman" w:hAnsi="Cambria"/>
                <w:sz w:val="20"/>
                <w:szCs w:val="20"/>
                <w:lang w:val="es-ES_tradnl"/>
              </w:rPr>
              <w:t>El Estado Colombiano realizará la publicación del Informe de artículo 49 de la CADH, una vez sea emitido por la Comisión Interamericana de Derechos Humanos, en la página web de la Agencia Nacional de Defensa Jurídica del Estado, por el término de seis (6) meses.</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D765E11" w14:textId="7F7DD4EC" w:rsidR="009F5033" w:rsidRPr="00CE0BD2" w:rsidRDefault="009F5033" w:rsidP="00AD5A1F">
            <w:pPr>
              <w:suppressAutoHyphens/>
              <w:spacing w:after="0" w:line="240" w:lineRule="auto"/>
              <w:jc w:val="center"/>
              <w:rPr>
                <w:rFonts w:ascii="Cambria" w:eastAsia="Batang" w:hAnsi="Cambria"/>
                <w:b/>
                <w:bCs/>
                <w:color w:val="000000"/>
                <w:sz w:val="20"/>
                <w:szCs w:val="20"/>
                <w:lang w:val="es-CO"/>
              </w:rPr>
            </w:pPr>
            <w:r w:rsidRPr="00CE0BD2">
              <w:rPr>
                <w:rFonts w:ascii="Cambria" w:eastAsia="Batang" w:hAnsi="Cambria"/>
                <w:b/>
                <w:bCs/>
                <w:color w:val="000000"/>
                <w:sz w:val="20"/>
                <w:szCs w:val="20"/>
                <w:lang w:val="es-CO"/>
              </w:rPr>
              <w:t>Total</w:t>
            </w:r>
            <w:r w:rsidRPr="00CE0BD2">
              <w:rPr>
                <w:rFonts w:ascii="Cambria" w:eastAsia="Batang" w:hAnsi="Cambria"/>
                <w:b/>
                <w:bCs/>
                <w:color w:val="000000"/>
                <w:sz w:val="20"/>
                <w:szCs w:val="20"/>
                <w:vertAlign w:val="superscript"/>
                <w:lang w:val="es-CO"/>
              </w:rPr>
              <w:footnoteReference w:id="3"/>
            </w:r>
          </w:p>
        </w:tc>
      </w:tr>
      <w:tr w:rsidR="00CE0BD2" w:rsidRPr="00CE0BD2" w14:paraId="5C902D9B" w14:textId="77777777" w:rsidTr="00CE0BD2">
        <w:trPr>
          <w:trHeight w:val="350"/>
        </w:trPr>
        <w:tc>
          <w:tcPr>
            <w:tcW w:w="9356" w:type="dxa"/>
            <w:gridSpan w:val="2"/>
            <w:tcBorders>
              <w:top w:val="single" w:sz="4" w:space="0" w:color="auto"/>
              <w:left w:val="single" w:sz="4" w:space="0" w:color="auto"/>
              <w:bottom w:val="single" w:sz="4" w:space="0" w:color="auto"/>
              <w:right w:val="single" w:sz="4" w:space="0" w:color="auto"/>
            </w:tcBorders>
            <w:vAlign w:val="center"/>
          </w:tcPr>
          <w:p w14:paraId="23DC7C10" w14:textId="77777777" w:rsidR="009F5033" w:rsidRPr="00CE0BD2" w:rsidRDefault="009F5033" w:rsidP="009F5033">
            <w:pPr>
              <w:suppressAutoHyphens/>
              <w:spacing w:after="0" w:line="240" w:lineRule="auto"/>
              <w:rPr>
                <w:rFonts w:ascii="Cambria" w:eastAsia="Batang" w:hAnsi="Cambria"/>
                <w:color w:val="000000"/>
                <w:sz w:val="20"/>
                <w:szCs w:val="20"/>
                <w:lang w:val="es-CO"/>
              </w:rPr>
            </w:pPr>
            <w:r w:rsidRPr="00CE0BD2">
              <w:rPr>
                <w:rFonts w:ascii="Cambria" w:hAnsi="Cambria"/>
                <w:b/>
                <w:bCs/>
                <w:sz w:val="20"/>
                <w:szCs w:val="20"/>
                <w:lang w:val="es-CO"/>
              </w:rPr>
              <w:t>SEXTA PARTE: MEDIDAS DE COMPENSACIÓN</w:t>
            </w:r>
          </w:p>
        </w:tc>
      </w:tr>
      <w:tr w:rsidR="00CE0BD2" w:rsidRPr="00CE0BD2" w14:paraId="4D65BC5A" w14:textId="77777777" w:rsidTr="00CE0BD2">
        <w:trPr>
          <w:trHeight w:val="969"/>
        </w:trPr>
        <w:tc>
          <w:tcPr>
            <w:tcW w:w="4536" w:type="dxa"/>
            <w:tcBorders>
              <w:top w:val="single" w:sz="4" w:space="0" w:color="auto"/>
              <w:left w:val="single" w:sz="4" w:space="0" w:color="auto"/>
              <w:bottom w:val="single" w:sz="4" w:space="0" w:color="auto"/>
              <w:right w:val="single" w:sz="4" w:space="0" w:color="auto"/>
            </w:tcBorders>
          </w:tcPr>
          <w:p w14:paraId="22326B34" w14:textId="77777777" w:rsidR="00AD5A1F" w:rsidRPr="00CE0BD2" w:rsidRDefault="00AD5A1F" w:rsidP="009F5033">
            <w:pPr>
              <w:suppressAutoHyphens/>
              <w:spacing w:after="0" w:line="240" w:lineRule="auto"/>
              <w:jc w:val="both"/>
              <w:rPr>
                <w:rFonts w:ascii="Cambria" w:eastAsia="Times New Roman" w:hAnsi="Cambria"/>
                <w:sz w:val="20"/>
                <w:szCs w:val="20"/>
                <w:lang w:val="es-ES_tradnl"/>
              </w:rPr>
            </w:pPr>
            <w:r w:rsidRPr="00CE0BD2">
              <w:rPr>
                <w:rFonts w:ascii="Cambria" w:eastAsia="Times New Roman" w:hAnsi="Cambria"/>
                <w:sz w:val="20"/>
                <w:szCs w:val="20"/>
                <w:lang w:val="es-ES_tradnl"/>
              </w:rPr>
              <w:t xml:space="preserve">El Estado se compromete a dar inicio al trámite de la Ley 288 de 1996 “Por medio de la cual se establecen instrumentos para la indemnización de perjuicio a las víctimas de violaciones de derechos humanos en virtud de lo dispuesto por determinados órganos internacionales de Derechos Humanos”, una vez se homologue el presente acuerdo de solución amistosa mediante la expedición del Informe de Artículo 49 de la Convención Americana sobre Derechos Humanos, con el propósito de reparar los perjuicios ocasionados a los familiares de las víctimas como </w:t>
            </w:r>
            <w:r w:rsidRPr="00CE0BD2">
              <w:rPr>
                <w:rFonts w:ascii="Cambria" w:eastAsia="Times New Roman" w:hAnsi="Cambria"/>
                <w:sz w:val="20"/>
                <w:szCs w:val="20"/>
                <w:lang w:val="es-ES_tradnl"/>
              </w:rPr>
              <w:lastRenderedPageBreak/>
              <w:t xml:space="preserve">consecuencia de las afectaciones generadas por los hechos del presente caso. </w:t>
            </w:r>
          </w:p>
          <w:p w14:paraId="03475FD8" w14:textId="77777777" w:rsidR="00AD5A1F" w:rsidRPr="00CE0BD2" w:rsidRDefault="00AD5A1F" w:rsidP="009F5033">
            <w:pPr>
              <w:suppressAutoHyphens/>
              <w:spacing w:after="0" w:line="240" w:lineRule="auto"/>
              <w:jc w:val="both"/>
              <w:rPr>
                <w:rFonts w:ascii="Cambria" w:eastAsia="Times New Roman" w:hAnsi="Cambria"/>
                <w:sz w:val="20"/>
                <w:szCs w:val="20"/>
                <w:lang w:val="es-ES_tradnl"/>
              </w:rPr>
            </w:pPr>
            <w:r w:rsidRPr="00CE0BD2">
              <w:rPr>
                <w:rFonts w:ascii="Cambria" w:eastAsia="Times New Roman" w:hAnsi="Cambria"/>
                <w:sz w:val="20"/>
                <w:szCs w:val="20"/>
                <w:lang w:val="es-ES_tradnl"/>
              </w:rPr>
              <w:t xml:space="preserve">La Agencia Nacional de Defensa Jurídica del Estado será la entidad encargada de asumir el trámite de la Ley 288 de 1996. </w:t>
            </w:r>
          </w:p>
          <w:p w14:paraId="64348C8D" w14:textId="77777777" w:rsidR="00AD5A1F" w:rsidRPr="00CE0BD2" w:rsidRDefault="00AD5A1F" w:rsidP="009F5033">
            <w:pPr>
              <w:suppressAutoHyphens/>
              <w:spacing w:after="0" w:line="240" w:lineRule="auto"/>
              <w:jc w:val="both"/>
              <w:rPr>
                <w:rFonts w:ascii="Cambria" w:eastAsia="Times New Roman" w:hAnsi="Cambria"/>
                <w:sz w:val="20"/>
                <w:szCs w:val="20"/>
                <w:lang w:val="es-ES_tradnl"/>
              </w:rPr>
            </w:pPr>
            <w:r w:rsidRPr="00CE0BD2">
              <w:rPr>
                <w:rFonts w:ascii="Cambria" w:eastAsia="Times New Roman" w:hAnsi="Cambria"/>
                <w:sz w:val="20"/>
                <w:szCs w:val="20"/>
                <w:lang w:val="es-ES_tradnl"/>
              </w:rPr>
              <w:t>Para efectos de la indemnización, se acudirá a los criterios y montos reconocidos por la jurisprudencia vigente del Consejo de Estado.</w:t>
            </w:r>
          </w:p>
        </w:tc>
        <w:tc>
          <w:tcPr>
            <w:tcW w:w="4820" w:type="dxa"/>
            <w:tcBorders>
              <w:top w:val="single" w:sz="4" w:space="0" w:color="auto"/>
              <w:left w:val="single" w:sz="4" w:space="0" w:color="auto"/>
              <w:bottom w:val="single" w:sz="4" w:space="0" w:color="auto"/>
              <w:right w:val="single" w:sz="4" w:space="0" w:color="auto"/>
            </w:tcBorders>
            <w:vAlign w:val="center"/>
          </w:tcPr>
          <w:p w14:paraId="0ABB457E" w14:textId="4D0DF533" w:rsidR="00AD5A1F" w:rsidRPr="00CE0BD2" w:rsidRDefault="00AD5A1F" w:rsidP="00AD5A1F">
            <w:pPr>
              <w:suppressAutoHyphens/>
              <w:spacing w:after="0" w:line="240" w:lineRule="auto"/>
              <w:jc w:val="center"/>
              <w:rPr>
                <w:rFonts w:ascii="Cambria" w:hAnsi="Cambria" w:cs="Segoe UI"/>
                <w:sz w:val="20"/>
                <w:szCs w:val="20"/>
                <w:lang w:val="es-VE"/>
              </w:rPr>
            </w:pPr>
            <w:r w:rsidRPr="00CE0BD2">
              <w:rPr>
                <w:rFonts w:ascii="Cambria" w:eastAsia="Batang" w:hAnsi="Cambria"/>
                <w:b/>
                <w:bCs/>
                <w:color w:val="000000"/>
                <w:sz w:val="20"/>
                <w:szCs w:val="20"/>
                <w:lang w:val="es-CO"/>
              </w:rPr>
              <w:lastRenderedPageBreak/>
              <w:t>Total</w:t>
            </w:r>
            <w:r w:rsidRPr="00CE0BD2">
              <w:rPr>
                <w:rStyle w:val="FootnoteReference"/>
                <w:rFonts w:ascii="Cambria" w:eastAsia="Batang" w:hAnsi="Cambria"/>
                <w:b/>
                <w:bCs/>
                <w:color w:val="000000"/>
                <w:sz w:val="20"/>
                <w:szCs w:val="20"/>
                <w:lang w:val="es-CO"/>
              </w:rPr>
              <w:footnoteReference w:id="4"/>
            </w:r>
          </w:p>
        </w:tc>
      </w:tr>
      <w:tr w:rsidR="00CE0BD2" w:rsidRPr="00CE0BD2" w14:paraId="418CF6CE" w14:textId="77777777" w:rsidTr="00CE0BD2">
        <w:trPr>
          <w:trHeight w:val="969"/>
        </w:trPr>
        <w:tc>
          <w:tcPr>
            <w:tcW w:w="4536" w:type="dxa"/>
            <w:tcBorders>
              <w:top w:val="single" w:sz="4" w:space="0" w:color="auto"/>
              <w:left w:val="single" w:sz="4" w:space="0" w:color="auto"/>
              <w:bottom w:val="single" w:sz="4" w:space="0" w:color="auto"/>
              <w:right w:val="single" w:sz="4" w:space="0" w:color="auto"/>
            </w:tcBorders>
          </w:tcPr>
          <w:p w14:paraId="52F7B0C5" w14:textId="77777777" w:rsidR="009F5033" w:rsidRPr="00CE0BD2" w:rsidRDefault="009F5033" w:rsidP="009F5033">
            <w:pPr>
              <w:suppressAutoHyphens/>
              <w:spacing w:after="0" w:line="240" w:lineRule="auto"/>
              <w:jc w:val="both"/>
              <w:rPr>
                <w:rFonts w:ascii="Cambria" w:eastAsia="Times New Roman" w:hAnsi="Cambria"/>
                <w:b/>
                <w:bCs/>
                <w:sz w:val="20"/>
                <w:szCs w:val="20"/>
                <w:lang w:val="es-ES_tradnl"/>
              </w:rPr>
            </w:pPr>
            <w:r w:rsidRPr="00CE0BD2">
              <w:rPr>
                <w:rFonts w:ascii="Cambria" w:eastAsia="Times New Roman" w:hAnsi="Cambria"/>
                <w:b/>
                <w:bCs/>
                <w:sz w:val="20"/>
                <w:szCs w:val="20"/>
                <w:lang w:val="es-ES_tradnl"/>
              </w:rPr>
              <w:t>SÉPTIMA PARTE: HOMOLOGACIÓN Y SEGUIMIENTO</w:t>
            </w:r>
          </w:p>
          <w:p w14:paraId="03455AE0" w14:textId="77777777" w:rsidR="009F5033" w:rsidRPr="00CE0BD2" w:rsidRDefault="009F5033" w:rsidP="009F5033">
            <w:pPr>
              <w:suppressAutoHyphens/>
              <w:spacing w:after="0" w:line="240" w:lineRule="auto"/>
              <w:jc w:val="both"/>
              <w:rPr>
                <w:rFonts w:ascii="Cambria" w:eastAsia="Times New Roman" w:hAnsi="Cambria"/>
                <w:sz w:val="20"/>
                <w:szCs w:val="20"/>
                <w:lang w:val="es-ES_tradnl"/>
              </w:rPr>
            </w:pPr>
            <w:r w:rsidRPr="00CE0BD2">
              <w:rPr>
                <w:rFonts w:ascii="Cambria" w:eastAsia="Times New Roman" w:hAnsi="Cambria"/>
                <w:sz w:val="20"/>
                <w:szCs w:val="20"/>
                <w:lang w:val="es-ES_tradnl"/>
              </w:rPr>
              <w:t>Las partes le solicitan a la Comisión Interamericana la homologación del presente Acuerdo y su seguimiento.</w:t>
            </w:r>
          </w:p>
        </w:tc>
        <w:tc>
          <w:tcPr>
            <w:tcW w:w="4820" w:type="dxa"/>
            <w:tcBorders>
              <w:top w:val="single" w:sz="4" w:space="0" w:color="auto"/>
              <w:left w:val="single" w:sz="4" w:space="0" w:color="auto"/>
              <w:bottom w:val="single" w:sz="4" w:space="0" w:color="auto"/>
              <w:right w:val="single" w:sz="4" w:space="0" w:color="auto"/>
            </w:tcBorders>
            <w:vAlign w:val="center"/>
          </w:tcPr>
          <w:p w14:paraId="16BBE6AB" w14:textId="77777777" w:rsidR="009F5033" w:rsidRPr="00CE0BD2" w:rsidRDefault="009F5033" w:rsidP="009F5033">
            <w:pPr>
              <w:suppressAutoHyphens/>
              <w:spacing w:after="0" w:line="240" w:lineRule="auto"/>
              <w:jc w:val="center"/>
              <w:rPr>
                <w:rFonts w:ascii="Cambria" w:eastAsia="Batang" w:hAnsi="Cambria"/>
                <w:color w:val="000000"/>
                <w:sz w:val="20"/>
                <w:szCs w:val="20"/>
                <w:lang w:val="es-CO"/>
              </w:rPr>
            </w:pPr>
            <w:r w:rsidRPr="00CE0BD2">
              <w:rPr>
                <w:rFonts w:ascii="Cambria" w:eastAsia="Batang" w:hAnsi="Cambria"/>
                <w:b/>
                <w:bCs/>
                <w:color w:val="000000"/>
                <w:sz w:val="20"/>
                <w:szCs w:val="20"/>
                <w:lang w:val="es-CO"/>
              </w:rPr>
              <w:t>Cláusula Declarativa</w:t>
            </w:r>
          </w:p>
        </w:tc>
      </w:tr>
    </w:tbl>
    <w:p w14:paraId="57E50EA8" w14:textId="77777777" w:rsidR="009F5033" w:rsidRPr="00CE0BD2" w:rsidRDefault="009F5033" w:rsidP="009F5033">
      <w:pPr>
        <w:spacing w:after="0" w:line="240" w:lineRule="auto"/>
        <w:rPr>
          <w:rFonts w:ascii="Cambria" w:hAnsi="Cambria"/>
          <w:b/>
          <w:caps/>
          <w:color w:val="000000"/>
          <w:sz w:val="20"/>
          <w:szCs w:val="20"/>
          <w:lang w:val="es-CO"/>
        </w:rPr>
      </w:pPr>
    </w:p>
    <w:p w14:paraId="6DAD25D3" w14:textId="77777777" w:rsidR="009F5033" w:rsidRPr="00CE0BD2" w:rsidRDefault="009F5033" w:rsidP="0011449C">
      <w:pPr>
        <w:numPr>
          <w:ilvl w:val="0"/>
          <w:numId w:val="7"/>
        </w:numPr>
        <w:suppressAutoHyphens/>
        <w:spacing w:after="0" w:line="240" w:lineRule="auto"/>
        <w:ind w:left="0" w:firstLine="720"/>
        <w:jc w:val="both"/>
        <w:rPr>
          <w:rFonts w:ascii="Cambria" w:hAnsi="Cambria"/>
          <w:b/>
          <w:caps/>
          <w:color w:val="000000"/>
          <w:sz w:val="20"/>
          <w:szCs w:val="20"/>
          <w:lang w:val="es-ES"/>
        </w:rPr>
      </w:pPr>
      <w:r w:rsidRPr="00CE0BD2">
        <w:rPr>
          <w:rFonts w:ascii="Cambria" w:hAnsi="Cambria"/>
          <w:b/>
          <w:caps/>
          <w:color w:val="000000"/>
          <w:sz w:val="20"/>
          <w:szCs w:val="20"/>
          <w:lang w:val="es-ES"/>
        </w:rPr>
        <w:t>nivel de cumplimiento del caso</w:t>
      </w:r>
    </w:p>
    <w:p w14:paraId="2690F2DC" w14:textId="77777777" w:rsidR="009F5033" w:rsidRPr="00CE0BD2" w:rsidRDefault="009F5033" w:rsidP="009F5033">
      <w:pPr>
        <w:suppressAutoHyphens/>
        <w:spacing w:after="0" w:line="240" w:lineRule="auto"/>
        <w:ind w:left="1440" w:hanging="720"/>
        <w:rPr>
          <w:rFonts w:ascii="Cambria" w:hAnsi="Cambria"/>
          <w:b/>
          <w:caps/>
          <w:color w:val="000000"/>
          <w:sz w:val="20"/>
          <w:szCs w:val="20"/>
          <w:lang w:val="es-ES"/>
        </w:rPr>
      </w:pPr>
    </w:p>
    <w:p w14:paraId="088F51F6" w14:textId="11D10043" w:rsidR="009F5033" w:rsidRPr="00CE0BD2" w:rsidRDefault="009D3B59" w:rsidP="0011449C">
      <w:pPr>
        <w:pStyle w:val="ListParagraph"/>
        <w:numPr>
          <w:ilvl w:val="0"/>
          <w:numId w:val="5"/>
        </w:numPr>
        <w:spacing w:after="0" w:line="240" w:lineRule="auto"/>
        <w:ind w:left="0" w:firstLine="720"/>
        <w:jc w:val="both"/>
        <w:rPr>
          <w:rFonts w:ascii="Cambria" w:eastAsia="Batang" w:hAnsi="Cambria" w:cs="Calibri Light"/>
          <w:color w:val="000000"/>
          <w:sz w:val="20"/>
          <w:szCs w:val="20"/>
          <w:lang w:val="es-ES"/>
        </w:rPr>
      </w:pPr>
      <w:r w:rsidRPr="00CE0BD2">
        <w:rPr>
          <w:rFonts w:ascii="Cambria" w:eastAsia="Batang" w:hAnsi="Cambria" w:cs="Calibri Light"/>
          <w:color w:val="000000"/>
          <w:sz w:val="20"/>
          <w:szCs w:val="20"/>
          <w:lang w:val="es-ES"/>
        </w:rPr>
        <w:t>La Comisión declaró el cumplimiento total del asunto y el cese del seguimiento del acuerdo de solución amistosa en el Informe Anual de 2024.</w:t>
      </w:r>
    </w:p>
    <w:p w14:paraId="7D4808DB" w14:textId="77777777" w:rsidR="009F5033" w:rsidRPr="00CE0BD2" w:rsidRDefault="009F5033" w:rsidP="009F5033">
      <w:pPr>
        <w:suppressAutoHyphens/>
        <w:spacing w:after="0" w:line="240" w:lineRule="auto"/>
        <w:ind w:left="1440" w:hanging="720"/>
        <w:rPr>
          <w:rFonts w:ascii="Cambria" w:hAnsi="Cambria"/>
          <w:b/>
          <w:caps/>
          <w:color w:val="000000"/>
          <w:sz w:val="20"/>
          <w:szCs w:val="20"/>
          <w:lang w:val="es-419"/>
        </w:rPr>
      </w:pPr>
    </w:p>
    <w:p w14:paraId="4F88A621" w14:textId="77777777" w:rsidR="009F5033" w:rsidRPr="00CE0BD2" w:rsidRDefault="009F5033" w:rsidP="0011449C">
      <w:pPr>
        <w:numPr>
          <w:ilvl w:val="0"/>
          <w:numId w:val="7"/>
        </w:numPr>
        <w:suppressAutoHyphens/>
        <w:spacing w:after="0" w:line="240" w:lineRule="auto"/>
        <w:ind w:left="0" w:firstLine="720"/>
        <w:jc w:val="both"/>
        <w:rPr>
          <w:rFonts w:ascii="Cambria" w:hAnsi="Cambria"/>
          <w:b/>
          <w:caps/>
          <w:color w:val="000000"/>
          <w:sz w:val="20"/>
          <w:szCs w:val="20"/>
          <w:lang w:val="es-ES"/>
        </w:rPr>
      </w:pPr>
      <w:r w:rsidRPr="00CE0BD2">
        <w:rPr>
          <w:rFonts w:ascii="Cambria" w:hAnsi="Cambria"/>
          <w:b/>
          <w:caps/>
          <w:color w:val="000000"/>
          <w:sz w:val="20"/>
          <w:szCs w:val="20"/>
          <w:lang w:val="es-ES"/>
        </w:rPr>
        <w:t>resultados individuales y estructurales del caso</w:t>
      </w:r>
    </w:p>
    <w:p w14:paraId="485A2178" w14:textId="77777777" w:rsidR="009F5033" w:rsidRPr="00CE0BD2" w:rsidRDefault="009F5033" w:rsidP="009F5033">
      <w:pPr>
        <w:suppressAutoHyphens/>
        <w:spacing w:after="0" w:line="240" w:lineRule="auto"/>
        <w:ind w:left="720"/>
        <w:rPr>
          <w:rFonts w:ascii="Cambria" w:hAnsi="Cambria"/>
          <w:b/>
          <w:caps/>
          <w:color w:val="000000"/>
          <w:sz w:val="20"/>
          <w:szCs w:val="20"/>
          <w:lang w:val="es-ES"/>
        </w:rPr>
      </w:pPr>
    </w:p>
    <w:p w14:paraId="44C2DE7F" w14:textId="77777777" w:rsidR="009F5033" w:rsidRPr="00CE0BD2" w:rsidRDefault="009F5033" w:rsidP="0011449C">
      <w:pPr>
        <w:numPr>
          <w:ilvl w:val="0"/>
          <w:numId w:val="3"/>
        </w:numPr>
        <w:suppressAutoHyphens/>
        <w:spacing w:after="0" w:line="240" w:lineRule="auto"/>
        <w:ind w:left="1418" w:hanging="698"/>
        <w:contextualSpacing/>
        <w:jc w:val="both"/>
        <w:rPr>
          <w:rFonts w:ascii="Cambria" w:eastAsia="Batang" w:hAnsi="Cambria" w:cs="Calibri Light"/>
          <w:b/>
          <w:color w:val="000000"/>
          <w:sz w:val="20"/>
          <w:szCs w:val="20"/>
          <w:lang w:val="es-CO"/>
        </w:rPr>
      </w:pPr>
      <w:r w:rsidRPr="00CE0BD2">
        <w:rPr>
          <w:rFonts w:ascii="Cambria" w:eastAsia="Batang" w:hAnsi="Cambria" w:cs="Calibri Light"/>
          <w:b/>
          <w:color w:val="000000"/>
          <w:sz w:val="20"/>
          <w:szCs w:val="20"/>
          <w:lang w:val="es-CO"/>
        </w:rPr>
        <w:t>Resultados individuales del caso</w:t>
      </w:r>
    </w:p>
    <w:p w14:paraId="02DE892E" w14:textId="77777777" w:rsidR="009F5033" w:rsidRPr="00CE0BD2" w:rsidRDefault="009F5033" w:rsidP="009F5033">
      <w:pPr>
        <w:suppressAutoHyphens/>
        <w:spacing w:after="0" w:line="240" w:lineRule="auto"/>
        <w:ind w:firstLine="720"/>
        <w:contextualSpacing/>
        <w:jc w:val="both"/>
        <w:rPr>
          <w:rFonts w:ascii="Cambria" w:eastAsia="Batang" w:hAnsi="Cambria" w:cs="Calibri Light"/>
          <w:b/>
          <w:color w:val="000000"/>
          <w:sz w:val="20"/>
          <w:szCs w:val="20"/>
          <w:lang w:val="es-CO"/>
        </w:rPr>
      </w:pPr>
    </w:p>
    <w:p w14:paraId="2E41516D" w14:textId="77777777" w:rsidR="009F5033" w:rsidRPr="00CE0BD2" w:rsidRDefault="009F5033" w:rsidP="0011449C">
      <w:pPr>
        <w:numPr>
          <w:ilvl w:val="0"/>
          <w:numId w:val="1"/>
        </w:numPr>
        <w:suppressAutoHyphens/>
        <w:spacing w:after="0" w:line="240" w:lineRule="auto"/>
        <w:ind w:left="1440" w:hanging="720"/>
        <w:contextualSpacing/>
        <w:jc w:val="both"/>
        <w:rPr>
          <w:rFonts w:ascii="Cambria" w:eastAsia="Batang" w:hAnsi="Cambria"/>
          <w:color w:val="000000"/>
          <w:sz w:val="20"/>
          <w:szCs w:val="20"/>
          <w:lang w:val="es-ES_tradnl"/>
        </w:rPr>
      </w:pPr>
      <w:r w:rsidRPr="00CE0BD2">
        <w:rPr>
          <w:rFonts w:ascii="Cambria" w:eastAsia="Batang" w:hAnsi="Cambria"/>
          <w:color w:val="000000"/>
          <w:sz w:val="20"/>
          <w:szCs w:val="20"/>
          <w:lang w:val="es-ES_tradnl"/>
        </w:rPr>
        <w:t>El Estado realizó el acto de desagravio el 22 de octubre de 2021, mediante plataforma virtual en el contexto de la pandemia por COVID 19.</w:t>
      </w:r>
    </w:p>
    <w:p w14:paraId="1ADD806B" w14:textId="77777777" w:rsidR="009F5033" w:rsidRPr="00CE0BD2" w:rsidRDefault="009F5033" w:rsidP="0011449C">
      <w:pPr>
        <w:numPr>
          <w:ilvl w:val="0"/>
          <w:numId w:val="1"/>
        </w:numPr>
        <w:suppressAutoHyphens/>
        <w:spacing w:after="0" w:line="240" w:lineRule="auto"/>
        <w:ind w:left="1440" w:hanging="720"/>
        <w:contextualSpacing/>
        <w:jc w:val="both"/>
        <w:rPr>
          <w:rFonts w:ascii="Cambria" w:eastAsia="Batang" w:hAnsi="Cambria"/>
          <w:color w:val="000000"/>
          <w:sz w:val="20"/>
          <w:szCs w:val="20"/>
          <w:lang w:val="es-ES_tradnl"/>
        </w:rPr>
      </w:pPr>
      <w:r w:rsidRPr="00CE0BD2">
        <w:rPr>
          <w:rFonts w:ascii="Cambria" w:eastAsia="Batang" w:hAnsi="Cambria"/>
          <w:color w:val="000000"/>
          <w:sz w:val="20"/>
          <w:szCs w:val="20"/>
          <w:lang w:val="es-ES_tradnl"/>
        </w:rPr>
        <w:t>En el marco del trámite de la Ley 288 de 1996 el</w:t>
      </w:r>
      <w:r w:rsidRPr="00CE0BD2">
        <w:rPr>
          <w:rFonts w:ascii="Cambria" w:eastAsia="Batang" w:hAnsi="Cambria"/>
          <w:bCs/>
          <w:color w:val="000000"/>
          <w:sz w:val="20"/>
          <w:szCs w:val="20"/>
          <w:lang w:val="es-ES"/>
        </w:rPr>
        <w:t xml:space="preserve"> Estado </w:t>
      </w:r>
      <w:r w:rsidRPr="00CE0BD2">
        <w:rPr>
          <w:rFonts w:ascii="Cambria" w:eastAsia="Batang" w:hAnsi="Cambria"/>
          <w:color w:val="000000"/>
          <w:sz w:val="20"/>
          <w:szCs w:val="20"/>
          <w:lang w:val="es-ES_tradnl"/>
        </w:rPr>
        <w:t xml:space="preserve">realizó el pago de la indemnización a los beneficiarios del acuerdo de solución amistosa mediante </w:t>
      </w:r>
      <w:r w:rsidRPr="00CE0BD2">
        <w:rPr>
          <w:rFonts w:ascii="Cambria" w:eastAsia="Batang" w:hAnsi="Cambria"/>
          <w:bCs/>
          <w:color w:val="000000"/>
          <w:sz w:val="20"/>
          <w:szCs w:val="20"/>
          <w:lang w:val="es-ES"/>
        </w:rPr>
        <w:t>Resolución No. 703 de 20 de diciembre de 2023 por un monto total de $522.000.000</w:t>
      </w:r>
      <w:r w:rsidRPr="00CE0BD2">
        <w:rPr>
          <w:rFonts w:ascii="Cambria" w:eastAsia="Batang" w:hAnsi="Cambria"/>
          <w:color w:val="000000"/>
          <w:sz w:val="20"/>
          <w:szCs w:val="20"/>
          <w:lang w:val="es-ES_tradnl"/>
        </w:rPr>
        <w:t>.</w:t>
      </w:r>
    </w:p>
    <w:p w14:paraId="3E944DBB" w14:textId="77777777" w:rsidR="009F5033" w:rsidRPr="00CE0BD2" w:rsidRDefault="009F5033" w:rsidP="009F5033">
      <w:pPr>
        <w:spacing w:after="0" w:line="240" w:lineRule="auto"/>
        <w:ind w:left="720"/>
        <w:contextualSpacing/>
        <w:jc w:val="both"/>
        <w:rPr>
          <w:rFonts w:ascii="Cambria" w:eastAsia="Batang" w:hAnsi="Cambria"/>
          <w:color w:val="000000"/>
          <w:sz w:val="20"/>
          <w:szCs w:val="20"/>
          <w:lang w:val="es-ES_tradnl"/>
        </w:rPr>
      </w:pPr>
    </w:p>
    <w:p w14:paraId="5A76D600" w14:textId="77777777" w:rsidR="009F5033" w:rsidRPr="00CE0BD2" w:rsidRDefault="009F5033" w:rsidP="0011449C">
      <w:pPr>
        <w:numPr>
          <w:ilvl w:val="0"/>
          <w:numId w:val="3"/>
        </w:numPr>
        <w:suppressAutoHyphens/>
        <w:spacing w:after="0" w:line="240" w:lineRule="auto"/>
        <w:ind w:left="1418" w:hanging="698"/>
        <w:contextualSpacing/>
        <w:jc w:val="both"/>
        <w:rPr>
          <w:rFonts w:ascii="Cambria" w:eastAsia="Batang" w:hAnsi="Cambria"/>
          <w:b/>
          <w:bCs/>
          <w:color w:val="000000"/>
          <w:sz w:val="20"/>
          <w:szCs w:val="20"/>
          <w:lang w:val="es-ES_tradnl"/>
        </w:rPr>
      </w:pPr>
      <w:r w:rsidRPr="00CE0BD2">
        <w:rPr>
          <w:rFonts w:ascii="Cambria" w:eastAsia="Batang" w:hAnsi="Cambria" w:cs="Calibri Light"/>
          <w:b/>
          <w:color w:val="000000"/>
          <w:sz w:val="20"/>
          <w:szCs w:val="20"/>
          <w:lang w:val="es-CO"/>
        </w:rPr>
        <w:t>Resultados estructurales del caso</w:t>
      </w:r>
    </w:p>
    <w:p w14:paraId="1BFC9A64" w14:textId="77777777" w:rsidR="009F5033" w:rsidRPr="00CE0BD2" w:rsidRDefault="009F5033" w:rsidP="009F5033">
      <w:pPr>
        <w:suppressAutoHyphens/>
        <w:spacing w:after="0" w:line="240" w:lineRule="auto"/>
        <w:ind w:left="720"/>
        <w:contextualSpacing/>
        <w:jc w:val="both"/>
        <w:rPr>
          <w:rFonts w:ascii="Cambria" w:eastAsia="Batang" w:hAnsi="Cambria"/>
          <w:color w:val="000000"/>
          <w:sz w:val="20"/>
          <w:szCs w:val="20"/>
          <w:lang w:val="es-ES_tradnl"/>
        </w:rPr>
      </w:pPr>
    </w:p>
    <w:p w14:paraId="3B4E0DA4" w14:textId="36F4897B" w:rsidR="008E72CA" w:rsidRPr="00CE0BD2" w:rsidRDefault="009F5033" w:rsidP="0011449C">
      <w:pPr>
        <w:numPr>
          <w:ilvl w:val="0"/>
          <w:numId w:val="4"/>
        </w:numPr>
        <w:suppressAutoHyphens/>
        <w:spacing w:after="0" w:line="240" w:lineRule="auto"/>
        <w:ind w:hanging="720"/>
        <w:contextualSpacing/>
        <w:jc w:val="both"/>
        <w:rPr>
          <w:rFonts w:ascii="Cambria" w:eastAsia="Batang" w:hAnsi="Cambria"/>
          <w:color w:val="000000"/>
          <w:sz w:val="20"/>
          <w:szCs w:val="20"/>
          <w:lang w:val="es-ES_tradnl"/>
        </w:rPr>
      </w:pPr>
      <w:r w:rsidRPr="00CE0BD2">
        <w:rPr>
          <w:rFonts w:ascii="Cambria" w:eastAsia="Batang" w:hAnsi="Cambria"/>
          <w:color w:val="000000"/>
          <w:sz w:val="20"/>
          <w:szCs w:val="20"/>
          <w:lang w:val="es-ES_tradnl"/>
        </w:rPr>
        <w:t xml:space="preserve">El acto de reconocimiento fue difundido en la página web de la Agencia Nacional de Defensa Jurídica y en distintas redes sociales. </w:t>
      </w:r>
    </w:p>
    <w:sectPr w:rsidR="008E72CA" w:rsidRPr="00CE0BD2" w:rsidSect="007E4ED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9A8B6" w14:textId="77777777" w:rsidR="00C8482D" w:rsidRDefault="00C8482D" w:rsidP="00A343FF">
      <w:pPr>
        <w:spacing w:after="0" w:line="240" w:lineRule="auto"/>
      </w:pPr>
      <w:r>
        <w:separator/>
      </w:r>
    </w:p>
  </w:endnote>
  <w:endnote w:type="continuationSeparator" w:id="0">
    <w:p w14:paraId="3E13249E" w14:textId="77777777" w:rsidR="00C8482D" w:rsidRDefault="00C8482D" w:rsidP="00A343FF">
      <w:pPr>
        <w:spacing w:after="0" w:line="240" w:lineRule="auto"/>
      </w:pPr>
      <w:r>
        <w:continuationSeparator/>
      </w:r>
    </w:p>
  </w:endnote>
  <w:endnote w:type="continuationNotice" w:id="1">
    <w:p w14:paraId="1E5C40B2" w14:textId="77777777" w:rsidR="00C8482D" w:rsidRDefault="00C848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AF33" w14:textId="77777777" w:rsidR="00106C59" w:rsidRDefault="00106C59">
    <w:pPr>
      <w:pStyle w:val="Footer"/>
    </w:pPr>
  </w:p>
  <w:p w14:paraId="3AF0EA2E" w14:textId="77777777" w:rsidR="00FC0266" w:rsidRDefault="00FC02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540DD" w14:textId="77777777" w:rsidR="00A72869" w:rsidRPr="0073374A" w:rsidRDefault="00A72869">
    <w:pPr>
      <w:pStyle w:val="Footer"/>
      <w:jc w:val="center"/>
      <w:rPr>
        <w:rFonts w:ascii="Cambria" w:hAnsi="Cambria"/>
        <w:color w:val="7F7F7F"/>
        <w:sz w:val="16"/>
      </w:rPr>
    </w:pPr>
    <w:r w:rsidRPr="0073374A">
      <w:rPr>
        <w:rFonts w:ascii="Cambria" w:hAnsi="Cambria"/>
        <w:color w:val="7F7F7F"/>
        <w:sz w:val="16"/>
      </w:rPr>
      <w:fldChar w:fldCharType="begin"/>
    </w:r>
    <w:r w:rsidRPr="0073374A">
      <w:rPr>
        <w:rFonts w:ascii="Cambria" w:hAnsi="Cambria"/>
        <w:color w:val="7F7F7F"/>
        <w:sz w:val="16"/>
      </w:rPr>
      <w:instrText xml:space="preserve"> PAGE   \* MERGEFORMAT </w:instrText>
    </w:r>
    <w:r w:rsidRPr="0073374A">
      <w:rPr>
        <w:rFonts w:ascii="Cambria" w:hAnsi="Cambria"/>
        <w:color w:val="7F7F7F"/>
        <w:sz w:val="16"/>
      </w:rPr>
      <w:fldChar w:fldCharType="separate"/>
    </w:r>
    <w:r w:rsidR="00106C59" w:rsidRPr="0073374A">
      <w:rPr>
        <w:rFonts w:ascii="Cambria" w:hAnsi="Cambria"/>
        <w:noProof/>
        <w:color w:val="7F7F7F"/>
        <w:sz w:val="16"/>
      </w:rPr>
      <w:t>2</w:t>
    </w:r>
    <w:r w:rsidRPr="0073374A">
      <w:rPr>
        <w:rFonts w:ascii="Cambria" w:hAnsi="Cambria"/>
        <w:noProof/>
        <w:color w:val="7F7F7F"/>
        <w:sz w:val="16"/>
      </w:rPr>
      <w:fldChar w:fldCharType="end"/>
    </w:r>
  </w:p>
  <w:p w14:paraId="4E062864" w14:textId="77777777" w:rsidR="001C0A6D" w:rsidRDefault="001C0A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E2F0" w14:textId="402A00D7" w:rsidR="00D222B7" w:rsidRDefault="001F7F72" w:rsidP="00CA3AA8">
    <w:pPr>
      <w:pStyle w:val="Footer"/>
      <w:spacing w:line="360" w:lineRule="auto"/>
      <w:jc w:val="right"/>
    </w:pPr>
    <w:r>
      <w:rPr>
        <w:noProof/>
      </w:rPr>
      <w:pict w14:anchorId="764B41D8">
        <v:rect id="_x0000_i1027" alt="" style="width:441.9pt;height:.05pt;mso-width-percent:0;mso-height-percent:0;mso-width-percent:0;mso-height-percent:0" o:hralign="center" o:hrstd="t" o:hr="t" fillcolor="#a0a0a0" stroked="f"/>
      </w:pict>
    </w:r>
  </w:p>
  <w:p w14:paraId="48E8CE2E" w14:textId="77777777" w:rsidR="00D13990" w:rsidRDefault="00911130" w:rsidP="00604F1C">
    <w:pPr>
      <w:pStyle w:val="Footer"/>
      <w:jc w:val="center"/>
    </w:pPr>
    <w:r w:rsidRPr="008A5CB5">
      <w:rPr>
        <w:noProof/>
      </w:rPr>
      <w:drawing>
        <wp:inline distT="0" distB="0" distL="0" distR="0" wp14:anchorId="2F2E600E" wp14:editId="2127D52D">
          <wp:extent cx="5120640" cy="311150"/>
          <wp:effectExtent l="0" t="0" r="0" b="0"/>
          <wp:docPr id="7" name="Picture 35" descr="C:\Users\mfontana\Documents\Eva Fontana\GRAFICA CIDH\cartas\logos\footer-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1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EFEA3" w14:textId="77777777" w:rsidR="00C8482D" w:rsidRDefault="00C8482D" w:rsidP="00A343FF">
      <w:pPr>
        <w:spacing w:after="0" w:line="240" w:lineRule="auto"/>
      </w:pPr>
      <w:r>
        <w:separator/>
      </w:r>
    </w:p>
  </w:footnote>
  <w:footnote w:type="continuationSeparator" w:id="0">
    <w:p w14:paraId="77658722" w14:textId="77777777" w:rsidR="00C8482D" w:rsidRDefault="00C8482D" w:rsidP="00A343FF">
      <w:pPr>
        <w:spacing w:after="0" w:line="240" w:lineRule="auto"/>
      </w:pPr>
      <w:r>
        <w:continuationSeparator/>
      </w:r>
    </w:p>
  </w:footnote>
  <w:footnote w:type="continuationNotice" w:id="1">
    <w:p w14:paraId="0C64B33C" w14:textId="77777777" w:rsidR="00C8482D" w:rsidRDefault="00C8482D">
      <w:pPr>
        <w:spacing w:after="0" w:line="240" w:lineRule="auto"/>
      </w:pPr>
    </w:p>
  </w:footnote>
  <w:footnote w:id="2">
    <w:p w14:paraId="6D048FF6" w14:textId="3CD1BDA3" w:rsidR="009F5033" w:rsidRPr="00AD5A1F" w:rsidRDefault="009F5033" w:rsidP="00AD5A1F">
      <w:pPr>
        <w:pStyle w:val="NormalWeb"/>
        <w:spacing w:before="0" w:beforeAutospacing="0" w:after="0" w:afterAutospacing="0"/>
        <w:ind w:firstLine="709"/>
        <w:jc w:val="both"/>
        <w:rPr>
          <w:rFonts w:ascii="Cambria" w:hAnsi="Cambria"/>
          <w:sz w:val="16"/>
          <w:szCs w:val="16"/>
          <w:lang w:val="es-MX" w:eastAsia="es-ES_tradnl"/>
        </w:rPr>
      </w:pPr>
      <w:r w:rsidRPr="00AD5A1F">
        <w:rPr>
          <w:rStyle w:val="FootnoteReference"/>
          <w:rFonts w:ascii="Cambria" w:hAnsi="Cambria"/>
          <w:sz w:val="16"/>
          <w:szCs w:val="16"/>
        </w:rPr>
        <w:footnoteRef/>
      </w:r>
      <w:r w:rsidRPr="0011449C">
        <w:rPr>
          <w:rFonts w:ascii="Cambria" w:hAnsi="Cambria"/>
          <w:sz w:val="16"/>
          <w:szCs w:val="16"/>
          <w:lang w:val="pt-BR"/>
        </w:rPr>
        <w:t xml:space="preserve"> </w:t>
      </w:r>
      <w:r w:rsidR="00AD5A1F" w:rsidRPr="0011449C">
        <w:rPr>
          <w:rFonts w:ascii="Cambria" w:hAnsi="Cambria"/>
          <w:sz w:val="16"/>
          <w:szCs w:val="16"/>
          <w:lang w:val="pt-BR"/>
        </w:rPr>
        <w:t xml:space="preserve">Ver </w:t>
      </w:r>
      <w:r w:rsidRPr="0011449C">
        <w:rPr>
          <w:rFonts w:ascii="Cambria" w:hAnsi="Cambria"/>
          <w:sz w:val="16"/>
          <w:szCs w:val="16"/>
          <w:lang w:val="pt-BR"/>
        </w:rPr>
        <w:t xml:space="preserve">CIDH, Informe No. 337/21, Caso 13.758. </w:t>
      </w:r>
      <w:r w:rsidRPr="00AD5A1F">
        <w:rPr>
          <w:rFonts w:ascii="Cambria" w:hAnsi="Cambria"/>
          <w:sz w:val="16"/>
          <w:szCs w:val="16"/>
          <w:lang w:val="es-VE"/>
        </w:rPr>
        <w:t xml:space="preserve">Solución Amistosa. Franklin Bustamante Restrepo y Familiares. Colombia. 22 de noviembre de 2021. Disponible en: </w:t>
      </w:r>
      <w:hyperlink r:id="rId1" w:history="1">
        <w:r w:rsidRPr="00AD5A1F">
          <w:rPr>
            <w:rStyle w:val="Hyperlink"/>
            <w:rFonts w:ascii="Cambria" w:hAnsi="Cambria"/>
            <w:sz w:val="16"/>
            <w:szCs w:val="16"/>
            <w:lang w:val="es-VE"/>
          </w:rPr>
          <w:t>https://www.oas.org/es/cidh/decisiones/2021/COSA13758ES.pdf</w:t>
        </w:r>
      </w:hyperlink>
      <w:r w:rsidR="00AD5A1F" w:rsidRPr="0011449C">
        <w:rPr>
          <w:rFonts w:ascii="Cambria" w:hAnsi="Cambria"/>
          <w:sz w:val="16"/>
          <w:szCs w:val="16"/>
          <w:lang w:val="es-CO"/>
        </w:rPr>
        <w:t>.</w:t>
      </w:r>
      <w:r w:rsidRPr="00AD5A1F">
        <w:rPr>
          <w:rFonts w:ascii="Cambria" w:hAnsi="Cambria"/>
          <w:sz w:val="16"/>
          <w:szCs w:val="16"/>
          <w:lang w:val="es-VE"/>
        </w:rPr>
        <w:t xml:space="preserve"> </w:t>
      </w:r>
    </w:p>
  </w:footnote>
  <w:footnote w:id="3">
    <w:p w14:paraId="6313D1B1" w14:textId="4DF42A82" w:rsidR="009F5033" w:rsidRPr="00AD5A1F" w:rsidRDefault="009F5033" w:rsidP="00AD5A1F">
      <w:pPr>
        <w:pStyle w:val="FootnoteText"/>
        <w:spacing w:after="0" w:line="240" w:lineRule="auto"/>
        <w:ind w:firstLine="709"/>
        <w:jc w:val="both"/>
        <w:rPr>
          <w:rFonts w:ascii="Cambria" w:hAnsi="Cambria"/>
          <w:sz w:val="16"/>
          <w:szCs w:val="16"/>
          <w:lang w:val="es-ES"/>
        </w:rPr>
      </w:pPr>
      <w:r w:rsidRPr="00AD5A1F">
        <w:rPr>
          <w:rStyle w:val="FootnoteReference"/>
          <w:rFonts w:ascii="Cambria" w:hAnsi="Cambria"/>
          <w:sz w:val="16"/>
          <w:szCs w:val="16"/>
        </w:rPr>
        <w:footnoteRef/>
      </w:r>
      <w:r w:rsidRPr="00AD5A1F">
        <w:rPr>
          <w:rFonts w:ascii="Cambria" w:hAnsi="Cambria"/>
          <w:sz w:val="16"/>
          <w:szCs w:val="16"/>
          <w:lang w:val="es-CO"/>
        </w:rPr>
        <w:t xml:space="preserve"> </w:t>
      </w:r>
      <w:r w:rsidR="00AD5A1F">
        <w:rPr>
          <w:rFonts w:ascii="Cambria" w:hAnsi="Cambria"/>
          <w:sz w:val="16"/>
          <w:szCs w:val="16"/>
          <w:lang w:val="es-VE"/>
        </w:rPr>
        <w:t>Ver</w:t>
      </w:r>
      <w:r w:rsidRPr="00AD5A1F">
        <w:rPr>
          <w:rFonts w:ascii="Cambria" w:hAnsi="Cambria"/>
          <w:sz w:val="16"/>
          <w:szCs w:val="16"/>
          <w:lang w:val="es-VE"/>
        </w:rPr>
        <w:t xml:space="preserve"> </w:t>
      </w:r>
      <w:r w:rsidRPr="00AD5A1F">
        <w:rPr>
          <w:rFonts w:ascii="Cambria" w:hAnsi="Cambria"/>
          <w:sz w:val="16"/>
          <w:szCs w:val="16"/>
          <w:lang w:val="es-ES"/>
        </w:rPr>
        <w:t xml:space="preserve">CIDH, Informe Anual 2022, Capítulo II, Sección </w:t>
      </w:r>
      <w:r w:rsidR="00AD5A1F">
        <w:rPr>
          <w:rFonts w:ascii="Cambria" w:hAnsi="Cambria"/>
          <w:sz w:val="16"/>
          <w:szCs w:val="16"/>
          <w:lang w:val="es-ES"/>
        </w:rPr>
        <w:t>C</w:t>
      </w:r>
      <w:r w:rsidRPr="00AD5A1F">
        <w:rPr>
          <w:rFonts w:ascii="Cambria" w:hAnsi="Cambria"/>
          <w:sz w:val="16"/>
          <w:szCs w:val="16"/>
          <w:lang w:val="es-ES"/>
        </w:rPr>
        <w:t xml:space="preserve">. </w:t>
      </w:r>
      <w:r w:rsidR="00AD5A1F">
        <w:rPr>
          <w:rFonts w:ascii="Cambria" w:hAnsi="Cambria"/>
          <w:sz w:val="16"/>
          <w:szCs w:val="16"/>
          <w:lang w:val="es-ES"/>
        </w:rPr>
        <w:t>Avances y retrocesos en materia de negociación</w:t>
      </w:r>
      <w:r w:rsidRPr="00AD5A1F">
        <w:rPr>
          <w:rFonts w:ascii="Cambria" w:hAnsi="Cambria"/>
          <w:sz w:val="16"/>
          <w:szCs w:val="16"/>
          <w:lang w:val="es-ES"/>
        </w:rPr>
        <w:t xml:space="preserve"> e implementación de acuerdos de solución amistosa. </w:t>
      </w:r>
      <w:r w:rsidRPr="00AD5A1F">
        <w:rPr>
          <w:rFonts w:ascii="Cambria" w:hAnsi="Cambria"/>
          <w:sz w:val="16"/>
          <w:szCs w:val="16"/>
          <w:lang w:val="es-CO"/>
        </w:rPr>
        <w:t>Disponible en</w:t>
      </w:r>
      <w:r w:rsidRPr="00AD5A1F">
        <w:rPr>
          <w:rFonts w:ascii="Cambria" w:hAnsi="Cambria"/>
          <w:sz w:val="16"/>
          <w:szCs w:val="16"/>
          <w:lang w:val="es-VE"/>
        </w:rPr>
        <w:t xml:space="preserve"> </w:t>
      </w:r>
      <w:hyperlink r:id="rId2" w:history="1">
        <w:r w:rsidRPr="00AD5A1F">
          <w:rPr>
            <w:rStyle w:val="Hyperlink"/>
            <w:rFonts w:ascii="Cambria" w:hAnsi="Cambria"/>
            <w:sz w:val="16"/>
            <w:szCs w:val="16"/>
            <w:lang w:val="es-CO"/>
          </w:rPr>
          <w:t>https://www.oas.org/es/cidh/docs/anual/2022/capitulos/4-IA2022_Cap_2_ES.pdf</w:t>
        </w:r>
      </w:hyperlink>
    </w:p>
  </w:footnote>
  <w:footnote w:id="4">
    <w:p w14:paraId="2B8483CA" w14:textId="5855A466" w:rsidR="00AD5A1F" w:rsidRPr="00AD5A1F" w:rsidRDefault="00AD5A1F" w:rsidP="00AD5A1F">
      <w:pPr>
        <w:pStyle w:val="FootnoteText"/>
        <w:spacing w:after="0" w:line="240" w:lineRule="auto"/>
        <w:ind w:firstLine="709"/>
        <w:jc w:val="both"/>
        <w:rPr>
          <w:rFonts w:ascii="Cambria" w:hAnsi="Cambria"/>
          <w:sz w:val="16"/>
          <w:szCs w:val="16"/>
          <w:lang w:val="es-ES_tradnl"/>
        </w:rPr>
      </w:pPr>
      <w:r w:rsidRPr="00AD5A1F">
        <w:rPr>
          <w:rStyle w:val="FootnoteReference"/>
          <w:rFonts w:ascii="Cambria" w:hAnsi="Cambria"/>
          <w:sz w:val="16"/>
          <w:szCs w:val="16"/>
        </w:rPr>
        <w:footnoteRef/>
      </w:r>
      <w:r w:rsidRPr="0011449C">
        <w:rPr>
          <w:rFonts w:ascii="Cambria" w:hAnsi="Cambria"/>
          <w:sz w:val="16"/>
          <w:szCs w:val="16"/>
          <w:lang w:val="es-CO"/>
        </w:rPr>
        <w:t xml:space="preserve"> </w:t>
      </w:r>
      <w:r w:rsidRPr="00AD5A1F">
        <w:rPr>
          <w:rFonts w:ascii="Cambria" w:hAnsi="Cambria"/>
          <w:sz w:val="16"/>
          <w:szCs w:val="16"/>
          <w:lang w:val="es-ES_tradnl"/>
        </w:rPr>
        <w:t xml:space="preserve">Ver CIDH, Informe Anual 2024, Capítulo II, Sección C. Avances y retrocesos en materia de negociación e implementación de acuerdos de solución amistosa. Disponible en: </w:t>
      </w:r>
      <w:hyperlink r:id="rId3" w:history="1">
        <w:r w:rsidRPr="00AD5A1F">
          <w:rPr>
            <w:rStyle w:val="Hyperlink"/>
            <w:rFonts w:ascii="Cambria" w:hAnsi="Cambria"/>
            <w:sz w:val="16"/>
            <w:szCs w:val="16"/>
            <w:lang w:val="es-ES_tradnl"/>
          </w:rPr>
          <w:t>https://www.oas.org/es/cidh/docs/anual/2024/capitulos/IA2024_2_ES.pdf</w:t>
        </w:r>
      </w:hyperlink>
      <w:r w:rsidRPr="00AD5A1F">
        <w:rPr>
          <w:rFonts w:ascii="Cambria" w:hAnsi="Cambria"/>
          <w:sz w:val="16"/>
          <w:szCs w:val="16"/>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A961C" w14:textId="77777777" w:rsidR="00106C59" w:rsidRDefault="00106C59">
    <w:pPr>
      <w:pStyle w:val="Header"/>
    </w:pPr>
  </w:p>
  <w:p w14:paraId="7A8D6957" w14:textId="77777777" w:rsidR="00FC0266" w:rsidRDefault="00FC02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A6343" w14:textId="51179071" w:rsidR="006F0429" w:rsidRDefault="00911130" w:rsidP="00234F67">
    <w:pPr>
      <w:pStyle w:val="Header"/>
      <w:jc w:val="center"/>
      <w:rPr>
        <w:lang w:val="es-ES_tradnl"/>
      </w:rPr>
    </w:pPr>
    <w:r>
      <w:rPr>
        <w:noProof/>
        <w:lang w:val="es-ES_tradnl"/>
      </w:rPr>
      <w:drawing>
        <wp:inline distT="0" distB="0" distL="0" distR="0" wp14:anchorId="4F57ACAC" wp14:editId="71881B59">
          <wp:extent cx="2286000" cy="12827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8270"/>
                  </a:xfrm>
                  <a:prstGeom prst="rect">
                    <a:avLst/>
                  </a:prstGeom>
                  <a:noFill/>
                  <a:ln>
                    <a:noFill/>
                  </a:ln>
                </pic:spPr>
              </pic:pic>
            </a:graphicData>
          </a:graphic>
        </wp:inline>
      </w:drawing>
    </w:r>
  </w:p>
  <w:p w14:paraId="22A9A29C" w14:textId="263A5F19" w:rsidR="0011449C" w:rsidRPr="00234F67" w:rsidRDefault="001F7F72" w:rsidP="00234F67">
    <w:pPr>
      <w:pStyle w:val="Header"/>
      <w:jc w:val="center"/>
      <w:rPr>
        <w:lang w:val="es-ES_tradnl"/>
      </w:rPr>
    </w:pPr>
    <w:r>
      <w:rPr>
        <w:noProof/>
      </w:rPr>
      <w:pict w14:anchorId="60CFFD6E">
        <v:rect id="_x0000_i1025" alt="" style="width:441.9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DC37" w14:textId="0FD5FDB0" w:rsidR="00234F67" w:rsidRDefault="00234F67" w:rsidP="00234F67">
    <w:pPr>
      <w:pStyle w:val="Header"/>
    </w:pPr>
    <w:r w:rsidRPr="008A5CB5">
      <w:rPr>
        <w:noProof/>
      </w:rPr>
      <w:drawing>
        <wp:inline distT="0" distB="0" distL="0" distR="0" wp14:anchorId="37DC95C8" wp14:editId="246AFE5D">
          <wp:extent cx="2352675" cy="452120"/>
          <wp:effectExtent l="0" t="0" r="0" b="0"/>
          <wp:docPr id="3" name="Picture 1" descr="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2120"/>
                  </a:xfrm>
                  <a:prstGeom prst="rect">
                    <a:avLst/>
                  </a:prstGeom>
                  <a:noFill/>
                  <a:ln>
                    <a:noFill/>
                  </a:ln>
                </pic:spPr>
              </pic:pic>
            </a:graphicData>
          </a:graphic>
        </wp:inline>
      </w:drawing>
    </w:r>
    <w:r>
      <w:tab/>
    </w:r>
    <w:r>
      <w:tab/>
    </w:r>
    <w:r>
      <w:rPr>
        <w:noProof/>
      </w:rPr>
      <w:drawing>
        <wp:inline distT="0" distB="0" distL="0" distR="0" wp14:anchorId="37ACEE0F" wp14:editId="003578BD">
          <wp:extent cx="1943100" cy="495300"/>
          <wp:effectExtent l="0" t="0" r="0" b="0"/>
          <wp:docPr id="55000548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780C5555" w14:textId="5C08CCEA" w:rsidR="00D13990" w:rsidRDefault="001F7F72" w:rsidP="00D13990">
    <w:pPr>
      <w:pStyle w:val="Header"/>
    </w:pPr>
    <w:r>
      <w:rPr>
        <w:noProof/>
      </w:rPr>
      <w:pict w14:anchorId="1E65A27C">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3630"/>
    <w:multiLevelType w:val="hybridMultilevel"/>
    <w:tmpl w:val="03BCB7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A4DBC"/>
    <w:multiLevelType w:val="hybridMultilevel"/>
    <w:tmpl w:val="BA920F7C"/>
    <w:lvl w:ilvl="0" w:tplc="240A0015">
      <w:start w:val="9"/>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B7CEB"/>
    <w:multiLevelType w:val="hybridMultilevel"/>
    <w:tmpl w:val="44B8D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9F428C"/>
    <w:multiLevelType w:val="hybridMultilevel"/>
    <w:tmpl w:val="C6DEB894"/>
    <w:lvl w:ilvl="0" w:tplc="A6A22B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49570A6"/>
    <w:multiLevelType w:val="multilevel"/>
    <w:tmpl w:val="6EF4020A"/>
    <w:lvl w:ilvl="0">
      <w:start w:val="1"/>
      <w:numFmt w:val="decimal"/>
      <w:pStyle w:val="IASubttulo3"/>
      <w:lvlText w:val="%1."/>
      <w:lvlJc w:val="left"/>
      <w:pPr>
        <w:tabs>
          <w:tab w:val="num" w:pos="720"/>
        </w:tabs>
        <w:ind w:left="1440" w:hanging="72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C7F73FC"/>
    <w:multiLevelType w:val="multilevel"/>
    <w:tmpl w:val="6C821988"/>
    <w:lvl w:ilvl="0">
      <w:start w:val="2"/>
      <w:numFmt w:val="upperRoman"/>
      <w:lvlText w:val="%1."/>
      <w:lvlJc w:val="left"/>
      <w:pPr>
        <w:tabs>
          <w:tab w:val="num" w:pos="720"/>
        </w:tabs>
        <w:ind w:left="1440" w:hanging="72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8326322">
    <w:abstractNumId w:val="2"/>
  </w:num>
  <w:num w:numId="2" w16cid:durableId="511534976">
    <w:abstractNumId w:val="5"/>
  </w:num>
  <w:num w:numId="3" w16cid:durableId="1995450274">
    <w:abstractNumId w:val="0"/>
  </w:num>
  <w:num w:numId="4" w16cid:durableId="576860270">
    <w:abstractNumId w:val="3"/>
  </w:num>
  <w:num w:numId="5" w16cid:durableId="976565179">
    <w:abstractNumId w:val="4"/>
  </w:num>
  <w:num w:numId="6" w16cid:durableId="812789731">
    <w:abstractNumId w:val="1"/>
  </w:num>
  <w:num w:numId="7" w16cid:durableId="164785245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121F"/>
    <w:rsid w:val="00004375"/>
    <w:rsid w:val="0001720F"/>
    <w:rsid w:val="00031E01"/>
    <w:rsid w:val="00033B04"/>
    <w:rsid w:val="00035689"/>
    <w:rsid w:val="00037EE7"/>
    <w:rsid w:val="0005228B"/>
    <w:rsid w:val="0006625E"/>
    <w:rsid w:val="00074C00"/>
    <w:rsid w:val="00082741"/>
    <w:rsid w:val="00082B16"/>
    <w:rsid w:val="000840A1"/>
    <w:rsid w:val="00094F7F"/>
    <w:rsid w:val="000A1EFD"/>
    <w:rsid w:val="000D73E4"/>
    <w:rsid w:val="000F4520"/>
    <w:rsid w:val="0010578C"/>
    <w:rsid w:val="00106C59"/>
    <w:rsid w:val="0011449C"/>
    <w:rsid w:val="00136D54"/>
    <w:rsid w:val="00151983"/>
    <w:rsid w:val="0015583C"/>
    <w:rsid w:val="00163E52"/>
    <w:rsid w:val="00183508"/>
    <w:rsid w:val="001C0A6D"/>
    <w:rsid w:val="001C230A"/>
    <w:rsid w:val="001F495A"/>
    <w:rsid w:val="001F7F72"/>
    <w:rsid w:val="0021669C"/>
    <w:rsid w:val="00217A39"/>
    <w:rsid w:val="00217F58"/>
    <w:rsid w:val="00234F67"/>
    <w:rsid w:val="00250058"/>
    <w:rsid w:val="0025651E"/>
    <w:rsid w:val="002659F6"/>
    <w:rsid w:val="002A1ED6"/>
    <w:rsid w:val="002A39B2"/>
    <w:rsid w:val="002A7539"/>
    <w:rsid w:val="002B0B2A"/>
    <w:rsid w:val="002C446E"/>
    <w:rsid w:val="002C76AC"/>
    <w:rsid w:val="00300DA5"/>
    <w:rsid w:val="00301A2A"/>
    <w:rsid w:val="0030543F"/>
    <w:rsid w:val="0032092C"/>
    <w:rsid w:val="003358E6"/>
    <w:rsid w:val="00336E4E"/>
    <w:rsid w:val="003412B2"/>
    <w:rsid w:val="00360412"/>
    <w:rsid w:val="00363E14"/>
    <w:rsid w:val="00393310"/>
    <w:rsid w:val="003A00B1"/>
    <w:rsid w:val="003D4630"/>
    <w:rsid w:val="003D6670"/>
    <w:rsid w:val="003E3690"/>
    <w:rsid w:val="003E4B42"/>
    <w:rsid w:val="003F417D"/>
    <w:rsid w:val="0040037B"/>
    <w:rsid w:val="00403841"/>
    <w:rsid w:val="0041423F"/>
    <w:rsid w:val="00450646"/>
    <w:rsid w:val="004633EB"/>
    <w:rsid w:val="0047175E"/>
    <w:rsid w:val="00483B3C"/>
    <w:rsid w:val="00483CF7"/>
    <w:rsid w:val="00486911"/>
    <w:rsid w:val="004A15BA"/>
    <w:rsid w:val="004A4561"/>
    <w:rsid w:val="004A4FAC"/>
    <w:rsid w:val="004C4D9C"/>
    <w:rsid w:val="004D7999"/>
    <w:rsid w:val="004F3B49"/>
    <w:rsid w:val="00513A38"/>
    <w:rsid w:val="00525898"/>
    <w:rsid w:val="00537F2F"/>
    <w:rsid w:val="005664CA"/>
    <w:rsid w:val="0058688A"/>
    <w:rsid w:val="00590BCD"/>
    <w:rsid w:val="0059345C"/>
    <w:rsid w:val="005B23B6"/>
    <w:rsid w:val="005C4307"/>
    <w:rsid w:val="005C5563"/>
    <w:rsid w:val="005D1113"/>
    <w:rsid w:val="005D1DC2"/>
    <w:rsid w:val="005E11CE"/>
    <w:rsid w:val="005E6CF2"/>
    <w:rsid w:val="005F4AAA"/>
    <w:rsid w:val="00604132"/>
    <w:rsid w:val="00604F1C"/>
    <w:rsid w:val="00627C9D"/>
    <w:rsid w:val="0063220A"/>
    <w:rsid w:val="00650D57"/>
    <w:rsid w:val="006518D8"/>
    <w:rsid w:val="006753A9"/>
    <w:rsid w:val="006929AA"/>
    <w:rsid w:val="0069586A"/>
    <w:rsid w:val="006964C0"/>
    <w:rsid w:val="006A592E"/>
    <w:rsid w:val="006A6CAF"/>
    <w:rsid w:val="006B3D07"/>
    <w:rsid w:val="006D2360"/>
    <w:rsid w:val="006E0736"/>
    <w:rsid w:val="006E23B9"/>
    <w:rsid w:val="006F0429"/>
    <w:rsid w:val="0070714C"/>
    <w:rsid w:val="0073374A"/>
    <w:rsid w:val="007417E3"/>
    <w:rsid w:val="00741FC9"/>
    <w:rsid w:val="00745807"/>
    <w:rsid w:val="007546B7"/>
    <w:rsid w:val="007779B2"/>
    <w:rsid w:val="0078116D"/>
    <w:rsid w:val="00783682"/>
    <w:rsid w:val="0078691F"/>
    <w:rsid w:val="007A6889"/>
    <w:rsid w:val="007B23CA"/>
    <w:rsid w:val="007B6F7C"/>
    <w:rsid w:val="007C2CC3"/>
    <w:rsid w:val="007C351D"/>
    <w:rsid w:val="007D543E"/>
    <w:rsid w:val="007E3059"/>
    <w:rsid w:val="007E346D"/>
    <w:rsid w:val="007E4ED5"/>
    <w:rsid w:val="007E7421"/>
    <w:rsid w:val="007F5A92"/>
    <w:rsid w:val="007F5F4E"/>
    <w:rsid w:val="007F7616"/>
    <w:rsid w:val="0080116E"/>
    <w:rsid w:val="008012A4"/>
    <w:rsid w:val="008060DE"/>
    <w:rsid w:val="00807BAA"/>
    <w:rsid w:val="00823877"/>
    <w:rsid w:val="008437F1"/>
    <w:rsid w:val="00853897"/>
    <w:rsid w:val="00854C6B"/>
    <w:rsid w:val="008550EF"/>
    <w:rsid w:val="00863192"/>
    <w:rsid w:val="008776EB"/>
    <w:rsid w:val="0089637D"/>
    <w:rsid w:val="008A3BA4"/>
    <w:rsid w:val="008E1A23"/>
    <w:rsid w:val="008E72CA"/>
    <w:rsid w:val="00911130"/>
    <w:rsid w:val="00913BF3"/>
    <w:rsid w:val="00917950"/>
    <w:rsid w:val="00931D14"/>
    <w:rsid w:val="009331A5"/>
    <w:rsid w:val="00933A89"/>
    <w:rsid w:val="00936FD6"/>
    <w:rsid w:val="00944F57"/>
    <w:rsid w:val="009477D5"/>
    <w:rsid w:val="009603DF"/>
    <w:rsid w:val="00966A8C"/>
    <w:rsid w:val="00977EF7"/>
    <w:rsid w:val="009837AB"/>
    <w:rsid w:val="009A542A"/>
    <w:rsid w:val="009B480D"/>
    <w:rsid w:val="009C4D87"/>
    <w:rsid w:val="009D20DE"/>
    <w:rsid w:val="009D3412"/>
    <w:rsid w:val="009D3B59"/>
    <w:rsid w:val="009D4C34"/>
    <w:rsid w:val="009D50E2"/>
    <w:rsid w:val="009F0FEB"/>
    <w:rsid w:val="009F1C70"/>
    <w:rsid w:val="009F4D7F"/>
    <w:rsid w:val="009F5033"/>
    <w:rsid w:val="00A01DB8"/>
    <w:rsid w:val="00A04865"/>
    <w:rsid w:val="00A04F19"/>
    <w:rsid w:val="00A13D4B"/>
    <w:rsid w:val="00A25CA7"/>
    <w:rsid w:val="00A343FF"/>
    <w:rsid w:val="00A412C2"/>
    <w:rsid w:val="00A47FF7"/>
    <w:rsid w:val="00A558AC"/>
    <w:rsid w:val="00A72869"/>
    <w:rsid w:val="00A77EA6"/>
    <w:rsid w:val="00A84954"/>
    <w:rsid w:val="00A92CB9"/>
    <w:rsid w:val="00A942E0"/>
    <w:rsid w:val="00AC2BAD"/>
    <w:rsid w:val="00AC7559"/>
    <w:rsid w:val="00AD5A1F"/>
    <w:rsid w:val="00AE1B0F"/>
    <w:rsid w:val="00AE6BE2"/>
    <w:rsid w:val="00AF0CEC"/>
    <w:rsid w:val="00B056D9"/>
    <w:rsid w:val="00B2161A"/>
    <w:rsid w:val="00B37978"/>
    <w:rsid w:val="00B46E94"/>
    <w:rsid w:val="00B5680B"/>
    <w:rsid w:val="00B703B3"/>
    <w:rsid w:val="00B75824"/>
    <w:rsid w:val="00B806AC"/>
    <w:rsid w:val="00B90B9D"/>
    <w:rsid w:val="00B91D8E"/>
    <w:rsid w:val="00B93993"/>
    <w:rsid w:val="00BE2369"/>
    <w:rsid w:val="00BF33B2"/>
    <w:rsid w:val="00C04C07"/>
    <w:rsid w:val="00C1382E"/>
    <w:rsid w:val="00C345B0"/>
    <w:rsid w:val="00C40F2C"/>
    <w:rsid w:val="00C5546C"/>
    <w:rsid w:val="00C70DD0"/>
    <w:rsid w:val="00C73BEC"/>
    <w:rsid w:val="00C74AF5"/>
    <w:rsid w:val="00C8482D"/>
    <w:rsid w:val="00CA2777"/>
    <w:rsid w:val="00CA3AA8"/>
    <w:rsid w:val="00CB65EF"/>
    <w:rsid w:val="00CC4274"/>
    <w:rsid w:val="00CC722B"/>
    <w:rsid w:val="00CE0BD2"/>
    <w:rsid w:val="00CE4E6F"/>
    <w:rsid w:val="00D05BCC"/>
    <w:rsid w:val="00D13990"/>
    <w:rsid w:val="00D222B7"/>
    <w:rsid w:val="00D36A3D"/>
    <w:rsid w:val="00D5166A"/>
    <w:rsid w:val="00D60CAC"/>
    <w:rsid w:val="00D73768"/>
    <w:rsid w:val="00D82E91"/>
    <w:rsid w:val="00DA4CEB"/>
    <w:rsid w:val="00DD4F27"/>
    <w:rsid w:val="00DD7443"/>
    <w:rsid w:val="00DF0FE5"/>
    <w:rsid w:val="00E04605"/>
    <w:rsid w:val="00E06D52"/>
    <w:rsid w:val="00E2035C"/>
    <w:rsid w:val="00E24DFC"/>
    <w:rsid w:val="00E26E89"/>
    <w:rsid w:val="00E274AA"/>
    <w:rsid w:val="00E3040C"/>
    <w:rsid w:val="00E30888"/>
    <w:rsid w:val="00E43B1F"/>
    <w:rsid w:val="00E5030A"/>
    <w:rsid w:val="00E51E1C"/>
    <w:rsid w:val="00E52331"/>
    <w:rsid w:val="00E62255"/>
    <w:rsid w:val="00E77756"/>
    <w:rsid w:val="00E82EF8"/>
    <w:rsid w:val="00EB3ACF"/>
    <w:rsid w:val="00EC03C5"/>
    <w:rsid w:val="00EC64BF"/>
    <w:rsid w:val="00ED4C58"/>
    <w:rsid w:val="00ED518E"/>
    <w:rsid w:val="00EF1BD7"/>
    <w:rsid w:val="00F0294F"/>
    <w:rsid w:val="00F06E69"/>
    <w:rsid w:val="00F07B09"/>
    <w:rsid w:val="00F16469"/>
    <w:rsid w:val="00F267EC"/>
    <w:rsid w:val="00F306C1"/>
    <w:rsid w:val="00F3661B"/>
    <w:rsid w:val="00F47E8A"/>
    <w:rsid w:val="00F52F31"/>
    <w:rsid w:val="00F54F60"/>
    <w:rsid w:val="00F66FEE"/>
    <w:rsid w:val="00F72E41"/>
    <w:rsid w:val="00F80DF4"/>
    <w:rsid w:val="00FB48F2"/>
    <w:rsid w:val="00FC0266"/>
    <w:rsid w:val="00FC66C2"/>
    <w:rsid w:val="00FD09E6"/>
    <w:rsid w:val="00FD7ED8"/>
    <w:rsid w:val="00FF46A4"/>
    <w:rsid w:val="00FF53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F1D97"/>
  <w15:chartTrackingRefBased/>
  <w15:docId w15:val="{F7221561-102B-004D-829C-7EDAF8C5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val="en-US"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E06D52"/>
    <w:rPr>
      <w:vertAlign w:val="superscript"/>
    </w:rPr>
  </w:style>
  <w:style w:type="paragraph" w:customStyle="1" w:styleId="Appelnotedebasde">
    <w:name w:val="Appel note de bas de..."/>
    <w:basedOn w:val="Normal"/>
    <w:link w:val="FootnoteReference"/>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basedOn w:val="Normal"/>
    <w:link w:val="FootnoteTextChar"/>
    <w:uiPriority w:val="99"/>
    <w:semiHidden/>
    <w:unhideWhenUsed/>
    <w:rsid w:val="007B23CA"/>
    <w:rPr>
      <w:sz w:val="20"/>
      <w:szCs w:val="20"/>
    </w:rPr>
  </w:style>
  <w:style w:type="character" w:customStyle="1" w:styleId="FootnoteTextChar">
    <w:name w:val="Footnote Text Char"/>
    <w:link w:val="FootnoteText"/>
    <w:uiPriority w:val="99"/>
    <w:semiHidden/>
    <w:rsid w:val="007B23CA"/>
    <w:rPr>
      <w:lang w:val="en-US" w:eastAsia="en-US"/>
    </w:rPr>
  </w:style>
  <w:style w:type="character" w:styleId="Hyperlink">
    <w:name w:val="Hyperlink"/>
    <w:uiPriority w:val="99"/>
    <w:unhideWhenUsed/>
    <w:rsid w:val="0073374A"/>
    <w:rPr>
      <w:color w:val="467886"/>
      <w:u w:val="single"/>
    </w:rPr>
  </w:style>
  <w:style w:type="character" w:styleId="UnresolvedMention">
    <w:name w:val="Unresolved Mention"/>
    <w:uiPriority w:val="99"/>
    <w:semiHidden/>
    <w:unhideWhenUsed/>
    <w:rsid w:val="0073374A"/>
    <w:rPr>
      <w:color w:val="605E5C"/>
      <w:shd w:val="clear" w:color="auto" w:fill="E1DFDD"/>
    </w:rPr>
  </w:style>
  <w:style w:type="paragraph" w:styleId="ListParagraph">
    <w:name w:val="List Paragraph"/>
    <w:aliases w:val="Párrafo de lista1,List Paragraph1,Colorful List - Accent 11,List Paragraph11,Lista vistosa - Énfasis 11,Parragrap,Superíndice,Dot pt,No Spacing1,List Paragraph Char Char Char,Indicator Text,Numbered Para 1,4 Párrafo de lista,Figuras"/>
    <w:basedOn w:val="Normal"/>
    <w:link w:val="ListParagraphChar"/>
    <w:uiPriority w:val="34"/>
    <w:qFormat/>
    <w:rsid w:val="00E43B1F"/>
    <w:pPr>
      <w:ind w:left="720"/>
      <w:contextualSpacing/>
    </w:pPr>
  </w:style>
  <w:style w:type="character" w:styleId="FollowedHyperlink">
    <w:name w:val="FollowedHyperlink"/>
    <w:basedOn w:val="DefaultParagraphFont"/>
    <w:uiPriority w:val="99"/>
    <w:semiHidden/>
    <w:unhideWhenUsed/>
    <w:rsid w:val="009F4D7F"/>
    <w:rPr>
      <w:color w:val="96607D" w:themeColor="followedHyperlink"/>
      <w:u w:val="single"/>
    </w:rPr>
  </w:style>
  <w:style w:type="character" w:customStyle="1" w:styleId="ListParagraphChar">
    <w:name w:val="List Paragraph Char"/>
    <w:aliases w:val="Párrafo de lista1 Char,List Paragraph1 Char,Colorful List - Accent 11 Char,List Paragraph11 Char,Lista vistosa - Énfasis 11 Char,Parragrap Char,Superíndice Char,Dot pt Char,No Spacing1 Char,List Paragraph Char Char Char Char"/>
    <w:link w:val="ListParagraph"/>
    <w:uiPriority w:val="34"/>
    <w:locked/>
    <w:rsid w:val="00627C9D"/>
    <w:rPr>
      <w:sz w:val="22"/>
      <w:szCs w:val="22"/>
      <w:lang w:val="en-US" w:eastAsia="en-US"/>
    </w:rPr>
  </w:style>
  <w:style w:type="paragraph" w:customStyle="1" w:styleId="IATtulo">
    <w:name w:val="IA   Título"/>
    <w:basedOn w:val="List"/>
    <w:link w:val="IATtuloChar"/>
    <w:qFormat/>
    <w:rsid w:val="00F3661B"/>
    <w:pPr>
      <w:suppressAutoHyphens/>
      <w:spacing w:after="240" w:line="240" w:lineRule="auto"/>
      <w:ind w:left="0" w:firstLine="0"/>
      <w:contextualSpacing w:val="0"/>
    </w:pPr>
    <w:rPr>
      <w:rFonts w:ascii="Cambria" w:hAnsi="Cambria"/>
      <w:b/>
      <w:caps/>
      <w:color w:val="000000"/>
    </w:rPr>
  </w:style>
  <w:style w:type="paragraph" w:customStyle="1" w:styleId="IASubttulo3">
    <w:name w:val="IA  Subtítulo 3"/>
    <w:basedOn w:val="List"/>
    <w:qFormat/>
    <w:rsid w:val="00F3661B"/>
    <w:pPr>
      <w:numPr>
        <w:numId w:val="2"/>
      </w:numPr>
      <w:tabs>
        <w:tab w:val="clear" w:pos="720"/>
        <w:tab w:val="num" w:pos="360"/>
      </w:tabs>
      <w:suppressAutoHyphens/>
      <w:spacing w:after="240" w:line="240" w:lineRule="auto"/>
      <w:ind w:left="283" w:hanging="283"/>
      <w:contextualSpacing w:val="0"/>
    </w:pPr>
    <w:rPr>
      <w:rFonts w:ascii="Cambria" w:hAnsi="Cambria"/>
      <w:b/>
      <w:color w:val="000000"/>
      <w:sz w:val="20"/>
    </w:rPr>
  </w:style>
  <w:style w:type="paragraph" w:styleId="List">
    <w:name w:val="List"/>
    <w:basedOn w:val="Normal"/>
    <w:uiPriority w:val="99"/>
    <w:semiHidden/>
    <w:unhideWhenUsed/>
    <w:rsid w:val="00F3661B"/>
    <w:pPr>
      <w:ind w:left="283" w:hanging="283"/>
      <w:contextualSpacing/>
    </w:pPr>
  </w:style>
  <w:style w:type="character" w:customStyle="1" w:styleId="IATtuloChar">
    <w:name w:val="IA   Título Char"/>
    <w:basedOn w:val="DefaultParagraphFont"/>
    <w:link w:val="IATtulo"/>
    <w:rsid w:val="00300DA5"/>
    <w:rPr>
      <w:rFonts w:ascii="Cambria" w:hAnsi="Cambria"/>
      <w:b/>
      <w:caps/>
      <w:color w:val="000000"/>
      <w:sz w:val="22"/>
      <w:szCs w:val="22"/>
      <w:lang w:val="en-US" w:eastAsia="en-US"/>
    </w:rPr>
  </w:style>
  <w:style w:type="character" w:styleId="CommentReference">
    <w:name w:val="annotation reference"/>
    <w:basedOn w:val="DefaultParagraphFont"/>
    <w:uiPriority w:val="99"/>
    <w:semiHidden/>
    <w:unhideWhenUsed/>
    <w:rsid w:val="003F417D"/>
    <w:rPr>
      <w:sz w:val="16"/>
      <w:szCs w:val="16"/>
    </w:rPr>
  </w:style>
  <w:style w:type="paragraph" w:styleId="CommentText">
    <w:name w:val="annotation text"/>
    <w:basedOn w:val="Normal"/>
    <w:link w:val="CommentTextChar"/>
    <w:uiPriority w:val="99"/>
    <w:semiHidden/>
    <w:unhideWhenUsed/>
    <w:rsid w:val="003F417D"/>
    <w:pPr>
      <w:spacing w:line="240" w:lineRule="auto"/>
    </w:pPr>
    <w:rPr>
      <w:sz w:val="20"/>
      <w:szCs w:val="20"/>
    </w:rPr>
  </w:style>
  <w:style w:type="character" w:customStyle="1" w:styleId="CommentTextChar">
    <w:name w:val="Comment Text Char"/>
    <w:basedOn w:val="DefaultParagraphFont"/>
    <w:link w:val="CommentText"/>
    <w:uiPriority w:val="99"/>
    <w:semiHidden/>
    <w:rsid w:val="003F417D"/>
    <w:rPr>
      <w:lang w:val="en-US" w:eastAsia="en-US"/>
    </w:rPr>
  </w:style>
  <w:style w:type="paragraph" w:styleId="CommentSubject">
    <w:name w:val="annotation subject"/>
    <w:basedOn w:val="CommentText"/>
    <w:next w:val="CommentText"/>
    <w:link w:val="CommentSubjectChar"/>
    <w:uiPriority w:val="99"/>
    <w:semiHidden/>
    <w:unhideWhenUsed/>
    <w:rsid w:val="003F417D"/>
    <w:rPr>
      <w:b/>
      <w:bCs/>
    </w:rPr>
  </w:style>
  <w:style w:type="character" w:customStyle="1" w:styleId="CommentSubjectChar">
    <w:name w:val="Comment Subject Char"/>
    <w:basedOn w:val="CommentTextChar"/>
    <w:link w:val="CommentSubject"/>
    <w:uiPriority w:val="99"/>
    <w:semiHidden/>
    <w:rsid w:val="003F417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as.org/es/cidh/decisiones/2019/COAE1214-09E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oas.org/es/cidh/decisiones/2021/COSA13758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as.org/es/cidh/decisiones/2021/COSA13758ES.pdf"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ocs/anual/2024/capitulos/IA2024_2_ES.pdf" TargetMode="External"/><Relationship Id="rId2" Type="http://schemas.openxmlformats.org/officeDocument/2006/relationships/hyperlink" Target="https://www.oas.org/es/cidh/docs/anual/2022/capitulos/4-IA2022_Cap_2_ES.pdf" TargetMode="External"/><Relationship Id="rId1" Type="http://schemas.openxmlformats.org/officeDocument/2006/relationships/hyperlink" Target="https://www.oas.org/es/cidh/decisiones/2021/COSA13758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2.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3.xml><?xml version="1.0" encoding="utf-8"?>
<ds:datastoreItem xmlns:ds="http://schemas.openxmlformats.org/officeDocument/2006/customXml" ds:itemID="{5885A06B-A92A-40F9-BF94-C2322378D930}">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FE8304DD-97E5-47DD-81A3-53D93CAF1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Cartas-es.dotx</Template>
  <TotalTime>1</TotalTime>
  <Pages>3</Pages>
  <Words>916</Words>
  <Characters>5222</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6126</CharactersWithSpaces>
  <SharedDoc>false</SharedDoc>
  <HLinks>
    <vt:vector size="72" baseType="variant">
      <vt:variant>
        <vt:i4>6357096</vt:i4>
      </vt:variant>
      <vt:variant>
        <vt:i4>6</vt:i4>
      </vt:variant>
      <vt:variant>
        <vt:i4>0</vt:i4>
      </vt:variant>
      <vt:variant>
        <vt:i4>5</vt:i4>
      </vt:variant>
      <vt:variant>
        <vt:lpwstr>http://www.oas.org/es/cidh/decisiones/2013/VESA12473ES.doc</vt:lpwstr>
      </vt:variant>
      <vt:variant>
        <vt:lpwstr/>
      </vt:variant>
      <vt:variant>
        <vt:i4>5505025</vt:i4>
      </vt:variant>
      <vt:variant>
        <vt:i4>3</vt:i4>
      </vt:variant>
      <vt:variant>
        <vt:i4>0</vt:i4>
      </vt:variant>
      <vt:variant>
        <vt:i4>5</vt:i4>
      </vt:variant>
      <vt:variant>
        <vt:lpwstr>http://www.cidh.oas.org/annualrep/2004sp/Venezuela.667.01.htm</vt:lpwstr>
      </vt:variant>
      <vt:variant>
        <vt:lpwstr/>
      </vt:variant>
      <vt:variant>
        <vt:i4>6684780</vt:i4>
      </vt:variant>
      <vt:variant>
        <vt:i4>0</vt:i4>
      </vt:variant>
      <vt:variant>
        <vt:i4>0</vt:i4>
      </vt:variant>
      <vt:variant>
        <vt:i4>5</vt:i4>
      </vt:variant>
      <vt:variant>
        <vt:lpwstr>http://www.oas.org/es/cidh/decisiones/2012/VESA11706ES.doc</vt:lpwstr>
      </vt:variant>
      <vt:variant>
        <vt:lpwstr/>
      </vt:variant>
      <vt:variant>
        <vt:i4>983041</vt:i4>
      </vt:variant>
      <vt:variant>
        <vt:i4>24</vt:i4>
      </vt:variant>
      <vt:variant>
        <vt:i4>0</vt:i4>
      </vt:variant>
      <vt:variant>
        <vt:i4>5</vt:i4>
      </vt:variant>
      <vt:variant>
        <vt:lpwstr>https://www.oas.org/es/cidh/docs/anual/2024/capitulos/IA2024_2_ES.pdf</vt:lpwstr>
      </vt:variant>
      <vt:variant>
        <vt:lpwstr/>
      </vt:variant>
      <vt:variant>
        <vt:i4>3276841</vt:i4>
      </vt:variant>
      <vt:variant>
        <vt:i4>21</vt:i4>
      </vt:variant>
      <vt:variant>
        <vt:i4>0</vt:i4>
      </vt:variant>
      <vt:variant>
        <vt:i4>5</vt:i4>
      </vt:variant>
      <vt:variant>
        <vt:lpwstr>http://www.oas.org/es/cidh/docs/anual/2018/docs/IA2018cap.2-es.pdf</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3276841</vt:i4>
      </vt:variant>
      <vt:variant>
        <vt:i4>15</vt:i4>
      </vt:variant>
      <vt:variant>
        <vt:i4>0</vt:i4>
      </vt:variant>
      <vt:variant>
        <vt:i4>5</vt:i4>
      </vt:variant>
      <vt:variant>
        <vt:lpwstr>http://www.oas.org/es/cidh/docs/anual/2018/docs/IA2018cap.2-es.pdf</vt:lpwstr>
      </vt:variant>
      <vt:variant>
        <vt:lpwstr/>
      </vt:variant>
      <vt:variant>
        <vt:i4>6815868</vt:i4>
      </vt:variant>
      <vt:variant>
        <vt:i4>12</vt:i4>
      </vt:variant>
      <vt:variant>
        <vt:i4>0</vt:i4>
      </vt:variant>
      <vt:variant>
        <vt:i4>5</vt:i4>
      </vt:variant>
      <vt:variant>
        <vt:lpwstr>http://www.oas.org/es/cidh/decisiones/amistosas.asp</vt:lpwstr>
      </vt:variant>
      <vt:variant>
        <vt:lpwstr/>
      </vt:variant>
      <vt:variant>
        <vt:i4>6815868</vt:i4>
      </vt:variant>
      <vt:variant>
        <vt:i4>9</vt:i4>
      </vt:variant>
      <vt:variant>
        <vt:i4>0</vt:i4>
      </vt:variant>
      <vt:variant>
        <vt:i4>5</vt:i4>
      </vt:variant>
      <vt:variant>
        <vt:lpwstr>http://www.oas.org/es/cidh/decisiones/amistosas.asp</vt:lpwstr>
      </vt:variant>
      <vt:variant>
        <vt:lpwstr/>
      </vt:variant>
      <vt:variant>
        <vt:i4>983041</vt:i4>
      </vt:variant>
      <vt:variant>
        <vt:i4>6</vt:i4>
      </vt:variant>
      <vt:variant>
        <vt:i4>0</vt:i4>
      </vt:variant>
      <vt:variant>
        <vt:i4>5</vt:i4>
      </vt:variant>
      <vt:variant>
        <vt:lpwstr>https://www.oas.org/es/cidh/docs/anual/2024/capitulos/IA2024_2_ES.pdf</vt:lpwstr>
      </vt:variant>
      <vt:variant>
        <vt:lpwstr/>
      </vt:variant>
      <vt:variant>
        <vt:i4>983041</vt:i4>
      </vt:variant>
      <vt:variant>
        <vt:i4>3</vt:i4>
      </vt:variant>
      <vt:variant>
        <vt:i4>0</vt:i4>
      </vt:variant>
      <vt:variant>
        <vt:i4>5</vt:i4>
      </vt:variant>
      <vt:variant>
        <vt:lpwstr>https://www.oas.org/es/cidh/docs/anual/2024/capitulos/IA2024_2_ES.pdf</vt:lpwstr>
      </vt:variant>
      <vt:variant>
        <vt:lpwstr/>
      </vt:variant>
      <vt:variant>
        <vt:i4>983041</vt:i4>
      </vt:variant>
      <vt:variant>
        <vt:i4>0</vt:i4>
      </vt:variant>
      <vt:variant>
        <vt:i4>0</vt:i4>
      </vt:variant>
      <vt:variant>
        <vt:i4>5</vt:i4>
      </vt:variant>
      <vt:variant>
        <vt:lpwstr>https://www.oas.org/es/cidh/docs/anual/2024/capitulos/IA2024_2_ES.pdf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Seminario, Javier</cp:lastModifiedBy>
  <cp:revision>4</cp:revision>
  <cp:lastPrinted>2025-08-26T18:24:00Z</cp:lastPrinted>
  <dcterms:created xsi:type="dcterms:W3CDTF">2025-07-28T17:30:00Z</dcterms:created>
  <dcterms:modified xsi:type="dcterms:W3CDTF">2025-08-26T18:24:00Z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Montero, Erika</vt:lpwstr>
  </property>
  <property fmtid="{D5CDD505-2E9C-101B-9397-08002B2CF9AE}" pid="3" name="Order">
    <vt:lpwstr>73200.0000000000</vt:lpwstr>
  </property>
  <property fmtid="{D5CDD505-2E9C-101B-9397-08002B2CF9AE}" pid="4" name="display_urn:schemas-microsoft-com:office:office#Author">
    <vt:lpwstr>Montero, Erika</vt:lpwstr>
  </property>
  <property fmtid="{D5CDD505-2E9C-101B-9397-08002B2CF9AE}" pid="5" name="ContentTypeId">
    <vt:lpwstr>0x010100D589DCDDB8A16B44BDC2A7128ECAC845</vt:lpwstr>
  </property>
</Properties>
</file>