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8B2" w:rsidRPr="00F63893" w:rsidRDefault="000758B2" w:rsidP="000758B2">
      <w:pPr>
        <w:pStyle w:val="Heading1"/>
        <w:rPr>
          <w:lang w:val="pt-BR"/>
        </w:rPr>
      </w:pPr>
      <w:bookmarkStart w:id="0" w:name="_Toc398887425"/>
      <w:bookmarkStart w:id="1" w:name="_Toc398907650"/>
      <w:bookmarkStart w:id="2" w:name="_Toc398912693"/>
      <w:r w:rsidRPr="00F63893">
        <w:rPr>
          <w:lang w:val="pt-BR"/>
        </w:rPr>
        <w:t>AG/RES. 2854 (XLIV-O/14)</w:t>
      </w:r>
      <w:bookmarkEnd w:id="0"/>
      <w:bookmarkEnd w:id="1"/>
      <w:bookmarkEnd w:id="2"/>
    </w:p>
    <w:p w:rsidR="000758B2" w:rsidRPr="00F63893" w:rsidRDefault="000758B2" w:rsidP="000758B2">
      <w:pPr>
        <w:snapToGrid w:val="0"/>
        <w:jc w:val="center"/>
        <w:rPr>
          <w:iCs/>
          <w:caps/>
          <w:kern w:val="32"/>
          <w:szCs w:val="22"/>
        </w:rPr>
      </w:pPr>
    </w:p>
    <w:p w:rsidR="000758B2" w:rsidRPr="00F63893" w:rsidRDefault="000758B2" w:rsidP="000758B2">
      <w:pPr>
        <w:pStyle w:val="Heading2"/>
      </w:pPr>
      <w:bookmarkStart w:id="3" w:name="_Toc390879929"/>
      <w:bookmarkStart w:id="4" w:name="_Toc398887426"/>
      <w:r w:rsidRPr="00F63893">
        <w:rPr>
          <w:rStyle w:val="Normal"/>
          <w:caps/>
          <w:kern w:val="32"/>
        </w:rPr>
        <w:t>APOIO À COMISSÃO PARA A ELIMINAÇÃO DE TODAS AS FORMAS</w:t>
      </w:r>
      <w:bookmarkEnd w:id="3"/>
      <w:bookmarkEnd w:id="4"/>
    </w:p>
    <w:p w:rsidR="000758B2" w:rsidRPr="00F63893" w:rsidRDefault="000758B2" w:rsidP="000758B2">
      <w:pPr>
        <w:pStyle w:val="Heading2"/>
      </w:pPr>
      <w:bookmarkStart w:id="5" w:name="_Toc390879930"/>
      <w:bookmarkStart w:id="6" w:name="_Toc398887427"/>
      <w:r w:rsidRPr="00F63893">
        <w:rPr>
          <w:rStyle w:val="Normal"/>
          <w:caps/>
          <w:kern w:val="32"/>
        </w:rPr>
        <w:t>DE DISCRIMINAÇÃO CONTRA AS PESSOAS COM DEFICIÊNCIA</w:t>
      </w:r>
      <w:bookmarkEnd w:id="5"/>
      <w:bookmarkEnd w:id="6"/>
    </w:p>
    <w:p w:rsidR="000758B2" w:rsidRPr="00F63893" w:rsidRDefault="000758B2" w:rsidP="000758B2">
      <w:pPr>
        <w:pStyle w:val="Heading2"/>
      </w:pPr>
      <w:bookmarkStart w:id="7" w:name="_Toc398887428"/>
      <w:r w:rsidRPr="00F63893">
        <w:rPr>
          <w:rStyle w:val="Normal"/>
          <w:caps/>
          <w:kern w:val="32"/>
        </w:rPr>
        <w:t>E À SUA SECRETARIA TÉCNICA</w:t>
      </w:r>
      <w:bookmarkEnd w:id="7"/>
    </w:p>
    <w:p w:rsidR="000758B2" w:rsidRPr="00F63893" w:rsidRDefault="000758B2" w:rsidP="000758B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snapToGrid w:val="0"/>
        <w:jc w:val="center"/>
        <w:rPr>
          <w:iCs/>
          <w:caps/>
          <w:kern w:val="32"/>
          <w:szCs w:val="22"/>
        </w:rPr>
      </w:pPr>
    </w:p>
    <w:p w:rsidR="000758B2" w:rsidRPr="00F63893" w:rsidRDefault="000758B2" w:rsidP="000758B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jc w:val="center"/>
        <w:rPr>
          <w:szCs w:val="22"/>
        </w:rPr>
      </w:pPr>
      <w:r w:rsidRPr="00F63893">
        <w:rPr>
          <w:rFonts w:ascii="CG Times" w:hAnsi="CG Times"/>
        </w:rPr>
        <w:t>(</w:t>
      </w:r>
      <w:r w:rsidRPr="00F63893">
        <w:rPr>
          <w:rFonts w:eastAsia="Calibri"/>
          <w:szCs w:val="22"/>
        </w:rPr>
        <w:t>Aprovada na primeira sessão plenária, realizada em 4 de junho de 2014</w:t>
      </w:r>
      <w:r w:rsidRPr="00F63893">
        <w:rPr>
          <w:rFonts w:ascii="CG Times" w:hAnsi="CG Times"/>
        </w:rPr>
        <w:t>)</w:t>
      </w:r>
    </w:p>
    <w:p w:rsidR="000758B2" w:rsidRPr="00F63893" w:rsidRDefault="000758B2" w:rsidP="000758B2">
      <w:pPr>
        <w:autoSpaceDE w:val="0"/>
        <w:autoSpaceDN w:val="0"/>
        <w:adjustRightInd w:val="0"/>
        <w:rPr>
          <w:szCs w:val="22"/>
        </w:rPr>
      </w:pPr>
    </w:p>
    <w:p w:rsidR="000758B2" w:rsidRPr="00F63893" w:rsidRDefault="000758B2" w:rsidP="000758B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Cs w:val="22"/>
        </w:rPr>
      </w:pPr>
    </w:p>
    <w:p w:rsidR="000758B2" w:rsidRPr="00F63893" w:rsidRDefault="000758B2" w:rsidP="000758B2">
      <w:pPr>
        <w:ind w:firstLine="720"/>
        <w:jc w:val="both"/>
        <w:rPr>
          <w:szCs w:val="22"/>
        </w:rPr>
      </w:pPr>
      <w:r w:rsidRPr="00F63893">
        <w:rPr>
          <w:rStyle w:val="Normal"/>
          <w:szCs w:val="22"/>
        </w:rPr>
        <w:t>A ASSEMBLEIA GERAL,</w:t>
      </w:r>
    </w:p>
    <w:p w:rsidR="000758B2" w:rsidRPr="00F63893" w:rsidRDefault="000758B2" w:rsidP="000758B2">
      <w:pPr>
        <w:jc w:val="both"/>
        <w:rPr>
          <w:szCs w:val="22"/>
        </w:rPr>
      </w:pPr>
    </w:p>
    <w:p w:rsidR="000758B2" w:rsidRPr="00F63893" w:rsidRDefault="000758B2" w:rsidP="000758B2">
      <w:pPr>
        <w:jc w:val="both"/>
        <w:rPr>
          <w:szCs w:val="22"/>
        </w:rPr>
      </w:pPr>
      <w:r w:rsidRPr="00F63893">
        <w:rPr>
          <w:rStyle w:val="Normal"/>
          <w:szCs w:val="22"/>
        </w:rPr>
        <w:t>RECORDANDO:</w:t>
      </w:r>
    </w:p>
    <w:p w:rsidR="000758B2" w:rsidRPr="00F63893" w:rsidRDefault="000758B2" w:rsidP="000758B2">
      <w:pPr>
        <w:jc w:val="both"/>
        <w:rPr>
          <w:szCs w:val="22"/>
        </w:rPr>
      </w:pPr>
    </w:p>
    <w:p w:rsidR="000758B2" w:rsidRPr="00F63893" w:rsidRDefault="000758B2" w:rsidP="000758B2">
      <w:pPr>
        <w:ind w:firstLine="720"/>
        <w:jc w:val="both"/>
        <w:rPr>
          <w:szCs w:val="22"/>
        </w:rPr>
      </w:pPr>
      <w:r w:rsidRPr="00F63893">
        <w:rPr>
          <w:rStyle w:val="Normal"/>
          <w:szCs w:val="22"/>
        </w:rPr>
        <w:t>A Convenção Interamericana para a Eliminação de Todas as Formas de Discriminação contra as Pessoas Portadoras de Deficiência (CIADDIS), adotada na Guatemala, em 7 de junho de 1999, que entrou em vigor em 14 de setembro de 2001 e foi assinada por 21 Estados membros e ratificada, até esta data, por 18 Estados membros; e</w:t>
      </w:r>
    </w:p>
    <w:p w:rsidR="000758B2" w:rsidRPr="00D61339" w:rsidRDefault="000758B2" w:rsidP="000758B2">
      <w:pPr>
        <w:jc w:val="both"/>
      </w:pPr>
    </w:p>
    <w:p w:rsidR="000758B2" w:rsidRPr="00D61339" w:rsidRDefault="000758B2" w:rsidP="000758B2">
      <w:pPr>
        <w:jc w:val="both"/>
      </w:pPr>
      <w:bookmarkStart w:id="8" w:name="_Toc294625455"/>
      <w:bookmarkStart w:id="9" w:name="_Toc390879932"/>
      <w:r>
        <w:tab/>
      </w:r>
      <w:r w:rsidRPr="00D61339">
        <w:t>As resoluções</w:t>
      </w:r>
      <w:bookmarkStart w:id="10" w:name="_Toc263781275"/>
      <w:r w:rsidRPr="00D61339">
        <w:t xml:space="preserve"> AG/RES. 2596 (XL-O/10),</w:t>
      </w:r>
      <w:bookmarkEnd w:id="10"/>
      <w:r w:rsidRPr="00D61339">
        <w:t xml:space="preserve"> “Apoio à Comissão para a Eliminação de Todas as Formas de Discriminação contra as Pessoas com Deficiência”</w:t>
      </w:r>
      <w:bookmarkEnd w:id="8"/>
      <w:r w:rsidRPr="00D61339">
        <w:t>; AG/RES. 2663 (XLI-O/11), AG/RES. 2731 (XLII-O/12) e AG/RES. 2785 (XLIII-O/13), “Apoio à Comissão para a Eliminação de Todas as Formas de Discriminação contra as Pessoas com Deficiência e à sua Secretaria Técnica”;</w:t>
      </w:r>
      <w:bookmarkEnd w:id="9"/>
    </w:p>
    <w:p w:rsidR="000758B2" w:rsidRPr="00D61339" w:rsidRDefault="000758B2" w:rsidP="000758B2">
      <w:pPr>
        <w:jc w:val="both"/>
      </w:pPr>
    </w:p>
    <w:p w:rsidR="000758B2" w:rsidRPr="00F63893" w:rsidRDefault="000758B2" w:rsidP="000758B2">
      <w:pPr>
        <w:ind w:firstLine="720"/>
        <w:jc w:val="both"/>
        <w:rPr>
          <w:szCs w:val="22"/>
        </w:rPr>
      </w:pPr>
      <w:r w:rsidRPr="00F63893">
        <w:rPr>
          <w:szCs w:val="22"/>
        </w:rPr>
        <w:t>TOMANDO NOTA COM SATISFAÇÃO da realização da Reunião Ministerial de Alto Nível da CARICOM sobre os Direitos das Pessoas com Deficiência no Caribe, em Pétion</w:t>
      </w:r>
      <w:r>
        <w:rPr>
          <w:szCs w:val="22"/>
        </w:rPr>
        <w:t>-</w:t>
      </w:r>
      <w:r w:rsidRPr="00F63893">
        <w:rPr>
          <w:szCs w:val="22"/>
        </w:rPr>
        <w:t>Ville, Haiti, em 5 e 6 de dezembro de 2013, organizada</w:t>
      </w:r>
      <w:r>
        <w:rPr>
          <w:szCs w:val="22"/>
        </w:rPr>
        <w:t xml:space="preserve"> </w:t>
      </w:r>
      <w:r w:rsidRPr="00F63893">
        <w:rPr>
          <w:szCs w:val="22"/>
        </w:rPr>
        <w:t xml:space="preserve">com o apoio da Organização dos Estados Americanos e da Comissão Econômica para a América Latina e o Caribe, em que foram apresentados os marcos normativos do Sistema Interamericano para a proteção dos direitos das pessoas com deficiência, e em que se aprovou a Declaração de </w:t>
      </w:r>
      <w:r>
        <w:rPr>
          <w:szCs w:val="22"/>
        </w:rPr>
        <w:t xml:space="preserve">Pétion-Ville </w:t>
      </w:r>
      <w:r w:rsidRPr="00F63893">
        <w:rPr>
          <w:szCs w:val="22"/>
        </w:rPr>
        <w:t>sobre Políticas Públicas Inclusivas com o objetivo de elaborar uma estratégia para o desenvolvimento ou aprimoramento dos mecanismos existentes para a produção, coleta e análise dos dados sobre a população com deficiência no Caribe e para o monitoramento dos avanços em educação inclusiva, emprego, saúde e acessibilidade das pessoas com deficiência;</w:t>
      </w:r>
      <w:r w:rsidRPr="00F63893">
        <w:rPr>
          <w:rStyle w:val="Normal"/>
          <w:szCs w:val="22"/>
        </w:rPr>
        <w:t xml:space="preserve"> </w:t>
      </w:r>
      <w:r w:rsidRPr="00F63893">
        <w:rPr>
          <w:rStyle w:val="A01"/>
          <w:rFonts w:eastAsia="Calibri"/>
          <w:szCs w:val="22"/>
        </w:rPr>
        <w:t xml:space="preserve"> </w:t>
      </w:r>
    </w:p>
    <w:p w:rsidR="000758B2" w:rsidRPr="00F63893" w:rsidRDefault="000758B2" w:rsidP="000758B2">
      <w:pPr>
        <w:jc w:val="both"/>
        <w:rPr>
          <w:rStyle w:val="Normal"/>
          <w:szCs w:val="22"/>
        </w:rPr>
      </w:pPr>
    </w:p>
    <w:p w:rsidR="000758B2" w:rsidRPr="00F63893" w:rsidRDefault="000758B2" w:rsidP="000758B2">
      <w:pPr>
        <w:ind w:firstLine="720"/>
        <w:jc w:val="both"/>
        <w:rPr>
          <w:szCs w:val="22"/>
        </w:rPr>
      </w:pPr>
      <w:r w:rsidRPr="00F63893">
        <w:rPr>
          <w:rStyle w:val="Normal"/>
          <w:szCs w:val="22"/>
        </w:rPr>
        <w:t xml:space="preserve">TENDO VISTO o </w:t>
      </w:r>
      <w:r>
        <w:rPr>
          <w:rStyle w:val="Normal"/>
          <w:szCs w:val="22"/>
        </w:rPr>
        <w:t>“</w:t>
      </w:r>
      <w:r w:rsidRPr="00F63893">
        <w:rPr>
          <w:rStyle w:val="Normal"/>
          <w:szCs w:val="22"/>
        </w:rPr>
        <w:t>Relatório Final da Terceira Reunião Extraordinária da Comissão para a Eliminação de Todas as Formas de Discriminação contra as Pessoas com Deficiência (CEDDIS)</w:t>
      </w:r>
      <w:r>
        <w:rPr>
          <w:rStyle w:val="Normal"/>
          <w:szCs w:val="22"/>
        </w:rPr>
        <w:t xml:space="preserve">” </w:t>
      </w:r>
      <w:r w:rsidRPr="00F63893">
        <w:rPr>
          <w:rStyle w:val="Normal"/>
          <w:szCs w:val="22"/>
        </w:rPr>
        <w:t xml:space="preserve">(CP/CAJP/INF. 214/14), realizada na cidade de São José, Costa Rica, em 21 e 22 de novembro de 2013; </w:t>
      </w:r>
    </w:p>
    <w:p w:rsidR="000758B2" w:rsidRPr="00F63893" w:rsidRDefault="000758B2" w:rsidP="000758B2">
      <w:pPr>
        <w:jc w:val="both"/>
        <w:rPr>
          <w:szCs w:val="22"/>
        </w:rPr>
      </w:pPr>
    </w:p>
    <w:p w:rsidR="000758B2" w:rsidRPr="00F63893" w:rsidRDefault="000758B2" w:rsidP="000758B2">
      <w:pPr>
        <w:jc w:val="both"/>
        <w:rPr>
          <w:szCs w:val="22"/>
        </w:rPr>
      </w:pPr>
      <w:r w:rsidRPr="00F63893">
        <w:rPr>
          <w:rStyle w:val="Normal"/>
          <w:szCs w:val="22"/>
        </w:rPr>
        <w:tab/>
        <w:t>LEVANDO EM CONTA a realização da Quarta Reunião Extraordinária da CEDDIS, na Cidade do Panamá, Panamá, em 28 e 29 de maio de 2014;</w:t>
      </w:r>
    </w:p>
    <w:p w:rsidR="000758B2" w:rsidRPr="00F63893" w:rsidRDefault="000758B2" w:rsidP="000758B2">
      <w:pPr>
        <w:jc w:val="both"/>
        <w:rPr>
          <w:szCs w:val="22"/>
        </w:rPr>
      </w:pPr>
    </w:p>
    <w:p w:rsidR="000758B2" w:rsidRPr="00F63893" w:rsidRDefault="000758B2" w:rsidP="000758B2">
      <w:pPr>
        <w:jc w:val="both"/>
        <w:rPr>
          <w:szCs w:val="22"/>
        </w:rPr>
      </w:pPr>
      <w:r w:rsidRPr="00F63893">
        <w:rPr>
          <w:rStyle w:val="Normal"/>
          <w:szCs w:val="22"/>
        </w:rPr>
        <w:br w:type="page"/>
      </w:r>
      <w:r w:rsidRPr="00F63893">
        <w:rPr>
          <w:rStyle w:val="Normal"/>
          <w:szCs w:val="22"/>
        </w:rPr>
        <w:lastRenderedPageBreak/>
        <w:t>CONSIDERANDO:</w:t>
      </w:r>
    </w:p>
    <w:p w:rsidR="000758B2" w:rsidRPr="00F63893" w:rsidRDefault="000758B2" w:rsidP="000758B2">
      <w:pPr>
        <w:jc w:val="both"/>
        <w:rPr>
          <w:szCs w:val="22"/>
        </w:rPr>
      </w:pPr>
    </w:p>
    <w:p w:rsidR="000758B2" w:rsidRPr="00F63893" w:rsidRDefault="000758B2" w:rsidP="000758B2">
      <w:pPr>
        <w:ind w:firstLine="720"/>
        <w:jc w:val="both"/>
        <w:rPr>
          <w:szCs w:val="22"/>
        </w:rPr>
      </w:pPr>
      <w:r w:rsidRPr="00F63893">
        <w:rPr>
          <w:rStyle w:val="Normal"/>
          <w:szCs w:val="22"/>
        </w:rPr>
        <w:t>A solicitação da Secretaria Técnica da CEDDIS aos Estados Partes na Convenção, referente à apresentação do Segundo Relatório sobre o Cumprimento da CIADDIS e do Programa de Ação para a Década das Américas pelos Direitos e pela Dignidade das Pessoas com Deficiência (PAD); e</w:t>
      </w:r>
    </w:p>
    <w:p w:rsidR="000758B2" w:rsidRPr="00F63893" w:rsidRDefault="000758B2" w:rsidP="000758B2">
      <w:pPr>
        <w:jc w:val="both"/>
        <w:rPr>
          <w:szCs w:val="22"/>
        </w:rPr>
      </w:pPr>
    </w:p>
    <w:p w:rsidR="000758B2" w:rsidRPr="00F63893" w:rsidRDefault="000758B2" w:rsidP="000758B2">
      <w:pPr>
        <w:ind w:firstLine="720"/>
        <w:jc w:val="both"/>
        <w:rPr>
          <w:szCs w:val="22"/>
        </w:rPr>
      </w:pPr>
      <w:r w:rsidRPr="00F63893">
        <w:rPr>
          <w:rStyle w:val="Normal"/>
          <w:szCs w:val="22"/>
        </w:rPr>
        <w:t xml:space="preserve">A recomendação formulada pela </w:t>
      </w:r>
      <w:r>
        <w:rPr>
          <w:rStyle w:val="Normal"/>
          <w:szCs w:val="22"/>
        </w:rPr>
        <w:t>CEDDIS</w:t>
      </w:r>
      <w:r w:rsidRPr="00F63893">
        <w:rPr>
          <w:rStyle w:val="Normal"/>
          <w:szCs w:val="22"/>
        </w:rPr>
        <w:t xml:space="preserve"> na resolução CEDDIS/RES.</w:t>
      </w:r>
      <w:r>
        <w:rPr>
          <w:rStyle w:val="Normal"/>
          <w:szCs w:val="22"/>
        </w:rPr>
        <w:t xml:space="preserve"> </w:t>
      </w:r>
      <w:r w:rsidRPr="00F63893">
        <w:rPr>
          <w:rStyle w:val="Normal"/>
          <w:szCs w:val="22"/>
        </w:rPr>
        <w:t>3 (IV-O/12), aprovada em sua Quarta Reunião Ordinária, de encaminhar o tema deficiência para uma comissão ou instituto interamericano especializado, a fim de dar-lhe mais visibilidade, fortalecer iniciativas e programas de cooperação em âmbito hemisférico e conseguir maior impacto no cumprimento dos instrumentos interamericanos sobre deficiência; e</w:t>
      </w:r>
    </w:p>
    <w:p w:rsidR="000758B2" w:rsidRPr="00F63893" w:rsidRDefault="000758B2" w:rsidP="000758B2">
      <w:pPr>
        <w:autoSpaceDE w:val="0"/>
        <w:autoSpaceDN w:val="0"/>
        <w:adjustRightInd w:val="0"/>
        <w:jc w:val="both"/>
        <w:rPr>
          <w:szCs w:val="22"/>
        </w:rPr>
      </w:pPr>
    </w:p>
    <w:p w:rsidR="000758B2" w:rsidRPr="00F63893" w:rsidRDefault="000758B2" w:rsidP="000758B2">
      <w:pPr>
        <w:autoSpaceDE w:val="0"/>
        <w:autoSpaceDN w:val="0"/>
        <w:adjustRightInd w:val="0"/>
        <w:jc w:val="both"/>
        <w:rPr>
          <w:szCs w:val="22"/>
        </w:rPr>
      </w:pPr>
      <w:r w:rsidRPr="00F63893">
        <w:rPr>
          <w:rStyle w:val="Normal"/>
          <w:szCs w:val="22"/>
        </w:rPr>
        <w:t>RECONHECENDO:</w:t>
      </w:r>
    </w:p>
    <w:p w:rsidR="000758B2" w:rsidRPr="00F63893" w:rsidRDefault="000758B2" w:rsidP="000758B2">
      <w:pPr>
        <w:autoSpaceDE w:val="0"/>
        <w:autoSpaceDN w:val="0"/>
        <w:adjustRightInd w:val="0"/>
        <w:jc w:val="both"/>
        <w:rPr>
          <w:szCs w:val="22"/>
        </w:rPr>
      </w:pPr>
    </w:p>
    <w:p w:rsidR="000758B2" w:rsidRPr="00F63893" w:rsidRDefault="000758B2" w:rsidP="000758B2">
      <w:pPr>
        <w:autoSpaceDE w:val="0"/>
        <w:autoSpaceDN w:val="0"/>
        <w:adjustRightInd w:val="0"/>
        <w:ind w:firstLine="720"/>
        <w:jc w:val="both"/>
        <w:rPr>
          <w:color w:val="000000"/>
          <w:szCs w:val="22"/>
        </w:rPr>
      </w:pPr>
      <w:r w:rsidRPr="00F63893">
        <w:rPr>
          <w:rStyle w:val="Normal"/>
          <w:szCs w:val="22"/>
        </w:rPr>
        <w:t xml:space="preserve">O primeiro diagnóstico regional sobre o exercício da capacidade jurídica das pessoas com deficiência, adotado pela CEDDIS em sua Terceira Reunião Extraordinária mediante a resolução </w:t>
      </w:r>
      <w:r w:rsidRPr="00F63893">
        <w:rPr>
          <w:rStyle w:val="Normal"/>
          <w:color w:val="000000"/>
          <w:szCs w:val="22"/>
        </w:rPr>
        <w:t>CEDDIS/RES.</w:t>
      </w:r>
      <w:r>
        <w:rPr>
          <w:rStyle w:val="Normal"/>
          <w:color w:val="000000"/>
          <w:szCs w:val="22"/>
        </w:rPr>
        <w:t xml:space="preserve"> </w:t>
      </w:r>
      <w:r w:rsidRPr="00F63893">
        <w:rPr>
          <w:rStyle w:val="Normal"/>
          <w:color w:val="000000"/>
          <w:szCs w:val="22"/>
        </w:rPr>
        <w:t>1/13 (III-E/13)</w:t>
      </w:r>
      <w:r w:rsidRPr="00F63893">
        <w:rPr>
          <w:rStyle w:val="Normal"/>
          <w:szCs w:val="22"/>
        </w:rPr>
        <w:t>, com vistas à elaboração de um manual de instrução sobre apoios e salvaguardas para garantir os direitos das pessoas com deficiência; e</w:t>
      </w:r>
    </w:p>
    <w:p w:rsidR="000758B2" w:rsidRPr="00F63893" w:rsidRDefault="000758B2" w:rsidP="000758B2">
      <w:pPr>
        <w:autoSpaceDE w:val="0"/>
        <w:autoSpaceDN w:val="0"/>
        <w:adjustRightInd w:val="0"/>
        <w:jc w:val="both"/>
        <w:rPr>
          <w:color w:val="000000"/>
          <w:szCs w:val="22"/>
        </w:rPr>
      </w:pPr>
    </w:p>
    <w:p w:rsidR="000758B2" w:rsidRPr="00F63893" w:rsidRDefault="000758B2" w:rsidP="000758B2">
      <w:pPr>
        <w:ind w:firstLine="720"/>
        <w:jc w:val="both"/>
        <w:rPr>
          <w:szCs w:val="22"/>
        </w:rPr>
      </w:pPr>
      <w:r w:rsidRPr="00F63893">
        <w:rPr>
          <w:rStyle w:val="Normal"/>
          <w:szCs w:val="22"/>
        </w:rPr>
        <w:t xml:space="preserve">As contribuições da sociedade civil para o diálogo mantido com a </w:t>
      </w:r>
      <w:r>
        <w:rPr>
          <w:rStyle w:val="Normal"/>
          <w:szCs w:val="22"/>
        </w:rPr>
        <w:t>CEDDIS</w:t>
      </w:r>
      <w:r w:rsidRPr="00F63893">
        <w:rPr>
          <w:rStyle w:val="Normal"/>
          <w:szCs w:val="22"/>
        </w:rPr>
        <w:t xml:space="preserve"> em sua Terceira Reunião Extraordinária, bem como as recomendações apresentadas nessa ocasião, as quais serão consideradas na próxima reunião da CEDDIS, nos termos do Artigo 23 do Regulamento da Comissão,</w:t>
      </w:r>
    </w:p>
    <w:p w:rsidR="000758B2" w:rsidRPr="00F63893" w:rsidRDefault="000758B2" w:rsidP="000758B2">
      <w:pPr>
        <w:jc w:val="both"/>
        <w:rPr>
          <w:szCs w:val="22"/>
        </w:rPr>
      </w:pPr>
    </w:p>
    <w:p w:rsidR="000758B2" w:rsidRPr="00F63893" w:rsidRDefault="000758B2" w:rsidP="000758B2">
      <w:pPr>
        <w:jc w:val="both"/>
        <w:rPr>
          <w:szCs w:val="22"/>
        </w:rPr>
      </w:pPr>
      <w:r w:rsidRPr="00F63893">
        <w:rPr>
          <w:rStyle w:val="Normal"/>
          <w:szCs w:val="22"/>
        </w:rPr>
        <w:t>RESOLVE:</w:t>
      </w:r>
    </w:p>
    <w:p w:rsidR="000758B2" w:rsidRPr="00F63893" w:rsidRDefault="000758B2" w:rsidP="000758B2">
      <w:pPr>
        <w:jc w:val="both"/>
        <w:rPr>
          <w:szCs w:val="22"/>
        </w:rPr>
      </w:pPr>
    </w:p>
    <w:p w:rsidR="000758B2" w:rsidRPr="00F63893" w:rsidRDefault="000758B2" w:rsidP="000758B2">
      <w:pPr>
        <w:numPr>
          <w:ilvl w:val="0"/>
          <w:numId w:val="1"/>
        </w:numPr>
        <w:tabs>
          <w:tab w:val="clear" w:pos="1440"/>
        </w:tabs>
        <w:ind w:left="0" w:firstLine="720"/>
        <w:jc w:val="both"/>
        <w:rPr>
          <w:szCs w:val="22"/>
        </w:rPr>
      </w:pPr>
      <w:r w:rsidRPr="00F63893">
        <w:rPr>
          <w:rStyle w:val="Normal"/>
          <w:szCs w:val="22"/>
        </w:rPr>
        <w:t>Felicitar a Comunidade do Caribe (CARICOM) pelo compromisso demonstrado com o fortalecimento das ações voltadas para alcançar a plena inclusão das pessoas com deficiência no Caribe, à luz da aprovação da Declaração de P</w:t>
      </w:r>
      <w:r>
        <w:rPr>
          <w:rStyle w:val="Normal"/>
          <w:szCs w:val="22"/>
        </w:rPr>
        <w:t>étion-Ville</w:t>
      </w:r>
      <w:r w:rsidRPr="00F63893">
        <w:rPr>
          <w:rStyle w:val="Normal"/>
          <w:szCs w:val="22"/>
        </w:rPr>
        <w:t>, e convidar os Estados membros dessa entidade a que se somem  ao processo de monitoramento dos avanços na construção de sociedades inclusivas em âmbito hemisférico, com a apresentação de relatórios nacionais sobre a implementação da Convenção Interamericana para a Eliminação de Todas as Formas de Discriminação contra as Pessoas Portadoras de Deficiência (CIADDIS) e/ou do Programa de Ação para a Década das Américas pelos Direitos e pela Dignidade das Pessoas com Deficiência (PAD).</w:t>
      </w:r>
    </w:p>
    <w:p w:rsidR="000758B2" w:rsidRPr="00F63893" w:rsidRDefault="000758B2" w:rsidP="000758B2">
      <w:pPr>
        <w:jc w:val="both"/>
        <w:rPr>
          <w:szCs w:val="22"/>
        </w:rPr>
      </w:pPr>
    </w:p>
    <w:p w:rsidR="000758B2" w:rsidRPr="00F63893" w:rsidRDefault="000758B2" w:rsidP="000758B2">
      <w:pPr>
        <w:numPr>
          <w:ilvl w:val="0"/>
          <w:numId w:val="1"/>
        </w:numPr>
        <w:tabs>
          <w:tab w:val="clear" w:pos="1440"/>
        </w:tabs>
        <w:ind w:left="0" w:firstLine="720"/>
        <w:jc w:val="both"/>
        <w:rPr>
          <w:rStyle w:val="Normal"/>
          <w:szCs w:val="22"/>
        </w:rPr>
      </w:pPr>
      <w:r w:rsidRPr="00F63893">
        <w:rPr>
          <w:rStyle w:val="Normal"/>
          <w:szCs w:val="22"/>
        </w:rPr>
        <w:t>Incentivar os Estados membros da Organização dos Estados Americanos (OEA) que não são Partes na CIADDIS a que adiram a essa Convenção, e a ratifiquem, a fim de intensificar os esforços regionais pela eliminação de toda forma de discriminação contra as pessoas com deficiência e propiciar sua plena integração a todos os âmbitos da sociedade.</w:t>
      </w:r>
    </w:p>
    <w:p w:rsidR="000758B2" w:rsidRPr="00F63893" w:rsidRDefault="000758B2" w:rsidP="000758B2">
      <w:pPr>
        <w:pStyle w:val="ListParagraph"/>
        <w:spacing w:after="0" w:line="240" w:lineRule="auto"/>
        <w:ind w:left="0"/>
        <w:jc w:val="both"/>
        <w:rPr>
          <w:lang w:val="pt-BR"/>
        </w:rPr>
      </w:pPr>
    </w:p>
    <w:p w:rsidR="000758B2" w:rsidRPr="00F63893" w:rsidRDefault="000758B2" w:rsidP="000758B2">
      <w:pPr>
        <w:numPr>
          <w:ilvl w:val="0"/>
          <w:numId w:val="1"/>
        </w:numPr>
        <w:tabs>
          <w:tab w:val="clear" w:pos="1440"/>
        </w:tabs>
        <w:ind w:left="0" w:firstLine="720"/>
        <w:jc w:val="both"/>
        <w:rPr>
          <w:szCs w:val="22"/>
        </w:rPr>
      </w:pPr>
      <w:r w:rsidRPr="00F63893">
        <w:rPr>
          <w:rStyle w:val="Normal"/>
          <w:szCs w:val="22"/>
        </w:rPr>
        <w:t>Solicitar ao Conselho Permanente que tome nota da recomendação formulada pela Comissão para a Eliminação de Todas as Formas de Discriminação contra as Pessoas com Deficiência</w:t>
      </w:r>
      <w:r w:rsidRPr="00F63893" w:rsidDel="00F84C1F">
        <w:rPr>
          <w:rStyle w:val="Normal"/>
          <w:szCs w:val="22"/>
        </w:rPr>
        <w:t xml:space="preserve"> </w:t>
      </w:r>
      <w:r w:rsidRPr="00F63893">
        <w:rPr>
          <w:rStyle w:val="Normal"/>
          <w:szCs w:val="22"/>
        </w:rPr>
        <w:t>(CEDDIS)</w:t>
      </w:r>
      <w:r>
        <w:rPr>
          <w:rStyle w:val="Normal"/>
          <w:szCs w:val="22"/>
        </w:rPr>
        <w:t xml:space="preserve"> </w:t>
      </w:r>
      <w:r w:rsidRPr="00F63893">
        <w:rPr>
          <w:rStyle w:val="Normal"/>
          <w:szCs w:val="22"/>
        </w:rPr>
        <w:t xml:space="preserve">na resolução CEDDIS/RES.3 (IV-O/12) de que se examine a viabilidade de elevar o tema deficiência em nossa região para uma instância de natureza semelhante à das comissões ou de um instituto interamericano, considerando as implicações de natureza jurídica, financeira e estrutural. </w:t>
      </w:r>
    </w:p>
    <w:p w:rsidR="000758B2" w:rsidRPr="00F63893" w:rsidRDefault="000758B2" w:rsidP="000758B2">
      <w:pPr>
        <w:jc w:val="both"/>
        <w:rPr>
          <w:szCs w:val="22"/>
        </w:rPr>
      </w:pPr>
    </w:p>
    <w:p w:rsidR="000758B2" w:rsidRPr="00F63893" w:rsidRDefault="000758B2" w:rsidP="000758B2">
      <w:pPr>
        <w:numPr>
          <w:ilvl w:val="0"/>
          <w:numId w:val="1"/>
        </w:numPr>
        <w:tabs>
          <w:tab w:val="clear" w:pos="1440"/>
        </w:tabs>
        <w:ind w:left="0" w:firstLine="720"/>
        <w:jc w:val="both"/>
        <w:rPr>
          <w:szCs w:val="22"/>
        </w:rPr>
      </w:pPr>
      <w:r w:rsidRPr="00F63893">
        <w:rPr>
          <w:rStyle w:val="Normal"/>
          <w:szCs w:val="22"/>
        </w:rPr>
        <w:t>Felicitar a CEDDIS pela relatoria do primeiro diagnóstico sobre o exercício da capacidade jurídica das pessoas com deficiência na região, e solicitar ao Secretário-Geral que dê a mais ampla divulgação a esse documento.</w:t>
      </w:r>
    </w:p>
    <w:p w:rsidR="000758B2" w:rsidRPr="00F63893" w:rsidRDefault="000758B2" w:rsidP="000758B2">
      <w:pPr>
        <w:jc w:val="both"/>
        <w:rPr>
          <w:szCs w:val="22"/>
        </w:rPr>
      </w:pPr>
    </w:p>
    <w:p w:rsidR="000758B2" w:rsidRPr="00F63893" w:rsidRDefault="000758B2" w:rsidP="000758B2">
      <w:pPr>
        <w:numPr>
          <w:ilvl w:val="0"/>
          <w:numId w:val="1"/>
        </w:numPr>
        <w:tabs>
          <w:tab w:val="clear" w:pos="1440"/>
        </w:tabs>
        <w:ind w:left="0" w:firstLine="720"/>
        <w:jc w:val="both"/>
        <w:rPr>
          <w:szCs w:val="22"/>
        </w:rPr>
      </w:pPr>
      <w:r w:rsidRPr="00F63893">
        <w:rPr>
          <w:rStyle w:val="Normal"/>
          <w:szCs w:val="22"/>
        </w:rPr>
        <w:t xml:space="preserve">Reiterar a importância de que se efetuem contribuições voluntárias para o “Fundo Específico para a Comissão para a Eliminação de Todas as Formas de Discriminação contras as Pessoas </w:t>
      </w:r>
      <w:r w:rsidRPr="00F63893">
        <w:rPr>
          <w:rStyle w:val="Normal"/>
          <w:szCs w:val="22"/>
        </w:rPr>
        <w:lastRenderedPageBreak/>
        <w:t>com Deficiência” [CP/RES. 947 (1683/09)], criado para complementar o fin</w:t>
      </w:r>
      <w:r>
        <w:rPr>
          <w:rStyle w:val="Normal"/>
          <w:szCs w:val="22"/>
        </w:rPr>
        <w:t xml:space="preserve">anciamento das atividades da CEDDIS </w:t>
      </w:r>
      <w:r w:rsidRPr="00F63893">
        <w:rPr>
          <w:rStyle w:val="Normal"/>
          <w:szCs w:val="22"/>
        </w:rPr>
        <w:t xml:space="preserve">e de sua Secretaria Técnica. </w:t>
      </w:r>
    </w:p>
    <w:p w:rsidR="000758B2" w:rsidRPr="00F63893" w:rsidRDefault="000758B2" w:rsidP="000758B2">
      <w:pPr>
        <w:jc w:val="both"/>
        <w:rPr>
          <w:szCs w:val="22"/>
        </w:rPr>
      </w:pPr>
    </w:p>
    <w:p w:rsidR="000758B2" w:rsidRPr="00F63893" w:rsidRDefault="000758B2" w:rsidP="000758B2">
      <w:pPr>
        <w:numPr>
          <w:ilvl w:val="0"/>
          <w:numId w:val="1"/>
        </w:numPr>
        <w:tabs>
          <w:tab w:val="clear" w:pos="1440"/>
        </w:tabs>
        <w:ind w:left="0" w:firstLine="720"/>
        <w:jc w:val="both"/>
        <w:rPr>
          <w:szCs w:val="22"/>
        </w:rPr>
      </w:pPr>
      <w:r w:rsidRPr="00F63893">
        <w:rPr>
          <w:rStyle w:val="Normal"/>
          <w:szCs w:val="22"/>
        </w:rPr>
        <w:t xml:space="preserve">Convidar os Estados membros e os Observadores Permanentes, bem como pessoas ou entidades públicas e privadas, nacionais ou internacionais, a que contribuam para o referido fundo e solicitar ao Secretário-Geral que realize gestões para a captação de novos recursos em favor desse fundo. </w:t>
      </w:r>
    </w:p>
    <w:p w:rsidR="000758B2" w:rsidRPr="00F63893" w:rsidRDefault="000758B2" w:rsidP="000758B2">
      <w:pPr>
        <w:jc w:val="both"/>
        <w:rPr>
          <w:szCs w:val="22"/>
        </w:rPr>
      </w:pPr>
    </w:p>
    <w:p w:rsidR="000758B2" w:rsidRPr="00F63893" w:rsidRDefault="000758B2" w:rsidP="000758B2">
      <w:pPr>
        <w:numPr>
          <w:ilvl w:val="0"/>
          <w:numId w:val="1"/>
        </w:numPr>
        <w:tabs>
          <w:tab w:val="clear" w:pos="1440"/>
        </w:tabs>
        <w:ind w:left="0" w:firstLine="720"/>
        <w:jc w:val="both"/>
        <w:rPr>
          <w:szCs w:val="22"/>
        </w:rPr>
      </w:pPr>
      <w:r w:rsidRPr="00F63893">
        <w:rPr>
          <w:rStyle w:val="Normal"/>
          <w:szCs w:val="22"/>
        </w:rPr>
        <w:t xml:space="preserve">Agradecer aos Governos do Chile, da Colômbia e do Peru as recentes contribuições financeiras feitas ao referido fundo em 2013, e reconhecer a contribuição do Governo do Panamá, o que tornou possível a definição de novos parâmetros e a adoção de uma nova metodologia para o acompanhamento e o monitoramento dos avanços na implementação da CIADDIS e do PAD. </w:t>
      </w:r>
    </w:p>
    <w:p w:rsidR="000758B2" w:rsidRPr="00F63893" w:rsidRDefault="000758B2" w:rsidP="000758B2">
      <w:pPr>
        <w:jc w:val="both"/>
        <w:rPr>
          <w:szCs w:val="22"/>
        </w:rPr>
      </w:pPr>
    </w:p>
    <w:p w:rsidR="000758B2" w:rsidRPr="00F63893" w:rsidRDefault="000758B2" w:rsidP="000758B2">
      <w:pPr>
        <w:numPr>
          <w:ilvl w:val="0"/>
          <w:numId w:val="1"/>
        </w:numPr>
        <w:tabs>
          <w:tab w:val="clear" w:pos="1440"/>
        </w:tabs>
        <w:ind w:left="0" w:firstLine="720"/>
        <w:jc w:val="both"/>
        <w:rPr>
          <w:szCs w:val="22"/>
        </w:rPr>
      </w:pPr>
      <w:r w:rsidRPr="00F63893">
        <w:rPr>
          <w:rStyle w:val="Normal"/>
          <w:szCs w:val="22"/>
        </w:rPr>
        <w:t>Reiterar à Secretaria-Geral a solicitação de que realize gestões com vistas à avanços progressivos na acessibilidade para pessoas com deficiência às instalações da OEA, bem como aos instrumentos de divulgação de informações, como documentos, comunicações,</w:t>
      </w:r>
      <w:r>
        <w:rPr>
          <w:rStyle w:val="Normal"/>
          <w:szCs w:val="22"/>
        </w:rPr>
        <w:t xml:space="preserve"> </w:t>
      </w:r>
      <w:r w:rsidRPr="00F63893">
        <w:rPr>
          <w:rStyle w:val="Normal"/>
          <w:szCs w:val="22"/>
        </w:rPr>
        <w:t xml:space="preserve">página eletrônica e outros, em coerência com o princípio de não discriminação da CIADDIS. </w:t>
      </w:r>
    </w:p>
    <w:p w:rsidR="000758B2" w:rsidRPr="00F63893" w:rsidRDefault="000758B2" w:rsidP="000758B2">
      <w:pPr>
        <w:jc w:val="both"/>
        <w:rPr>
          <w:szCs w:val="22"/>
        </w:rPr>
      </w:pPr>
    </w:p>
    <w:p w:rsidR="000758B2" w:rsidRPr="00F63893" w:rsidRDefault="000758B2" w:rsidP="000758B2">
      <w:pPr>
        <w:numPr>
          <w:ilvl w:val="0"/>
          <w:numId w:val="1"/>
        </w:numPr>
        <w:tabs>
          <w:tab w:val="clear" w:pos="1440"/>
        </w:tabs>
        <w:ind w:left="0" w:firstLine="720"/>
        <w:jc w:val="both"/>
        <w:rPr>
          <w:szCs w:val="22"/>
        </w:rPr>
      </w:pPr>
      <w:r w:rsidRPr="00F63893">
        <w:rPr>
          <w:rStyle w:val="Normal"/>
          <w:szCs w:val="22"/>
        </w:rPr>
        <w:t xml:space="preserve">Reiterar à Secretaria-Geral a necessidade de implementar os mais amplos esforços para transversalizar a perspectiva de inclusão das pessoas com deficiência, com base em um enfoque de direitos, em todas as ações e decisões da OEA, e de divulgar da maneira mais ampla possível os objetivos da CEDDIS; e reconhecer, nesse sentido, as relações de cooperação estabelecidas com a Comissão Interamericana de Direitos Humanos para a divulgação das recomendações da CEDDIS sobre o exercício da capacidade jurídica das pessoas com deficiência. </w:t>
      </w:r>
    </w:p>
    <w:p w:rsidR="000758B2" w:rsidRPr="00F63893" w:rsidRDefault="000758B2" w:rsidP="000758B2">
      <w:pPr>
        <w:pStyle w:val="ListParagraph"/>
        <w:spacing w:after="0" w:line="240" w:lineRule="auto"/>
        <w:ind w:left="0"/>
        <w:jc w:val="both"/>
        <w:rPr>
          <w:lang w:val="pt-BR"/>
        </w:rPr>
      </w:pPr>
    </w:p>
    <w:p w:rsidR="000758B2" w:rsidRPr="00F63893" w:rsidRDefault="000758B2" w:rsidP="000758B2">
      <w:pPr>
        <w:numPr>
          <w:ilvl w:val="0"/>
          <w:numId w:val="1"/>
        </w:numPr>
        <w:tabs>
          <w:tab w:val="clear" w:pos="1440"/>
        </w:tabs>
        <w:ind w:left="0" w:firstLine="720"/>
        <w:jc w:val="both"/>
        <w:rPr>
          <w:szCs w:val="22"/>
        </w:rPr>
      </w:pPr>
      <w:r w:rsidRPr="00F63893">
        <w:rPr>
          <w:rStyle w:val="Normal"/>
          <w:szCs w:val="22"/>
        </w:rPr>
        <w:t xml:space="preserve">Agradecer aos povos e aos Governos das Repúblicas da Costa Rica e do Panamá a generosa hospitalidade e o apoio decidido e eficaz, que contribuíram para assegurar, respectivamente, o êxito da Terceira e </w:t>
      </w:r>
      <w:r>
        <w:rPr>
          <w:rStyle w:val="Normal"/>
          <w:szCs w:val="22"/>
        </w:rPr>
        <w:t xml:space="preserve">Quarta Reuniões Extraordinárias </w:t>
      </w:r>
      <w:r w:rsidRPr="00F63893">
        <w:rPr>
          <w:rStyle w:val="Normal"/>
          <w:szCs w:val="22"/>
        </w:rPr>
        <w:t xml:space="preserve">da CEDDIS. </w:t>
      </w:r>
    </w:p>
    <w:p w:rsidR="000758B2" w:rsidRPr="00F63893" w:rsidRDefault="000758B2" w:rsidP="000758B2">
      <w:pPr>
        <w:jc w:val="both"/>
        <w:rPr>
          <w:szCs w:val="22"/>
        </w:rPr>
      </w:pPr>
    </w:p>
    <w:p w:rsidR="000758B2" w:rsidRPr="00F63893" w:rsidRDefault="000758B2" w:rsidP="000758B2">
      <w:pPr>
        <w:numPr>
          <w:ilvl w:val="0"/>
          <w:numId w:val="1"/>
        </w:numPr>
        <w:tabs>
          <w:tab w:val="clear" w:pos="1440"/>
        </w:tabs>
        <w:ind w:left="0" w:firstLine="720"/>
        <w:jc w:val="both"/>
        <w:rPr>
          <w:rStyle w:val="Normal"/>
          <w:szCs w:val="22"/>
        </w:rPr>
      </w:pPr>
      <w:r w:rsidRPr="00F63893">
        <w:rPr>
          <w:rStyle w:val="Normal"/>
          <w:szCs w:val="22"/>
        </w:rPr>
        <w:t xml:space="preserve">Agradecer aos Estados membros que apresentaram o Segundo Relatório sobre o Cumprimento da CIADDIS, de acordo com o procedimento e o prazo estabelecidos, e incentivar os Estados Partes que ainda não o tenham apresentado a que o façam no decorrer deste ano, a fim de que se conclua com êxito o processo de monitoramento do andamento da implementação da referida Convenção. </w:t>
      </w:r>
    </w:p>
    <w:p w:rsidR="000758B2" w:rsidRPr="00F63893" w:rsidRDefault="000758B2" w:rsidP="000758B2">
      <w:pPr>
        <w:pStyle w:val="ListParagraph"/>
        <w:spacing w:after="0" w:line="240" w:lineRule="auto"/>
        <w:ind w:left="0"/>
        <w:jc w:val="both"/>
        <w:rPr>
          <w:lang w:val="pt-BR"/>
        </w:rPr>
      </w:pPr>
    </w:p>
    <w:p w:rsidR="000758B2" w:rsidRPr="00F63893" w:rsidRDefault="000758B2" w:rsidP="000758B2">
      <w:pPr>
        <w:numPr>
          <w:ilvl w:val="0"/>
          <w:numId w:val="1"/>
        </w:numPr>
        <w:tabs>
          <w:tab w:val="clear" w:pos="1440"/>
        </w:tabs>
        <w:ind w:left="0" w:firstLine="720"/>
        <w:jc w:val="both"/>
        <w:rPr>
          <w:rStyle w:val="Normal"/>
          <w:szCs w:val="22"/>
        </w:rPr>
      </w:pPr>
      <w:r w:rsidRPr="00F63893">
        <w:rPr>
          <w:rStyle w:val="Normal"/>
          <w:szCs w:val="22"/>
        </w:rPr>
        <w:t xml:space="preserve">Encarregar o Conselho Permanente de informar a Assembleia Geral, em seu Quadragésimo Quinto Período Ordinário de Sessões, sobre a implementação desta resolução. A execução das atividades previstas nesta resolução estará sujeita à disponibilidade de recursos financeiros no orçamento-programa da Organização e outros recursos. </w:t>
      </w:r>
    </w:p>
    <w:p w:rsidR="001A54AF" w:rsidRDefault="001A54AF">
      <w:bookmarkStart w:id="11" w:name="_GoBack"/>
      <w:bookmarkEnd w:id="11"/>
    </w:p>
    <w:sectPr w:rsidR="001A54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619B"/>
    <w:multiLevelType w:val="hybridMultilevel"/>
    <w:tmpl w:val="973C5054"/>
    <w:lvl w:ilvl="0" w:tplc="341EF3C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8B2"/>
    <w:rsid w:val="000758B2"/>
    <w:rsid w:val="001A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1C42C-94A0-45D4-80C6-4C5F077A9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8B2"/>
    <w:pPr>
      <w:spacing w:after="0" w:line="240" w:lineRule="auto"/>
    </w:pPr>
    <w:rPr>
      <w:rFonts w:ascii="Times New Roman" w:eastAsia="Times New Roman" w:hAnsi="Times New Roman" w:cs="Times New Roman"/>
      <w:szCs w:val="20"/>
      <w:lang w:val="pt-BR"/>
    </w:rPr>
  </w:style>
  <w:style w:type="paragraph" w:styleId="Heading1">
    <w:name w:val="heading 1"/>
    <w:aliases w:val="Heading 1 Char Char,Heading 1 Char1,Heading 1 Char1 Car"/>
    <w:basedOn w:val="Normal"/>
    <w:next w:val="Normal"/>
    <w:link w:val="Heading1Char"/>
    <w:qFormat/>
    <w:rsid w:val="000758B2"/>
    <w:pPr>
      <w:jc w:val="center"/>
      <w:outlineLvl w:val="0"/>
    </w:pPr>
    <w:rPr>
      <w:rFonts w:eastAsia="Calibri"/>
      <w:bCs/>
      <w:color w:val="000000"/>
      <w:szCs w:val="28"/>
      <w:lang w:val="es-ES" w:eastAsia="es-ES"/>
    </w:rPr>
  </w:style>
  <w:style w:type="paragraph" w:styleId="Heading2">
    <w:name w:val="heading 2"/>
    <w:basedOn w:val="Normal"/>
    <w:next w:val="Normal"/>
    <w:link w:val="Heading2Char"/>
    <w:unhideWhenUsed/>
    <w:qFormat/>
    <w:rsid w:val="000758B2"/>
    <w:pPr>
      <w:keepNext/>
      <w:jc w:val="center"/>
      <w:outlineLvl w:val="1"/>
    </w:pPr>
    <w:rPr>
      <w:bCs/>
      <w:i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,Heading 1 Char1 Char,Heading 1 Char1 Car Char,Heading 1 Char1 Char Char"/>
    <w:basedOn w:val="DefaultParagraphFont"/>
    <w:link w:val="Heading1"/>
    <w:rsid w:val="000758B2"/>
    <w:rPr>
      <w:rFonts w:ascii="Times New Roman" w:eastAsia="Calibri" w:hAnsi="Times New Roman" w:cs="Times New Roman"/>
      <w:bCs/>
      <w:color w:val="000000"/>
      <w:szCs w:val="28"/>
      <w:lang w:val="es-ES" w:eastAsia="es-ES"/>
    </w:rPr>
  </w:style>
  <w:style w:type="character" w:customStyle="1" w:styleId="Heading2Char">
    <w:name w:val="Heading 2 Char"/>
    <w:basedOn w:val="DefaultParagraphFont"/>
    <w:link w:val="Heading2"/>
    <w:rsid w:val="000758B2"/>
    <w:rPr>
      <w:rFonts w:ascii="Times New Roman" w:eastAsia="Times New Roman" w:hAnsi="Times New Roman" w:cs="Times New Roman"/>
      <w:bCs/>
      <w:iCs/>
      <w:lang w:val="pt-BR"/>
    </w:rPr>
  </w:style>
  <w:style w:type="paragraph" w:styleId="ListParagraph">
    <w:name w:val="List Paragraph"/>
    <w:basedOn w:val="Normal"/>
    <w:uiPriority w:val="34"/>
    <w:qFormat/>
    <w:rsid w:val="000758B2"/>
    <w:pPr>
      <w:spacing w:after="200" w:line="276" w:lineRule="auto"/>
      <w:ind w:left="720"/>
      <w:contextualSpacing/>
    </w:pPr>
    <w:rPr>
      <w:rFonts w:ascii="Calibri" w:hAnsi="Calibri"/>
      <w:szCs w:val="22"/>
      <w:lang w:val="es-UY"/>
    </w:rPr>
  </w:style>
  <w:style w:type="character" w:customStyle="1" w:styleId="A01">
    <w:name w:val="A0+1"/>
    <w:rsid w:val="000758B2"/>
    <w:rPr>
      <w:rFonts w:cs="Minion Pro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TRIBAD Intern 1 (Sosa, Ines)</dc:creator>
  <cp:keywords/>
  <dc:description/>
  <cp:lastModifiedBy>TRIBAD Intern 1 (Sosa, Ines)</cp:lastModifiedBy>
  <cp:revision>1</cp:revision>
  <dcterms:created xsi:type="dcterms:W3CDTF">2017-09-11T16:39:00Z</dcterms:created>
  <dcterms:modified xsi:type="dcterms:W3CDTF">2017-09-11T16:39:00Z</dcterms:modified>
</cp:coreProperties>
</file>