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D144F" w14:textId="4827EE1D" w:rsidR="00316B7B" w:rsidRPr="00751EF2" w:rsidRDefault="00316B7B" w:rsidP="00316B7B">
      <w:pPr>
        <w:rPr>
          <w:rFonts w:eastAsiaTheme="minorHAnsi"/>
          <w:sz w:val="22"/>
          <w:szCs w:val="22"/>
          <w14:ligatures w14:val="standardContextual"/>
        </w:rPr>
      </w:pPr>
      <w:r w:rsidRPr="00751EF2">
        <w:rPr>
          <w:rFonts w:eastAsia="Times"/>
          <w:b/>
          <w:bCs/>
          <w:sz w:val="22"/>
          <w:szCs w:val="22"/>
        </w:rPr>
        <w:t>TENTH REGULAR MEETING OF THE</w:t>
      </w:r>
      <w:r w:rsidRPr="00751EF2">
        <w:rPr>
          <w:rFonts w:eastAsia="Times"/>
          <w:sz w:val="22"/>
          <w:szCs w:val="22"/>
        </w:rPr>
        <w:tab/>
      </w:r>
      <w:r w:rsidRPr="00751EF2">
        <w:rPr>
          <w:rFonts w:eastAsia="Times"/>
          <w:sz w:val="22"/>
          <w:szCs w:val="22"/>
        </w:rPr>
        <w:tab/>
      </w:r>
      <w:r w:rsidRPr="00751EF2">
        <w:rPr>
          <w:rFonts w:eastAsia="Times"/>
          <w:sz w:val="22"/>
          <w:szCs w:val="22"/>
        </w:rPr>
        <w:tab/>
      </w:r>
      <w:r w:rsidRPr="00751EF2">
        <w:rPr>
          <w:rFonts w:eastAsia="Times"/>
          <w:sz w:val="22"/>
          <w:szCs w:val="22"/>
        </w:rPr>
        <w:tab/>
      </w:r>
      <w:r>
        <w:rPr>
          <w:rFonts w:eastAsia="Times"/>
          <w:sz w:val="22"/>
          <w:szCs w:val="22"/>
        </w:rPr>
        <w:t xml:space="preserve">     </w:t>
      </w:r>
      <w:r w:rsidRPr="00751EF2">
        <w:rPr>
          <w:rFonts w:eastAsiaTheme="minorHAnsi"/>
          <w:sz w:val="22"/>
          <w:szCs w:val="22"/>
          <w14:ligatures w14:val="standardContextual"/>
        </w:rPr>
        <w:t>OEA/</w:t>
      </w:r>
      <w:proofErr w:type="spellStart"/>
      <w:r w:rsidRPr="00751EF2">
        <w:rPr>
          <w:rFonts w:eastAsiaTheme="minorHAnsi"/>
          <w:sz w:val="22"/>
          <w:szCs w:val="22"/>
          <w14:ligatures w14:val="standardContextual"/>
        </w:rPr>
        <w:t>Ser.W</w:t>
      </w:r>
      <w:proofErr w:type="spellEnd"/>
      <w:r w:rsidRPr="00751EF2">
        <w:rPr>
          <w:rFonts w:eastAsiaTheme="minorHAnsi"/>
          <w:sz w:val="22"/>
          <w:szCs w:val="22"/>
          <w14:ligatures w14:val="standardContextual"/>
        </w:rPr>
        <w:t>/XIII.6.10</w:t>
      </w:r>
    </w:p>
    <w:p w14:paraId="6260F8F5" w14:textId="314CF195" w:rsidR="00316B7B" w:rsidRPr="00751EF2" w:rsidRDefault="00316B7B" w:rsidP="00316B7B">
      <w:pPr>
        <w:rPr>
          <w:rFonts w:eastAsiaTheme="minorHAnsi"/>
          <w:sz w:val="22"/>
          <w:szCs w:val="22"/>
          <w14:ligatures w14:val="standardContextual"/>
        </w:rPr>
      </w:pPr>
      <w:r w:rsidRPr="00751EF2">
        <w:rPr>
          <w:rFonts w:eastAsia="Times"/>
          <w:b/>
          <w:bCs/>
          <w:sz w:val="22"/>
          <w:szCs w:val="22"/>
        </w:rPr>
        <w:t>INTER-AMERICAN COMMITTEE ON EDUCATION</w:t>
      </w:r>
      <w:r w:rsidRPr="00751EF2">
        <w:rPr>
          <w:rFonts w:eastAsia="Times"/>
          <w:sz w:val="22"/>
          <w:szCs w:val="22"/>
        </w:rPr>
        <w:tab/>
      </w:r>
      <w:r w:rsidRPr="00751EF2">
        <w:rPr>
          <w:rFonts w:eastAsia="Times"/>
          <w:sz w:val="22"/>
          <w:szCs w:val="22"/>
        </w:rPr>
        <w:tab/>
      </w:r>
      <w:r>
        <w:rPr>
          <w:rFonts w:eastAsia="Times"/>
          <w:sz w:val="22"/>
          <w:szCs w:val="22"/>
        </w:rPr>
        <w:t xml:space="preserve">     </w:t>
      </w:r>
      <w:r w:rsidRPr="00751EF2">
        <w:rPr>
          <w:rFonts w:eastAsiaTheme="minorHAnsi"/>
          <w:sz w:val="22"/>
          <w:szCs w:val="22"/>
          <w14:ligatures w14:val="standardContextual"/>
        </w:rPr>
        <w:t>CIDI/CIE/doc.</w:t>
      </w:r>
      <w:r>
        <w:rPr>
          <w:rFonts w:eastAsiaTheme="minorHAnsi"/>
          <w:sz w:val="22"/>
          <w:szCs w:val="22"/>
          <w14:ligatures w14:val="standardContextual"/>
        </w:rPr>
        <w:t>3</w:t>
      </w:r>
      <w:r w:rsidRPr="00751EF2">
        <w:rPr>
          <w:rFonts w:eastAsiaTheme="minorHAnsi"/>
          <w:sz w:val="22"/>
          <w:szCs w:val="22"/>
          <w14:ligatures w14:val="standardContextual"/>
        </w:rPr>
        <w:t>/24</w:t>
      </w:r>
      <w:r w:rsidR="002518DD">
        <w:rPr>
          <w:rFonts w:eastAsiaTheme="minorHAnsi"/>
          <w:sz w:val="22"/>
          <w:szCs w:val="22"/>
          <w14:ligatures w14:val="standardContextual"/>
        </w:rPr>
        <w:t xml:space="preserve"> rev.1</w:t>
      </w:r>
    </w:p>
    <w:p w14:paraId="3D3BBC2D" w14:textId="62C8D08F" w:rsidR="00316B7B" w:rsidRPr="00751EF2" w:rsidRDefault="00316B7B" w:rsidP="00316B7B">
      <w:pPr>
        <w:pBdr>
          <w:bottom w:val="single" w:sz="12" w:space="1" w:color="000000"/>
        </w:pBdr>
        <w:tabs>
          <w:tab w:val="left" w:pos="6390"/>
        </w:tabs>
        <w:ind w:right="-29"/>
        <w:rPr>
          <w:rFonts w:eastAsia="Times"/>
          <w:sz w:val="22"/>
          <w:szCs w:val="22"/>
        </w:rPr>
      </w:pPr>
      <w:r w:rsidRPr="00751EF2">
        <w:rPr>
          <w:rFonts w:eastAsia="Times"/>
          <w:sz w:val="22"/>
          <w:szCs w:val="22"/>
        </w:rPr>
        <w:t>November 7-8, 2024.</w:t>
      </w:r>
      <w:r w:rsidRPr="00751EF2">
        <w:rPr>
          <w:rFonts w:eastAsia="Times"/>
          <w:sz w:val="22"/>
          <w:szCs w:val="22"/>
        </w:rPr>
        <w:tab/>
      </w:r>
      <w:r>
        <w:rPr>
          <w:rFonts w:eastAsia="Times"/>
          <w:sz w:val="22"/>
          <w:szCs w:val="22"/>
        </w:rPr>
        <w:t xml:space="preserve">       </w:t>
      </w:r>
      <w:r w:rsidR="00356407">
        <w:rPr>
          <w:rFonts w:eastAsia="Times"/>
          <w:sz w:val="22"/>
          <w:szCs w:val="22"/>
        </w:rPr>
        <w:t>7</w:t>
      </w:r>
      <w:r w:rsidRPr="00751EF2">
        <w:rPr>
          <w:rFonts w:eastAsia="Times"/>
          <w:sz w:val="22"/>
          <w:szCs w:val="22"/>
        </w:rPr>
        <w:t xml:space="preserve"> </w:t>
      </w:r>
      <w:r w:rsidR="00356407">
        <w:rPr>
          <w:rFonts w:eastAsia="Times"/>
          <w:sz w:val="22"/>
          <w:szCs w:val="22"/>
        </w:rPr>
        <w:t>Novem</w:t>
      </w:r>
      <w:r w:rsidRPr="00751EF2">
        <w:rPr>
          <w:rFonts w:eastAsia="Times"/>
          <w:sz w:val="22"/>
          <w:szCs w:val="22"/>
        </w:rPr>
        <w:t>ber 2024</w:t>
      </w:r>
    </w:p>
    <w:p w14:paraId="37AED6C6" w14:textId="3DCFAA3F" w:rsidR="00316B7B" w:rsidRPr="00751EF2" w:rsidRDefault="00316B7B" w:rsidP="00316B7B">
      <w:pPr>
        <w:pBdr>
          <w:bottom w:val="single" w:sz="12" w:space="1" w:color="000000"/>
        </w:pBdr>
        <w:tabs>
          <w:tab w:val="left" w:pos="6390"/>
        </w:tabs>
        <w:ind w:right="-29"/>
        <w:rPr>
          <w:rFonts w:eastAsia="Times"/>
          <w:sz w:val="22"/>
          <w:szCs w:val="22"/>
        </w:rPr>
      </w:pPr>
      <w:r w:rsidRPr="00751EF2">
        <w:rPr>
          <w:rFonts w:eastAsia="Times"/>
          <w:sz w:val="22"/>
          <w:szCs w:val="22"/>
        </w:rPr>
        <w:t xml:space="preserve">Washington, D.C. </w:t>
      </w:r>
      <w:r w:rsidRPr="00751EF2">
        <w:rPr>
          <w:rFonts w:eastAsia="Times"/>
          <w:sz w:val="22"/>
          <w:szCs w:val="22"/>
        </w:rPr>
        <w:tab/>
      </w:r>
      <w:r>
        <w:rPr>
          <w:rFonts w:eastAsia="Times"/>
          <w:sz w:val="22"/>
          <w:szCs w:val="22"/>
        </w:rPr>
        <w:t xml:space="preserve">       </w:t>
      </w:r>
      <w:r w:rsidRPr="00751EF2">
        <w:rPr>
          <w:rFonts w:eastAsia="Times"/>
          <w:sz w:val="22"/>
          <w:szCs w:val="22"/>
        </w:rPr>
        <w:t>Original: Spanish</w:t>
      </w:r>
    </w:p>
    <w:p w14:paraId="49724E42" w14:textId="77777777" w:rsidR="00316B7B" w:rsidRPr="005A30D4" w:rsidRDefault="00316B7B" w:rsidP="00316B7B">
      <w:pPr>
        <w:pBdr>
          <w:bottom w:val="single" w:sz="12" w:space="1" w:color="000000"/>
        </w:pBdr>
        <w:tabs>
          <w:tab w:val="left" w:pos="6390"/>
        </w:tabs>
        <w:ind w:right="-29"/>
        <w:rPr>
          <w:rFonts w:eastAsia="Times"/>
          <w:sz w:val="22"/>
          <w:szCs w:val="22"/>
        </w:rPr>
      </w:pPr>
      <w:r w:rsidRPr="00751EF2">
        <w:rPr>
          <w:rFonts w:eastAsia="Times"/>
          <w:sz w:val="22"/>
          <w:szCs w:val="22"/>
        </w:rPr>
        <w:t>Virtual Meeting</w:t>
      </w:r>
      <w:r w:rsidRPr="005A30D4">
        <w:rPr>
          <w:rFonts w:eastAsia="Times"/>
          <w:sz w:val="22"/>
          <w:szCs w:val="22"/>
        </w:rPr>
        <w:tab/>
      </w:r>
    </w:p>
    <w:p w14:paraId="5D55ECA2" w14:textId="77777777" w:rsidR="0094374E" w:rsidRPr="005A30D4" w:rsidRDefault="0094374E" w:rsidP="0094374E">
      <w:pPr>
        <w:pBdr>
          <w:bottom w:val="single" w:sz="12" w:space="1" w:color="000000"/>
        </w:pBdr>
        <w:tabs>
          <w:tab w:val="left" w:pos="6840"/>
        </w:tabs>
        <w:ind w:right="-29"/>
        <w:rPr>
          <w:sz w:val="22"/>
          <w:szCs w:val="22"/>
        </w:rPr>
      </w:pPr>
    </w:p>
    <w:p w14:paraId="4E5065EB" w14:textId="49855D57" w:rsidR="00D73AD6" w:rsidRPr="005A30D4" w:rsidRDefault="00D73AD6" w:rsidP="00BF7CDF">
      <w:pPr>
        <w:tabs>
          <w:tab w:val="left" w:pos="720"/>
          <w:tab w:val="center" w:pos="4320"/>
          <w:tab w:val="right" w:pos="8640"/>
        </w:tabs>
        <w:jc w:val="center"/>
        <w:rPr>
          <w:sz w:val="22"/>
          <w:szCs w:val="22"/>
        </w:rPr>
      </w:pPr>
    </w:p>
    <w:p w14:paraId="134ED1F7" w14:textId="77777777" w:rsidR="00FF437C" w:rsidRPr="005A30D4" w:rsidRDefault="00FF437C" w:rsidP="0094374E">
      <w:pPr>
        <w:autoSpaceDE w:val="0"/>
        <w:autoSpaceDN w:val="0"/>
        <w:adjustRightInd w:val="0"/>
        <w:jc w:val="center"/>
        <w:rPr>
          <w:rFonts w:eastAsia="Times"/>
          <w:snapToGrid w:val="0"/>
          <w:szCs w:val="22"/>
        </w:rPr>
      </w:pPr>
    </w:p>
    <w:p w14:paraId="1FCCC2DE" w14:textId="7F2F8784" w:rsidR="00B22866" w:rsidRPr="005A30D4" w:rsidRDefault="00B22866" w:rsidP="00B22866">
      <w:pPr>
        <w:jc w:val="center"/>
        <w:rPr>
          <w:sz w:val="22"/>
          <w:szCs w:val="22"/>
        </w:rPr>
      </w:pPr>
      <w:r w:rsidRPr="005A30D4">
        <w:rPr>
          <w:sz w:val="22"/>
          <w:szCs w:val="22"/>
        </w:rPr>
        <w:t>ANNOTATED AGENDA</w:t>
      </w:r>
    </w:p>
    <w:p w14:paraId="495BBEA2" w14:textId="77777777" w:rsidR="00B22866" w:rsidRDefault="00B22866" w:rsidP="0094374E">
      <w:pPr>
        <w:autoSpaceDE w:val="0"/>
        <w:autoSpaceDN w:val="0"/>
        <w:adjustRightInd w:val="0"/>
        <w:jc w:val="center"/>
        <w:rPr>
          <w:rFonts w:eastAsia="Times"/>
          <w:snapToGrid w:val="0"/>
          <w:sz w:val="22"/>
          <w:szCs w:val="22"/>
        </w:rPr>
      </w:pPr>
    </w:p>
    <w:p w14:paraId="76CCAB97" w14:textId="77777777" w:rsidR="00B22866" w:rsidRDefault="0094374E" w:rsidP="0094374E">
      <w:pPr>
        <w:autoSpaceDE w:val="0"/>
        <w:autoSpaceDN w:val="0"/>
        <w:adjustRightInd w:val="0"/>
        <w:jc w:val="center"/>
        <w:rPr>
          <w:rFonts w:eastAsia="Times"/>
          <w:snapToGrid w:val="0"/>
          <w:sz w:val="22"/>
          <w:szCs w:val="22"/>
        </w:rPr>
      </w:pPr>
      <w:r w:rsidRPr="005A30D4">
        <w:rPr>
          <w:rFonts w:eastAsia="Times"/>
          <w:snapToGrid w:val="0"/>
          <w:sz w:val="22"/>
          <w:szCs w:val="22"/>
        </w:rPr>
        <w:t xml:space="preserve">TENTH REGULAR MEETING OF THE </w:t>
      </w:r>
    </w:p>
    <w:p w14:paraId="32FDDD7B" w14:textId="77777777" w:rsidR="00B22866" w:rsidRDefault="0094374E" w:rsidP="0094374E">
      <w:pPr>
        <w:autoSpaceDE w:val="0"/>
        <w:autoSpaceDN w:val="0"/>
        <w:adjustRightInd w:val="0"/>
        <w:jc w:val="center"/>
        <w:rPr>
          <w:rFonts w:eastAsia="Times"/>
          <w:snapToGrid w:val="0"/>
          <w:sz w:val="22"/>
          <w:szCs w:val="22"/>
        </w:rPr>
      </w:pPr>
      <w:r w:rsidRPr="005A30D4">
        <w:rPr>
          <w:rFonts w:eastAsia="Times"/>
          <w:snapToGrid w:val="0"/>
          <w:sz w:val="22"/>
          <w:szCs w:val="22"/>
        </w:rPr>
        <w:t>INTER-AMERICAN COMMITTEE ON EDUCATION</w:t>
      </w:r>
      <w:r w:rsidR="00AF6D8D" w:rsidRPr="005A30D4">
        <w:rPr>
          <w:rFonts w:eastAsia="Times"/>
          <w:snapToGrid w:val="0"/>
          <w:sz w:val="22"/>
          <w:szCs w:val="22"/>
        </w:rPr>
        <w:t xml:space="preserve"> </w:t>
      </w:r>
    </w:p>
    <w:p w14:paraId="4779C44B" w14:textId="24DFA65C" w:rsidR="0094374E" w:rsidRPr="005A30D4" w:rsidRDefault="00AF6D8D" w:rsidP="0094374E">
      <w:pPr>
        <w:autoSpaceDE w:val="0"/>
        <w:autoSpaceDN w:val="0"/>
        <w:adjustRightInd w:val="0"/>
        <w:jc w:val="center"/>
        <w:rPr>
          <w:rFonts w:eastAsia="Times"/>
          <w:snapToGrid w:val="0"/>
          <w:sz w:val="22"/>
          <w:szCs w:val="22"/>
        </w:rPr>
      </w:pPr>
      <w:r w:rsidRPr="005A30D4">
        <w:rPr>
          <w:rFonts w:eastAsia="Times"/>
          <w:snapToGrid w:val="0"/>
          <w:sz w:val="22"/>
          <w:szCs w:val="22"/>
        </w:rPr>
        <w:t>November</w:t>
      </w:r>
      <w:r w:rsidR="0094374E" w:rsidRPr="005A30D4">
        <w:rPr>
          <w:rFonts w:eastAsia="Times"/>
          <w:snapToGrid w:val="0"/>
          <w:sz w:val="22"/>
          <w:szCs w:val="22"/>
        </w:rPr>
        <w:t xml:space="preserve"> </w:t>
      </w:r>
      <w:r w:rsidR="0009593E" w:rsidRPr="005A30D4">
        <w:rPr>
          <w:rFonts w:eastAsia="Times"/>
          <w:snapToGrid w:val="0"/>
          <w:sz w:val="22"/>
          <w:szCs w:val="22"/>
        </w:rPr>
        <w:t>7-8</w:t>
      </w:r>
      <w:r w:rsidR="0094374E" w:rsidRPr="005A30D4">
        <w:rPr>
          <w:rFonts w:eastAsia="Times"/>
          <w:snapToGrid w:val="0"/>
          <w:sz w:val="22"/>
          <w:szCs w:val="22"/>
        </w:rPr>
        <w:t>, 2024</w:t>
      </w:r>
    </w:p>
    <w:p w14:paraId="45D98A37" w14:textId="77777777" w:rsidR="0094374E" w:rsidRPr="005A30D4" w:rsidRDefault="0094374E" w:rsidP="00FF437C">
      <w:pPr>
        <w:jc w:val="center"/>
        <w:rPr>
          <w:sz w:val="22"/>
          <w:szCs w:val="22"/>
        </w:rPr>
      </w:pPr>
    </w:p>
    <w:p w14:paraId="6DC6AAC5" w14:textId="19E74C76" w:rsidR="00FF437C" w:rsidRPr="005A30D4" w:rsidRDefault="64348B02" w:rsidP="00FF437C">
      <w:pPr>
        <w:jc w:val="center"/>
        <w:rPr>
          <w:sz w:val="22"/>
          <w:szCs w:val="22"/>
        </w:rPr>
      </w:pPr>
      <w:r w:rsidRPr="005A30D4">
        <w:rPr>
          <w:sz w:val="22"/>
          <w:szCs w:val="22"/>
        </w:rPr>
        <w:t xml:space="preserve">“Towards </w:t>
      </w:r>
      <w:r w:rsidR="0D26EE5F" w:rsidRPr="005A30D4">
        <w:rPr>
          <w:sz w:val="22"/>
          <w:szCs w:val="22"/>
        </w:rPr>
        <w:t>Resilient Education Systems</w:t>
      </w:r>
      <w:r w:rsidRPr="005A30D4">
        <w:rPr>
          <w:sz w:val="22"/>
          <w:szCs w:val="22"/>
        </w:rPr>
        <w:t xml:space="preserve"> in Contexts of Change”</w:t>
      </w:r>
    </w:p>
    <w:p w14:paraId="468DE6C8" w14:textId="77777777" w:rsidR="005A30D4" w:rsidRPr="005A30D4" w:rsidRDefault="005A30D4" w:rsidP="00FF437C">
      <w:pPr>
        <w:jc w:val="center"/>
        <w:rPr>
          <w:sz w:val="22"/>
          <w:szCs w:val="22"/>
        </w:rPr>
      </w:pPr>
    </w:p>
    <w:p w14:paraId="799233E9" w14:textId="77777777" w:rsidR="00FF437C" w:rsidRDefault="00FF437C" w:rsidP="00FF437C">
      <w:pPr>
        <w:jc w:val="both"/>
        <w:rPr>
          <w:sz w:val="22"/>
          <w:szCs w:val="22"/>
        </w:rPr>
      </w:pPr>
    </w:p>
    <w:p w14:paraId="754C2F16" w14:textId="77777777" w:rsidR="002518DD" w:rsidRPr="005A30D4" w:rsidRDefault="002518DD" w:rsidP="00FF437C">
      <w:pPr>
        <w:jc w:val="both"/>
        <w:rPr>
          <w:sz w:val="22"/>
          <w:szCs w:val="22"/>
        </w:rPr>
      </w:pPr>
    </w:p>
    <w:p w14:paraId="78DE64A8" w14:textId="77777777" w:rsidR="00FF437C" w:rsidRPr="005A30D4" w:rsidRDefault="00FF437C" w:rsidP="00FF437C">
      <w:pPr>
        <w:jc w:val="both"/>
        <w:rPr>
          <w:sz w:val="22"/>
          <w:szCs w:val="22"/>
        </w:rPr>
      </w:pPr>
    </w:p>
    <w:p w14:paraId="06C87A58" w14:textId="77777777" w:rsidR="00FF437C" w:rsidRPr="005A30D4" w:rsidRDefault="00FF437C" w:rsidP="00FF437C">
      <w:pPr>
        <w:numPr>
          <w:ilvl w:val="0"/>
          <w:numId w:val="15"/>
        </w:numPr>
        <w:ind w:hanging="720"/>
        <w:contextualSpacing/>
        <w:jc w:val="both"/>
        <w:rPr>
          <w:rFonts w:eastAsia="Malgun Gothic"/>
          <w:sz w:val="22"/>
          <w:szCs w:val="22"/>
        </w:rPr>
      </w:pPr>
      <w:r w:rsidRPr="005A30D4">
        <w:rPr>
          <w:rFonts w:eastAsia="Malgun Gothic"/>
          <w:sz w:val="22"/>
          <w:szCs w:val="22"/>
        </w:rPr>
        <w:t>BACKGROUND</w:t>
      </w:r>
    </w:p>
    <w:p w14:paraId="540A3871" w14:textId="77777777" w:rsidR="00FF437C" w:rsidRPr="005A30D4" w:rsidRDefault="00FF437C" w:rsidP="00FF437C">
      <w:pPr>
        <w:contextualSpacing/>
        <w:jc w:val="both"/>
        <w:rPr>
          <w:rFonts w:eastAsia="Malgun Gothic"/>
          <w:sz w:val="22"/>
          <w:szCs w:val="22"/>
        </w:rPr>
      </w:pPr>
    </w:p>
    <w:p w14:paraId="20095341" w14:textId="30FE2050" w:rsidR="7B862977" w:rsidRPr="005A30D4" w:rsidRDefault="7B862977" w:rsidP="63B0705A">
      <w:pPr>
        <w:ind w:firstLine="720"/>
        <w:jc w:val="both"/>
        <w:rPr>
          <w:sz w:val="22"/>
          <w:szCs w:val="22"/>
        </w:rPr>
      </w:pPr>
      <w:r w:rsidRPr="005A30D4">
        <w:rPr>
          <w:color w:val="000000" w:themeColor="text1"/>
          <w:sz w:val="22"/>
          <w:szCs w:val="22"/>
        </w:rPr>
        <w:t>Through the Inter-American Education Agenda (I</w:t>
      </w:r>
      <w:r w:rsidR="0C9CD851" w:rsidRPr="005A30D4">
        <w:rPr>
          <w:color w:val="000000" w:themeColor="text1"/>
          <w:sz w:val="22"/>
          <w:szCs w:val="22"/>
        </w:rPr>
        <w:t>EA</w:t>
      </w:r>
      <w:r w:rsidRPr="005A30D4">
        <w:rPr>
          <w:color w:val="000000" w:themeColor="text1"/>
          <w:sz w:val="22"/>
          <w:szCs w:val="22"/>
        </w:rPr>
        <w:t>) as a space for political dialogue and continuous decision-making to guarantee quality, inclusive and equitable education and promote lifelong learning opportunities for all</w:t>
      </w:r>
      <w:r w:rsidR="57978990" w:rsidRPr="005A30D4">
        <w:rPr>
          <w:color w:val="000000" w:themeColor="text1"/>
          <w:sz w:val="22"/>
          <w:szCs w:val="22"/>
        </w:rPr>
        <w:t xml:space="preserve">, </w:t>
      </w:r>
      <w:r w:rsidR="3FB58DD6" w:rsidRPr="005A30D4">
        <w:rPr>
          <w:color w:val="000000" w:themeColor="text1"/>
          <w:sz w:val="22"/>
          <w:szCs w:val="22"/>
        </w:rPr>
        <w:t>M</w:t>
      </w:r>
      <w:r w:rsidR="57978990" w:rsidRPr="005A30D4">
        <w:rPr>
          <w:color w:val="000000" w:themeColor="text1"/>
          <w:sz w:val="22"/>
          <w:szCs w:val="22"/>
        </w:rPr>
        <w:t>inist</w:t>
      </w:r>
      <w:r w:rsidR="19C41B5C" w:rsidRPr="005A30D4">
        <w:rPr>
          <w:color w:val="000000" w:themeColor="text1"/>
          <w:sz w:val="22"/>
          <w:szCs w:val="22"/>
        </w:rPr>
        <w:t>ers</w:t>
      </w:r>
      <w:r w:rsidR="57978990" w:rsidRPr="005A30D4">
        <w:rPr>
          <w:color w:val="000000" w:themeColor="text1"/>
          <w:sz w:val="22"/>
          <w:szCs w:val="22"/>
        </w:rPr>
        <w:t xml:space="preserve"> of </w:t>
      </w:r>
      <w:r w:rsidR="39CFF4B4" w:rsidRPr="005A30D4">
        <w:rPr>
          <w:color w:val="000000" w:themeColor="text1"/>
          <w:sz w:val="22"/>
          <w:szCs w:val="22"/>
        </w:rPr>
        <w:t>E</w:t>
      </w:r>
      <w:r w:rsidR="57978990" w:rsidRPr="005A30D4">
        <w:rPr>
          <w:color w:val="000000" w:themeColor="text1"/>
          <w:sz w:val="22"/>
          <w:szCs w:val="22"/>
        </w:rPr>
        <w:t>ducation have identified and indicated the key elements and emerging needs of the education sector, taking into consideration the concrete and urgent needs face</w:t>
      </w:r>
      <w:r w:rsidR="37D1C347" w:rsidRPr="005A30D4">
        <w:rPr>
          <w:color w:val="000000" w:themeColor="text1"/>
          <w:sz w:val="22"/>
          <w:szCs w:val="22"/>
        </w:rPr>
        <w:t>d</w:t>
      </w:r>
      <w:r w:rsidR="57978990" w:rsidRPr="005A30D4">
        <w:rPr>
          <w:color w:val="000000" w:themeColor="text1"/>
          <w:sz w:val="22"/>
          <w:szCs w:val="22"/>
        </w:rPr>
        <w:t xml:space="preserve"> </w:t>
      </w:r>
      <w:r w:rsidR="1388A7AA" w:rsidRPr="005A30D4">
        <w:rPr>
          <w:color w:val="000000" w:themeColor="text1"/>
          <w:sz w:val="22"/>
          <w:szCs w:val="22"/>
        </w:rPr>
        <w:t xml:space="preserve">in current contexts </w:t>
      </w:r>
      <w:r w:rsidR="57978990" w:rsidRPr="005A30D4">
        <w:rPr>
          <w:color w:val="000000" w:themeColor="text1"/>
          <w:sz w:val="22"/>
          <w:szCs w:val="22"/>
        </w:rPr>
        <w:t xml:space="preserve">at both the local and regional levels. As stated  in the </w:t>
      </w:r>
      <w:hyperlink r:id="rId10" w:history="1">
        <w:r w:rsidR="57978990" w:rsidRPr="005A30D4">
          <w:rPr>
            <w:rStyle w:val="Hyperlink"/>
            <w:sz w:val="22"/>
            <w:szCs w:val="22"/>
          </w:rPr>
          <w:t>Hemispheric Declaration on Education: “Towards building a new Hemispheric Education Pact in contexts of change”</w:t>
        </w:r>
      </w:hyperlink>
      <w:r w:rsidR="57978990" w:rsidRPr="005A30D4">
        <w:rPr>
          <w:color w:val="000000" w:themeColor="text1"/>
          <w:sz w:val="22"/>
          <w:szCs w:val="22"/>
        </w:rPr>
        <w:t xml:space="preserve"> (CIDI/RME/DEC.1/22), </w:t>
      </w:r>
      <w:r w:rsidR="78B42A9F" w:rsidRPr="005A30D4">
        <w:rPr>
          <w:color w:val="000000" w:themeColor="text1"/>
          <w:sz w:val="22"/>
          <w:szCs w:val="22"/>
        </w:rPr>
        <w:t xml:space="preserve">Ministers of Education have recognized that </w:t>
      </w:r>
      <w:r w:rsidR="063BFFB4" w:rsidRPr="005A30D4">
        <w:rPr>
          <w:color w:val="000000" w:themeColor="text1"/>
          <w:sz w:val="22"/>
          <w:szCs w:val="22"/>
        </w:rPr>
        <w:t xml:space="preserve">meeting </w:t>
      </w:r>
      <w:r w:rsidR="57978990" w:rsidRPr="005A30D4">
        <w:rPr>
          <w:color w:val="000000" w:themeColor="text1"/>
          <w:sz w:val="22"/>
          <w:szCs w:val="22"/>
        </w:rPr>
        <w:t xml:space="preserve">those emerging needs and addressing the challenges of a post-pandemic world require a thoughtful reinvention of how we learn throughout life in order to achieve quality, inclusive, and equitable education: systems to manage and provide effective responses to interruptions of different kinds. </w:t>
      </w:r>
      <w:r w:rsidR="57978990" w:rsidRPr="005A30D4">
        <w:rPr>
          <w:sz w:val="22"/>
          <w:szCs w:val="22"/>
        </w:rPr>
        <w:t xml:space="preserve"> </w:t>
      </w:r>
    </w:p>
    <w:p w14:paraId="305C3902" w14:textId="77777777" w:rsidR="00FF437C" w:rsidRPr="005A30D4" w:rsidRDefault="00FF437C" w:rsidP="00FF437C">
      <w:pPr>
        <w:jc w:val="both"/>
        <w:rPr>
          <w:sz w:val="22"/>
          <w:szCs w:val="22"/>
        </w:rPr>
      </w:pPr>
    </w:p>
    <w:p w14:paraId="094C7768" w14:textId="04FA2EBC" w:rsidR="3F9F4ABF" w:rsidRPr="005A30D4" w:rsidRDefault="0966F659" w:rsidP="2EF84B50">
      <w:pPr>
        <w:ind w:firstLine="720"/>
        <w:jc w:val="both"/>
        <w:rPr>
          <w:sz w:val="22"/>
          <w:szCs w:val="22"/>
        </w:rPr>
      </w:pPr>
      <w:r w:rsidRPr="005A30D4">
        <w:rPr>
          <w:color w:val="000000" w:themeColor="text1"/>
          <w:sz w:val="22"/>
          <w:szCs w:val="22"/>
        </w:rPr>
        <w:t xml:space="preserve"> In this sense, the Inter-American Committee on Education (CIE) through the Hemispheric Programs, initiatives and actions that are developed in the </w:t>
      </w:r>
      <w:r w:rsidR="004102F6" w:rsidRPr="005A30D4">
        <w:rPr>
          <w:color w:val="000000" w:themeColor="text1"/>
          <w:sz w:val="22"/>
          <w:szCs w:val="22"/>
        </w:rPr>
        <w:t xml:space="preserve">2022-2025 </w:t>
      </w:r>
      <w:r w:rsidRPr="005A30D4">
        <w:rPr>
          <w:color w:val="000000" w:themeColor="text1"/>
          <w:sz w:val="22"/>
          <w:szCs w:val="22"/>
        </w:rPr>
        <w:t>Work Plan</w:t>
      </w:r>
      <w:r w:rsidR="00256440" w:rsidRPr="005A30D4">
        <w:rPr>
          <w:color w:val="000000" w:themeColor="text1"/>
          <w:sz w:val="22"/>
          <w:szCs w:val="22"/>
        </w:rPr>
        <w:t xml:space="preserve"> of the CIE</w:t>
      </w:r>
      <w:r w:rsidRPr="005A30D4">
        <w:rPr>
          <w:color w:val="000000" w:themeColor="text1"/>
          <w:sz w:val="22"/>
          <w:szCs w:val="22"/>
        </w:rPr>
        <w:t xml:space="preserve"> (</w:t>
      </w:r>
      <w:r w:rsidR="004102F6" w:rsidRPr="005A30D4">
        <w:rPr>
          <w:color w:val="000000" w:themeColor="text1"/>
          <w:sz w:val="22"/>
          <w:szCs w:val="22"/>
        </w:rPr>
        <w:t>WP</w:t>
      </w:r>
      <w:r w:rsidRPr="005A30D4">
        <w:rPr>
          <w:color w:val="000000" w:themeColor="text1"/>
          <w:sz w:val="22"/>
          <w:szCs w:val="22"/>
        </w:rPr>
        <w:t>CIE)</w:t>
      </w:r>
      <w:r w:rsidR="3F9F4ABF" w:rsidRPr="005A30D4">
        <w:rPr>
          <w:color w:val="000000" w:themeColor="text1"/>
          <w:sz w:val="22"/>
          <w:szCs w:val="22"/>
        </w:rPr>
        <w:t>, ha</w:t>
      </w:r>
      <w:r w:rsidR="71FAA151" w:rsidRPr="005A30D4">
        <w:rPr>
          <w:color w:val="000000" w:themeColor="text1"/>
          <w:sz w:val="22"/>
          <w:szCs w:val="22"/>
        </w:rPr>
        <w:t>s</w:t>
      </w:r>
      <w:r w:rsidR="3F9F4ABF" w:rsidRPr="005A30D4">
        <w:rPr>
          <w:color w:val="000000" w:themeColor="text1"/>
          <w:sz w:val="22"/>
          <w:szCs w:val="22"/>
        </w:rPr>
        <w:t xml:space="preserve"> focused </w:t>
      </w:r>
      <w:r w:rsidR="3E693996" w:rsidRPr="005A30D4">
        <w:rPr>
          <w:color w:val="000000" w:themeColor="text1"/>
          <w:sz w:val="22"/>
          <w:szCs w:val="22"/>
        </w:rPr>
        <w:t xml:space="preserve">its </w:t>
      </w:r>
      <w:r w:rsidR="3F9F4ABF" w:rsidRPr="005A30D4">
        <w:rPr>
          <w:color w:val="000000" w:themeColor="text1"/>
          <w:sz w:val="22"/>
          <w:szCs w:val="22"/>
        </w:rPr>
        <w:t>work on creating a scope of action that</w:t>
      </w:r>
      <w:r w:rsidR="27CDFA54" w:rsidRPr="005A30D4">
        <w:rPr>
          <w:color w:val="000000" w:themeColor="text1"/>
          <w:sz w:val="22"/>
          <w:szCs w:val="22"/>
        </w:rPr>
        <w:t xml:space="preserve"> has</w:t>
      </w:r>
      <w:r w:rsidR="3F9F4ABF" w:rsidRPr="005A30D4">
        <w:rPr>
          <w:color w:val="000000" w:themeColor="text1"/>
          <w:sz w:val="22"/>
          <w:szCs w:val="22"/>
        </w:rPr>
        <w:t xml:space="preserve"> </w:t>
      </w:r>
      <w:r w:rsidR="586F9EC0" w:rsidRPr="005A30D4">
        <w:rPr>
          <w:color w:val="000000" w:themeColor="text1"/>
          <w:sz w:val="22"/>
          <w:szCs w:val="22"/>
        </w:rPr>
        <w:t xml:space="preserve">established the priority areas and thematic lines </w:t>
      </w:r>
      <w:r w:rsidR="068352A7" w:rsidRPr="005A30D4">
        <w:rPr>
          <w:color w:val="000000" w:themeColor="text1"/>
          <w:sz w:val="22"/>
          <w:szCs w:val="22"/>
        </w:rPr>
        <w:t>i</w:t>
      </w:r>
      <w:r w:rsidR="586F9EC0" w:rsidRPr="005A30D4">
        <w:rPr>
          <w:color w:val="000000" w:themeColor="text1"/>
          <w:sz w:val="22"/>
          <w:szCs w:val="22"/>
        </w:rPr>
        <w:t xml:space="preserve">n which </w:t>
      </w:r>
      <w:r w:rsidR="633A5C42" w:rsidRPr="005A30D4">
        <w:rPr>
          <w:color w:val="000000" w:themeColor="text1"/>
          <w:sz w:val="22"/>
          <w:szCs w:val="22"/>
        </w:rPr>
        <w:t xml:space="preserve">has been </w:t>
      </w:r>
      <w:r w:rsidR="586F9EC0" w:rsidRPr="005A30D4">
        <w:rPr>
          <w:color w:val="000000" w:themeColor="text1"/>
          <w:sz w:val="22"/>
          <w:szCs w:val="22"/>
        </w:rPr>
        <w:t>agreed to focus inter-American cooperation and their efforts to guarantee the right to education with special attention to vulnerable populations in developing countries</w:t>
      </w:r>
      <w:r w:rsidR="5BCE9213" w:rsidRPr="005A30D4">
        <w:rPr>
          <w:color w:val="000000" w:themeColor="text1"/>
          <w:sz w:val="22"/>
          <w:szCs w:val="22"/>
        </w:rPr>
        <w:t>.</w:t>
      </w:r>
      <w:r w:rsidR="586F9EC0" w:rsidRPr="005A30D4">
        <w:rPr>
          <w:sz w:val="22"/>
          <w:szCs w:val="22"/>
        </w:rPr>
        <w:t xml:space="preserve"> </w:t>
      </w:r>
      <w:r w:rsidR="706CF7FB" w:rsidRPr="005A30D4">
        <w:rPr>
          <w:sz w:val="22"/>
          <w:szCs w:val="22"/>
        </w:rPr>
        <w:t xml:space="preserve">In addition, it has been emphasized that </w:t>
      </w:r>
      <w:r w:rsidR="706CF7FB" w:rsidRPr="005A30D4">
        <w:rPr>
          <w:color w:val="000000" w:themeColor="text1"/>
          <w:sz w:val="22"/>
          <w:szCs w:val="22"/>
        </w:rPr>
        <w:t xml:space="preserve">we are </w:t>
      </w:r>
      <w:bookmarkStart w:id="0" w:name="_Int_bXUZimgT"/>
      <w:proofErr w:type="gramStart"/>
      <w:r w:rsidR="706CF7FB" w:rsidRPr="005A30D4">
        <w:rPr>
          <w:color w:val="000000" w:themeColor="text1"/>
          <w:sz w:val="22"/>
          <w:szCs w:val="22"/>
        </w:rPr>
        <w:t>in a position</w:t>
      </w:r>
      <w:bookmarkEnd w:id="0"/>
      <w:proofErr w:type="gramEnd"/>
      <w:r w:rsidR="706CF7FB" w:rsidRPr="005A30D4">
        <w:rPr>
          <w:color w:val="000000" w:themeColor="text1"/>
          <w:sz w:val="22"/>
          <w:szCs w:val="22"/>
        </w:rPr>
        <w:t xml:space="preserve"> to take another step toward</w:t>
      </w:r>
      <w:r w:rsidR="4259E888" w:rsidRPr="005A30D4">
        <w:rPr>
          <w:color w:val="000000" w:themeColor="text1"/>
          <w:sz w:val="22"/>
          <w:szCs w:val="22"/>
        </w:rPr>
        <w:t>s</w:t>
      </w:r>
      <w:r w:rsidR="706CF7FB" w:rsidRPr="005A30D4">
        <w:rPr>
          <w:color w:val="000000" w:themeColor="text1"/>
          <w:sz w:val="22"/>
          <w:szCs w:val="22"/>
        </w:rPr>
        <w:t xml:space="preserve"> resilient education systems that can provide effective responses </w:t>
      </w:r>
      <w:r w:rsidR="4441C75C" w:rsidRPr="005A30D4">
        <w:rPr>
          <w:color w:val="000000" w:themeColor="text1"/>
          <w:sz w:val="22"/>
          <w:szCs w:val="22"/>
        </w:rPr>
        <w:t>in</w:t>
      </w:r>
      <w:r w:rsidR="706CF7FB" w:rsidRPr="005A30D4">
        <w:rPr>
          <w:color w:val="000000" w:themeColor="text1"/>
          <w:sz w:val="22"/>
          <w:szCs w:val="22"/>
        </w:rPr>
        <w:t xml:space="preserve"> c</w:t>
      </w:r>
      <w:r w:rsidR="63AD43FD" w:rsidRPr="005A30D4">
        <w:rPr>
          <w:color w:val="000000" w:themeColor="text1"/>
          <w:sz w:val="22"/>
          <w:szCs w:val="22"/>
        </w:rPr>
        <w:t>ontexts of change</w:t>
      </w:r>
      <w:r w:rsidR="2B8DC71B" w:rsidRPr="005A30D4">
        <w:rPr>
          <w:color w:val="000000" w:themeColor="text1"/>
          <w:sz w:val="22"/>
          <w:szCs w:val="22"/>
        </w:rPr>
        <w:t>.</w:t>
      </w:r>
    </w:p>
    <w:p w14:paraId="14436630" w14:textId="73D0657F" w:rsidR="63B0705A" w:rsidRPr="005A30D4" w:rsidRDefault="63B0705A" w:rsidP="63B0705A">
      <w:pPr>
        <w:ind w:firstLine="720"/>
        <w:jc w:val="both"/>
        <w:rPr>
          <w:color w:val="000000" w:themeColor="text1"/>
          <w:sz w:val="22"/>
          <w:szCs w:val="22"/>
        </w:rPr>
      </w:pPr>
    </w:p>
    <w:p w14:paraId="788C7586" w14:textId="77777777" w:rsidR="00FF437C" w:rsidRPr="005A30D4" w:rsidRDefault="00FF437C" w:rsidP="00FF437C">
      <w:pPr>
        <w:contextualSpacing/>
        <w:jc w:val="both"/>
        <w:rPr>
          <w:sz w:val="22"/>
          <w:szCs w:val="22"/>
        </w:rPr>
      </w:pPr>
    </w:p>
    <w:p w14:paraId="3F859BCD" w14:textId="77777777" w:rsidR="00FF437C" w:rsidRPr="005A30D4" w:rsidRDefault="00FF437C" w:rsidP="00F444FB">
      <w:pPr>
        <w:numPr>
          <w:ilvl w:val="0"/>
          <w:numId w:val="15"/>
        </w:numPr>
        <w:ind w:hanging="810"/>
        <w:contextualSpacing/>
        <w:jc w:val="both"/>
        <w:rPr>
          <w:sz w:val="22"/>
          <w:szCs w:val="22"/>
        </w:rPr>
      </w:pPr>
      <w:r w:rsidRPr="005A30D4">
        <w:rPr>
          <w:sz w:val="22"/>
          <w:szCs w:val="22"/>
        </w:rPr>
        <w:t>PROPOSED TOPICS</w:t>
      </w:r>
    </w:p>
    <w:p w14:paraId="03B6E6B6" w14:textId="77777777" w:rsidR="00FF437C" w:rsidRPr="005A30D4" w:rsidRDefault="00FF437C" w:rsidP="00FF437C">
      <w:pPr>
        <w:contextualSpacing/>
        <w:jc w:val="both"/>
        <w:rPr>
          <w:sz w:val="22"/>
          <w:szCs w:val="22"/>
        </w:rPr>
      </w:pPr>
    </w:p>
    <w:p w14:paraId="1ABD826D" w14:textId="77777777" w:rsidR="00FF437C" w:rsidRPr="005A30D4" w:rsidRDefault="00FF437C" w:rsidP="00FF437C">
      <w:pPr>
        <w:numPr>
          <w:ilvl w:val="0"/>
          <w:numId w:val="13"/>
        </w:numPr>
        <w:ind w:left="1440" w:hanging="720"/>
        <w:contextualSpacing/>
        <w:jc w:val="both"/>
        <w:rPr>
          <w:rFonts w:eastAsia="Malgun Gothic"/>
          <w:sz w:val="22"/>
          <w:szCs w:val="22"/>
          <w:lang w:eastAsia="ko-KR"/>
        </w:rPr>
      </w:pPr>
      <w:r w:rsidRPr="005A30D4">
        <w:rPr>
          <w:rFonts w:eastAsia="Malgun Gothic"/>
          <w:sz w:val="22"/>
          <w:szCs w:val="22"/>
          <w:lang w:eastAsia="ko-KR"/>
        </w:rPr>
        <w:t>Approval of the draft agenda of the meeting, in keeping with Article 24 of the Rules of Procedure for the Inter-American Committees of the Inter-American Council for Integral Development</w:t>
      </w:r>
    </w:p>
    <w:p w14:paraId="73414CD0" w14:textId="77777777" w:rsidR="00FF437C" w:rsidRPr="005A30D4" w:rsidRDefault="00FF437C" w:rsidP="00FF437C">
      <w:pPr>
        <w:contextualSpacing/>
        <w:jc w:val="both"/>
        <w:rPr>
          <w:rFonts w:eastAsia="Malgun Gothic"/>
          <w:sz w:val="22"/>
          <w:szCs w:val="22"/>
          <w:lang w:eastAsia="ko-KR"/>
        </w:rPr>
      </w:pPr>
    </w:p>
    <w:p w14:paraId="2B2CB0C3" w14:textId="4C303FE9" w:rsidR="00FF437C" w:rsidRPr="005A30D4" w:rsidRDefault="00FF437C" w:rsidP="00FF437C">
      <w:pPr>
        <w:numPr>
          <w:ilvl w:val="0"/>
          <w:numId w:val="13"/>
        </w:numPr>
        <w:ind w:left="0" w:firstLine="720"/>
        <w:contextualSpacing/>
        <w:jc w:val="both"/>
        <w:rPr>
          <w:rFonts w:eastAsia="Malgun Gothic"/>
          <w:sz w:val="22"/>
          <w:szCs w:val="22"/>
          <w:lang w:eastAsia="ko-KR"/>
        </w:rPr>
      </w:pPr>
      <w:r w:rsidRPr="005A30D4">
        <w:rPr>
          <w:rFonts w:eastAsia="Malgun Gothic"/>
          <w:sz w:val="22"/>
          <w:szCs w:val="22"/>
          <w:lang w:eastAsia="ko-KR"/>
        </w:rPr>
        <w:t>Approval of the draft schedule</w:t>
      </w:r>
      <w:r w:rsidR="168AB536" w:rsidRPr="005A30D4">
        <w:rPr>
          <w:rFonts w:eastAsia="Malgun Gothic"/>
          <w:sz w:val="22"/>
          <w:szCs w:val="22"/>
          <w:lang w:eastAsia="ko-KR"/>
        </w:rPr>
        <w:t>.</w:t>
      </w:r>
    </w:p>
    <w:p w14:paraId="6C860393" w14:textId="77777777" w:rsidR="00FF437C" w:rsidRPr="005A30D4" w:rsidRDefault="00FF437C" w:rsidP="00FF437C">
      <w:pPr>
        <w:contextualSpacing/>
        <w:rPr>
          <w:rFonts w:eastAsia="Malgun Gothic"/>
          <w:sz w:val="22"/>
          <w:szCs w:val="22"/>
          <w:lang w:eastAsia="ko-KR"/>
        </w:rPr>
      </w:pPr>
    </w:p>
    <w:p w14:paraId="4039BC63" w14:textId="77777777" w:rsidR="0094374E" w:rsidRPr="005A30D4" w:rsidRDefault="0094374E" w:rsidP="00FF437C">
      <w:pPr>
        <w:contextualSpacing/>
        <w:rPr>
          <w:rFonts w:eastAsia="Malgun Gothic"/>
          <w:sz w:val="22"/>
          <w:szCs w:val="22"/>
          <w:lang w:eastAsia="ko-KR"/>
        </w:rPr>
      </w:pPr>
    </w:p>
    <w:p w14:paraId="6C441D54" w14:textId="2798508F" w:rsidR="00FF437C" w:rsidRPr="005A30D4" w:rsidRDefault="64348B02" w:rsidP="2EF84B50">
      <w:pPr>
        <w:numPr>
          <w:ilvl w:val="0"/>
          <w:numId w:val="13"/>
        </w:numPr>
        <w:ind w:left="1440" w:hanging="720"/>
        <w:contextualSpacing/>
        <w:jc w:val="both"/>
        <w:rPr>
          <w:rFonts w:eastAsia="Malgun Gothic"/>
          <w:sz w:val="22"/>
          <w:szCs w:val="22"/>
          <w:lang w:eastAsia="ko-KR"/>
        </w:rPr>
      </w:pPr>
      <w:r w:rsidRPr="005A30D4">
        <w:rPr>
          <w:sz w:val="22"/>
          <w:szCs w:val="22"/>
        </w:rPr>
        <w:t xml:space="preserve">Progress report on implementation of the mandates of the </w:t>
      </w:r>
      <w:r w:rsidR="36B6D0FE" w:rsidRPr="005A30D4">
        <w:rPr>
          <w:sz w:val="22"/>
          <w:szCs w:val="22"/>
        </w:rPr>
        <w:t>Eleven</w:t>
      </w:r>
      <w:r w:rsidRPr="005A30D4">
        <w:rPr>
          <w:sz w:val="22"/>
          <w:szCs w:val="22"/>
        </w:rPr>
        <w:t>th Inter-American Meeting of Ministers of Education</w:t>
      </w:r>
      <w:r w:rsidR="58663AE8" w:rsidRPr="005A30D4">
        <w:rPr>
          <w:sz w:val="22"/>
          <w:szCs w:val="22"/>
        </w:rPr>
        <w:t>.</w:t>
      </w:r>
    </w:p>
    <w:p w14:paraId="0C261455" w14:textId="77777777" w:rsidR="00FF437C" w:rsidRPr="005A30D4" w:rsidRDefault="00FF437C" w:rsidP="00FF437C">
      <w:pPr>
        <w:contextualSpacing/>
        <w:jc w:val="both"/>
        <w:rPr>
          <w:rFonts w:eastAsia="Malgun Gothic"/>
          <w:sz w:val="22"/>
          <w:szCs w:val="22"/>
          <w:lang w:eastAsia="ko-KR"/>
        </w:rPr>
      </w:pPr>
    </w:p>
    <w:p w14:paraId="2BE6BB40" w14:textId="77777777" w:rsidR="00FF437C" w:rsidRPr="005A30D4" w:rsidRDefault="00FF437C" w:rsidP="00FF437C">
      <w:pPr>
        <w:ind w:firstLine="720"/>
        <w:contextualSpacing/>
        <w:jc w:val="both"/>
        <w:rPr>
          <w:rFonts w:eastAsia="Malgun Gothic"/>
          <w:sz w:val="22"/>
          <w:szCs w:val="22"/>
        </w:rPr>
      </w:pPr>
      <w:r w:rsidRPr="005A30D4">
        <w:rPr>
          <w:rFonts w:eastAsia="Malgun Gothic"/>
          <w:sz w:val="22"/>
          <w:szCs w:val="22"/>
        </w:rPr>
        <w:t xml:space="preserve">In accordance with Article 9 of the </w:t>
      </w:r>
      <w:r w:rsidRPr="005A30D4">
        <w:rPr>
          <w:rFonts w:eastAsia="Malgun Gothic"/>
          <w:sz w:val="22"/>
          <w:szCs w:val="22"/>
          <w:lang w:eastAsia="ko-KR"/>
        </w:rPr>
        <w:t>Rules of Procedure for the Inter-American Committees of the Inter-American Council for Integral Development</w:t>
      </w:r>
      <w:r w:rsidRPr="005A30D4">
        <w:rPr>
          <w:rFonts w:eastAsia="Malgun Gothic"/>
          <w:sz w:val="22"/>
          <w:szCs w:val="22"/>
        </w:rPr>
        <w:t xml:space="preserve">, </w:t>
      </w:r>
      <w:r w:rsidRPr="005A30D4">
        <w:rPr>
          <w:sz w:val="22"/>
          <w:szCs w:val="22"/>
        </w:rPr>
        <w:t>the General Secretariat of the Organization shall support the officers of the Committees in the performance of their duties and shall provide secretariat services to the Committee in accordance with the resources allocated in the program-budget of the Organization and other resources.</w:t>
      </w:r>
      <w:r w:rsidRPr="005A30D4">
        <w:rPr>
          <w:rFonts w:eastAsia="Malgun Gothic"/>
          <w:sz w:val="22"/>
          <w:szCs w:val="22"/>
        </w:rPr>
        <w:t xml:space="preserve"> </w:t>
      </w:r>
    </w:p>
    <w:p w14:paraId="4DAA4CD5" w14:textId="77777777" w:rsidR="00FF437C" w:rsidRPr="005A30D4" w:rsidRDefault="00FF437C" w:rsidP="00FF437C">
      <w:pPr>
        <w:contextualSpacing/>
        <w:jc w:val="both"/>
        <w:rPr>
          <w:rFonts w:eastAsia="Malgun Gothic"/>
          <w:sz w:val="22"/>
          <w:szCs w:val="22"/>
        </w:rPr>
      </w:pPr>
    </w:p>
    <w:p w14:paraId="19526544" w14:textId="4ABD7D58" w:rsidR="00FF437C" w:rsidRPr="005A30D4" w:rsidRDefault="00FF437C" w:rsidP="00FF437C">
      <w:pPr>
        <w:ind w:firstLine="720"/>
        <w:contextualSpacing/>
        <w:jc w:val="both"/>
        <w:rPr>
          <w:rFonts w:eastAsia="Malgun Gothic"/>
          <w:sz w:val="22"/>
          <w:szCs w:val="22"/>
        </w:rPr>
      </w:pPr>
      <w:r w:rsidRPr="005A30D4">
        <w:rPr>
          <w:rFonts w:eastAsia="Malgun Gothic"/>
          <w:sz w:val="22"/>
          <w:szCs w:val="22"/>
        </w:rPr>
        <w:t xml:space="preserve">In this </w:t>
      </w:r>
      <w:r w:rsidR="4BEB778E" w:rsidRPr="005A30D4">
        <w:rPr>
          <w:rFonts w:eastAsia="Malgun Gothic"/>
          <w:sz w:val="22"/>
          <w:szCs w:val="22"/>
        </w:rPr>
        <w:t>sense</w:t>
      </w:r>
      <w:r w:rsidRPr="005A30D4">
        <w:rPr>
          <w:rFonts w:eastAsia="Malgun Gothic"/>
          <w:sz w:val="22"/>
          <w:szCs w:val="22"/>
        </w:rPr>
        <w:t xml:space="preserve">, the Technical Secretariat of the CIE will present a progress report on the implementation of ministerial mandates. </w:t>
      </w:r>
    </w:p>
    <w:p w14:paraId="49998941" w14:textId="1B1D0180" w:rsidR="00FF437C" w:rsidRPr="005A30D4" w:rsidRDefault="00FF437C" w:rsidP="2EF84B50">
      <w:pPr>
        <w:ind w:left="1440" w:hanging="720"/>
        <w:contextualSpacing/>
        <w:jc w:val="both"/>
        <w:rPr>
          <w:sz w:val="22"/>
          <w:szCs w:val="22"/>
        </w:rPr>
      </w:pPr>
    </w:p>
    <w:p w14:paraId="75BB5524" w14:textId="7527C917" w:rsidR="4C219624" w:rsidRPr="005A30D4" w:rsidRDefault="2F1E5BF9" w:rsidP="2EF84B50">
      <w:pPr>
        <w:numPr>
          <w:ilvl w:val="0"/>
          <w:numId w:val="13"/>
        </w:numPr>
        <w:ind w:left="1440" w:hanging="720"/>
        <w:contextualSpacing/>
        <w:jc w:val="both"/>
        <w:rPr>
          <w:rFonts w:eastAsia="Malgun Gothic"/>
          <w:sz w:val="22"/>
          <w:szCs w:val="22"/>
          <w:lang w:eastAsia="ko-KR"/>
        </w:rPr>
      </w:pPr>
      <w:r w:rsidRPr="005A30D4">
        <w:rPr>
          <w:color w:val="000000" w:themeColor="text1"/>
          <w:sz w:val="22"/>
          <w:szCs w:val="22"/>
        </w:rPr>
        <w:t>The Inter-American Education Agenda 2022-2027 and the Road to the XII Meeting of Ministers of Education in Quito 2025</w:t>
      </w:r>
      <w:r w:rsidR="4C219624" w:rsidRPr="005A30D4">
        <w:rPr>
          <w:sz w:val="22"/>
          <w:szCs w:val="22"/>
        </w:rPr>
        <w:t xml:space="preserve"> </w:t>
      </w:r>
    </w:p>
    <w:p w14:paraId="25A2B482" w14:textId="77777777" w:rsidR="00FF437C" w:rsidRPr="005A30D4" w:rsidRDefault="00FF437C" w:rsidP="00FF437C">
      <w:pPr>
        <w:contextualSpacing/>
        <w:jc w:val="both"/>
        <w:rPr>
          <w:rFonts w:eastAsia="Malgun Gothic"/>
          <w:sz w:val="22"/>
          <w:szCs w:val="22"/>
          <w:lang w:eastAsia="ko-KR"/>
        </w:rPr>
      </w:pPr>
    </w:p>
    <w:p w14:paraId="6ECDCA16" w14:textId="4F1AAAE3" w:rsidR="00FF437C" w:rsidRPr="005A30D4" w:rsidRDefault="64348B02" w:rsidP="2EF84B50">
      <w:pPr>
        <w:ind w:firstLine="720"/>
        <w:contextualSpacing/>
        <w:jc w:val="both"/>
        <w:rPr>
          <w:rFonts w:eastAsia="Malgun Gothic"/>
          <w:sz w:val="22"/>
          <w:szCs w:val="22"/>
        </w:rPr>
      </w:pPr>
      <w:r w:rsidRPr="005A30D4">
        <w:rPr>
          <w:sz w:val="22"/>
          <w:szCs w:val="22"/>
        </w:rPr>
        <w:t xml:space="preserve">The adoption of the Inter-American Education Agenda (IEA) reflects an historical process of consensus-building among ministries of education of the OAS members states to address the most important challenges that affect educational development in the region and impact the right of children and adults to access quality, inclusive, and equitable education throughout their entire lives. </w:t>
      </w:r>
    </w:p>
    <w:p w14:paraId="6DF39972" w14:textId="7D20C8F3" w:rsidR="00FF437C" w:rsidRPr="005A30D4" w:rsidRDefault="64348B02" w:rsidP="2EF84B50">
      <w:pPr>
        <w:contextualSpacing/>
        <w:jc w:val="both"/>
        <w:rPr>
          <w:rFonts w:eastAsia="Malgun Gothic"/>
          <w:sz w:val="22"/>
          <w:szCs w:val="22"/>
          <w:highlight w:val="yellow"/>
        </w:rPr>
      </w:pPr>
      <w:r w:rsidRPr="005A30D4">
        <w:rPr>
          <w:sz w:val="22"/>
          <w:szCs w:val="22"/>
        </w:rPr>
        <w:t xml:space="preserve">What is more, </w:t>
      </w:r>
      <w:r w:rsidR="1CF5858F" w:rsidRPr="005A30D4">
        <w:rPr>
          <w:sz w:val="22"/>
          <w:szCs w:val="22"/>
        </w:rPr>
        <w:t>t</w:t>
      </w:r>
      <w:r w:rsidR="1CF5858F" w:rsidRPr="005A30D4">
        <w:rPr>
          <w:color w:val="000000" w:themeColor="text1"/>
          <w:sz w:val="22"/>
          <w:szCs w:val="22"/>
        </w:rPr>
        <w:t xml:space="preserve">he IEA, guided by the principles of collaboration, </w:t>
      </w:r>
      <w:proofErr w:type="spellStart"/>
      <w:r w:rsidR="1CF5858F" w:rsidRPr="005A30D4">
        <w:rPr>
          <w:color w:val="000000" w:themeColor="text1"/>
          <w:sz w:val="22"/>
          <w:szCs w:val="22"/>
        </w:rPr>
        <w:t>intersectorality</w:t>
      </w:r>
      <w:proofErr w:type="spellEnd"/>
      <w:r w:rsidR="1CF5858F" w:rsidRPr="005A30D4">
        <w:rPr>
          <w:color w:val="000000" w:themeColor="text1"/>
          <w:sz w:val="22"/>
          <w:szCs w:val="22"/>
        </w:rPr>
        <w:t xml:space="preserve"> and interculturalism</w:t>
      </w:r>
      <w:r w:rsidR="1CF5858F" w:rsidRPr="005A30D4">
        <w:rPr>
          <w:sz w:val="22"/>
          <w:szCs w:val="22"/>
        </w:rPr>
        <w:t xml:space="preserve"> </w:t>
      </w:r>
      <w:r w:rsidRPr="005A30D4">
        <w:rPr>
          <w:sz w:val="22"/>
          <w:szCs w:val="22"/>
        </w:rPr>
        <w:t>has been agreed upon by OAS member states as a tool to monitor and achieve implementation of Goal 4 of the 2030 Agenda for Sustainable Development.</w:t>
      </w:r>
    </w:p>
    <w:p w14:paraId="551BF8E2" w14:textId="65BEFCA3" w:rsidR="2EF84B50" w:rsidRPr="005A30D4" w:rsidRDefault="2EF84B50" w:rsidP="2EF84B50">
      <w:pPr>
        <w:contextualSpacing/>
        <w:jc w:val="both"/>
        <w:rPr>
          <w:sz w:val="22"/>
          <w:szCs w:val="22"/>
          <w:highlight w:val="yellow"/>
        </w:rPr>
      </w:pPr>
    </w:p>
    <w:p w14:paraId="3B2F5783" w14:textId="4B0868CE" w:rsidR="20C2C8DB" w:rsidRPr="005A30D4" w:rsidRDefault="20C2C8DB" w:rsidP="2EF84B50">
      <w:pPr>
        <w:ind w:firstLine="720"/>
        <w:contextualSpacing/>
        <w:jc w:val="both"/>
        <w:rPr>
          <w:sz w:val="22"/>
          <w:szCs w:val="22"/>
        </w:rPr>
      </w:pPr>
      <w:r w:rsidRPr="005A30D4">
        <w:rPr>
          <w:color w:val="000000" w:themeColor="text1"/>
          <w:sz w:val="22"/>
          <w:szCs w:val="22"/>
        </w:rPr>
        <w:t>The priorities of the IEA 2022-2027, its elements and emerging needs, as well as the definition of the actions necessary to guarantee educational continuity, were grouped and defined into two priority areas</w:t>
      </w:r>
      <w:r w:rsidR="23BE1515" w:rsidRPr="005A30D4">
        <w:rPr>
          <w:color w:val="000000" w:themeColor="text1"/>
          <w:sz w:val="22"/>
          <w:szCs w:val="22"/>
        </w:rPr>
        <w:t>: (1) systemic approach for building resilient education systems, and (2) intersectoral agenda</w:t>
      </w:r>
      <w:r w:rsidR="63E8EC84" w:rsidRPr="005A30D4">
        <w:rPr>
          <w:color w:val="000000" w:themeColor="text1"/>
          <w:sz w:val="22"/>
          <w:szCs w:val="22"/>
        </w:rPr>
        <w:t>; all of this with a special focus on vulnerable populations and in accordance with the topics discussed in the dialogue spaces held during the construction process.</w:t>
      </w:r>
    </w:p>
    <w:p w14:paraId="15CE59A7" w14:textId="6775AF84" w:rsidR="2EF84B50" w:rsidRPr="005A30D4" w:rsidRDefault="2EF84B50" w:rsidP="2EF84B50">
      <w:pPr>
        <w:contextualSpacing/>
        <w:jc w:val="both"/>
        <w:rPr>
          <w:color w:val="000000" w:themeColor="text1"/>
          <w:sz w:val="22"/>
          <w:szCs w:val="22"/>
        </w:rPr>
      </w:pPr>
    </w:p>
    <w:p w14:paraId="30878F3F" w14:textId="15820A7D" w:rsidR="23BE1515" w:rsidRPr="005A30D4" w:rsidRDefault="23BE1515" w:rsidP="2EF84B50">
      <w:pPr>
        <w:ind w:firstLine="720"/>
        <w:contextualSpacing/>
        <w:jc w:val="both"/>
        <w:rPr>
          <w:sz w:val="22"/>
          <w:szCs w:val="22"/>
        </w:rPr>
      </w:pPr>
      <w:r w:rsidRPr="005A30D4">
        <w:rPr>
          <w:color w:val="000000" w:themeColor="text1"/>
          <w:sz w:val="22"/>
          <w:szCs w:val="22"/>
        </w:rPr>
        <w:t>Those priority areas, together with their respective thematic lines, guided the definition of the Hemispheric Plan of Action on Education and, consequently, provided th</w:t>
      </w:r>
      <w:r w:rsidR="553E6724" w:rsidRPr="005A30D4">
        <w:rPr>
          <w:color w:val="000000" w:themeColor="text1"/>
          <w:sz w:val="22"/>
          <w:szCs w:val="22"/>
        </w:rPr>
        <w:t>e</w:t>
      </w:r>
      <w:r w:rsidRPr="005A30D4">
        <w:rPr>
          <w:color w:val="000000" w:themeColor="text1"/>
          <w:sz w:val="22"/>
          <w:szCs w:val="22"/>
        </w:rPr>
        <w:t xml:space="preserve"> 2022-2025</w:t>
      </w:r>
      <w:r w:rsidR="00EF4A1B" w:rsidRPr="005A30D4">
        <w:rPr>
          <w:color w:val="000000" w:themeColor="text1"/>
          <w:sz w:val="22"/>
          <w:szCs w:val="22"/>
        </w:rPr>
        <w:t xml:space="preserve"> </w:t>
      </w:r>
      <w:r w:rsidRPr="005A30D4">
        <w:rPr>
          <w:color w:val="000000" w:themeColor="text1"/>
          <w:sz w:val="22"/>
          <w:szCs w:val="22"/>
        </w:rPr>
        <w:t>Work Plan</w:t>
      </w:r>
      <w:r w:rsidR="00394526" w:rsidRPr="005A30D4">
        <w:rPr>
          <w:color w:val="000000" w:themeColor="text1"/>
          <w:sz w:val="22"/>
          <w:szCs w:val="22"/>
        </w:rPr>
        <w:t xml:space="preserve"> of the CIE</w:t>
      </w:r>
      <w:r w:rsidR="00EF4A1B" w:rsidRPr="005A30D4">
        <w:rPr>
          <w:color w:val="000000" w:themeColor="text1"/>
          <w:sz w:val="22"/>
          <w:szCs w:val="22"/>
        </w:rPr>
        <w:t xml:space="preserve"> </w:t>
      </w:r>
      <w:r w:rsidRPr="005A30D4">
        <w:rPr>
          <w:color w:val="000000" w:themeColor="text1"/>
          <w:sz w:val="22"/>
          <w:szCs w:val="22"/>
        </w:rPr>
        <w:t>with a frame for all the actions it entails.</w:t>
      </w:r>
      <w:r w:rsidR="491875F1" w:rsidRPr="005A30D4">
        <w:rPr>
          <w:color w:val="000000" w:themeColor="text1"/>
          <w:sz w:val="22"/>
          <w:szCs w:val="22"/>
        </w:rPr>
        <w:t xml:space="preserve"> </w:t>
      </w:r>
      <w:r w:rsidR="1D783BEA" w:rsidRPr="005A30D4">
        <w:rPr>
          <w:color w:val="000000" w:themeColor="text1"/>
          <w:sz w:val="22"/>
          <w:szCs w:val="22"/>
        </w:rPr>
        <w:t xml:space="preserve">The </w:t>
      </w:r>
      <w:r w:rsidR="2B6CD065" w:rsidRPr="005A30D4">
        <w:rPr>
          <w:color w:val="000000" w:themeColor="text1"/>
          <w:sz w:val="22"/>
          <w:szCs w:val="22"/>
        </w:rPr>
        <w:t xml:space="preserve">activities in the priority areas </w:t>
      </w:r>
      <w:r w:rsidR="5829113D" w:rsidRPr="005A30D4">
        <w:rPr>
          <w:color w:val="000000" w:themeColor="text1"/>
          <w:sz w:val="22"/>
          <w:szCs w:val="22"/>
        </w:rPr>
        <w:t>have been</w:t>
      </w:r>
      <w:r w:rsidR="2B6CD065" w:rsidRPr="005A30D4">
        <w:rPr>
          <w:color w:val="000000" w:themeColor="text1"/>
          <w:sz w:val="22"/>
          <w:szCs w:val="22"/>
        </w:rPr>
        <w:t xml:space="preserve"> implemented through: (i) capacity-building by means of webinars, forums for dialogue, and other forms of online content, (ii) opportunities for countries to exchange experiences and knowledge, and (iii) development of national projects with the potential for replication elsewhere in the region.</w:t>
      </w:r>
    </w:p>
    <w:p w14:paraId="1C1E9EA2" w14:textId="1A011482" w:rsidR="2EF84B50" w:rsidRPr="005A30D4" w:rsidRDefault="2EF84B50" w:rsidP="2EF84B50">
      <w:pPr>
        <w:contextualSpacing/>
        <w:jc w:val="both"/>
        <w:rPr>
          <w:rFonts w:eastAsia="Malgun Gothic"/>
          <w:sz w:val="22"/>
          <w:szCs w:val="22"/>
        </w:rPr>
      </w:pPr>
    </w:p>
    <w:p w14:paraId="597CFCE4" w14:textId="74208431" w:rsidR="7EC91C24" w:rsidRPr="005A30D4" w:rsidRDefault="7EC91C24" w:rsidP="63B0705A">
      <w:pPr>
        <w:ind w:firstLine="720"/>
        <w:contextualSpacing/>
        <w:jc w:val="both"/>
        <w:rPr>
          <w:rFonts w:eastAsia="Malgun Gothic"/>
          <w:sz w:val="22"/>
          <w:szCs w:val="22"/>
        </w:rPr>
      </w:pPr>
      <w:r w:rsidRPr="005A30D4">
        <w:rPr>
          <w:rFonts w:eastAsia="Malgun Gothic"/>
          <w:sz w:val="22"/>
          <w:szCs w:val="22"/>
        </w:rPr>
        <w:t xml:space="preserve">In this </w:t>
      </w:r>
      <w:r w:rsidR="51DC7C64" w:rsidRPr="005A30D4">
        <w:rPr>
          <w:rFonts w:eastAsia="Malgun Gothic"/>
          <w:sz w:val="22"/>
          <w:szCs w:val="22"/>
        </w:rPr>
        <w:t>sense</w:t>
      </w:r>
      <w:r w:rsidRPr="005A30D4">
        <w:rPr>
          <w:rFonts w:eastAsia="Malgun Gothic"/>
          <w:sz w:val="22"/>
          <w:szCs w:val="22"/>
        </w:rPr>
        <w:t>, the authorities of the C</w:t>
      </w:r>
      <w:r w:rsidR="4BB03D2F" w:rsidRPr="005A30D4">
        <w:rPr>
          <w:rFonts w:eastAsia="Malgun Gothic"/>
          <w:sz w:val="22"/>
          <w:szCs w:val="22"/>
        </w:rPr>
        <w:t>IE</w:t>
      </w:r>
      <w:r w:rsidRPr="005A30D4">
        <w:rPr>
          <w:rFonts w:eastAsia="Malgun Gothic"/>
          <w:sz w:val="22"/>
          <w:szCs w:val="22"/>
        </w:rPr>
        <w:t xml:space="preserve"> Working Groups will present the conclusions, lessons learned and proposals for action arising from collective reflection, public policy dialogues and activities developed within the framework of the CIE</w:t>
      </w:r>
      <w:r w:rsidR="00EF4A1B" w:rsidRPr="005A30D4">
        <w:rPr>
          <w:rFonts w:eastAsia="Malgun Gothic"/>
          <w:sz w:val="22"/>
          <w:szCs w:val="22"/>
        </w:rPr>
        <w:t>WP</w:t>
      </w:r>
      <w:r w:rsidRPr="005A30D4">
        <w:rPr>
          <w:rFonts w:eastAsia="Malgun Gothic"/>
          <w:sz w:val="22"/>
          <w:szCs w:val="22"/>
        </w:rPr>
        <w:t xml:space="preserve"> in 3 areas:</w:t>
      </w:r>
    </w:p>
    <w:p w14:paraId="49BBEB5D" w14:textId="77777777" w:rsidR="00FF437C" w:rsidRPr="005A30D4" w:rsidRDefault="00FF437C" w:rsidP="2EF84B50">
      <w:pPr>
        <w:ind w:left="720" w:hanging="720"/>
        <w:contextualSpacing/>
        <w:jc w:val="both"/>
        <w:rPr>
          <w:rFonts w:eastAsia="Malgun Gothic"/>
          <w:sz w:val="22"/>
          <w:szCs w:val="22"/>
          <w:highlight w:val="yellow"/>
        </w:rPr>
      </w:pPr>
    </w:p>
    <w:p w14:paraId="5EC8FFCB" w14:textId="0ED0FC5E" w:rsidR="00FF437C" w:rsidRPr="005A30D4" w:rsidRDefault="7EC91C24" w:rsidP="2EF84B50">
      <w:pPr>
        <w:numPr>
          <w:ilvl w:val="0"/>
          <w:numId w:val="14"/>
        </w:numPr>
        <w:ind w:hanging="720"/>
        <w:contextualSpacing/>
        <w:jc w:val="both"/>
        <w:rPr>
          <w:sz w:val="22"/>
          <w:szCs w:val="22"/>
        </w:rPr>
      </w:pPr>
      <w:r w:rsidRPr="005A30D4">
        <w:rPr>
          <w:sz w:val="22"/>
          <w:szCs w:val="22"/>
        </w:rPr>
        <w:t>Systemic approach towards building resilient educational systems</w:t>
      </w:r>
    </w:p>
    <w:p w14:paraId="1AB38D41" w14:textId="4A9FBB32" w:rsidR="00FF437C" w:rsidRPr="005A30D4" w:rsidRDefault="7EC91C24" w:rsidP="2EF84B50">
      <w:pPr>
        <w:numPr>
          <w:ilvl w:val="0"/>
          <w:numId w:val="14"/>
        </w:numPr>
        <w:ind w:hanging="720"/>
        <w:contextualSpacing/>
        <w:jc w:val="both"/>
        <w:rPr>
          <w:sz w:val="22"/>
          <w:szCs w:val="22"/>
        </w:rPr>
      </w:pPr>
      <w:r w:rsidRPr="005A30D4">
        <w:rPr>
          <w:sz w:val="22"/>
          <w:szCs w:val="22"/>
        </w:rPr>
        <w:t>Intersectoral Agenda</w:t>
      </w:r>
    </w:p>
    <w:p w14:paraId="5FE014D0" w14:textId="3A84102A" w:rsidR="7EC91C24" w:rsidRPr="005A30D4" w:rsidRDefault="7EC91C24" w:rsidP="2EF84B50">
      <w:pPr>
        <w:numPr>
          <w:ilvl w:val="0"/>
          <w:numId w:val="14"/>
        </w:numPr>
        <w:ind w:hanging="720"/>
        <w:contextualSpacing/>
        <w:jc w:val="both"/>
        <w:rPr>
          <w:sz w:val="22"/>
          <w:szCs w:val="22"/>
        </w:rPr>
      </w:pPr>
      <w:r w:rsidRPr="005A30D4">
        <w:rPr>
          <w:sz w:val="22"/>
          <w:szCs w:val="22"/>
        </w:rPr>
        <w:t xml:space="preserve">Methodology for implementing the </w:t>
      </w:r>
      <w:r w:rsidR="0007074D" w:rsidRPr="005A30D4">
        <w:rPr>
          <w:sz w:val="22"/>
          <w:szCs w:val="22"/>
        </w:rPr>
        <w:t>WP</w:t>
      </w:r>
      <w:r w:rsidRPr="005A30D4">
        <w:rPr>
          <w:sz w:val="22"/>
          <w:szCs w:val="22"/>
        </w:rPr>
        <w:t>CIE 2022-2025 and its hemispheric programs</w:t>
      </w:r>
    </w:p>
    <w:p w14:paraId="6AD35EC0" w14:textId="0F715CC2" w:rsidR="2EF84B50" w:rsidRPr="005A30D4" w:rsidRDefault="2EF84B50" w:rsidP="2EF84B50">
      <w:pPr>
        <w:contextualSpacing/>
        <w:jc w:val="both"/>
        <w:rPr>
          <w:sz w:val="22"/>
          <w:szCs w:val="22"/>
        </w:rPr>
      </w:pPr>
    </w:p>
    <w:p w14:paraId="29908CE3" w14:textId="01C03DE1" w:rsidR="2EF84B50" w:rsidRPr="005A30D4" w:rsidRDefault="2EF84B50" w:rsidP="2EF84B50">
      <w:pPr>
        <w:contextualSpacing/>
        <w:jc w:val="both"/>
        <w:rPr>
          <w:sz w:val="22"/>
          <w:szCs w:val="22"/>
        </w:rPr>
      </w:pPr>
    </w:p>
    <w:p w14:paraId="34A7D182" w14:textId="77777777" w:rsidR="0094374E" w:rsidRPr="005A30D4" w:rsidRDefault="0094374E" w:rsidP="2EF84B50">
      <w:pPr>
        <w:contextualSpacing/>
        <w:jc w:val="both"/>
        <w:rPr>
          <w:sz w:val="22"/>
          <w:szCs w:val="22"/>
        </w:rPr>
      </w:pPr>
    </w:p>
    <w:p w14:paraId="6CE42A36" w14:textId="77777777" w:rsidR="0094374E" w:rsidRPr="005A30D4" w:rsidRDefault="0094374E" w:rsidP="2EF84B50">
      <w:pPr>
        <w:contextualSpacing/>
        <w:jc w:val="both"/>
        <w:rPr>
          <w:sz w:val="22"/>
          <w:szCs w:val="22"/>
        </w:rPr>
      </w:pPr>
    </w:p>
    <w:p w14:paraId="570B5137" w14:textId="77777777" w:rsidR="0094374E" w:rsidRPr="005A30D4" w:rsidRDefault="0094374E" w:rsidP="2EF84B50">
      <w:pPr>
        <w:contextualSpacing/>
        <w:jc w:val="both"/>
        <w:rPr>
          <w:sz w:val="22"/>
          <w:szCs w:val="22"/>
        </w:rPr>
      </w:pPr>
    </w:p>
    <w:p w14:paraId="753EB16E" w14:textId="584E6047" w:rsidR="00FF437C" w:rsidRPr="005A30D4" w:rsidRDefault="64348B02" w:rsidP="63B0705A">
      <w:pPr>
        <w:numPr>
          <w:ilvl w:val="0"/>
          <w:numId w:val="13"/>
        </w:numPr>
        <w:ind w:left="0" w:firstLine="720"/>
        <w:contextualSpacing/>
        <w:jc w:val="both"/>
        <w:rPr>
          <w:sz w:val="22"/>
          <w:szCs w:val="22"/>
        </w:rPr>
      </w:pPr>
      <w:r w:rsidRPr="005A30D4">
        <w:rPr>
          <w:sz w:val="22"/>
          <w:szCs w:val="22"/>
        </w:rPr>
        <w:t>Election of CIE officers for the 202</w:t>
      </w:r>
      <w:r w:rsidR="6EF218D8" w:rsidRPr="005A30D4">
        <w:rPr>
          <w:sz w:val="22"/>
          <w:szCs w:val="22"/>
        </w:rPr>
        <w:t>4</w:t>
      </w:r>
      <w:r w:rsidRPr="005A30D4">
        <w:rPr>
          <w:sz w:val="22"/>
          <w:szCs w:val="22"/>
        </w:rPr>
        <w:t>-202</w:t>
      </w:r>
      <w:r w:rsidR="0C8A0EE9" w:rsidRPr="005A30D4">
        <w:rPr>
          <w:sz w:val="22"/>
          <w:szCs w:val="22"/>
        </w:rPr>
        <w:t>7</w:t>
      </w:r>
      <w:r w:rsidRPr="005A30D4">
        <w:rPr>
          <w:sz w:val="22"/>
          <w:szCs w:val="22"/>
        </w:rPr>
        <w:t xml:space="preserve"> term</w:t>
      </w:r>
    </w:p>
    <w:p w14:paraId="0129B95C" w14:textId="77777777" w:rsidR="00FF437C" w:rsidRPr="005A30D4" w:rsidRDefault="00FF437C" w:rsidP="00FF437C">
      <w:pPr>
        <w:contextualSpacing/>
        <w:jc w:val="both"/>
        <w:rPr>
          <w:rFonts w:eastAsia="Malgun Gothic"/>
          <w:sz w:val="22"/>
          <w:szCs w:val="22"/>
          <w:lang w:eastAsia="ko-KR"/>
        </w:rPr>
      </w:pPr>
    </w:p>
    <w:p w14:paraId="6478C780" w14:textId="77777777" w:rsidR="00FF437C" w:rsidRPr="005A30D4" w:rsidRDefault="64348B02" w:rsidP="2EF84B50">
      <w:pPr>
        <w:ind w:firstLine="720"/>
        <w:contextualSpacing/>
        <w:jc w:val="both"/>
        <w:rPr>
          <w:rFonts w:eastAsia="Malgun Gothic"/>
          <w:sz w:val="22"/>
          <w:szCs w:val="22"/>
        </w:rPr>
      </w:pPr>
      <w:r w:rsidRPr="005A30D4">
        <w:rPr>
          <w:rFonts w:eastAsia="Malgun Gothic"/>
          <w:sz w:val="22"/>
          <w:szCs w:val="22"/>
        </w:rPr>
        <w:t xml:space="preserve">In keeping with the provisions of Article 4 of the Rules of Procedure for the Inter-American Committees of the Inter-American Council for Integral Development approved in May 2018, </w:t>
      </w:r>
      <w:r w:rsidRPr="005A30D4">
        <w:rPr>
          <w:spacing w:val="-2"/>
          <w:sz w:val="22"/>
          <w:szCs w:val="22"/>
        </w:rPr>
        <w:t xml:space="preserve">each Inter-American Committee of CIDI shall elect a chair and two vice chairs, who shall hold office for three years or until the next regular meeting of the Committee. </w:t>
      </w:r>
      <w:bookmarkStart w:id="1" w:name="_Int_PaoQieVc"/>
      <w:r w:rsidRPr="005A30D4">
        <w:rPr>
          <w:spacing w:val="-2"/>
          <w:sz w:val="22"/>
          <w:szCs w:val="22"/>
        </w:rPr>
        <w:t>Their terms shall begin on the date of their election and shall last until the election of their successors</w:t>
      </w:r>
      <w:r w:rsidRPr="005A30D4">
        <w:rPr>
          <w:rFonts w:eastAsia="Malgun Gothic"/>
          <w:sz w:val="22"/>
          <w:szCs w:val="22"/>
        </w:rPr>
        <w:t>.</w:t>
      </w:r>
      <w:bookmarkEnd w:id="1"/>
    </w:p>
    <w:p w14:paraId="7ED793F7" w14:textId="77777777" w:rsidR="00EF4A1B" w:rsidRPr="005A30D4" w:rsidRDefault="00EF4A1B" w:rsidP="2EF84B50">
      <w:pPr>
        <w:ind w:firstLine="720"/>
        <w:contextualSpacing/>
        <w:jc w:val="both"/>
        <w:rPr>
          <w:rFonts w:eastAsia="Malgun Gothic"/>
          <w:sz w:val="22"/>
          <w:szCs w:val="22"/>
        </w:rPr>
      </w:pPr>
    </w:p>
    <w:p w14:paraId="2FB98768" w14:textId="405B00E3" w:rsidR="00FF437C" w:rsidRPr="005A30D4" w:rsidRDefault="00FF437C" w:rsidP="2EF84B50">
      <w:pPr>
        <w:ind w:firstLine="720"/>
        <w:contextualSpacing/>
        <w:jc w:val="both"/>
        <w:rPr>
          <w:rFonts w:eastAsia="Malgun Gothic"/>
          <w:sz w:val="22"/>
          <w:szCs w:val="22"/>
        </w:rPr>
      </w:pPr>
    </w:p>
    <w:p w14:paraId="496DFC6F" w14:textId="52727C9F" w:rsidR="5C5E919C" w:rsidRPr="005A30D4" w:rsidRDefault="5C5E919C" w:rsidP="63B0705A">
      <w:pPr>
        <w:numPr>
          <w:ilvl w:val="0"/>
          <w:numId w:val="13"/>
        </w:numPr>
        <w:spacing w:line="259" w:lineRule="auto"/>
        <w:ind w:left="0" w:firstLine="720"/>
        <w:contextualSpacing/>
        <w:jc w:val="both"/>
        <w:rPr>
          <w:sz w:val="22"/>
          <w:szCs w:val="22"/>
        </w:rPr>
      </w:pPr>
      <w:r w:rsidRPr="005A30D4">
        <w:rPr>
          <w:sz w:val="22"/>
          <w:szCs w:val="22"/>
        </w:rPr>
        <w:t>Twelfth Inter-American Meeting of Ministers of Education</w:t>
      </w:r>
    </w:p>
    <w:p w14:paraId="18C7B958" w14:textId="77777777" w:rsidR="00FF437C" w:rsidRPr="005A30D4" w:rsidRDefault="00FF437C" w:rsidP="00FF437C">
      <w:pPr>
        <w:contextualSpacing/>
        <w:rPr>
          <w:sz w:val="22"/>
          <w:szCs w:val="22"/>
        </w:rPr>
      </w:pPr>
    </w:p>
    <w:p w14:paraId="7D3FEB69" w14:textId="242F9A75" w:rsidR="64348B02" w:rsidRPr="005A30D4" w:rsidRDefault="37F60DEE" w:rsidP="2EF84B50">
      <w:pPr>
        <w:ind w:firstLine="720"/>
        <w:contextualSpacing/>
        <w:jc w:val="both"/>
        <w:rPr>
          <w:rFonts w:eastAsia="Malgun Gothic"/>
          <w:sz w:val="22"/>
          <w:szCs w:val="22"/>
        </w:rPr>
      </w:pPr>
      <w:r w:rsidRPr="005A30D4">
        <w:rPr>
          <w:rFonts w:eastAsia="Malgun Gothic"/>
          <w:sz w:val="22"/>
          <w:szCs w:val="22"/>
        </w:rPr>
        <w:t xml:space="preserve">According to the general guidelines for sectoral processes within the scope of CIDI approved in February 2023, the inter-American </w:t>
      </w:r>
      <w:bookmarkStart w:id="2" w:name="_Int_sV3QMjxa"/>
      <w:r w:rsidRPr="005A30D4">
        <w:rPr>
          <w:rFonts w:eastAsia="Malgun Gothic"/>
          <w:sz w:val="22"/>
          <w:szCs w:val="22"/>
        </w:rPr>
        <w:t>committees</w:t>
      </w:r>
      <w:bookmarkEnd w:id="2"/>
      <w:r w:rsidRPr="005A30D4">
        <w:rPr>
          <w:rFonts w:eastAsia="Malgun Gothic"/>
          <w:sz w:val="22"/>
          <w:szCs w:val="22"/>
        </w:rPr>
        <w:t xml:space="preserve"> and other bodies responsible for the follow-up and continuity of each process lead the sectoral consultations and confirm the host of the next ministerial meeting. In this regard, formal offers to host the next ministerial meeting are received during a formal regular meeting in accordance with the corresponding Rules of Procedure of the inter-American committees of CIDI and will be sent to CIDI for formal approval and convening. If no formal offer is received, the relevant committee may request CIDI to convene the ministerial meeting at the headquarters of the OAS General Secretariat.</w:t>
      </w:r>
      <w:r w:rsidR="2F9E367E" w:rsidRPr="005A30D4">
        <w:rPr>
          <w:rFonts w:eastAsia="Malgun Gothic"/>
          <w:sz w:val="22"/>
          <w:szCs w:val="22"/>
        </w:rPr>
        <w:t xml:space="preserve"> </w:t>
      </w:r>
    </w:p>
    <w:p w14:paraId="3DAD5BC8" w14:textId="77777777" w:rsidR="00FF437C" w:rsidRPr="005A30D4" w:rsidRDefault="00FF437C" w:rsidP="00FF437C">
      <w:pPr>
        <w:contextualSpacing/>
        <w:rPr>
          <w:sz w:val="22"/>
          <w:szCs w:val="22"/>
        </w:rPr>
      </w:pPr>
    </w:p>
    <w:p w14:paraId="3EA6D488" w14:textId="65159E71" w:rsidR="00FF437C" w:rsidRPr="005A30D4" w:rsidRDefault="6000C0AB" w:rsidP="4D094CF1">
      <w:pPr>
        <w:ind w:firstLine="720"/>
        <w:jc w:val="both"/>
        <w:rPr>
          <w:sz w:val="22"/>
          <w:szCs w:val="22"/>
        </w:rPr>
      </w:pPr>
      <w:r w:rsidRPr="005A30D4">
        <w:rPr>
          <w:sz w:val="22"/>
          <w:szCs w:val="22"/>
        </w:rPr>
        <w:t>During the XI Inter-American Meeting of Ministers of Education held in 2022, Ecuador expressed its interest in hosting the XII Inter-American Meeting of Ministers of Education in 2025.</w:t>
      </w:r>
    </w:p>
    <w:p w14:paraId="5DDC6590" w14:textId="77777777" w:rsidR="00C15A56" w:rsidRPr="005A30D4" w:rsidRDefault="00C15A56" w:rsidP="4D094CF1">
      <w:pPr>
        <w:ind w:firstLine="720"/>
        <w:jc w:val="both"/>
        <w:rPr>
          <w:sz w:val="22"/>
          <w:szCs w:val="22"/>
        </w:rPr>
      </w:pPr>
    </w:p>
    <w:p w14:paraId="21344D2F" w14:textId="77777777" w:rsidR="00FF437C" w:rsidRPr="005A30D4" w:rsidRDefault="00FF437C" w:rsidP="00FF437C">
      <w:pPr>
        <w:contextualSpacing/>
        <w:rPr>
          <w:sz w:val="22"/>
          <w:szCs w:val="22"/>
        </w:rPr>
      </w:pPr>
    </w:p>
    <w:p w14:paraId="6E81CD80" w14:textId="77777777" w:rsidR="00FF437C" w:rsidRPr="005A30D4" w:rsidRDefault="64348B02" w:rsidP="00EF4A1B">
      <w:pPr>
        <w:numPr>
          <w:ilvl w:val="0"/>
          <w:numId w:val="15"/>
        </w:numPr>
        <w:ind w:hanging="810"/>
        <w:contextualSpacing/>
        <w:jc w:val="both"/>
        <w:rPr>
          <w:sz w:val="22"/>
          <w:szCs w:val="22"/>
        </w:rPr>
      </w:pPr>
      <w:r w:rsidRPr="005A30D4">
        <w:rPr>
          <w:sz w:val="22"/>
          <w:szCs w:val="22"/>
        </w:rPr>
        <w:t>PURPOSE OF THE MEETING</w:t>
      </w:r>
    </w:p>
    <w:p w14:paraId="04B5A802" w14:textId="77777777" w:rsidR="00FF437C" w:rsidRPr="005A30D4" w:rsidRDefault="00FF437C" w:rsidP="00FF437C">
      <w:pPr>
        <w:jc w:val="both"/>
        <w:rPr>
          <w:sz w:val="22"/>
          <w:szCs w:val="22"/>
        </w:rPr>
      </w:pPr>
    </w:p>
    <w:p w14:paraId="47FAF59F" w14:textId="5C8950A9" w:rsidR="00FF437C" w:rsidRPr="005A30D4" w:rsidRDefault="06A49A41" w:rsidP="2EF84B50">
      <w:pPr>
        <w:ind w:firstLine="720"/>
        <w:jc w:val="both"/>
        <w:rPr>
          <w:sz w:val="22"/>
          <w:szCs w:val="22"/>
        </w:rPr>
      </w:pPr>
      <w:r w:rsidRPr="005A30D4">
        <w:rPr>
          <w:color w:val="000000" w:themeColor="text1"/>
          <w:sz w:val="22"/>
          <w:szCs w:val="22"/>
        </w:rPr>
        <w:t>The purpose of the meeting, as stated in the guidelines document for the sectoral processes, is t</w:t>
      </w:r>
      <w:r w:rsidR="0F32B710" w:rsidRPr="005A30D4">
        <w:rPr>
          <w:color w:val="000000" w:themeColor="text1"/>
          <w:sz w:val="22"/>
          <w:szCs w:val="22"/>
        </w:rPr>
        <w:t>o capture and document inputs from key actors to inform the ministerial process</w:t>
      </w:r>
      <w:r w:rsidR="401C3EB1" w:rsidRPr="005A30D4">
        <w:rPr>
          <w:color w:val="000000" w:themeColor="text1"/>
          <w:sz w:val="22"/>
          <w:szCs w:val="22"/>
        </w:rPr>
        <w:t xml:space="preserve"> to</w:t>
      </w:r>
      <w:r w:rsidR="0F32B710" w:rsidRPr="005A30D4">
        <w:rPr>
          <w:color w:val="000000" w:themeColor="text1"/>
          <w:sz w:val="22"/>
          <w:szCs w:val="22"/>
        </w:rPr>
        <w:t xml:space="preserve"> facilitate both the preparation for the next ministerial meeting, and follow-up to mandates emanating from the previous ministerial meeting. The process will be led by the bodies responsible for follow-up and continuity of each ministerial process, including inter-American committees. Specifically, the process aims to: (i) assess progress and implementation of ministerial mandates (implementation of current Action Plan and Work Plan); (ii) gather input from similarly mandated international organizations, academia, and relevant private sector partners to analyze regional and world trends on the topic and assesses the pertinence of OAS work in the areas of focus; (iii) give the Secretariat input and guidelines for drafting the white paper, an informative document emanating from the consultations, which in turn will inform the ministerial meeting theme and agenda. (iv) receive formal announcements to host the next ministerial meeting and forward them to CIDI for its formal approval and convocation. If no formal announcement is received, the pertinent Committee may request CIDI to convene the ministerial meeting at OAS General Secretariat Headquarters.</w:t>
      </w:r>
      <w:r w:rsidR="64348B02" w:rsidRPr="005A30D4">
        <w:rPr>
          <w:sz w:val="22"/>
          <w:szCs w:val="22"/>
        </w:rPr>
        <w:t xml:space="preserve"> </w:t>
      </w:r>
    </w:p>
    <w:p w14:paraId="01ADA4A4" w14:textId="77777777" w:rsidR="00FF437C" w:rsidRPr="005A30D4" w:rsidRDefault="00FF437C" w:rsidP="00FF437C">
      <w:pPr>
        <w:jc w:val="both"/>
        <w:rPr>
          <w:sz w:val="22"/>
          <w:szCs w:val="22"/>
        </w:rPr>
      </w:pPr>
    </w:p>
    <w:p w14:paraId="7D91CCD0" w14:textId="77777777" w:rsidR="00FF437C" w:rsidRPr="005A30D4" w:rsidRDefault="64348B02" w:rsidP="00EF4A1B">
      <w:pPr>
        <w:numPr>
          <w:ilvl w:val="0"/>
          <w:numId w:val="15"/>
        </w:numPr>
        <w:ind w:hanging="810"/>
        <w:contextualSpacing/>
        <w:jc w:val="both"/>
        <w:rPr>
          <w:sz w:val="22"/>
          <w:szCs w:val="22"/>
        </w:rPr>
      </w:pPr>
      <w:r w:rsidRPr="005A30D4">
        <w:rPr>
          <w:sz w:val="22"/>
          <w:szCs w:val="22"/>
        </w:rPr>
        <w:t>EXPECTED OUTCOMES</w:t>
      </w:r>
    </w:p>
    <w:p w14:paraId="5D6B5255" w14:textId="77777777" w:rsidR="00FF437C" w:rsidRPr="005A30D4" w:rsidRDefault="00FF437C" w:rsidP="00FF437C">
      <w:pPr>
        <w:contextualSpacing/>
        <w:rPr>
          <w:sz w:val="22"/>
          <w:szCs w:val="22"/>
        </w:rPr>
      </w:pPr>
    </w:p>
    <w:p w14:paraId="794260B7" w14:textId="24D3C165" w:rsidR="00FF437C" w:rsidRPr="005A30D4" w:rsidRDefault="34DF8526" w:rsidP="2EF84B50">
      <w:pPr>
        <w:suppressAutoHyphens/>
        <w:ind w:firstLine="720"/>
        <w:jc w:val="both"/>
        <w:rPr>
          <w:sz w:val="22"/>
          <w:szCs w:val="22"/>
        </w:rPr>
      </w:pPr>
      <w:r w:rsidRPr="005A30D4">
        <w:rPr>
          <w:color w:val="000000" w:themeColor="text1"/>
          <w:sz w:val="22"/>
          <w:szCs w:val="22"/>
        </w:rPr>
        <w:t xml:space="preserve">Gather information on regional and world trends on the topic, identifying sectoral challenges, gaps, and opportunities to be addressed by ministers. Specifically: (i) topics for the next ministerial meeting and guidance to the Secretariat for the preparation of the white paper; (ii) analysis of progress </w:t>
      </w:r>
      <w:r w:rsidRPr="005A30D4">
        <w:rPr>
          <w:color w:val="000000" w:themeColor="text1"/>
          <w:sz w:val="22"/>
          <w:szCs w:val="22"/>
        </w:rPr>
        <w:lastRenderedPageBreak/>
        <w:t>on the implementation of ministerial mandates and recommendations to adjust the Work Plan, if necessary; (ii) tentative dates and place for the next ministerial meeting.</w:t>
      </w:r>
    </w:p>
    <w:p w14:paraId="4DA2557E" w14:textId="77777777" w:rsidR="00FF437C" w:rsidRPr="005A30D4" w:rsidRDefault="64348B02" w:rsidP="00EF4A1B">
      <w:pPr>
        <w:numPr>
          <w:ilvl w:val="0"/>
          <w:numId w:val="15"/>
        </w:numPr>
        <w:ind w:hanging="810"/>
        <w:contextualSpacing/>
        <w:jc w:val="both"/>
        <w:rPr>
          <w:sz w:val="22"/>
          <w:szCs w:val="22"/>
        </w:rPr>
      </w:pPr>
      <w:r w:rsidRPr="005A30D4">
        <w:rPr>
          <w:sz w:val="22"/>
          <w:szCs w:val="22"/>
        </w:rPr>
        <w:t xml:space="preserve">MEETING STRUCTURE </w:t>
      </w:r>
    </w:p>
    <w:p w14:paraId="67B69EEF" w14:textId="77777777" w:rsidR="00FF437C" w:rsidRPr="005A30D4" w:rsidRDefault="00FF437C" w:rsidP="00FF437C">
      <w:pPr>
        <w:keepNext/>
        <w:contextualSpacing/>
        <w:rPr>
          <w:sz w:val="22"/>
          <w:szCs w:val="22"/>
        </w:rPr>
      </w:pPr>
    </w:p>
    <w:p w14:paraId="63FC37B3" w14:textId="24609D23" w:rsidR="00FF437C" w:rsidRPr="005A30D4" w:rsidRDefault="39C43BA7" w:rsidP="00FF437C">
      <w:pPr>
        <w:ind w:firstLine="720"/>
        <w:jc w:val="both"/>
        <w:rPr>
          <w:sz w:val="22"/>
          <w:szCs w:val="22"/>
        </w:rPr>
      </w:pPr>
      <w:r w:rsidRPr="005A30D4">
        <w:rPr>
          <w:sz w:val="22"/>
          <w:szCs w:val="22"/>
        </w:rPr>
        <w:t>The meeting will maintain the dynamics implemented</w:t>
      </w:r>
      <w:r w:rsidR="64348B02" w:rsidRPr="005A30D4">
        <w:rPr>
          <w:sz w:val="22"/>
          <w:szCs w:val="22"/>
        </w:rPr>
        <w:t xml:space="preserve"> during the process of the ministerial cycle with sector authorities and will base its discussion on findings, lessons learned, </w:t>
      </w:r>
      <w:bookmarkStart w:id="3" w:name="_Int_DPyvIxjJ"/>
      <w:r w:rsidR="64348B02" w:rsidRPr="005A30D4">
        <w:rPr>
          <w:sz w:val="22"/>
          <w:szCs w:val="22"/>
        </w:rPr>
        <w:t>common challenges</w:t>
      </w:r>
      <w:bookmarkEnd w:id="3"/>
      <w:r w:rsidR="64348B02" w:rsidRPr="005A30D4">
        <w:rPr>
          <w:sz w:val="22"/>
          <w:szCs w:val="22"/>
        </w:rPr>
        <w:t>, and proposals for action that have been shared since the approval of the Work Plan</w:t>
      </w:r>
      <w:r w:rsidR="00394526" w:rsidRPr="005A30D4">
        <w:rPr>
          <w:sz w:val="22"/>
          <w:szCs w:val="22"/>
        </w:rPr>
        <w:t xml:space="preserve"> of the CIE</w:t>
      </w:r>
      <w:r w:rsidR="64348B02" w:rsidRPr="005A30D4">
        <w:rPr>
          <w:sz w:val="22"/>
          <w:szCs w:val="22"/>
        </w:rPr>
        <w:t xml:space="preserve"> in Ju</w:t>
      </w:r>
      <w:r w:rsidR="48316B44" w:rsidRPr="005A30D4">
        <w:rPr>
          <w:sz w:val="22"/>
          <w:szCs w:val="22"/>
        </w:rPr>
        <w:t>ne</w:t>
      </w:r>
      <w:r w:rsidR="64348B02" w:rsidRPr="005A30D4">
        <w:rPr>
          <w:sz w:val="22"/>
          <w:szCs w:val="22"/>
        </w:rPr>
        <w:t xml:space="preserve"> 202</w:t>
      </w:r>
      <w:r w:rsidR="078B981C" w:rsidRPr="005A30D4">
        <w:rPr>
          <w:sz w:val="22"/>
          <w:szCs w:val="22"/>
        </w:rPr>
        <w:t>3</w:t>
      </w:r>
      <w:r w:rsidR="64348B02" w:rsidRPr="005A30D4">
        <w:rPr>
          <w:sz w:val="22"/>
          <w:szCs w:val="22"/>
        </w:rPr>
        <w:t xml:space="preserve">. </w:t>
      </w:r>
    </w:p>
    <w:p w14:paraId="5DF1B80D" w14:textId="77777777" w:rsidR="00FF437C" w:rsidRPr="005A30D4" w:rsidRDefault="00FF437C" w:rsidP="00FF437C">
      <w:pPr>
        <w:jc w:val="both"/>
        <w:rPr>
          <w:sz w:val="22"/>
          <w:szCs w:val="22"/>
        </w:rPr>
      </w:pPr>
    </w:p>
    <w:p w14:paraId="1D2EA563" w14:textId="62643C74" w:rsidR="00FF437C" w:rsidRPr="005A30D4" w:rsidRDefault="64348B02" w:rsidP="00FF437C">
      <w:pPr>
        <w:ind w:firstLine="720"/>
        <w:jc w:val="both"/>
        <w:rPr>
          <w:sz w:val="22"/>
          <w:szCs w:val="22"/>
        </w:rPr>
      </w:pPr>
      <w:r w:rsidRPr="005A30D4">
        <w:rPr>
          <w:sz w:val="22"/>
          <w:szCs w:val="22"/>
        </w:rPr>
        <w:t xml:space="preserve">In this </w:t>
      </w:r>
      <w:r w:rsidR="117C372F" w:rsidRPr="005A30D4">
        <w:rPr>
          <w:sz w:val="22"/>
          <w:szCs w:val="22"/>
        </w:rPr>
        <w:t>regard</w:t>
      </w:r>
      <w:r w:rsidRPr="005A30D4">
        <w:rPr>
          <w:sz w:val="22"/>
          <w:szCs w:val="22"/>
        </w:rPr>
        <w:t xml:space="preserve">, the countries that have spearheaded these activities have submitted for consideration by delegations the working documents that systematize the topics discussed in these forums for sector policy dialogue over the last </w:t>
      </w:r>
      <w:bookmarkStart w:id="4" w:name="_Int_GyBOU5OK"/>
      <w:r w:rsidRPr="005A30D4">
        <w:rPr>
          <w:sz w:val="22"/>
          <w:szCs w:val="22"/>
        </w:rPr>
        <w:t>18 months</w:t>
      </w:r>
      <w:bookmarkEnd w:id="4"/>
      <w:r w:rsidRPr="005A30D4">
        <w:rPr>
          <w:sz w:val="22"/>
          <w:szCs w:val="22"/>
        </w:rPr>
        <w:t xml:space="preserve">. The Secretariat will soon distribute those working documents for delegations’ consideration. Furthermore, </w:t>
      </w:r>
      <w:r w:rsidR="6C1F7CD5" w:rsidRPr="005A30D4">
        <w:rPr>
          <w:sz w:val="22"/>
          <w:szCs w:val="22"/>
        </w:rPr>
        <w:t xml:space="preserve">The Technical Secretariat will also provide a status report on the progress made in the implementation of the mandates received and the execution of the </w:t>
      </w:r>
      <w:r w:rsidR="00EF1A6B" w:rsidRPr="005A30D4">
        <w:rPr>
          <w:sz w:val="22"/>
          <w:szCs w:val="22"/>
        </w:rPr>
        <w:t>WP</w:t>
      </w:r>
      <w:r w:rsidR="6C1F7CD5" w:rsidRPr="005A30D4">
        <w:rPr>
          <w:sz w:val="22"/>
          <w:szCs w:val="22"/>
        </w:rPr>
        <w:t>CIE 2022-2025 under the priorities established in the I</w:t>
      </w:r>
      <w:r w:rsidR="6C96105C" w:rsidRPr="005A30D4">
        <w:rPr>
          <w:sz w:val="22"/>
          <w:szCs w:val="22"/>
        </w:rPr>
        <w:t>EA</w:t>
      </w:r>
      <w:r w:rsidR="6C1F7CD5" w:rsidRPr="005A30D4">
        <w:rPr>
          <w:sz w:val="22"/>
          <w:szCs w:val="22"/>
        </w:rPr>
        <w:t xml:space="preserve"> 2022-2027.</w:t>
      </w:r>
    </w:p>
    <w:p w14:paraId="218B9890" w14:textId="5774768E" w:rsidR="00FF437C" w:rsidRPr="005A30D4" w:rsidRDefault="00FF437C" w:rsidP="00FF437C">
      <w:pPr>
        <w:jc w:val="both"/>
        <w:rPr>
          <w:sz w:val="22"/>
          <w:szCs w:val="22"/>
        </w:rPr>
      </w:pPr>
    </w:p>
    <w:p w14:paraId="11D2D972" w14:textId="7FC707FD" w:rsidR="005838B7" w:rsidRPr="005A30D4" w:rsidRDefault="00CB61ED" w:rsidP="00FF437C">
      <w:pPr>
        <w:rPr>
          <w:sz w:val="22"/>
          <w:szCs w:val="22"/>
        </w:rPr>
      </w:pPr>
      <w:r w:rsidRPr="005A30D4">
        <w:rPr>
          <w:noProof/>
          <w:sz w:val="22"/>
          <w:szCs w:val="22"/>
        </w:rPr>
        <mc:AlternateContent>
          <mc:Choice Requires="wps">
            <w:drawing>
              <wp:anchor distT="0" distB="0" distL="114300" distR="114300" simplePos="0" relativeHeight="251659264" behindDoc="0" locked="1" layoutInCell="1" allowOverlap="1" wp14:anchorId="118A7318" wp14:editId="470943E9">
                <wp:simplePos x="0" y="0"/>
                <wp:positionH relativeFrom="column">
                  <wp:posOffset>-91440</wp:posOffset>
                </wp:positionH>
                <wp:positionV relativeFrom="page">
                  <wp:posOffset>9144000</wp:posOffset>
                </wp:positionV>
                <wp:extent cx="3383280" cy="228600"/>
                <wp:effectExtent l="0" t="0" r="7620" b="0"/>
                <wp:wrapNone/>
                <wp:docPr id="15688990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5EA5DF69" w14:textId="103DF768" w:rsidR="00CB61ED" w:rsidRPr="00CB61ED" w:rsidRDefault="00CB61ED">
                            <w:pPr>
                              <w:rPr>
                                <w:sz w:val="18"/>
                              </w:rPr>
                            </w:pPr>
                            <w:r>
                              <w:rPr>
                                <w:sz w:val="18"/>
                              </w:rPr>
                              <w:fldChar w:fldCharType="begin"/>
                            </w:r>
                            <w:r>
                              <w:rPr>
                                <w:sz w:val="18"/>
                              </w:rPr>
                              <w:instrText xml:space="preserve"> FILENAME  \* MERGEFORMAT </w:instrText>
                            </w:r>
                            <w:r>
                              <w:rPr>
                                <w:sz w:val="18"/>
                              </w:rPr>
                              <w:fldChar w:fldCharType="separate"/>
                            </w:r>
                            <w:r w:rsidR="00ED3757">
                              <w:rPr>
                                <w:noProof/>
                                <w:sz w:val="18"/>
                              </w:rPr>
                              <w:t>CIDED00339E01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8A7318"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" fillcolor="white [3212]" stroked="f">
                <v:stroke joinstyle="round"/>
                <v:textbox>
                  <w:txbxContent>
                    <w:p w14:paraId="5EA5DF69" w14:textId="103DF768" w:rsidR="00CB61ED" w:rsidRPr="00CB61ED" w:rsidRDefault="00CB61ED">
                      <w:pPr>
                        <w:rPr>
                          <w:sz w:val="18"/>
                        </w:rPr>
                      </w:pPr>
                      <w:r>
                        <w:rPr>
                          <w:sz w:val="18"/>
                        </w:rPr>
                        <w:fldChar w:fldCharType="begin"/>
                      </w:r>
                      <w:r>
                        <w:rPr>
                          <w:sz w:val="18"/>
                        </w:rPr>
                        <w:instrText xml:space="preserve"> FILENAME  \* MERGEFORMAT </w:instrText>
                      </w:r>
                      <w:r>
                        <w:rPr>
                          <w:sz w:val="18"/>
                        </w:rPr>
                        <w:fldChar w:fldCharType="separate"/>
                      </w:r>
                      <w:r w:rsidR="00ED3757">
                        <w:rPr>
                          <w:noProof/>
                          <w:sz w:val="18"/>
                        </w:rPr>
                        <w:t>CIDED00339E01</w:t>
                      </w:r>
                      <w:r>
                        <w:rPr>
                          <w:sz w:val="18"/>
                        </w:rPr>
                        <w:fldChar w:fldCharType="end"/>
                      </w:r>
                    </w:p>
                  </w:txbxContent>
                </v:textbox>
                <w10:wrap anchory="page"/>
                <w10:anchorlock/>
              </v:shape>
            </w:pict>
          </mc:Fallback>
        </mc:AlternateContent>
      </w:r>
    </w:p>
    <w:sectPr w:rsidR="005838B7" w:rsidRPr="005A30D4" w:rsidSect="00ED5F33">
      <w:headerReference w:type="even" r:id="rId11"/>
      <w:headerReference w:type="default" r:id="rId12"/>
      <w:headerReference w:type="first" r:id="rId13"/>
      <w:type w:val="continuous"/>
      <w:pgSz w:w="12240" w:h="15840" w:code="1"/>
      <w:pgMar w:top="2160" w:right="1570" w:bottom="1296" w:left="167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1388B" w14:textId="77777777" w:rsidR="00E227DC" w:rsidRDefault="00E227DC">
      <w:r>
        <w:separator/>
      </w:r>
    </w:p>
  </w:endnote>
  <w:endnote w:type="continuationSeparator" w:id="0">
    <w:p w14:paraId="43C051AC" w14:textId="77777777" w:rsidR="00E227DC" w:rsidRDefault="00E2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75B1B" w14:textId="77777777" w:rsidR="00E227DC" w:rsidRDefault="00E227DC">
      <w:r>
        <w:separator/>
      </w:r>
    </w:p>
  </w:footnote>
  <w:footnote w:type="continuationSeparator" w:id="0">
    <w:p w14:paraId="744FE823" w14:textId="77777777" w:rsidR="00E227DC" w:rsidRDefault="00E2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295D" w14:textId="77777777" w:rsidR="00ED2E09" w:rsidRDefault="00ED2E09"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2A5C9" w14:textId="77777777" w:rsidR="00ED2E09" w:rsidRDefault="00ED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DCBC" w14:textId="77777777" w:rsidR="00FF437C" w:rsidRDefault="00FF437C" w:rsidP="005A1046">
    <w:pPr>
      <w:pStyle w:val="Header"/>
      <w:jc w:val="center"/>
      <w:rPr>
        <w:sz w:val="22"/>
        <w:szCs w:val="22"/>
        <w:lang w:val="es-AR"/>
      </w:rPr>
    </w:pPr>
  </w:p>
  <w:p w14:paraId="6E46F966" w14:textId="32F2B4A5" w:rsidR="00ED2E09" w:rsidRPr="00970961" w:rsidRDefault="00ED2E09" w:rsidP="005A1046">
    <w:pPr>
      <w:pStyle w:val="Header"/>
      <w:jc w:val="center"/>
      <w:rPr>
        <w:sz w:val="22"/>
        <w:szCs w:val="22"/>
        <w:lang w:val="es-AR"/>
      </w:rPr>
    </w:pPr>
    <w:r w:rsidRPr="00970961">
      <w:rPr>
        <w:sz w:val="22"/>
        <w:szCs w:val="22"/>
        <w:lang w:val="es-AR"/>
      </w:rPr>
      <w:t xml:space="preserve">- </w:t>
    </w:r>
    <w:r w:rsidRPr="00970961">
      <w:rPr>
        <w:rStyle w:val="PageNumber"/>
        <w:sz w:val="22"/>
        <w:szCs w:val="22"/>
      </w:rPr>
      <w:fldChar w:fldCharType="begin"/>
    </w:r>
    <w:r w:rsidRPr="00970961">
      <w:rPr>
        <w:rStyle w:val="PageNumber"/>
        <w:sz w:val="22"/>
        <w:szCs w:val="22"/>
      </w:rPr>
      <w:instrText xml:space="preserve"> PAGE </w:instrText>
    </w:r>
    <w:r w:rsidRPr="00970961">
      <w:rPr>
        <w:rStyle w:val="PageNumber"/>
        <w:sz w:val="22"/>
        <w:szCs w:val="22"/>
      </w:rPr>
      <w:fldChar w:fldCharType="separate"/>
    </w:r>
    <w:r w:rsidR="00204CE6">
      <w:rPr>
        <w:rStyle w:val="PageNumber"/>
        <w:noProof/>
        <w:sz w:val="22"/>
        <w:szCs w:val="22"/>
      </w:rPr>
      <w:t>2</w:t>
    </w:r>
    <w:r w:rsidRPr="00970961">
      <w:rPr>
        <w:rStyle w:val="PageNumber"/>
        <w:sz w:val="22"/>
        <w:szCs w:val="22"/>
      </w:rPr>
      <w:fldChar w:fldCharType="end"/>
    </w:r>
    <w:r w:rsidRPr="00970961">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F9EE" w14:textId="4FF3292A" w:rsidR="00ED2E09" w:rsidRDefault="00E430F2" w:rsidP="005A1046">
    <w:pPr>
      <w:pStyle w:val="Header"/>
    </w:pPr>
    <w:r>
      <w:rPr>
        <w:noProof/>
      </w:rPr>
      <mc:AlternateContent>
        <mc:Choice Requires="wps">
          <w:drawing>
            <wp:anchor distT="0" distB="0" distL="114300" distR="114300" simplePos="0" relativeHeight="251658752" behindDoc="0" locked="0" layoutInCell="1" allowOverlap="1" wp14:anchorId="3DA159A5" wp14:editId="70964572">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4B51" w14:textId="29A00842" w:rsidR="00ED2E09" w:rsidRPr="00A95E6E" w:rsidRDefault="00ED2E09" w:rsidP="00970961">
                          <w:pPr>
                            <w:pStyle w:val="Header"/>
                            <w:tabs>
                              <w:tab w:val="left" w:pos="900"/>
                            </w:tabs>
                            <w:spacing w:line="0" w:lineRule="atLeast"/>
                            <w:jc w:val="center"/>
                            <w:rPr>
                              <w:rFonts w:ascii="Garamond" w:hAnsi="Garamond"/>
                              <w:b/>
                              <w:sz w:val="28"/>
                            </w:rPr>
                          </w:pPr>
                          <w:r w:rsidRPr="00A95E6E">
                            <w:rPr>
                              <w:rFonts w:ascii="Garamond" w:hAnsi="Garamond"/>
                              <w:b/>
                              <w:sz w:val="28"/>
                            </w:rPr>
                            <w:t>ORGANIZA</w:t>
                          </w:r>
                          <w:r w:rsidR="00FF437C" w:rsidRPr="00A95E6E">
                            <w:rPr>
                              <w:rFonts w:ascii="Garamond" w:hAnsi="Garamond"/>
                              <w:b/>
                              <w:sz w:val="28"/>
                            </w:rPr>
                            <w:t>TION OF AMERICAN STATES</w:t>
                          </w:r>
                        </w:p>
                        <w:p w14:paraId="736B4A0C" w14:textId="5562B93C" w:rsidR="00ED2E09" w:rsidRPr="00FF437C" w:rsidRDefault="00FF437C" w:rsidP="00970961">
                          <w:pPr>
                            <w:pStyle w:val="Header"/>
                            <w:tabs>
                              <w:tab w:val="left" w:pos="900"/>
                            </w:tabs>
                            <w:spacing w:line="0" w:lineRule="atLeast"/>
                            <w:jc w:val="center"/>
                            <w:rPr>
                              <w:rFonts w:ascii="Garamond" w:hAnsi="Garamond"/>
                              <w:b/>
                              <w:sz w:val="24"/>
                              <w:szCs w:val="24"/>
                            </w:rPr>
                          </w:pPr>
                          <w:r w:rsidRPr="00FF437C">
                            <w:rPr>
                              <w:rFonts w:ascii="Garamond" w:hAnsi="Garamond"/>
                              <w:b/>
                              <w:sz w:val="24"/>
                              <w:szCs w:val="24"/>
                            </w:rPr>
                            <w:t xml:space="preserve">Inter-American </w:t>
                          </w:r>
                          <w:r>
                            <w:rPr>
                              <w:rFonts w:ascii="Garamond" w:hAnsi="Garamond"/>
                              <w:b/>
                              <w:sz w:val="24"/>
                              <w:szCs w:val="24"/>
                            </w:rPr>
                            <w:t>C</w:t>
                          </w:r>
                          <w:r w:rsidRPr="00FF437C">
                            <w:rPr>
                              <w:rFonts w:ascii="Garamond" w:hAnsi="Garamond"/>
                              <w:b/>
                              <w:sz w:val="24"/>
                              <w:szCs w:val="24"/>
                            </w:rPr>
                            <w:t>ouncil for Integral Develo</w:t>
                          </w:r>
                          <w:r>
                            <w:rPr>
                              <w:rFonts w:ascii="Garamond" w:hAnsi="Garamond"/>
                              <w:b/>
                              <w:sz w:val="24"/>
                              <w:szCs w:val="24"/>
                            </w:rPr>
                            <w:t>p</w:t>
                          </w:r>
                          <w:r w:rsidRPr="00FF437C">
                            <w:rPr>
                              <w:rFonts w:ascii="Garamond" w:hAnsi="Garamond"/>
                              <w:b/>
                              <w:sz w:val="24"/>
                              <w:szCs w:val="24"/>
                            </w:rPr>
                            <w:t>ment</w:t>
                          </w:r>
                        </w:p>
                        <w:p w14:paraId="7604B693" w14:textId="77777777" w:rsidR="00ED2E09" w:rsidRPr="00970961" w:rsidRDefault="00ED2E09"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159A5" id="_x0000_t202" coordsize="21600,21600" o:spt="202" path="m,l,21600r21600,l21600,xe">
              <v:stroke joinstyle="miter"/>
              <v:path gradientshapeok="t" o:connecttype="rect"/>
            </v:shapetype>
            <v:shape id="Text Box 4" o:spid="_x0000_s1027" type="#_x0000_t202" style="position:absolute;margin-left:36.1pt;margin-top:9.2pt;width:367.2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66194B51" w14:textId="29A00842" w:rsidR="00ED2E09" w:rsidRPr="00A95E6E" w:rsidRDefault="00ED2E09" w:rsidP="00970961">
                    <w:pPr>
                      <w:pStyle w:val="Header"/>
                      <w:tabs>
                        <w:tab w:val="left" w:pos="900"/>
                      </w:tabs>
                      <w:spacing w:line="0" w:lineRule="atLeast"/>
                      <w:jc w:val="center"/>
                      <w:rPr>
                        <w:rFonts w:ascii="Garamond" w:hAnsi="Garamond"/>
                        <w:b/>
                        <w:sz w:val="28"/>
                      </w:rPr>
                    </w:pPr>
                    <w:r w:rsidRPr="00A95E6E">
                      <w:rPr>
                        <w:rFonts w:ascii="Garamond" w:hAnsi="Garamond"/>
                        <w:b/>
                        <w:sz w:val="28"/>
                      </w:rPr>
                      <w:t>ORGANIZA</w:t>
                    </w:r>
                    <w:r w:rsidR="00FF437C" w:rsidRPr="00A95E6E">
                      <w:rPr>
                        <w:rFonts w:ascii="Garamond" w:hAnsi="Garamond"/>
                        <w:b/>
                        <w:sz w:val="28"/>
                      </w:rPr>
                      <w:t>TION OF AMERICAN STATES</w:t>
                    </w:r>
                  </w:p>
                  <w:p w14:paraId="736B4A0C" w14:textId="5562B93C" w:rsidR="00ED2E09" w:rsidRPr="00FF437C" w:rsidRDefault="00FF437C" w:rsidP="00970961">
                    <w:pPr>
                      <w:pStyle w:val="Header"/>
                      <w:tabs>
                        <w:tab w:val="left" w:pos="900"/>
                      </w:tabs>
                      <w:spacing w:line="0" w:lineRule="atLeast"/>
                      <w:jc w:val="center"/>
                      <w:rPr>
                        <w:rFonts w:ascii="Garamond" w:hAnsi="Garamond"/>
                        <w:b/>
                        <w:sz w:val="24"/>
                        <w:szCs w:val="24"/>
                      </w:rPr>
                    </w:pPr>
                    <w:r w:rsidRPr="00FF437C">
                      <w:rPr>
                        <w:rFonts w:ascii="Garamond" w:hAnsi="Garamond"/>
                        <w:b/>
                        <w:sz w:val="24"/>
                        <w:szCs w:val="24"/>
                      </w:rPr>
                      <w:t xml:space="preserve">Inter-American </w:t>
                    </w:r>
                    <w:r>
                      <w:rPr>
                        <w:rFonts w:ascii="Garamond" w:hAnsi="Garamond"/>
                        <w:b/>
                        <w:sz w:val="24"/>
                        <w:szCs w:val="24"/>
                      </w:rPr>
                      <w:t>C</w:t>
                    </w:r>
                    <w:r w:rsidRPr="00FF437C">
                      <w:rPr>
                        <w:rFonts w:ascii="Garamond" w:hAnsi="Garamond"/>
                        <w:b/>
                        <w:sz w:val="24"/>
                        <w:szCs w:val="24"/>
                      </w:rPr>
                      <w:t>ouncil for Integral Develo</w:t>
                    </w:r>
                    <w:r>
                      <w:rPr>
                        <w:rFonts w:ascii="Garamond" w:hAnsi="Garamond"/>
                        <w:b/>
                        <w:sz w:val="24"/>
                        <w:szCs w:val="24"/>
                      </w:rPr>
                      <w:t>p</w:t>
                    </w:r>
                    <w:r w:rsidRPr="00FF437C">
                      <w:rPr>
                        <w:rFonts w:ascii="Garamond" w:hAnsi="Garamond"/>
                        <w:b/>
                        <w:sz w:val="24"/>
                        <w:szCs w:val="24"/>
                      </w:rPr>
                      <w:t>ment</w:t>
                    </w:r>
                  </w:p>
                  <w:p w14:paraId="7604B693" w14:textId="77777777" w:rsidR="00ED2E09" w:rsidRPr="00970961" w:rsidRDefault="00ED2E09"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1F8F584" wp14:editId="0A8D7A60">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F584" id="Text Box 3" o:spid="_x0000_s1028" type="#_x0000_t202" style="position:absolute;margin-left:400pt;margin-top:-2.8pt;width:101.4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6704" behindDoc="0" locked="0" layoutInCell="1" allowOverlap="1" wp14:anchorId="76EFBC57" wp14:editId="627F0FC8">
          <wp:simplePos x="0" y="0"/>
          <wp:positionH relativeFrom="column">
            <wp:posOffset>-444500</wp:posOffset>
          </wp:positionH>
          <wp:positionV relativeFrom="paragraph">
            <wp:posOffset>-35560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807E9" w14:textId="77777777" w:rsidR="00ED2E09" w:rsidRDefault="00ED2E09">
    <w:pPr>
      <w:pStyle w:val="Header"/>
    </w:pPr>
  </w:p>
</w:hdr>
</file>

<file path=word/intelligence2.xml><?xml version="1.0" encoding="utf-8"?>
<int2:intelligence xmlns:int2="http://schemas.microsoft.com/office/intelligence/2020/intelligence" xmlns:oel="http://schemas.microsoft.com/office/2019/extlst">
  <int2:observations>
    <int2:textHash int2:hashCode="PWwUzudsIO5Om/" int2:id="Yn1JXQQm">
      <int2:state int2:value="Rejected" int2:type="AugLoop_Text_Critique"/>
    </int2:textHash>
    <int2:textHash int2:hashCode="BC3EUS+j05HFFw" int2:id="d659sw5I">
      <int2:state int2:value="Rejected" int2:type="AugLoop_Text_Critique"/>
    </int2:textHash>
    <int2:bookmark int2:bookmarkName="_Int_DPyvIxjJ" int2:invalidationBookmarkName="" int2:hashCode="bLvHSCZGQuSOGZ" int2:id="IPI9032B">
      <int2:state int2:value="Rejected" int2:type="AugLoop_Text_Critique"/>
    </int2:bookmark>
    <int2:bookmark int2:bookmarkName="_Int_sV3QMjxa" int2:invalidationBookmarkName="" int2:hashCode="iM/zrXXXrfjRXJ" int2:id="7sotQv7j">
      <int2:state int2:value="Rejected" int2:type="AugLoop_Text_Critique"/>
    </int2:bookmark>
    <int2:bookmark int2:bookmarkName="_Int_GyBOU5OK" int2:invalidationBookmarkName="" int2:hashCode="0tKhY8h5CZfw8c" int2:id="p3xLgOVC">
      <int2:state int2:value="Rejected" int2:type="AugLoop_Text_Critique"/>
    </int2:bookmark>
    <int2:bookmark int2:bookmarkName="_Int_bXUZimgT" int2:invalidationBookmarkName="" int2:hashCode="gynu/b2dBBtVr9" int2:id="G4ym9wVp">
      <int2:state int2:value="Rejected" int2:type="AugLoop_Text_Critique"/>
    </int2:bookmark>
    <int2:bookmark int2:bookmarkName="_Int_PaoQieVc" int2:invalidationBookmarkName="" int2:hashCode="lJIFwkZpICMiFn" int2:id="beh5UXN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A7"/>
    <w:multiLevelType w:val="hybridMultilevel"/>
    <w:tmpl w:val="8E9454FE"/>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3D03DF2"/>
    <w:multiLevelType w:val="hybridMultilevel"/>
    <w:tmpl w:val="4512358E"/>
    <w:lvl w:ilvl="0" w:tplc="F378F1D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05">
      <w:start w:val="1"/>
      <w:numFmt w:val="bullet"/>
      <w:lvlText w:val=""/>
      <w:lvlJc w:val="left"/>
      <w:pPr>
        <w:tabs>
          <w:tab w:val="num" w:pos="4680"/>
        </w:tabs>
        <w:ind w:left="4680" w:hanging="360"/>
      </w:pPr>
      <w:rPr>
        <w:rFonts w:ascii="Wingdings" w:hAnsi="Wingding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DFF05F3"/>
    <w:multiLevelType w:val="hybridMultilevel"/>
    <w:tmpl w:val="C53637E2"/>
    <w:lvl w:ilvl="0" w:tplc="140A0001">
      <w:start w:val="1"/>
      <w:numFmt w:val="bullet"/>
      <w:lvlText w:val=""/>
      <w:lvlJc w:val="left"/>
      <w:pPr>
        <w:ind w:left="1260" w:hanging="360"/>
      </w:pPr>
      <w:rPr>
        <w:rFonts w:ascii="Symbol" w:hAnsi="Symbol"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3" w15:restartNumberingAfterBreak="0">
    <w:nsid w:val="1E195B41"/>
    <w:multiLevelType w:val="hybridMultilevel"/>
    <w:tmpl w:val="3F200C0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2BB90BDD"/>
    <w:multiLevelType w:val="hybridMultilevel"/>
    <w:tmpl w:val="210E8BEA"/>
    <w:lvl w:ilvl="0" w:tplc="0409000F">
      <w:start w:val="1"/>
      <w:numFmt w:val="decimal"/>
      <w:lvlText w:val="%1."/>
      <w:lvlJc w:val="left"/>
      <w:pPr>
        <w:tabs>
          <w:tab w:val="num" w:pos="720"/>
        </w:tabs>
        <w:ind w:left="720" w:hanging="360"/>
      </w:pPr>
    </w:lvl>
    <w:lvl w:ilvl="1" w:tplc="14BE11D2">
      <w:start w:val="1"/>
      <w:numFmt w:val="lowerLetter"/>
      <w:lvlText w:val="%2."/>
      <w:lvlJc w:val="left"/>
      <w:pPr>
        <w:tabs>
          <w:tab w:val="num" w:pos="1440"/>
        </w:tabs>
        <w:ind w:left="1440" w:hanging="360"/>
      </w:pPr>
      <w:rPr>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15811"/>
    <w:multiLevelType w:val="hybridMultilevel"/>
    <w:tmpl w:val="A7E8E9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9F65430"/>
    <w:multiLevelType w:val="hybridMultilevel"/>
    <w:tmpl w:val="FED8271C"/>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D50803"/>
    <w:multiLevelType w:val="hybridMultilevel"/>
    <w:tmpl w:val="0BD8C7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97D88"/>
    <w:multiLevelType w:val="hybridMultilevel"/>
    <w:tmpl w:val="56FEB486"/>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58C1179"/>
    <w:multiLevelType w:val="hybridMultilevel"/>
    <w:tmpl w:val="245E9C8A"/>
    <w:lvl w:ilvl="0" w:tplc="DFE6025A">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4516BC"/>
    <w:multiLevelType w:val="hybridMultilevel"/>
    <w:tmpl w:val="9BF6BA8E"/>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271438"/>
    <w:multiLevelType w:val="hybridMultilevel"/>
    <w:tmpl w:val="332EBC66"/>
    <w:lvl w:ilvl="0" w:tplc="490A5EB6">
      <w:start w:val="1"/>
      <w:numFmt w:val="upperLetter"/>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B5F6403"/>
    <w:multiLevelType w:val="hybridMultilevel"/>
    <w:tmpl w:val="39446A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52F644D"/>
    <w:multiLevelType w:val="hybridMultilevel"/>
    <w:tmpl w:val="366AF11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1571958413">
    <w:abstractNumId w:val="7"/>
  </w:num>
  <w:num w:numId="2" w16cid:durableId="303003929">
    <w:abstractNumId w:val="8"/>
  </w:num>
  <w:num w:numId="3" w16cid:durableId="1661541998">
    <w:abstractNumId w:val="11"/>
  </w:num>
  <w:num w:numId="4" w16cid:durableId="1721896760">
    <w:abstractNumId w:val="6"/>
  </w:num>
  <w:num w:numId="5" w16cid:durableId="336470783">
    <w:abstractNumId w:val="0"/>
  </w:num>
  <w:num w:numId="6" w16cid:durableId="787315912">
    <w:abstractNumId w:val="1"/>
  </w:num>
  <w:num w:numId="7" w16cid:durableId="1029644622">
    <w:abstractNumId w:val="14"/>
  </w:num>
  <w:num w:numId="8" w16cid:durableId="895504232">
    <w:abstractNumId w:val="3"/>
  </w:num>
  <w:num w:numId="9" w16cid:durableId="716659545">
    <w:abstractNumId w:val="4"/>
  </w:num>
  <w:num w:numId="10" w16cid:durableId="367341050">
    <w:abstractNumId w:val="9"/>
  </w:num>
  <w:num w:numId="11" w16cid:durableId="597522665">
    <w:abstractNumId w:val="13"/>
  </w:num>
  <w:num w:numId="12" w16cid:durableId="448354402">
    <w:abstractNumId w:val="5"/>
  </w:num>
  <w:num w:numId="13" w16cid:durableId="1149633787">
    <w:abstractNumId w:val="10"/>
  </w:num>
  <w:num w:numId="14" w16cid:durableId="427116761">
    <w:abstractNumId w:val="2"/>
  </w:num>
  <w:num w:numId="15" w16cid:durableId="3930426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18BF"/>
    <w:rsid w:val="000274E0"/>
    <w:rsid w:val="00030603"/>
    <w:rsid w:val="000312AC"/>
    <w:rsid w:val="0003461C"/>
    <w:rsid w:val="00037CA3"/>
    <w:rsid w:val="0004463E"/>
    <w:rsid w:val="00051559"/>
    <w:rsid w:val="0005588A"/>
    <w:rsid w:val="00060F1F"/>
    <w:rsid w:val="0007074D"/>
    <w:rsid w:val="00077820"/>
    <w:rsid w:val="00085EFA"/>
    <w:rsid w:val="0009528C"/>
    <w:rsid w:val="0009593E"/>
    <w:rsid w:val="000A1B29"/>
    <w:rsid w:val="000A55B8"/>
    <w:rsid w:val="000B6052"/>
    <w:rsid w:val="000C17CF"/>
    <w:rsid w:val="000D4D7B"/>
    <w:rsid w:val="00112AD1"/>
    <w:rsid w:val="00131225"/>
    <w:rsid w:val="00142F02"/>
    <w:rsid w:val="00146A8A"/>
    <w:rsid w:val="00160379"/>
    <w:rsid w:val="001649CB"/>
    <w:rsid w:val="00171221"/>
    <w:rsid w:val="0017174E"/>
    <w:rsid w:val="00173E9A"/>
    <w:rsid w:val="0017652F"/>
    <w:rsid w:val="00181A34"/>
    <w:rsid w:val="00181CA0"/>
    <w:rsid w:val="00185845"/>
    <w:rsid w:val="0019145F"/>
    <w:rsid w:val="00192535"/>
    <w:rsid w:val="001A2B68"/>
    <w:rsid w:val="001B2B35"/>
    <w:rsid w:val="001B4C19"/>
    <w:rsid w:val="001C5C73"/>
    <w:rsid w:val="001C641F"/>
    <w:rsid w:val="001D1F13"/>
    <w:rsid w:val="001D31B7"/>
    <w:rsid w:val="001D5FE9"/>
    <w:rsid w:val="001D6139"/>
    <w:rsid w:val="001E1B00"/>
    <w:rsid w:val="001F58F4"/>
    <w:rsid w:val="001F663C"/>
    <w:rsid w:val="001F67AD"/>
    <w:rsid w:val="00203BC1"/>
    <w:rsid w:val="002044F4"/>
    <w:rsid w:val="00204CE6"/>
    <w:rsid w:val="0020588E"/>
    <w:rsid w:val="00214E3D"/>
    <w:rsid w:val="0021760C"/>
    <w:rsid w:val="00220440"/>
    <w:rsid w:val="002205F5"/>
    <w:rsid w:val="0022673A"/>
    <w:rsid w:val="002272B3"/>
    <w:rsid w:val="00231FAB"/>
    <w:rsid w:val="00233BB6"/>
    <w:rsid w:val="002518DD"/>
    <w:rsid w:val="00252A8A"/>
    <w:rsid w:val="00256440"/>
    <w:rsid w:val="00264DBA"/>
    <w:rsid w:val="00265E60"/>
    <w:rsid w:val="00271160"/>
    <w:rsid w:val="0027594F"/>
    <w:rsid w:val="00276A3B"/>
    <w:rsid w:val="00293CBE"/>
    <w:rsid w:val="002962A6"/>
    <w:rsid w:val="002974B1"/>
    <w:rsid w:val="002A01BE"/>
    <w:rsid w:val="002A61DA"/>
    <w:rsid w:val="002B18FF"/>
    <w:rsid w:val="002B398C"/>
    <w:rsid w:val="002B60A5"/>
    <w:rsid w:val="002C34B6"/>
    <w:rsid w:val="002D3EDE"/>
    <w:rsid w:val="002F2207"/>
    <w:rsid w:val="00314282"/>
    <w:rsid w:val="00316B7B"/>
    <w:rsid w:val="00347DDE"/>
    <w:rsid w:val="00350D52"/>
    <w:rsid w:val="00355CE6"/>
    <w:rsid w:val="00355D05"/>
    <w:rsid w:val="00356407"/>
    <w:rsid w:val="00364A17"/>
    <w:rsid w:val="00381193"/>
    <w:rsid w:val="003818FF"/>
    <w:rsid w:val="00384197"/>
    <w:rsid w:val="00387958"/>
    <w:rsid w:val="00390D60"/>
    <w:rsid w:val="00392E4A"/>
    <w:rsid w:val="00394526"/>
    <w:rsid w:val="003A37A8"/>
    <w:rsid w:val="003A5A76"/>
    <w:rsid w:val="003B269F"/>
    <w:rsid w:val="003B60C5"/>
    <w:rsid w:val="003C1B35"/>
    <w:rsid w:val="003D4BD0"/>
    <w:rsid w:val="00402A35"/>
    <w:rsid w:val="0040380B"/>
    <w:rsid w:val="00404772"/>
    <w:rsid w:val="004102F6"/>
    <w:rsid w:val="00422D06"/>
    <w:rsid w:val="004269A3"/>
    <w:rsid w:val="00433C3B"/>
    <w:rsid w:val="004472CA"/>
    <w:rsid w:val="00465616"/>
    <w:rsid w:val="004668E5"/>
    <w:rsid w:val="00470BC0"/>
    <w:rsid w:val="004739BC"/>
    <w:rsid w:val="004863C0"/>
    <w:rsid w:val="00491396"/>
    <w:rsid w:val="004A7966"/>
    <w:rsid w:val="004B5025"/>
    <w:rsid w:val="004C0E8A"/>
    <w:rsid w:val="004C700A"/>
    <w:rsid w:val="004C7235"/>
    <w:rsid w:val="004D3B86"/>
    <w:rsid w:val="004D58BD"/>
    <w:rsid w:val="004D7776"/>
    <w:rsid w:val="004E1ECC"/>
    <w:rsid w:val="004E45B1"/>
    <w:rsid w:val="004F1602"/>
    <w:rsid w:val="004F6544"/>
    <w:rsid w:val="005030A7"/>
    <w:rsid w:val="00513173"/>
    <w:rsid w:val="005228AB"/>
    <w:rsid w:val="005322C5"/>
    <w:rsid w:val="00533255"/>
    <w:rsid w:val="00533A0C"/>
    <w:rsid w:val="0053672F"/>
    <w:rsid w:val="00537221"/>
    <w:rsid w:val="00545C97"/>
    <w:rsid w:val="00554D1A"/>
    <w:rsid w:val="00554DAD"/>
    <w:rsid w:val="00554FD0"/>
    <w:rsid w:val="005613E6"/>
    <w:rsid w:val="00565BDC"/>
    <w:rsid w:val="005811E5"/>
    <w:rsid w:val="005838B7"/>
    <w:rsid w:val="00583AFF"/>
    <w:rsid w:val="00586379"/>
    <w:rsid w:val="005A07EB"/>
    <w:rsid w:val="005A1046"/>
    <w:rsid w:val="005A30D4"/>
    <w:rsid w:val="005A7631"/>
    <w:rsid w:val="005C504E"/>
    <w:rsid w:val="005D1F9F"/>
    <w:rsid w:val="005D244D"/>
    <w:rsid w:val="005E60AB"/>
    <w:rsid w:val="005F05EF"/>
    <w:rsid w:val="005F6F42"/>
    <w:rsid w:val="005F777E"/>
    <w:rsid w:val="00610C78"/>
    <w:rsid w:val="0061171D"/>
    <w:rsid w:val="00626056"/>
    <w:rsid w:val="00632869"/>
    <w:rsid w:val="0064150C"/>
    <w:rsid w:val="006477AC"/>
    <w:rsid w:val="00653821"/>
    <w:rsid w:val="00653EFC"/>
    <w:rsid w:val="00657B97"/>
    <w:rsid w:val="00657D81"/>
    <w:rsid w:val="00663C82"/>
    <w:rsid w:val="00664CCB"/>
    <w:rsid w:val="00675D8C"/>
    <w:rsid w:val="0067670B"/>
    <w:rsid w:val="006841C5"/>
    <w:rsid w:val="006A449D"/>
    <w:rsid w:val="006B6EFA"/>
    <w:rsid w:val="006C6724"/>
    <w:rsid w:val="006D2D1E"/>
    <w:rsid w:val="006E13B2"/>
    <w:rsid w:val="006E177E"/>
    <w:rsid w:val="006F0A3C"/>
    <w:rsid w:val="006F4EE7"/>
    <w:rsid w:val="00700FB6"/>
    <w:rsid w:val="00701FC7"/>
    <w:rsid w:val="00705F9E"/>
    <w:rsid w:val="007100E8"/>
    <w:rsid w:val="0071506D"/>
    <w:rsid w:val="007173E8"/>
    <w:rsid w:val="00717A7A"/>
    <w:rsid w:val="007224D1"/>
    <w:rsid w:val="00722A08"/>
    <w:rsid w:val="00724CE8"/>
    <w:rsid w:val="00740679"/>
    <w:rsid w:val="00740F69"/>
    <w:rsid w:val="007435BB"/>
    <w:rsid w:val="00764298"/>
    <w:rsid w:val="007668CD"/>
    <w:rsid w:val="007724DD"/>
    <w:rsid w:val="007736F2"/>
    <w:rsid w:val="00776946"/>
    <w:rsid w:val="0078249E"/>
    <w:rsid w:val="007906F5"/>
    <w:rsid w:val="007938DF"/>
    <w:rsid w:val="007A0E75"/>
    <w:rsid w:val="007B6CA9"/>
    <w:rsid w:val="007C1A21"/>
    <w:rsid w:val="007D30C5"/>
    <w:rsid w:val="007E33EB"/>
    <w:rsid w:val="007F027A"/>
    <w:rsid w:val="007F0555"/>
    <w:rsid w:val="007F2232"/>
    <w:rsid w:val="007F2774"/>
    <w:rsid w:val="008022B4"/>
    <w:rsid w:val="008050B2"/>
    <w:rsid w:val="0080651A"/>
    <w:rsid w:val="008173A8"/>
    <w:rsid w:val="00827D19"/>
    <w:rsid w:val="00832CE9"/>
    <w:rsid w:val="0083612A"/>
    <w:rsid w:val="0085501E"/>
    <w:rsid w:val="00857A89"/>
    <w:rsid w:val="00871717"/>
    <w:rsid w:val="00874E94"/>
    <w:rsid w:val="00877904"/>
    <w:rsid w:val="00881A38"/>
    <w:rsid w:val="00892598"/>
    <w:rsid w:val="0089272D"/>
    <w:rsid w:val="008943EE"/>
    <w:rsid w:val="00895328"/>
    <w:rsid w:val="008B2C96"/>
    <w:rsid w:val="008B4471"/>
    <w:rsid w:val="008C3A04"/>
    <w:rsid w:val="008C7788"/>
    <w:rsid w:val="008D000F"/>
    <w:rsid w:val="008D6344"/>
    <w:rsid w:val="008E2F6F"/>
    <w:rsid w:val="008F4927"/>
    <w:rsid w:val="00903461"/>
    <w:rsid w:val="00905B3E"/>
    <w:rsid w:val="009077C1"/>
    <w:rsid w:val="0091506F"/>
    <w:rsid w:val="00917EF1"/>
    <w:rsid w:val="009217A7"/>
    <w:rsid w:val="00923359"/>
    <w:rsid w:val="00924F41"/>
    <w:rsid w:val="00925CDF"/>
    <w:rsid w:val="009264C0"/>
    <w:rsid w:val="00930B6C"/>
    <w:rsid w:val="00936B8E"/>
    <w:rsid w:val="009412E3"/>
    <w:rsid w:val="0094374E"/>
    <w:rsid w:val="00956958"/>
    <w:rsid w:val="00963036"/>
    <w:rsid w:val="00970961"/>
    <w:rsid w:val="009855A4"/>
    <w:rsid w:val="009900F5"/>
    <w:rsid w:val="00993B79"/>
    <w:rsid w:val="00997235"/>
    <w:rsid w:val="00997BBE"/>
    <w:rsid w:val="009A7AF0"/>
    <w:rsid w:val="009B7E2A"/>
    <w:rsid w:val="009C0BA3"/>
    <w:rsid w:val="009D1A1B"/>
    <w:rsid w:val="009D2FA7"/>
    <w:rsid w:val="009D7E18"/>
    <w:rsid w:val="009F4248"/>
    <w:rsid w:val="009F5E15"/>
    <w:rsid w:val="00A01A2D"/>
    <w:rsid w:val="00A03713"/>
    <w:rsid w:val="00A1200B"/>
    <w:rsid w:val="00A309D8"/>
    <w:rsid w:val="00A326B1"/>
    <w:rsid w:val="00A37596"/>
    <w:rsid w:val="00A40BB0"/>
    <w:rsid w:val="00A52B6C"/>
    <w:rsid w:val="00A60C5E"/>
    <w:rsid w:val="00A64BFE"/>
    <w:rsid w:val="00A6594C"/>
    <w:rsid w:val="00A671B3"/>
    <w:rsid w:val="00A67BD7"/>
    <w:rsid w:val="00A72D49"/>
    <w:rsid w:val="00A77E53"/>
    <w:rsid w:val="00A8521C"/>
    <w:rsid w:val="00A859C2"/>
    <w:rsid w:val="00A9444B"/>
    <w:rsid w:val="00A94A80"/>
    <w:rsid w:val="00A95E6E"/>
    <w:rsid w:val="00A97703"/>
    <w:rsid w:val="00AA3AB9"/>
    <w:rsid w:val="00AC09D9"/>
    <w:rsid w:val="00AC1787"/>
    <w:rsid w:val="00AC747F"/>
    <w:rsid w:val="00AC7CF8"/>
    <w:rsid w:val="00AD0654"/>
    <w:rsid w:val="00AD0A26"/>
    <w:rsid w:val="00AD7B06"/>
    <w:rsid w:val="00AE2C5A"/>
    <w:rsid w:val="00AE6186"/>
    <w:rsid w:val="00AE7C3F"/>
    <w:rsid w:val="00AF61F9"/>
    <w:rsid w:val="00AF6D8D"/>
    <w:rsid w:val="00AF7865"/>
    <w:rsid w:val="00B107BD"/>
    <w:rsid w:val="00B1635A"/>
    <w:rsid w:val="00B20A99"/>
    <w:rsid w:val="00B20AFC"/>
    <w:rsid w:val="00B22866"/>
    <w:rsid w:val="00B301EC"/>
    <w:rsid w:val="00B33039"/>
    <w:rsid w:val="00B428E5"/>
    <w:rsid w:val="00B44997"/>
    <w:rsid w:val="00B4525E"/>
    <w:rsid w:val="00B51183"/>
    <w:rsid w:val="00B6212E"/>
    <w:rsid w:val="00B624F0"/>
    <w:rsid w:val="00B82F1B"/>
    <w:rsid w:val="00B84C15"/>
    <w:rsid w:val="00B9045C"/>
    <w:rsid w:val="00B93188"/>
    <w:rsid w:val="00B94BCA"/>
    <w:rsid w:val="00BA1F21"/>
    <w:rsid w:val="00BB2ACF"/>
    <w:rsid w:val="00BB52FB"/>
    <w:rsid w:val="00BB751D"/>
    <w:rsid w:val="00BF01F3"/>
    <w:rsid w:val="00BF3C4C"/>
    <w:rsid w:val="00BF5480"/>
    <w:rsid w:val="00BF6EC7"/>
    <w:rsid w:val="00BF7CDF"/>
    <w:rsid w:val="00C067F1"/>
    <w:rsid w:val="00C07293"/>
    <w:rsid w:val="00C11BF0"/>
    <w:rsid w:val="00C15A56"/>
    <w:rsid w:val="00C355C3"/>
    <w:rsid w:val="00C37763"/>
    <w:rsid w:val="00C416DA"/>
    <w:rsid w:val="00C41BF5"/>
    <w:rsid w:val="00C44410"/>
    <w:rsid w:val="00C503D8"/>
    <w:rsid w:val="00C54A64"/>
    <w:rsid w:val="00C57E90"/>
    <w:rsid w:val="00C63EA8"/>
    <w:rsid w:val="00C66445"/>
    <w:rsid w:val="00C70A11"/>
    <w:rsid w:val="00C72A62"/>
    <w:rsid w:val="00C72B50"/>
    <w:rsid w:val="00C77276"/>
    <w:rsid w:val="00C823BC"/>
    <w:rsid w:val="00C87AEF"/>
    <w:rsid w:val="00C91942"/>
    <w:rsid w:val="00CA0579"/>
    <w:rsid w:val="00CB036B"/>
    <w:rsid w:val="00CB28B1"/>
    <w:rsid w:val="00CB2BD4"/>
    <w:rsid w:val="00CB580A"/>
    <w:rsid w:val="00CB61ED"/>
    <w:rsid w:val="00CB6BDA"/>
    <w:rsid w:val="00CC1405"/>
    <w:rsid w:val="00CC2EA8"/>
    <w:rsid w:val="00CC74B1"/>
    <w:rsid w:val="00CE47B3"/>
    <w:rsid w:val="00CE4C6C"/>
    <w:rsid w:val="00CE5033"/>
    <w:rsid w:val="00CE7602"/>
    <w:rsid w:val="00CF671B"/>
    <w:rsid w:val="00D018E7"/>
    <w:rsid w:val="00D05EBA"/>
    <w:rsid w:val="00D13EA8"/>
    <w:rsid w:val="00D15497"/>
    <w:rsid w:val="00D17FDE"/>
    <w:rsid w:val="00D23682"/>
    <w:rsid w:val="00D24DBE"/>
    <w:rsid w:val="00D278B0"/>
    <w:rsid w:val="00D43693"/>
    <w:rsid w:val="00D44B22"/>
    <w:rsid w:val="00D5575C"/>
    <w:rsid w:val="00D60EF6"/>
    <w:rsid w:val="00D6423D"/>
    <w:rsid w:val="00D73AD6"/>
    <w:rsid w:val="00D73F87"/>
    <w:rsid w:val="00D75E5F"/>
    <w:rsid w:val="00D804B3"/>
    <w:rsid w:val="00D83177"/>
    <w:rsid w:val="00D8564E"/>
    <w:rsid w:val="00D9150E"/>
    <w:rsid w:val="00DA2D06"/>
    <w:rsid w:val="00DA4593"/>
    <w:rsid w:val="00DA5380"/>
    <w:rsid w:val="00DB172C"/>
    <w:rsid w:val="00DB1841"/>
    <w:rsid w:val="00DB37CC"/>
    <w:rsid w:val="00DB535B"/>
    <w:rsid w:val="00DC7315"/>
    <w:rsid w:val="00DE1708"/>
    <w:rsid w:val="00DE409C"/>
    <w:rsid w:val="00DE65F8"/>
    <w:rsid w:val="00E012BB"/>
    <w:rsid w:val="00E07496"/>
    <w:rsid w:val="00E21C64"/>
    <w:rsid w:val="00E227DC"/>
    <w:rsid w:val="00E3473B"/>
    <w:rsid w:val="00E430F2"/>
    <w:rsid w:val="00E453C3"/>
    <w:rsid w:val="00E52608"/>
    <w:rsid w:val="00E62E14"/>
    <w:rsid w:val="00E66261"/>
    <w:rsid w:val="00EC024D"/>
    <w:rsid w:val="00EC07DB"/>
    <w:rsid w:val="00EC5F54"/>
    <w:rsid w:val="00ED0914"/>
    <w:rsid w:val="00ED264D"/>
    <w:rsid w:val="00ED2E09"/>
    <w:rsid w:val="00ED31AF"/>
    <w:rsid w:val="00ED3757"/>
    <w:rsid w:val="00ED5F33"/>
    <w:rsid w:val="00EE627D"/>
    <w:rsid w:val="00EF0160"/>
    <w:rsid w:val="00EF1A6B"/>
    <w:rsid w:val="00EF1B78"/>
    <w:rsid w:val="00EF24EB"/>
    <w:rsid w:val="00EF4A1B"/>
    <w:rsid w:val="00EF4CD3"/>
    <w:rsid w:val="00F013D0"/>
    <w:rsid w:val="00F0181A"/>
    <w:rsid w:val="00F16F15"/>
    <w:rsid w:val="00F30A6C"/>
    <w:rsid w:val="00F35EBA"/>
    <w:rsid w:val="00F369C6"/>
    <w:rsid w:val="00F444FB"/>
    <w:rsid w:val="00F55BE3"/>
    <w:rsid w:val="00F55DE3"/>
    <w:rsid w:val="00F60477"/>
    <w:rsid w:val="00F6145E"/>
    <w:rsid w:val="00F61A0F"/>
    <w:rsid w:val="00F63CDB"/>
    <w:rsid w:val="00F64A0F"/>
    <w:rsid w:val="00F65186"/>
    <w:rsid w:val="00F7099E"/>
    <w:rsid w:val="00F73F2A"/>
    <w:rsid w:val="00F8038B"/>
    <w:rsid w:val="00F82CC1"/>
    <w:rsid w:val="00F84773"/>
    <w:rsid w:val="00F8716A"/>
    <w:rsid w:val="00F972CF"/>
    <w:rsid w:val="00FA00BE"/>
    <w:rsid w:val="00FB3344"/>
    <w:rsid w:val="00FB5862"/>
    <w:rsid w:val="00FD0DF5"/>
    <w:rsid w:val="00FE5615"/>
    <w:rsid w:val="00FE6467"/>
    <w:rsid w:val="00FF15EC"/>
    <w:rsid w:val="00FF437C"/>
    <w:rsid w:val="00FF7111"/>
    <w:rsid w:val="00FF7EE3"/>
    <w:rsid w:val="029935AF"/>
    <w:rsid w:val="03541CAE"/>
    <w:rsid w:val="03789E40"/>
    <w:rsid w:val="03D295A7"/>
    <w:rsid w:val="04ACF1EA"/>
    <w:rsid w:val="05302B24"/>
    <w:rsid w:val="063BFFB4"/>
    <w:rsid w:val="068352A7"/>
    <w:rsid w:val="06A49A41"/>
    <w:rsid w:val="06B23C58"/>
    <w:rsid w:val="074FADCF"/>
    <w:rsid w:val="078B981C"/>
    <w:rsid w:val="08CBE31E"/>
    <w:rsid w:val="08DED62B"/>
    <w:rsid w:val="0966F659"/>
    <w:rsid w:val="096E7F90"/>
    <w:rsid w:val="09AD01B7"/>
    <w:rsid w:val="0A325327"/>
    <w:rsid w:val="0B23C871"/>
    <w:rsid w:val="0C2C6A24"/>
    <w:rsid w:val="0C8A0EE9"/>
    <w:rsid w:val="0C9CD851"/>
    <w:rsid w:val="0D26EE5F"/>
    <w:rsid w:val="0F32B710"/>
    <w:rsid w:val="117C372F"/>
    <w:rsid w:val="11801173"/>
    <w:rsid w:val="1219AEA6"/>
    <w:rsid w:val="12558EB6"/>
    <w:rsid w:val="129C9E52"/>
    <w:rsid w:val="136662E9"/>
    <w:rsid w:val="1388A7AA"/>
    <w:rsid w:val="151DAEA2"/>
    <w:rsid w:val="15C67722"/>
    <w:rsid w:val="1676165B"/>
    <w:rsid w:val="167A3F53"/>
    <w:rsid w:val="168435AC"/>
    <w:rsid w:val="168AB536"/>
    <w:rsid w:val="17B09AC2"/>
    <w:rsid w:val="19B9989D"/>
    <w:rsid w:val="19C41B5C"/>
    <w:rsid w:val="1BA7D7E3"/>
    <w:rsid w:val="1C18CB6E"/>
    <w:rsid w:val="1C66B191"/>
    <w:rsid w:val="1CF5858F"/>
    <w:rsid w:val="1D0AF68E"/>
    <w:rsid w:val="1D783BEA"/>
    <w:rsid w:val="1E1A607B"/>
    <w:rsid w:val="1F0E8D2B"/>
    <w:rsid w:val="20239CC3"/>
    <w:rsid w:val="20C2C8DB"/>
    <w:rsid w:val="216C88BF"/>
    <w:rsid w:val="23240DCC"/>
    <w:rsid w:val="2392A0CE"/>
    <w:rsid w:val="23BE1515"/>
    <w:rsid w:val="23E3A4F4"/>
    <w:rsid w:val="264E38C4"/>
    <w:rsid w:val="271D1BDE"/>
    <w:rsid w:val="27CDFA54"/>
    <w:rsid w:val="28A39E6B"/>
    <w:rsid w:val="2992E287"/>
    <w:rsid w:val="2B6CD065"/>
    <w:rsid w:val="2B8DC71B"/>
    <w:rsid w:val="2B9BD786"/>
    <w:rsid w:val="2EF84B50"/>
    <w:rsid w:val="2F11EA07"/>
    <w:rsid w:val="2F1E5BF9"/>
    <w:rsid w:val="2F9E367E"/>
    <w:rsid w:val="30B28CE1"/>
    <w:rsid w:val="31CA07D9"/>
    <w:rsid w:val="32D7BD1B"/>
    <w:rsid w:val="33693527"/>
    <w:rsid w:val="33E90FB0"/>
    <w:rsid w:val="34DF8526"/>
    <w:rsid w:val="35282015"/>
    <w:rsid w:val="3538AD86"/>
    <w:rsid w:val="35DB3A15"/>
    <w:rsid w:val="36B6D0FE"/>
    <w:rsid w:val="37D1C347"/>
    <w:rsid w:val="37F60DEE"/>
    <w:rsid w:val="398DC3BB"/>
    <w:rsid w:val="39C43BA7"/>
    <w:rsid w:val="39CFF4B4"/>
    <w:rsid w:val="3A33B14D"/>
    <w:rsid w:val="3AB794EC"/>
    <w:rsid w:val="3B1336A8"/>
    <w:rsid w:val="3C6B7DD2"/>
    <w:rsid w:val="3C9CEA7C"/>
    <w:rsid w:val="3E693996"/>
    <w:rsid w:val="3F9F4ABF"/>
    <w:rsid w:val="3FB58DD6"/>
    <w:rsid w:val="401C3EB1"/>
    <w:rsid w:val="411D8E59"/>
    <w:rsid w:val="412BAE1B"/>
    <w:rsid w:val="41A98380"/>
    <w:rsid w:val="4259E888"/>
    <w:rsid w:val="42CBD655"/>
    <w:rsid w:val="431C8DD9"/>
    <w:rsid w:val="4441C75C"/>
    <w:rsid w:val="4496A21A"/>
    <w:rsid w:val="45481E53"/>
    <w:rsid w:val="48316B44"/>
    <w:rsid w:val="491875F1"/>
    <w:rsid w:val="491F8E87"/>
    <w:rsid w:val="4BB03D2F"/>
    <w:rsid w:val="4BEB778E"/>
    <w:rsid w:val="4C0A3EAA"/>
    <w:rsid w:val="4C219624"/>
    <w:rsid w:val="4D094CF1"/>
    <w:rsid w:val="4DBBD4DB"/>
    <w:rsid w:val="51DC7C64"/>
    <w:rsid w:val="52574F75"/>
    <w:rsid w:val="541A0338"/>
    <w:rsid w:val="549CEAED"/>
    <w:rsid w:val="553E6724"/>
    <w:rsid w:val="56B58475"/>
    <w:rsid w:val="57978990"/>
    <w:rsid w:val="5829113D"/>
    <w:rsid w:val="58663AE8"/>
    <w:rsid w:val="586F9EC0"/>
    <w:rsid w:val="587014CB"/>
    <w:rsid w:val="595E3DC0"/>
    <w:rsid w:val="5BCE9213"/>
    <w:rsid w:val="5C5E919C"/>
    <w:rsid w:val="5E777910"/>
    <w:rsid w:val="5F0570D4"/>
    <w:rsid w:val="6000C0AB"/>
    <w:rsid w:val="6081D5E3"/>
    <w:rsid w:val="60D407C5"/>
    <w:rsid w:val="61657F80"/>
    <w:rsid w:val="62FD0644"/>
    <w:rsid w:val="633A5C42"/>
    <w:rsid w:val="63AD43FD"/>
    <w:rsid w:val="63B0705A"/>
    <w:rsid w:val="63B4A450"/>
    <w:rsid w:val="63E8EC84"/>
    <w:rsid w:val="64348B02"/>
    <w:rsid w:val="64F2557C"/>
    <w:rsid w:val="65C19BA1"/>
    <w:rsid w:val="664C16DD"/>
    <w:rsid w:val="669563AC"/>
    <w:rsid w:val="6A53D129"/>
    <w:rsid w:val="6A6A6345"/>
    <w:rsid w:val="6A7262D9"/>
    <w:rsid w:val="6C1F7CD5"/>
    <w:rsid w:val="6C96105C"/>
    <w:rsid w:val="6C9F7C5D"/>
    <w:rsid w:val="6E14433C"/>
    <w:rsid w:val="6E4F42C0"/>
    <w:rsid w:val="6EF218D8"/>
    <w:rsid w:val="706CF7FB"/>
    <w:rsid w:val="7075F76C"/>
    <w:rsid w:val="714C2CD5"/>
    <w:rsid w:val="71FAA151"/>
    <w:rsid w:val="734AE7BA"/>
    <w:rsid w:val="73D2B96D"/>
    <w:rsid w:val="75046CDE"/>
    <w:rsid w:val="75B073EE"/>
    <w:rsid w:val="76F6F5C3"/>
    <w:rsid w:val="78B42A9F"/>
    <w:rsid w:val="7A29E2D2"/>
    <w:rsid w:val="7AD19912"/>
    <w:rsid w:val="7B862977"/>
    <w:rsid w:val="7BA9B741"/>
    <w:rsid w:val="7CBE6443"/>
    <w:rsid w:val="7E0BDEBB"/>
    <w:rsid w:val="7EC91C24"/>
    <w:rsid w:val="7F67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DF934"/>
  <w15:chartTrackingRefBased/>
  <w15:docId w15:val="{C7F01F43-D99F-4A01-825B-03D55DCF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uiPriority w:val="99"/>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CommentReference">
    <w:name w:val="annotation reference"/>
    <w:semiHidden/>
    <w:rsid w:val="00EE627D"/>
    <w:rPr>
      <w:sz w:val="16"/>
      <w:szCs w:val="16"/>
    </w:rPr>
  </w:style>
  <w:style w:type="paragraph" w:styleId="CommentText">
    <w:name w:val="annotation text"/>
    <w:basedOn w:val="Normal"/>
    <w:semiHidden/>
    <w:rsid w:val="00EE627D"/>
  </w:style>
  <w:style w:type="paragraph" w:styleId="CommentSubject">
    <w:name w:val="annotation subject"/>
    <w:basedOn w:val="CommentText"/>
    <w:next w:val="CommentText"/>
    <w:semiHidden/>
    <w:rsid w:val="00EE627D"/>
    <w:rPr>
      <w:b/>
      <w:bCs/>
    </w:rPr>
  </w:style>
  <w:style w:type="character" w:customStyle="1" w:styleId="FootnoteTextChar">
    <w:name w:val="Footnote Text Char"/>
    <w:link w:val="FootnoteText"/>
    <w:uiPriority w:val="99"/>
    <w:rsid w:val="00B4525E"/>
  </w:style>
  <w:style w:type="character" w:styleId="Hyperlink">
    <w:name w:val="Hyperlink"/>
    <w:rsid w:val="0071506D"/>
    <w:rPr>
      <w:rFonts w:cs="Times New Roman"/>
      <w:color w:val="0000FF"/>
      <w:u w:val="single"/>
    </w:rPr>
  </w:style>
  <w:style w:type="character" w:styleId="FollowedHyperlink">
    <w:name w:val="FollowedHyperlink"/>
    <w:rsid w:val="00ED2E09"/>
    <w:rPr>
      <w:color w:val="800080"/>
      <w:u w:val="single"/>
    </w:rPr>
  </w:style>
  <w:style w:type="paragraph" w:styleId="ListParagraph">
    <w:name w:val="List Paragraph"/>
    <w:basedOn w:val="Normal"/>
    <w:uiPriority w:val="34"/>
    <w:qFormat/>
    <w:rsid w:val="00D73AD6"/>
    <w:pPr>
      <w:spacing w:after="160" w:line="259" w:lineRule="auto"/>
      <w:ind w:left="720"/>
      <w:contextualSpacing/>
    </w:pPr>
    <w:rPr>
      <w:rFonts w:ascii="Calibri" w:eastAsia="Malgun Gothic" w:hAnsi="Calibri" w:cs="Arial"/>
      <w:sz w:val="22"/>
      <w:szCs w:val="22"/>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cm.oas.org/IDMS/Redirectpage.aspx?class=V.14.1.CIDI/RME/dec&amp;classNum=1&amp;l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4D744-97AE-446F-BDE2-AD9B7267D50C}">
  <ds:schemaRefs>
    <ds:schemaRef ds:uri="http://schemas.microsoft.com/sharepoint/v3/contenttype/forms"/>
  </ds:schemaRefs>
</ds:datastoreItem>
</file>

<file path=customXml/itemProps2.xml><?xml version="1.0" encoding="utf-8"?>
<ds:datastoreItem xmlns:ds="http://schemas.openxmlformats.org/officeDocument/2006/customXml" ds:itemID="{884348CB-BD20-4B8D-A69A-920A4E5D712B}">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3.xml><?xml version="1.0" encoding="utf-8"?>
<ds:datastoreItem xmlns:ds="http://schemas.openxmlformats.org/officeDocument/2006/customXml" ds:itemID="{449488F7-1278-4D48-A4D4-3D74DABFB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01 13 DOC02_04 Draft Agenda.dot</Template>
  <TotalTime>1</TotalTime>
  <Pages>4</Pages>
  <Words>1400</Words>
  <Characters>8172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Duran, Lucia</cp:lastModifiedBy>
  <cp:revision>2</cp:revision>
  <cp:lastPrinted>2007-08-02T14:51:00Z</cp:lastPrinted>
  <dcterms:created xsi:type="dcterms:W3CDTF">2024-11-21T16:00:00Z</dcterms:created>
  <dcterms:modified xsi:type="dcterms:W3CDTF">2024-11-21T16:00:00Z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