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BBB9" w14:textId="1A10E081" w:rsidR="009E2C41" w:rsidRPr="00C631D5" w:rsidRDefault="009E2C41" w:rsidP="009E2C41">
      <w:pPr>
        <w:tabs>
          <w:tab w:val="left" w:pos="6480"/>
        </w:tabs>
        <w:ind w:right="-1080"/>
        <w:rPr>
          <w:sz w:val="22"/>
          <w:szCs w:val="22"/>
          <w:lang w:val="es-ES"/>
        </w:rPr>
      </w:pPr>
      <w:bookmarkStart w:id="0" w:name="_Hlk133014046"/>
      <w:r w:rsidRPr="00887AFA">
        <w:rPr>
          <w:b/>
          <w:bCs/>
          <w:sz w:val="22"/>
          <w:szCs w:val="22"/>
          <w:lang w:val="es-ES"/>
        </w:rPr>
        <w:t>REUNIÓN</w:t>
      </w:r>
      <w:r w:rsidRPr="00887AFA">
        <w:rPr>
          <w:b/>
          <w:sz w:val="22"/>
          <w:szCs w:val="22"/>
          <w:lang w:val="es-ES"/>
        </w:rPr>
        <w:t xml:space="preserve"> DE </w:t>
      </w:r>
      <w:r w:rsidRPr="00887AFA">
        <w:rPr>
          <w:b/>
          <w:bCs/>
          <w:sz w:val="22"/>
          <w:szCs w:val="22"/>
          <w:lang w:val="es-ES"/>
        </w:rPr>
        <w:t>PLANEACIÓN</w:t>
      </w:r>
      <w:r w:rsidRPr="00887AFA">
        <w:rPr>
          <w:b/>
          <w:sz w:val="22"/>
          <w:szCs w:val="22"/>
          <w:lang w:val="es-ES"/>
        </w:rPr>
        <w:t xml:space="preserve"> DE LAS AUTORIDADES</w:t>
      </w:r>
      <w:r>
        <w:rPr>
          <w:sz w:val="22"/>
          <w:szCs w:val="22"/>
          <w:lang w:val="es-ES"/>
        </w:rPr>
        <w:tab/>
      </w:r>
      <w:r w:rsidRPr="00C631D5">
        <w:rPr>
          <w:sz w:val="22"/>
          <w:szCs w:val="22"/>
          <w:lang w:val="es-US"/>
        </w:rPr>
        <w:t>OEA/</w:t>
      </w:r>
      <w:proofErr w:type="spellStart"/>
      <w:r w:rsidRPr="00C631D5">
        <w:rPr>
          <w:sz w:val="22"/>
          <w:szCs w:val="22"/>
          <w:lang w:val="es-US"/>
        </w:rPr>
        <w:t>Ser.W</w:t>
      </w:r>
      <w:proofErr w:type="spellEnd"/>
      <w:r w:rsidRPr="00C631D5">
        <w:rPr>
          <w:sz w:val="22"/>
          <w:szCs w:val="22"/>
          <w:lang w:val="es-US"/>
        </w:rPr>
        <w:t>/XIII.6</w:t>
      </w:r>
    </w:p>
    <w:p w14:paraId="55A68977" w14:textId="6A3E5A09" w:rsidR="009E2C41" w:rsidRPr="00C631D5" w:rsidRDefault="009E2C41" w:rsidP="009E2C41">
      <w:pPr>
        <w:tabs>
          <w:tab w:val="left" w:pos="6480"/>
        </w:tabs>
        <w:ind w:right="-1080"/>
        <w:rPr>
          <w:sz w:val="22"/>
          <w:szCs w:val="22"/>
          <w:lang w:val="es-US"/>
        </w:rPr>
      </w:pPr>
      <w:r w:rsidRPr="00C631D5">
        <w:rPr>
          <w:b/>
          <w:sz w:val="22"/>
          <w:szCs w:val="22"/>
          <w:lang w:val="es-US"/>
        </w:rPr>
        <w:t>CIDI Proceso Ministerial - Educación</w:t>
      </w:r>
      <w:r w:rsidRPr="00C631D5">
        <w:rPr>
          <w:b/>
          <w:sz w:val="22"/>
          <w:szCs w:val="22"/>
          <w:lang w:val="es-US"/>
        </w:rPr>
        <w:tab/>
      </w:r>
      <w:r w:rsidRPr="00C631D5">
        <w:rPr>
          <w:sz w:val="22"/>
          <w:szCs w:val="22"/>
          <w:lang w:val="es-US"/>
        </w:rPr>
        <w:t>CIDI/CIE/RPA/doc.17/23</w:t>
      </w:r>
      <w:r>
        <w:rPr>
          <w:sz w:val="22"/>
          <w:szCs w:val="22"/>
          <w:lang w:val="es-US"/>
        </w:rPr>
        <w:t xml:space="preserve"> </w:t>
      </w:r>
      <w:r w:rsidRPr="00C631D5">
        <w:rPr>
          <w:sz w:val="22"/>
          <w:szCs w:val="22"/>
          <w:lang w:val="es-US"/>
        </w:rPr>
        <w:t>rev</w:t>
      </w:r>
      <w:r>
        <w:rPr>
          <w:sz w:val="22"/>
          <w:szCs w:val="22"/>
          <w:lang w:val="es-US"/>
        </w:rPr>
        <w:t>.</w:t>
      </w:r>
      <w:r w:rsidR="00271C8A">
        <w:rPr>
          <w:sz w:val="22"/>
          <w:szCs w:val="22"/>
          <w:lang w:val="es-US"/>
        </w:rPr>
        <w:t>2</w:t>
      </w:r>
      <w:r>
        <w:rPr>
          <w:sz w:val="22"/>
          <w:szCs w:val="22"/>
          <w:lang w:val="es-US"/>
        </w:rPr>
        <w:t xml:space="preserve"> add.4</w:t>
      </w:r>
    </w:p>
    <w:p w14:paraId="70F46B3A" w14:textId="6D541C7F" w:rsidR="009E2C41" w:rsidRPr="00C631D5" w:rsidRDefault="009E2C41" w:rsidP="009E2C41">
      <w:pPr>
        <w:tabs>
          <w:tab w:val="left" w:pos="6480"/>
          <w:tab w:val="left" w:pos="6750"/>
        </w:tabs>
        <w:ind w:right="-1080"/>
        <w:rPr>
          <w:sz w:val="22"/>
          <w:szCs w:val="22"/>
          <w:lang w:val="es-ES"/>
        </w:rPr>
      </w:pPr>
      <w:r w:rsidRPr="00C631D5">
        <w:rPr>
          <w:sz w:val="22"/>
          <w:szCs w:val="22"/>
          <w:lang w:val="es-ES"/>
        </w:rPr>
        <w:t>9 de febrero de 202</w:t>
      </w:r>
      <w:r>
        <w:rPr>
          <w:sz w:val="22"/>
          <w:szCs w:val="22"/>
          <w:lang w:val="es-ES"/>
        </w:rPr>
        <w:t>3</w:t>
      </w:r>
      <w:r>
        <w:rPr>
          <w:sz w:val="22"/>
          <w:szCs w:val="22"/>
          <w:lang w:val="es-ES"/>
        </w:rPr>
        <w:tab/>
      </w:r>
      <w:r w:rsidR="00271C8A">
        <w:rPr>
          <w:sz w:val="22"/>
          <w:szCs w:val="22"/>
          <w:lang w:val="es-ES"/>
        </w:rPr>
        <w:t>14 junio</w:t>
      </w:r>
      <w:r w:rsidRPr="00C631D5">
        <w:rPr>
          <w:sz w:val="22"/>
          <w:szCs w:val="22"/>
          <w:lang w:val="es-ES"/>
        </w:rPr>
        <w:t xml:space="preserve"> 2023</w:t>
      </w:r>
    </w:p>
    <w:p w14:paraId="6BC27778" w14:textId="0487F3C8" w:rsidR="009E2C41" w:rsidRPr="00C631D5" w:rsidRDefault="009E2C41" w:rsidP="009E2C41">
      <w:pPr>
        <w:tabs>
          <w:tab w:val="left" w:pos="6480"/>
        </w:tabs>
        <w:ind w:right="-1080"/>
        <w:rPr>
          <w:sz w:val="22"/>
          <w:szCs w:val="22"/>
          <w:lang w:val="es-ES"/>
        </w:rPr>
      </w:pPr>
      <w:r w:rsidRPr="00C631D5">
        <w:rPr>
          <w:sz w:val="22"/>
          <w:szCs w:val="22"/>
          <w:lang w:val="es-ES"/>
        </w:rPr>
        <w:t xml:space="preserve">Washington, D.C. </w:t>
      </w:r>
      <w:r>
        <w:rPr>
          <w:sz w:val="22"/>
          <w:szCs w:val="22"/>
          <w:lang w:val="es-ES"/>
        </w:rPr>
        <w:tab/>
      </w:r>
      <w:r w:rsidRPr="00C631D5">
        <w:rPr>
          <w:sz w:val="22"/>
          <w:szCs w:val="22"/>
          <w:lang w:val="es-ES"/>
        </w:rPr>
        <w:t xml:space="preserve">Original: </w:t>
      </w:r>
      <w:r w:rsidRPr="00C631D5">
        <w:rPr>
          <w:bCs/>
          <w:sz w:val="22"/>
          <w:szCs w:val="22"/>
          <w:lang w:val="es-ES"/>
        </w:rPr>
        <w:t>español</w:t>
      </w:r>
    </w:p>
    <w:bookmarkEnd w:id="0"/>
    <w:p w14:paraId="01172B06" w14:textId="77777777" w:rsidR="006F1098" w:rsidRPr="009267EC" w:rsidRDefault="006F1098" w:rsidP="009E2C41">
      <w:pPr>
        <w:pBdr>
          <w:bottom w:val="single" w:sz="12" w:space="1" w:color="auto"/>
        </w:pBdr>
        <w:tabs>
          <w:tab w:val="left" w:pos="6840"/>
        </w:tabs>
        <w:ind w:right="-29"/>
        <w:rPr>
          <w:sz w:val="22"/>
          <w:lang w:val="es-US"/>
        </w:rPr>
      </w:pPr>
    </w:p>
    <w:p w14:paraId="26979D2C" w14:textId="77777777" w:rsidR="006F1098" w:rsidRPr="009267EC" w:rsidRDefault="006F1098" w:rsidP="009E2C41">
      <w:pPr>
        <w:tabs>
          <w:tab w:val="left" w:pos="720"/>
          <w:tab w:val="center" w:pos="4320"/>
          <w:tab w:val="right" w:pos="8640"/>
        </w:tabs>
        <w:jc w:val="center"/>
        <w:rPr>
          <w:sz w:val="22"/>
          <w:szCs w:val="22"/>
          <w:lang w:val="es-US"/>
        </w:rPr>
      </w:pPr>
    </w:p>
    <w:p w14:paraId="32F8A232" w14:textId="77777777" w:rsidR="006F1098" w:rsidRPr="009267EC" w:rsidRDefault="006F1098" w:rsidP="009E2C41">
      <w:pPr>
        <w:tabs>
          <w:tab w:val="left" w:pos="720"/>
          <w:tab w:val="center" w:pos="4320"/>
          <w:tab w:val="right" w:pos="8640"/>
        </w:tabs>
        <w:jc w:val="center"/>
        <w:rPr>
          <w:sz w:val="22"/>
          <w:szCs w:val="22"/>
          <w:lang w:val="es-US"/>
        </w:rPr>
      </w:pPr>
    </w:p>
    <w:p w14:paraId="7958153A" w14:textId="77777777" w:rsidR="0085480A" w:rsidRPr="009267EC" w:rsidRDefault="0085480A" w:rsidP="009E2C41">
      <w:pPr>
        <w:tabs>
          <w:tab w:val="left" w:pos="720"/>
          <w:tab w:val="center" w:pos="4320"/>
          <w:tab w:val="right" w:pos="8640"/>
        </w:tabs>
        <w:jc w:val="center"/>
        <w:rPr>
          <w:sz w:val="22"/>
          <w:szCs w:val="22"/>
          <w:lang w:val="es-US"/>
        </w:rPr>
      </w:pPr>
    </w:p>
    <w:p w14:paraId="6B75054C" w14:textId="77777777" w:rsidR="0085480A" w:rsidRPr="009267EC" w:rsidRDefault="0085480A" w:rsidP="009E2C41">
      <w:pPr>
        <w:tabs>
          <w:tab w:val="left" w:pos="720"/>
          <w:tab w:val="center" w:pos="4320"/>
          <w:tab w:val="right" w:pos="8640"/>
        </w:tabs>
        <w:jc w:val="center"/>
        <w:rPr>
          <w:sz w:val="22"/>
          <w:szCs w:val="22"/>
          <w:lang w:val="es-US"/>
        </w:rPr>
      </w:pPr>
    </w:p>
    <w:p w14:paraId="0F0FAF8A" w14:textId="77777777" w:rsidR="0085480A" w:rsidRDefault="0085480A" w:rsidP="009E2C41">
      <w:pPr>
        <w:tabs>
          <w:tab w:val="left" w:pos="720"/>
          <w:tab w:val="center" w:pos="4320"/>
          <w:tab w:val="right" w:pos="8640"/>
        </w:tabs>
        <w:jc w:val="center"/>
        <w:rPr>
          <w:sz w:val="22"/>
          <w:szCs w:val="22"/>
          <w:lang w:val="es-US"/>
        </w:rPr>
      </w:pPr>
    </w:p>
    <w:p w14:paraId="54636A6D" w14:textId="77777777" w:rsidR="009E2C41" w:rsidRDefault="009E2C41" w:rsidP="009E2C41">
      <w:pPr>
        <w:tabs>
          <w:tab w:val="left" w:pos="720"/>
          <w:tab w:val="center" w:pos="4320"/>
          <w:tab w:val="right" w:pos="8640"/>
        </w:tabs>
        <w:jc w:val="center"/>
        <w:rPr>
          <w:sz w:val="22"/>
          <w:szCs w:val="22"/>
          <w:lang w:val="es-US"/>
        </w:rPr>
      </w:pPr>
    </w:p>
    <w:p w14:paraId="072745AF" w14:textId="77777777" w:rsidR="009E2C41" w:rsidRDefault="009E2C41" w:rsidP="009E2C41">
      <w:pPr>
        <w:tabs>
          <w:tab w:val="left" w:pos="720"/>
          <w:tab w:val="center" w:pos="4320"/>
          <w:tab w:val="right" w:pos="8640"/>
        </w:tabs>
        <w:jc w:val="center"/>
        <w:rPr>
          <w:sz w:val="22"/>
          <w:szCs w:val="22"/>
          <w:lang w:val="es-US"/>
        </w:rPr>
      </w:pPr>
    </w:p>
    <w:p w14:paraId="53CE456C" w14:textId="77777777" w:rsidR="009E2C41" w:rsidRDefault="009E2C41" w:rsidP="009E2C41">
      <w:pPr>
        <w:tabs>
          <w:tab w:val="left" w:pos="720"/>
          <w:tab w:val="center" w:pos="4320"/>
          <w:tab w:val="right" w:pos="8640"/>
        </w:tabs>
        <w:jc w:val="center"/>
        <w:rPr>
          <w:sz w:val="22"/>
          <w:szCs w:val="22"/>
          <w:lang w:val="es-US"/>
        </w:rPr>
      </w:pPr>
    </w:p>
    <w:p w14:paraId="5DA73503" w14:textId="77777777" w:rsidR="009E2C41" w:rsidRDefault="009E2C41" w:rsidP="009E2C41">
      <w:pPr>
        <w:tabs>
          <w:tab w:val="left" w:pos="720"/>
          <w:tab w:val="center" w:pos="4320"/>
          <w:tab w:val="right" w:pos="8640"/>
        </w:tabs>
        <w:jc w:val="center"/>
        <w:rPr>
          <w:sz w:val="22"/>
          <w:szCs w:val="22"/>
          <w:lang w:val="es-US"/>
        </w:rPr>
      </w:pPr>
    </w:p>
    <w:p w14:paraId="326D6323" w14:textId="77777777" w:rsidR="009E2C41" w:rsidRPr="009E2C41" w:rsidRDefault="009E2C41" w:rsidP="009E2C41">
      <w:pPr>
        <w:tabs>
          <w:tab w:val="left" w:pos="720"/>
          <w:tab w:val="center" w:pos="4320"/>
          <w:tab w:val="right" w:pos="8640"/>
        </w:tabs>
        <w:jc w:val="center"/>
        <w:rPr>
          <w:b/>
          <w:bCs/>
          <w:sz w:val="22"/>
          <w:szCs w:val="22"/>
          <w:lang w:val="es-US"/>
        </w:rPr>
      </w:pPr>
    </w:p>
    <w:p w14:paraId="50542E11" w14:textId="11C56D93" w:rsidR="009E2C41" w:rsidRPr="009E2C41" w:rsidRDefault="009E2C41" w:rsidP="009E2C41">
      <w:pPr>
        <w:tabs>
          <w:tab w:val="left" w:pos="7380"/>
        </w:tabs>
        <w:jc w:val="center"/>
        <w:rPr>
          <w:rFonts w:eastAsia="MS Mincho"/>
          <w:b/>
          <w:bCs/>
          <w:color w:val="000000" w:themeColor="text1"/>
          <w:sz w:val="22"/>
          <w:szCs w:val="22"/>
          <w:lang w:val="es-US" w:bidi="en-US"/>
        </w:rPr>
      </w:pPr>
      <w:bookmarkStart w:id="1" w:name="_Hlk133014114"/>
      <w:r w:rsidRPr="009E2C41">
        <w:rPr>
          <w:b/>
          <w:bCs/>
          <w:color w:val="000000" w:themeColor="text1"/>
          <w:sz w:val="22"/>
          <w:szCs w:val="22"/>
          <w:lang w:val="es-ES_tradnl"/>
        </w:rPr>
        <w:t>PLAN DE TRABAJO 2022-2025</w:t>
      </w:r>
    </w:p>
    <w:p w14:paraId="48782634" w14:textId="44115935" w:rsidR="009E2C41" w:rsidRPr="009E2C41" w:rsidRDefault="009E2C41" w:rsidP="009E2C41">
      <w:pPr>
        <w:tabs>
          <w:tab w:val="left" w:pos="7380"/>
        </w:tabs>
        <w:jc w:val="center"/>
        <w:rPr>
          <w:b/>
          <w:bCs/>
          <w:color w:val="000000" w:themeColor="text1"/>
          <w:sz w:val="22"/>
          <w:szCs w:val="22"/>
          <w:lang w:val="es-ES_tradnl"/>
        </w:rPr>
      </w:pPr>
      <w:r w:rsidRPr="009E2C41">
        <w:rPr>
          <w:b/>
          <w:bCs/>
          <w:color w:val="000000" w:themeColor="text1"/>
          <w:sz w:val="22"/>
          <w:szCs w:val="22"/>
          <w:lang w:val="es-ES_tradnl"/>
        </w:rPr>
        <w:t xml:space="preserve">DE LA </w:t>
      </w:r>
      <w:r w:rsidRPr="009E2C41">
        <w:rPr>
          <w:rFonts w:eastAsia="MS Mincho"/>
          <w:b/>
          <w:bCs/>
          <w:color w:val="000000" w:themeColor="text1"/>
          <w:sz w:val="22"/>
          <w:szCs w:val="22"/>
          <w:lang w:val="es-US" w:bidi="en-US"/>
        </w:rPr>
        <w:t>COMISIÓN</w:t>
      </w:r>
      <w:r w:rsidRPr="009E2C41">
        <w:rPr>
          <w:b/>
          <w:bCs/>
          <w:color w:val="000000" w:themeColor="text1"/>
          <w:sz w:val="22"/>
          <w:szCs w:val="22"/>
          <w:lang w:val="es-ES_tradnl"/>
        </w:rPr>
        <w:t xml:space="preserve"> INTERAMERICANA DE EDUCACI</w:t>
      </w:r>
      <w:r w:rsidR="00271C8A">
        <w:rPr>
          <w:b/>
          <w:bCs/>
          <w:color w:val="000000" w:themeColor="text1"/>
          <w:sz w:val="22"/>
          <w:szCs w:val="22"/>
          <w:lang w:val="es-ES_tradnl"/>
        </w:rPr>
        <w:t>Ó</w:t>
      </w:r>
      <w:r w:rsidRPr="009E2C41">
        <w:rPr>
          <w:b/>
          <w:bCs/>
          <w:color w:val="000000" w:themeColor="text1"/>
          <w:sz w:val="22"/>
          <w:szCs w:val="22"/>
          <w:lang w:val="es-ES_tradnl"/>
        </w:rPr>
        <w:t>N (CIE)</w:t>
      </w:r>
    </w:p>
    <w:bookmarkEnd w:id="1"/>
    <w:p w14:paraId="586BE3D4" w14:textId="77777777" w:rsidR="009E2C41" w:rsidRPr="009E2C41" w:rsidRDefault="009E2C41" w:rsidP="009E2C41">
      <w:pPr>
        <w:tabs>
          <w:tab w:val="left" w:pos="720"/>
          <w:tab w:val="center" w:pos="4320"/>
          <w:tab w:val="right" w:pos="8640"/>
        </w:tabs>
        <w:jc w:val="center"/>
        <w:rPr>
          <w:b/>
          <w:bCs/>
          <w:sz w:val="22"/>
          <w:szCs w:val="22"/>
          <w:lang w:val="es-ES_tradnl"/>
        </w:rPr>
      </w:pPr>
    </w:p>
    <w:p w14:paraId="2F978E5A" w14:textId="13E02774" w:rsidR="009E2C41" w:rsidRPr="009E2C41" w:rsidRDefault="009E2C41" w:rsidP="009E2C41">
      <w:pPr>
        <w:tabs>
          <w:tab w:val="left" w:pos="720"/>
          <w:tab w:val="center" w:pos="4320"/>
          <w:tab w:val="right" w:pos="8640"/>
        </w:tabs>
        <w:jc w:val="center"/>
        <w:rPr>
          <w:b/>
          <w:bCs/>
          <w:sz w:val="22"/>
          <w:szCs w:val="22"/>
          <w:lang w:val="es-ES_tradnl"/>
        </w:rPr>
      </w:pPr>
      <w:r w:rsidRPr="009E2C41">
        <w:rPr>
          <w:b/>
          <w:bCs/>
          <w:sz w:val="22"/>
          <w:szCs w:val="22"/>
          <w:lang w:val="es-ES_tradnl"/>
        </w:rPr>
        <w:t>ANEXO IV</w:t>
      </w:r>
    </w:p>
    <w:p w14:paraId="1C2508A5" w14:textId="77777777" w:rsidR="009E2C41" w:rsidRPr="009E2C41" w:rsidRDefault="009E2C41" w:rsidP="009E2C41">
      <w:pPr>
        <w:tabs>
          <w:tab w:val="left" w:pos="720"/>
          <w:tab w:val="center" w:pos="4320"/>
          <w:tab w:val="right" w:pos="8640"/>
        </w:tabs>
        <w:jc w:val="center"/>
        <w:rPr>
          <w:b/>
          <w:bCs/>
          <w:sz w:val="22"/>
          <w:szCs w:val="22"/>
          <w:lang w:val="es-ES_tradnl"/>
        </w:rPr>
      </w:pPr>
    </w:p>
    <w:p w14:paraId="6D82BFAE" w14:textId="77777777" w:rsidR="009E2C41" w:rsidRPr="009E2C41" w:rsidRDefault="009E2C41" w:rsidP="009E2C41">
      <w:pPr>
        <w:tabs>
          <w:tab w:val="left" w:pos="720"/>
          <w:tab w:val="center" w:pos="4320"/>
          <w:tab w:val="right" w:pos="8640"/>
        </w:tabs>
        <w:jc w:val="center"/>
        <w:rPr>
          <w:b/>
          <w:bCs/>
          <w:sz w:val="22"/>
          <w:szCs w:val="22"/>
          <w:lang w:val="es-ES_tradnl"/>
        </w:rPr>
      </w:pPr>
    </w:p>
    <w:p w14:paraId="03B39644" w14:textId="0033DCF4" w:rsidR="001D1D02" w:rsidRPr="009E2C41" w:rsidRDefault="00B56BDC" w:rsidP="009E2C41">
      <w:pPr>
        <w:tabs>
          <w:tab w:val="left" w:pos="720"/>
          <w:tab w:val="center" w:pos="4320"/>
          <w:tab w:val="right" w:pos="8640"/>
        </w:tabs>
        <w:jc w:val="center"/>
        <w:rPr>
          <w:b/>
          <w:bCs/>
          <w:sz w:val="22"/>
          <w:szCs w:val="22"/>
          <w:lang w:val="es-US"/>
        </w:rPr>
      </w:pPr>
      <w:r w:rsidRPr="009E2C41">
        <w:rPr>
          <w:b/>
          <w:bCs/>
          <w:sz w:val="22"/>
          <w:szCs w:val="22"/>
          <w:lang w:val="es-US"/>
        </w:rPr>
        <w:t>AGENDA INTERSECTORIAL</w:t>
      </w:r>
    </w:p>
    <w:p w14:paraId="383E7F9C" w14:textId="77777777" w:rsidR="001D1D02" w:rsidRPr="009E2C41" w:rsidRDefault="001D1D02" w:rsidP="009E2C41">
      <w:pPr>
        <w:tabs>
          <w:tab w:val="left" w:pos="720"/>
          <w:tab w:val="center" w:pos="4320"/>
          <w:tab w:val="right" w:pos="8640"/>
        </w:tabs>
        <w:rPr>
          <w:b/>
          <w:bCs/>
          <w:sz w:val="22"/>
          <w:szCs w:val="22"/>
          <w:lang w:val="es-US"/>
        </w:rPr>
      </w:pPr>
    </w:p>
    <w:p w14:paraId="63029B8F" w14:textId="77777777" w:rsidR="001D1D02" w:rsidRPr="009E2C41" w:rsidRDefault="001D1D02" w:rsidP="009E2C41">
      <w:pPr>
        <w:tabs>
          <w:tab w:val="left" w:pos="720"/>
          <w:tab w:val="center" w:pos="4320"/>
          <w:tab w:val="right" w:pos="8640"/>
        </w:tabs>
        <w:jc w:val="center"/>
        <w:rPr>
          <w:b/>
          <w:bCs/>
          <w:sz w:val="22"/>
          <w:szCs w:val="22"/>
          <w:lang w:val="es-US"/>
        </w:rPr>
      </w:pPr>
    </w:p>
    <w:p w14:paraId="78B10CC6" w14:textId="3956F9D8" w:rsidR="00DE7715" w:rsidRPr="009E2C41" w:rsidRDefault="0085480A" w:rsidP="009E2C41">
      <w:pPr>
        <w:tabs>
          <w:tab w:val="left" w:pos="720"/>
          <w:tab w:val="center" w:pos="4320"/>
          <w:tab w:val="right" w:pos="8640"/>
        </w:tabs>
        <w:jc w:val="center"/>
        <w:rPr>
          <w:b/>
          <w:bCs/>
          <w:caps/>
          <w:sz w:val="22"/>
          <w:szCs w:val="22"/>
          <w:lang w:val="es-ES"/>
        </w:rPr>
      </w:pPr>
      <w:r w:rsidRPr="009E2C41">
        <w:rPr>
          <w:b/>
          <w:bCs/>
          <w:caps/>
          <w:sz w:val="22"/>
          <w:szCs w:val="22"/>
          <w:lang w:val="es-US"/>
        </w:rPr>
        <w:t xml:space="preserve">Programa </w:t>
      </w:r>
      <w:r w:rsidR="00115B8C" w:rsidRPr="009E2C41">
        <w:rPr>
          <w:b/>
          <w:bCs/>
          <w:caps/>
          <w:sz w:val="22"/>
          <w:szCs w:val="22"/>
          <w:lang w:val="es-ES"/>
        </w:rPr>
        <w:t>Hemisférico</w:t>
      </w:r>
      <w:r w:rsidR="00DE7715" w:rsidRPr="009E2C41">
        <w:rPr>
          <w:b/>
          <w:bCs/>
          <w:caps/>
          <w:sz w:val="22"/>
          <w:szCs w:val="22"/>
          <w:lang w:val="es-ES"/>
        </w:rPr>
        <w:t xml:space="preserve"> para el desarrollo de habilidades bajo contextos de cambio. </w:t>
      </w:r>
    </w:p>
    <w:p w14:paraId="0CE58631" w14:textId="60FA2D84" w:rsidR="0085480A" w:rsidRPr="009E2C41" w:rsidRDefault="00DE7715" w:rsidP="009E2C41">
      <w:pPr>
        <w:tabs>
          <w:tab w:val="left" w:pos="720"/>
          <w:tab w:val="center" w:pos="4320"/>
          <w:tab w:val="right" w:pos="8640"/>
        </w:tabs>
        <w:jc w:val="center"/>
        <w:rPr>
          <w:b/>
          <w:bCs/>
          <w:caps/>
          <w:sz w:val="22"/>
          <w:szCs w:val="22"/>
          <w:lang w:val="es-ES"/>
        </w:rPr>
      </w:pPr>
      <w:r w:rsidRPr="009E2C41">
        <w:rPr>
          <w:b/>
          <w:bCs/>
          <w:caps/>
          <w:sz w:val="22"/>
          <w:szCs w:val="22"/>
          <w:lang w:val="es-ES"/>
        </w:rPr>
        <w:t>Un abordaje intersectorial sobre las habilidades del futuro y la formación para el trabajo</w:t>
      </w:r>
    </w:p>
    <w:p w14:paraId="19E904F4" w14:textId="77777777" w:rsidR="0085480A" w:rsidRDefault="0085480A" w:rsidP="009E2C41">
      <w:pPr>
        <w:tabs>
          <w:tab w:val="left" w:pos="720"/>
          <w:tab w:val="center" w:pos="4320"/>
          <w:tab w:val="right" w:pos="8640"/>
        </w:tabs>
        <w:jc w:val="center"/>
        <w:rPr>
          <w:sz w:val="22"/>
          <w:szCs w:val="22"/>
          <w:lang w:val="es-ES"/>
        </w:rPr>
      </w:pPr>
    </w:p>
    <w:p w14:paraId="5ABA1398" w14:textId="77777777" w:rsidR="009E2C41" w:rsidRDefault="009E2C41" w:rsidP="009E2C41">
      <w:pPr>
        <w:tabs>
          <w:tab w:val="left" w:pos="720"/>
          <w:tab w:val="center" w:pos="4320"/>
          <w:tab w:val="right" w:pos="8640"/>
        </w:tabs>
        <w:jc w:val="center"/>
        <w:rPr>
          <w:sz w:val="22"/>
          <w:szCs w:val="22"/>
          <w:lang w:val="es-ES"/>
        </w:rPr>
        <w:sectPr w:rsidR="009E2C41" w:rsidSect="009E2C41">
          <w:headerReference w:type="even" r:id="rId11"/>
          <w:headerReference w:type="default" r:id="rId12"/>
          <w:headerReference w:type="first" r:id="rId13"/>
          <w:type w:val="continuous"/>
          <w:pgSz w:w="12240" w:h="15840" w:code="1"/>
          <w:pgMar w:top="2160" w:right="1570" w:bottom="1296" w:left="1699" w:header="720" w:footer="720" w:gutter="0"/>
          <w:pgNumType w:start="1"/>
          <w:cols w:space="720"/>
          <w:titlePg/>
          <w:docGrid w:linePitch="272"/>
        </w:sectPr>
      </w:pPr>
    </w:p>
    <w:p w14:paraId="2D0E0F0F" w14:textId="68981B4C" w:rsidR="009E2C41" w:rsidRPr="009E2C41" w:rsidRDefault="009E2C41" w:rsidP="009E2C41">
      <w:pPr>
        <w:tabs>
          <w:tab w:val="left" w:pos="7380"/>
        </w:tabs>
        <w:jc w:val="center"/>
        <w:rPr>
          <w:rFonts w:eastAsia="MS Mincho"/>
          <w:b/>
          <w:bCs/>
          <w:color w:val="000000" w:themeColor="text1"/>
          <w:sz w:val="22"/>
          <w:szCs w:val="22"/>
          <w:lang w:val="es-US" w:bidi="en-US"/>
        </w:rPr>
      </w:pPr>
      <w:r w:rsidRPr="009E2C41">
        <w:rPr>
          <w:b/>
          <w:bCs/>
          <w:color w:val="000000" w:themeColor="text1"/>
          <w:sz w:val="22"/>
          <w:szCs w:val="22"/>
          <w:lang w:val="es-ES_tradnl"/>
        </w:rPr>
        <w:lastRenderedPageBreak/>
        <w:t>PLAN DE TRABAJO 2022-2025</w:t>
      </w:r>
    </w:p>
    <w:p w14:paraId="0F648459" w14:textId="77777777" w:rsidR="009E2C41" w:rsidRPr="009E2C41" w:rsidRDefault="009E2C41" w:rsidP="009E2C41">
      <w:pPr>
        <w:tabs>
          <w:tab w:val="left" w:pos="7380"/>
        </w:tabs>
        <w:jc w:val="center"/>
        <w:rPr>
          <w:b/>
          <w:bCs/>
          <w:color w:val="000000" w:themeColor="text1"/>
          <w:sz w:val="22"/>
          <w:szCs w:val="22"/>
          <w:lang w:val="es-ES_tradnl"/>
        </w:rPr>
      </w:pPr>
      <w:r w:rsidRPr="009E2C41">
        <w:rPr>
          <w:b/>
          <w:bCs/>
          <w:color w:val="000000" w:themeColor="text1"/>
          <w:sz w:val="22"/>
          <w:szCs w:val="22"/>
          <w:lang w:val="es-ES_tradnl"/>
        </w:rPr>
        <w:t xml:space="preserve">DE LA </w:t>
      </w:r>
      <w:r w:rsidRPr="009E2C41">
        <w:rPr>
          <w:rFonts w:eastAsia="MS Mincho"/>
          <w:b/>
          <w:bCs/>
          <w:color w:val="000000" w:themeColor="text1"/>
          <w:sz w:val="22"/>
          <w:szCs w:val="22"/>
          <w:lang w:val="es-US" w:bidi="en-US"/>
        </w:rPr>
        <w:t>COMISIÓN</w:t>
      </w:r>
      <w:r w:rsidRPr="009E2C41">
        <w:rPr>
          <w:b/>
          <w:bCs/>
          <w:color w:val="000000" w:themeColor="text1"/>
          <w:sz w:val="22"/>
          <w:szCs w:val="22"/>
          <w:lang w:val="es-ES_tradnl"/>
        </w:rPr>
        <w:t xml:space="preserve"> INTERAMERICANA DE EDUCACION (CIE)</w:t>
      </w:r>
    </w:p>
    <w:p w14:paraId="1E361244" w14:textId="77777777" w:rsidR="009E2C41" w:rsidRPr="009E2C41" w:rsidRDefault="009E2C41" w:rsidP="009E2C41">
      <w:pPr>
        <w:tabs>
          <w:tab w:val="left" w:pos="720"/>
          <w:tab w:val="center" w:pos="4320"/>
          <w:tab w:val="right" w:pos="8640"/>
        </w:tabs>
        <w:jc w:val="center"/>
        <w:rPr>
          <w:b/>
          <w:bCs/>
          <w:sz w:val="22"/>
          <w:szCs w:val="22"/>
          <w:lang w:val="es-ES_tradnl"/>
        </w:rPr>
      </w:pPr>
    </w:p>
    <w:p w14:paraId="1B677C91" w14:textId="77777777" w:rsidR="009E2C41" w:rsidRPr="009E2C41" w:rsidRDefault="009E2C41" w:rsidP="009E2C41">
      <w:pPr>
        <w:tabs>
          <w:tab w:val="left" w:pos="720"/>
          <w:tab w:val="center" w:pos="4320"/>
          <w:tab w:val="right" w:pos="8640"/>
        </w:tabs>
        <w:jc w:val="center"/>
        <w:rPr>
          <w:b/>
          <w:bCs/>
          <w:sz w:val="22"/>
          <w:szCs w:val="22"/>
          <w:lang w:val="es-ES_tradnl"/>
        </w:rPr>
      </w:pPr>
      <w:r w:rsidRPr="009E2C41">
        <w:rPr>
          <w:b/>
          <w:bCs/>
          <w:sz w:val="22"/>
          <w:szCs w:val="22"/>
          <w:lang w:val="es-ES_tradnl"/>
        </w:rPr>
        <w:t>ANEXO IV</w:t>
      </w:r>
    </w:p>
    <w:p w14:paraId="7AA52875" w14:textId="77777777" w:rsidR="009E2C41" w:rsidRPr="009E2C41" w:rsidRDefault="009E2C41" w:rsidP="009E2C41">
      <w:pPr>
        <w:tabs>
          <w:tab w:val="left" w:pos="720"/>
          <w:tab w:val="center" w:pos="4320"/>
          <w:tab w:val="right" w:pos="8640"/>
        </w:tabs>
        <w:jc w:val="center"/>
        <w:rPr>
          <w:b/>
          <w:bCs/>
          <w:caps/>
          <w:sz w:val="22"/>
          <w:szCs w:val="22"/>
          <w:lang w:val="es-US"/>
        </w:rPr>
      </w:pPr>
    </w:p>
    <w:p w14:paraId="01D9B770" w14:textId="6F787172" w:rsidR="006001C2" w:rsidRPr="009E2C41" w:rsidRDefault="006001C2" w:rsidP="009E2C41">
      <w:pPr>
        <w:tabs>
          <w:tab w:val="left" w:pos="720"/>
          <w:tab w:val="center" w:pos="4320"/>
          <w:tab w:val="right" w:pos="8640"/>
        </w:tabs>
        <w:jc w:val="center"/>
        <w:rPr>
          <w:b/>
          <w:bCs/>
          <w:caps/>
          <w:sz w:val="22"/>
          <w:szCs w:val="22"/>
          <w:lang w:val="es-ES"/>
        </w:rPr>
      </w:pPr>
      <w:r w:rsidRPr="009E2C41">
        <w:rPr>
          <w:b/>
          <w:bCs/>
          <w:caps/>
          <w:sz w:val="22"/>
          <w:szCs w:val="22"/>
          <w:lang w:val="es-US"/>
        </w:rPr>
        <w:t xml:space="preserve">Programa </w:t>
      </w:r>
      <w:r w:rsidRPr="009E2C41">
        <w:rPr>
          <w:b/>
          <w:bCs/>
          <w:caps/>
          <w:sz w:val="22"/>
          <w:szCs w:val="22"/>
          <w:lang w:val="es-ES"/>
        </w:rPr>
        <w:t xml:space="preserve">Hemisférico para el desarrollo de habilidades bajo contextos de cambio. </w:t>
      </w:r>
    </w:p>
    <w:p w14:paraId="185F0721" w14:textId="77777777" w:rsidR="006001C2" w:rsidRPr="009E2C41" w:rsidRDefault="006001C2" w:rsidP="009E2C41">
      <w:pPr>
        <w:tabs>
          <w:tab w:val="left" w:pos="720"/>
          <w:tab w:val="center" w:pos="4320"/>
          <w:tab w:val="right" w:pos="8640"/>
        </w:tabs>
        <w:jc w:val="center"/>
        <w:rPr>
          <w:b/>
          <w:bCs/>
          <w:caps/>
          <w:sz w:val="22"/>
          <w:szCs w:val="22"/>
          <w:lang w:val="es-ES"/>
        </w:rPr>
      </w:pPr>
      <w:r w:rsidRPr="009E2C41">
        <w:rPr>
          <w:b/>
          <w:bCs/>
          <w:caps/>
          <w:sz w:val="22"/>
          <w:szCs w:val="22"/>
          <w:lang w:val="es-ES"/>
        </w:rPr>
        <w:t>Un abordaje intersectorial sobre las habilidades del futuro y la formación para el trabajo</w:t>
      </w:r>
    </w:p>
    <w:p w14:paraId="02B55710" w14:textId="77777777" w:rsidR="006001C2" w:rsidRDefault="006001C2" w:rsidP="009E2C41">
      <w:pPr>
        <w:rPr>
          <w:sz w:val="22"/>
          <w:szCs w:val="22"/>
          <w:lang w:val="es-ES"/>
        </w:rPr>
      </w:pPr>
    </w:p>
    <w:p w14:paraId="56F5371B" w14:textId="1C9E5655" w:rsidR="000B7DB2" w:rsidRPr="0088702D" w:rsidRDefault="000B7DB2" w:rsidP="009E2C41">
      <w:pPr>
        <w:jc w:val="center"/>
        <w:rPr>
          <w:b/>
          <w:bCs/>
          <w:sz w:val="22"/>
          <w:szCs w:val="22"/>
          <w:lang w:val="es-CO"/>
        </w:rPr>
      </w:pPr>
      <w:bookmarkStart w:id="2" w:name="_Hlk80623395"/>
    </w:p>
    <w:bookmarkEnd w:id="2"/>
    <w:p w14:paraId="67041A34" w14:textId="77777777" w:rsidR="00D46CF6" w:rsidRDefault="00D46CF6" w:rsidP="009E2C41">
      <w:pPr>
        <w:tabs>
          <w:tab w:val="left" w:pos="720"/>
          <w:tab w:val="left" w:pos="1440"/>
          <w:tab w:val="left" w:pos="1530"/>
          <w:tab w:val="left" w:pos="2160"/>
          <w:tab w:val="left" w:pos="7380"/>
        </w:tabs>
        <w:rPr>
          <w:rFonts w:eastAsia="Calibri"/>
          <w:b/>
          <w:bCs/>
          <w:sz w:val="22"/>
          <w:szCs w:val="22"/>
          <w:lang w:val="es-ES"/>
        </w:rPr>
      </w:pPr>
    </w:p>
    <w:p w14:paraId="184FE3A6" w14:textId="07551B47" w:rsidR="000B7DB2" w:rsidRPr="0085480A" w:rsidRDefault="000B7DB2" w:rsidP="009E2C41">
      <w:pPr>
        <w:tabs>
          <w:tab w:val="left" w:pos="720"/>
          <w:tab w:val="left" w:pos="1440"/>
          <w:tab w:val="left" w:pos="1530"/>
          <w:tab w:val="left" w:pos="2160"/>
          <w:tab w:val="left" w:pos="7380"/>
        </w:tabs>
        <w:rPr>
          <w:rFonts w:eastAsia="MS Mincho"/>
          <w:b/>
          <w:color w:val="0070C0"/>
          <w:sz w:val="22"/>
          <w:szCs w:val="22"/>
          <w:lang w:val="es-ES"/>
        </w:rPr>
      </w:pPr>
      <w:r w:rsidRPr="0085480A">
        <w:rPr>
          <w:rFonts w:eastAsia="Calibri"/>
          <w:b/>
          <w:bCs/>
          <w:sz w:val="22"/>
          <w:szCs w:val="22"/>
          <w:lang w:val="es-ES"/>
        </w:rPr>
        <w:t xml:space="preserve">Introducción </w:t>
      </w:r>
    </w:p>
    <w:p w14:paraId="294E012C" w14:textId="77777777" w:rsidR="0088702D" w:rsidRDefault="0088702D" w:rsidP="009E2C41">
      <w:pPr>
        <w:jc w:val="both"/>
        <w:rPr>
          <w:sz w:val="22"/>
          <w:szCs w:val="22"/>
          <w:lang w:val="es-CR"/>
        </w:rPr>
      </w:pPr>
    </w:p>
    <w:p w14:paraId="3EFEE060" w14:textId="350F4AB1" w:rsidR="0032081C" w:rsidRDefault="000B7DB2" w:rsidP="009E2C41">
      <w:pPr>
        <w:ind w:firstLine="720"/>
        <w:jc w:val="both"/>
        <w:rPr>
          <w:sz w:val="22"/>
          <w:szCs w:val="22"/>
          <w:lang w:val="es-CR"/>
        </w:rPr>
      </w:pPr>
      <w:r w:rsidRPr="0085480A">
        <w:rPr>
          <w:sz w:val="22"/>
          <w:szCs w:val="22"/>
          <w:lang w:val="es-CR"/>
        </w:rPr>
        <w:t xml:space="preserve">A través de la Agenda Educativa Interamericana (AEI) 2022-2027, aprobada durante la Décima Primera Reunión de Ministros de </w:t>
      </w:r>
      <w:r w:rsidR="00C804D7" w:rsidRPr="0085480A">
        <w:rPr>
          <w:sz w:val="22"/>
          <w:szCs w:val="22"/>
          <w:lang w:val="es-CR"/>
        </w:rPr>
        <w:t>Educación</w:t>
      </w:r>
      <w:r w:rsidRPr="0085480A">
        <w:rPr>
          <w:sz w:val="22"/>
          <w:szCs w:val="22"/>
          <w:lang w:val="es-CR"/>
        </w:rPr>
        <w:t xml:space="preserve"> celebrada los días 10 y 11 de noviembre de 2022, los Ministros de Educación de los Estados Miembros de la </w:t>
      </w:r>
      <w:r w:rsidR="009E2C41">
        <w:rPr>
          <w:sz w:val="22"/>
          <w:szCs w:val="22"/>
          <w:lang w:val="es-CR"/>
        </w:rPr>
        <w:t xml:space="preserve">Organización de los </w:t>
      </w:r>
      <w:r w:rsidRPr="0085480A">
        <w:rPr>
          <w:sz w:val="22"/>
          <w:szCs w:val="22"/>
          <w:lang w:val="es-CR"/>
        </w:rPr>
        <w:t>E</w:t>
      </w:r>
      <w:r w:rsidR="009E2C41">
        <w:rPr>
          <w:sz w:val="22"/>
          <w:szCs w:val="22"/>
          <w:lang w:val="es-CR"/>
        </w:rPr>
        <w:t>stados Americanos (OE</w:t>
      </w:r>
      <w:r w:rsidRPr="0085480A">
        <w:rPr>
          <w:sz w:val="22"/>
          <w:szCs w:val="22"/>
          <w:lang w:val="es-CR"/>
        </w:rPr>
        <w:t>A</w:t>
      </w:r>
      <w:r w:rsidR="009E2C41">
        <w:rPr>
          <w:sz w:val="22"/>
          <w:szCs w:val="22"/>
          <w:lang w:val="es-CR"/>
        </w:rPr>
        <w:t xml:space="preserve">) </w:t>
      </w:r>
      <w:r w:rsidRPr="0085480A">
        <w:rPr>
          <w:sz w:val="22"/>
          <w:szCs w:val="22"/>
          <w:lang w:val="es-CR"/>
        </w:rPr>
        <w:t xml:space="preserve">expresaron claramente su compromiso </w:t>
      </w:r>
      <w:r w:rsidR="00EE4B43" w:rsidRPr="0085480A">
        <w:rPr>
          <w:sz w:val="22"/>
          <w:szCs w:val="22"/>
          <w:lang w:val="es-CR"/>
        </w:rPr>
        <w:t xml:space="preserve">con </w:t>
      </w:r>
      <w:r w:rsidR="00EE4B43" w:rsidRPr="0085480A">
        <w:rPr>
          <w:sz w:val="22"/>
          <w:szCs w:val="22"/>
          <w:lang w:val="es-US"/>
        </w:rPr>
        <w:t>los objetivos y metas globales</w:t>
      </w:r>
      <w:r w:rsidR="00EE4B43">
        <w:rPr>
          <w:sz w:val="22"/>
          <w:szCs w:val="22"/>
          <w:lang w:val="es-US"/>
        </w:rPr>
        <w:t xml:space="preserve"> </w:t>
      </w:r>
      <w:r w:rsidR="0032081C" w:rsidRPr="03C5120E">
        <w:rPr>
          <w:sz w:val="22"/>
          <w:szCs w:val="22"/>
          <w:lang w:val="es-DO"/>
        </w:rPr>
        <w:t xml:space="preserve">acordados en el marco de la </w:t>
      </w:r>
      <w:r w:rsidR="00175CE4">
        <w:fldChar w:fldCharType="begin"/>
      </w:r>
      <w:r w:rsidR="00175CE4" w:rsidRPr="00175CE4">
        <w:rPr>
          <w:lang w:val="es-US"/>
        </w:rPr>
        <w:instrText>HYPERLINK "https://sdgs.un.org/es/2030agenda"</w:instrText>
      </w:r>
      <w:r w:rsidR="00175CE4">
        <w:fldChar w:fldCharType="separate"/>
      </w:r>
      <w:r w:rsidR="0032081C" w:rsidRPr="03C5120E">
        <w:rPr>
          <w:rStyle w:val="Hyperlink"/>
          <w:sz w:val="22"/>
          <w:szCs w:val="22"/>
          <w:lang w:val="es-DO"/>
        </w:rPr>
        <w:t>Agenda 2030</w:t>
      </w:r>
      <w:r w:rsidR="00175CE4">
        <w:rPr>
          <w:rStyle w:val="Hyperlink"/>
          <w:sz w:val="22"/>
          <w:szCs w:val="22"/>
          <w:lang w:val="es-DO"/>
        </w:rPr>
        <w:fldChar w:fldCharType="end"/>
      </w:r>
      <w:r w:rsidR="0032081C" w:rsidRPr="03C5120E">
        <w:rPr>
          <w:sz w:val="22"/>
          <w:szCs w:val="22"/>
          <w:lang w:val="es-DO"/>
        </w:rPr>
        <w:t xml:space="preserve"> definiendo acciones hemisféricas específicas que apoyar</w:t>
      </w:r>
      <w:r w:rsidR="001A4BC4" w:rsidRPr="0085480A">
        <w:rPr>
          <w:sz w:val="22"/>
          <w:szCs w:val="22"/>
          <w:lang w:val="es-CR"/>
        </w:rPr>
        <w:t>á</w:t>
      </w:r>
      <w:r w:rsidR="0032081C" w:rsidRPr="03C5120E">
        <w:rPr>
          <w:sz w:val="22"/>
          <w:szCs w:val="22"/>
          <w:lang w:val="es-DO"/>
        </w:rPr>
        <w:t>n su implementación.</w:t>
      </w:r>
    </w:p>
    <w:p w14:paraId="1407A19E" w14:textId="77777777" w:rsidR="0088702D" w:rsidRPr="0085480A" w:rsidRDefault="0088702D" w:rsidP="009E2C41">
      <w:pPr>
        <w:jc w:val="both"/>
        <w:rPr>
          <w:sz w:val="22"/>
          <w:szCs w:val="22"/>
          <w:lang w:val="es-CR"/>
        </w:rPr>
      </w:pPr>
    </w:p>
    <w:p w14:paraId="7A4108D5" w14:textId="26B14A4F" w:rsidR="000B7DB2" w:rsidRPr="009E2C41" w:rsidRDefault="000B7DB2" w:rsidP="009E2C41">
      <w:pPr>
        <w:ind w:firstLine="720"/>
        <w:jc w:val="both"/>
        <w:rPr>
          <w:sz w:val="22"/>
          <w:szCs w:val="22"/>
          <w:lang w:val="es-CR"/>
        </w:rPr>
      </w:pPr>
      <w:r w:rsidRPr="0085480A">
        <w:rPr>
          <w:sz w:val="22"/>
          <w:szCs w:val="22"/>
          <w:lang w:val="es-US"/>
        </w:rPr>
        <w:t xml:space="preserve">La AEI </w:t>
      </w:r>
      <w:r w:rsidR="00972C4E">
        <w:rPr>
          <w:sz w:val="22"/>
          <w:szCs w:val="22"/>
          <w:lang w:val="es-US"/>
        </w:rPr>
        <w:t>como</w:t>
      </w:r>
      <w:r w:rsidRPr="0085480A">
        <w:rPr>
          <w:sz w:val="22"/>
          <w:szCs w:val="22"/>
          <w:lang w:val="es-US"/>
        </w:rPr>
        <w:t xml:space="preserve"> </w:t>
      </w:r>
      <w:r w:rsidRPr="0085480A">
        <w:rPr>
          <w:sz w:val="22"/>
          <w:szCs w:val="22"/>
          <w:lang w:val="es-CR"/>
        </w:rPr>
        <w:t xml:space="preserve">espacio de diálogo político y toma de decisiones guiada por los principios de colaboración, intersectorialidad e interculturalismo, se </w:t>
      </w:r>
      <w:proofErr w:type="spellStart"/>
      <w:r w:rsidRPr="0085480A">
        <w:rPr>
          <w:sz w:val="22"/>
          <w:szCs w:val="22"/>
          <w:lang w:val="es-CR"/>
        </w:rPr>
        <w:t>forta</w:t>
      </w:r>
      <w:r w:rsidRPr="0085480A">
        <w:rPr>
          <w:sz w:val="22"/>
          <w:szCs w:val="22"/>
          <w:lang w:val="es-US"/>
        </w:rPr>
        <w:t>lece</w:t>
      </w:r>
      <w:proofErr w:type="spellEnd"/>
      <w:r w:rsidRPr="0085480A">
        <w:rPr>
          <w:sz w:val="22"/>
          <w:szCs w:val="22"/>
          <w:lang w:val="es-US"/>
        </w:rPr>
        <w:t xml:space="preserve"> a través de la cooperación interamericana, así como de la coordinación y articulación de esfuerzos con otros organismos </w:t>
      </w:r>
      <w:r w:rsidRPr="009E2C41">
        <w:rPr>
          <w:sz w:val="22"/>
          <w:szCs w:val="22"/>
          <w:lang w:val="es-US"/>
        </w:rPr>
        <w:t xml:space="preserve">internacionales y entidades regionales </w:t>
      </w:r>
      <w:r w:rsidRPr="009E2C41">
        <w:rPr>
          <w:sz w:val="22"/>
          <w:szCs w:val="22"/>
          <w:lang w:val="es-CR"/>
        </w:rPr>
        <w:t>y subregionales para garantizar la continuidad educativa y el derecho a la educación para todos y todas.</w:t>
      </w:r>
    </w:p>
    <w:p w14:paraId="584ECE3F" w14:textId="77777777" w:rsidR="0088702D" w:rsidRPr="009E2C41" w:rsidRDefault="0088702D" w:rsidP="009E2C41">
      <w:pPr>
        <w:jc w:val="both"/>
        <w:rPr>
          <w:rStyle w:val="Emphasis"/>
          <w:bCs/>
          <w:i w:val="0"/>
          <w:iCs w:val="0"/>
          <w:color w:val="6A6A6A"/>
          <w:sz w:val="22"/>
          <w:szCs w:val="22"/>
          <w:shd w:val="clear" w:color="auto" w:fill="FFFFFF"/>
          <w:lang w:val="es-CR"/>
        </w:rPr>
      </w:pPr>
    </w:p>
    <w:p w14:paraId="235AE9C5" w14:textId="77382708" w:rsidR="009267EC" w:rsidRPr="00D46CF6" w:rsidRDefault="000B7DB2" w:rsidP="009E2C41">
      <w:pPr>
        <w:ind w:firstLine="720"/>
        <w:jc w:val="both"/>
        <w:rPr>
          <w:sz w:val="22"/>
          <w:szCs w:val="22"/>
          <w:highlight w:val="yellow"/>
          <w:lang w:val="es-CR"/>
        </w:rPr>
      </w:pPr>
      <w:r w:rsidRPr="009E2C41">
        <w:rPr>
          <w:rFonts w:eastAsia="MS Mincho"/>
          <w:sz w:val="22"/>
          <w:szCs w:val="22"/>
          <w:lang w:val="es-US"/>
        </w:rPr>
        <w:t xml:space="preserve">A través de su Plan de Acción “Hacia la construcción de un nuevo Pacto Educativo Hemisférico en contextos de cambio” y atendiendo al </w:t>
      </w:r>
      <w:r w:rsidRPr="009E2C41">
        <w:rPr>
          <w:sz w:val="22"/>
          <w:szCs w:val="22"/>
          <w:lang w:val="es-CR"/>
        </w:rPr>
        <w:t>desafiante contexto</w:t>
      </w:r>
      <w:r w:rsidRPr="0085480A">
        <w:rPr>
          <w:sz w:val="22"/>
          <w:szCs w:val="22"/>
          <w:lang w:val="es-CR"/>
        </w:rPr>
        <w:t xml:space="preserve"> de las consecuencias iniciales producidas por la crisis sanitaria mundial, los Ministerios de Educación han enfocado su trabajo en generar un marco de acción que aumente la capacidad de garantizar la continuidad de la educación en los diferentes tipos y niveles del sistema educativo, promoviendo la atención de aquellos más afectados o desfavorecidos</w:t>
      </w:r>
      <w:r w:rsidRPr="00664ED5">
        <w:rPr>
          <w:sz w:val="22"/>
          <w:szCs w:val="22"/>
          <w:lang w:val="es-CR"/>
        </w:rPr>
        <w:t>.</w:t>
      </w:r>
      <w:r w:rsidR="009267EC" w:rsidRPr="00664ED5">
        <w:rPr>
          <w:sz w:val="22"/>
          <w:szCs w:val="22"/>
          <w:lang w:val="es-CR"/>
        </w:rPr>
        <w:t xml:space="preserve"> Por ello, han señalado como una de las prioridades para la región el fortalecimiento de sistemas educativos resilientes que permitan gestionar la continuidad educativa en contextos de cambio, frente a la actual pandemia como así también ante otros desafíos futuros de diversa índole para lograr una educación inclusiva, de calidad y equitativa en las Américas.</w:t>
      </w:r>
    </w:p>
    <w:p w14:paraId="2BFCD6F4" w14:textId="71C6EB27" w:rsidR="000B7DB2" w:rsidRDefault="000B7DB2" w:rsidP="009E2C41">
      <w:pPr>
        <w:tabs>
          <w:tab w:val="left" w:pos="720"/>
          <w:tab w:val="left" w:pos="1530"/>
        </w:tabs>
        <w:jc w:val="both"/>
        <w:rPr>
          <w:sz w:val="22"/>
          <w:szCs w:val="22"/>
          <w:lang w:val="es-CR"/>
        </w:rPr>
      </w:pPr>
    </w:p>
    <w:p w14:paraId="4E823F80" w14:textId="2E79CC8E" w:rsidR="00886EEF" w:rsidRDefault="009E2C41" w:rsidP="009E2C41">
      <w:pPr>
        <w:tabs>
          <w:tab w:val="left" w:pos="720"/>
          <w:tab w:val="left" w:pos="1530"/>
        </w:tabs>
        <w:jc w:val="both"/>
        <w:rPr>
          <w:sz w:val="22"/>
          <w:szCs w:val="22"/>
          <w:lang w:val="es-CR"/>
        </w:rPr>
      </w:pPr>
      <w:r>
        <w:rPr>
          <w:rFonts w:eastAsia="MS Mincho"/>
          <w:sz w:val="22"/>
          <w:szCs w:val="22"/>
          <w:lang w:val="es-US"/>
        </w:rPr>
        <w:tab/>
      </w:r>
      <w:r w:rsidR="00701067">
        <w:rPr>
          <w:rFonts w:eastAsia="MS Mincho"/>
          <w:sz w:val="22"/>
          <w:szCs w:val="22"/>
          <w:lang w:val="es-US"/>
        </w:rPr>
        <w:t xml:space="preserve">El documento de la </w:t>
      </w:r>
      <w:r w:rsidR="00175CE4">
        <w:fldChar w:fldCharType="begin"/>
      </w:r>
      <w:r w:rsidR="00175CE4" w:rsidRPr="00175CE4">
        <w:rPr>
          <w:lang w:val="es-US"/>
        </w:rPr>
        <w:instrText>HYPERLINK "https://repositorio.cepal.org/bitstream/handle/11362/46066/4/S2000522_es.pdf" \h</w:instrText>
      </w:r>
      <w:r w:rsidR="00175CE4">
        <w:fldChar w:fldCharType="separate"/>
      </w:r>
      <w:r w:rsidRPr="7FAB3DCB">
        <w:rPr>
          <w:rStyle w:val="Hyperlink"/>
          <w:rFonts w:eastAsia="MS Mincho"/>
          <w:sz w:val="22"/>
          <w:szCs w:val="22"/>
          <w:lang w:val="es-US"/>
        </w:rPr>
        <w:t>Comisión</w:t>
      </w:r>
      <w:r w:rsidR="00701067" w:rsidRPr="7FAB3DCB">
        <w:rPr>
          <w:rStyle w:val="Hyperlink"/>
          <w:rFonts w:eastAsia="MS Mincho"/>
          <w:sz w:val="22"/>
          <w:szCs w:val="22"/>
          <w:lang w:val="es-US"/>
        </w:rPr>
        <w:t xml:space="preserve"> </w:t>
      </w:r>
      <w:r w:rsidR="00D25F2E" w:rsidRPr="7FAB3DCB">
        <w:rPr>
          <w:rStyle w:val="Hyperlink"/>
          <w:rFonts w:eastAsia="MS Mincho"/>
          <w:sz w:val="22"/>
          <w:szCs w:val="22"/>
          <w:lang w:val="es-US"/>
        </w:rPr>
        <w:t>Económica para América Latina</w:t>
      </w:r>
      <w:r w:rsidR="00175CE4">
        <w:rPr>
          <w:rStyle w:val="Hyperlink"/>
          <w:rFonts w:eastAsia="MS Mincho"/>
          <w:sz w:val="22"/>
          <w:szCs w:val="22"/>
          <w:lang w:val="es-US"/>
        </w:rPr>
        <w:fldChar w:fldCharType="end"/>
      </w:r>
      <w:r w:rsidR="00D25F2E" w:rsidRPr="00D25F2E">
        <w:rPr>
          <w:rFonts w:eastAsia="MS Mincho"/>
          <w:sz w:val="22"/>
          <w:szCs w:val="22"/>
          <w:lang w:val="es-US"/>
        </w:rPr>
        <w:t xml:space="preserve"> (CEPAL</w:t>
      </w:r>
      <w:r w:rsidR="00876786">
        <w:rPr>
          <w:rFonts w:eastAsia="MS Mincho"/>
          <w:sz w:val="22"/>
          <w:szCs w:val="22"/>
          <w:lang w:val="es-US"/>
        </w:rPr>
        <w:t>, 2020</w:t>
      </w:r>
      <w:r w:rsidR="00D25F2E" w:rsidRPr="00D25F2E">
        <w:rPr>
          <w:rFonts w:eastAsia="MS Mincho"/>
          <w:sz w:val="22"/>
          <w:szCs w:val="22"/>
          <w:lang w:val="es-US"/>
        </w:rPr>
        <w:t>)</w:t>
      </w:r>
      <w:r w:rsidR="002E0514" w:rsidRPr="002E0514">
        <w:rPr>
          <w:lang w:val="es-US"/>
        </w:rPr>
        <w:t xml:space="preserve"> </w:t>
      </w:r>
      <w:r w:rsidR="002E0514">
        <w:rPr>
          <w:lang w:val="es-US"/>
        </w:rPr>
        <w:t>“</w:t>
      </w:r>
      <w:r w:rsidR="002E0514" w:rsidRPr="002E0514">
        <w:rPr>
          <w:sz w:val="22"/>
          <w:szCs w:val="22"/>
          <w:lang w:val="es-CR"/>
        </w:rPr>
        <w:t>Educación, juventud y trabajo</w:t>
      </w:r>
      <w:r w:rsidR="28A7526A" w:rsidRPr="7FAB3DCB">
        <w:rPr>
          <w:sz w:val="22"/>
          <w:szCs w:val="22"/>
          <w:lang w:val="es-CR"/>
        </w:rPr>
        <w:t>:</w:t>
      </w:r>
      <w:r w:rsidR="002E0514" w:rsidRPr="7FAB3DCB">
        <w:rPr>
          <w:sz w:val="22"/>
          <w:szCs w:val="22"/>
          <w:lang w:val="es-CR"/>
        </w:rPr>
        <w:t xml:space="preserve"> </w:t>
      </w:r>
      <w:r w:rsidR="00D07D77">
        <w:rPr>
          <w:sz w:val="22"/>
          <w:szCs w:val="22"/>
          <w:lang w:val="es-CR"/>
        </w:rPr>
        <w:t>H</w:t>
      </w:r>
      <w:r w:rsidR="002E0514" w:rsidRPr="002E0514">
        <w:rPr>
          <w:sz w:val="22"/>
          <w:szCs w:val="22"/>
          <w:lang w:val="es-CR"/>
        </w:rPr>
        <w:t>abilidades y competencias necesarias en un contexto cambiante</w:t>
      </w:r>
      <w:r w:rsidR="002E0514">
        <w:rPr>
          <w:sz w:val="22"/>
          <w:szCs w:val="22"/>
          <w:lang w:val="es-CR"/>
        </w:rPr>
        <w:t xml:space="preserve">”, destaca </w:t>
      </w:r>
      <w:r w:rsidR="009E1D01">
        <w:rPr>
          <w:sz w:val="22"/>
          <w:szCs w:val="22"/>
          <w:lang w:val="es-CR"/>
        </w:rPr>
        <w:t xml:space="preserve">elementos </w:t>
      </w:r>
      <w:r w:rsidR="00AE170D">
        <w:rPr>
          <w:sz w:val="22"/>
          <w:szCs w:val="22"/>
          <w:lang w:val="es-CR"/>
        </w:rPr>
        <w:t xml:space="preserve">que fueron </w:t>
      </w:r>
      <w:r w:rsidR="009E1D01">
        <w:rPr>
          <w:sz w:val="22"/>
          <w:szCs w:val="22"/>
          <w:lang w:val="es-CR"/>
        </w:rPr>
        <w:t xml:space="preserve">considerados en el </w:t>
      </w:r>
      <w:r w:rsidR="00603425">
        <w:rPr>
          <w:sz w:val="22"/>
          <w:szCs w:val="22"/>
          <w:lang w:val="es-CR"/>
        </w:rPr>
        <w:t>diagnóstico</w:t>
      </w:r>
      <w:r w:rsidR="009E1D01">
        <w:rPr>
          <w:sz w:val="22"/>
          <w:szCs w:val="22"/>
          <w:lang w:val="es-CR"/>
        </w:rPr>
        <w:t xml:space="preserve"> educativo </w:t>
      </w:r>
      <w:r w:rsidR="00293527">
        <w:rPr>
          <w:sz w:val="22"/>
          <w:szCs w:val="22"/>
          <w:lang w:val="es-CR"/>
        </w:rPr>
        <w:t xml:space="preserve">y de inserción laboral de los jóvenes </w:t>
      </w:r>
      <w:r w:rsidR="00603425">
        <w:rPr>
          <w:sz w:val="22"/>
          <w:szCs w:val="22"/>
          <w:lang w:val="es-CR"/>
        </w:rPr>
        <w:t>bajo un marco de inclusión educativa de la juventud y una inserción laboral de baja calidad.</w:t>
      </w:r>
      <w:r w:rsidR="00BA05A7">
        <w:rPr>
          <w:sz w:val="22"/>
          <w:szCs w:val="22"/>
          <w:lang w:val="es-CR"/>
        </w:rPr>
        <w:t xml:space="preserve"> </w:t>
      </w:r>
      <w:r w:rsidR="00AB584B">
        <w:rPr>
          <w:sz w:val="22"/>
          <w:szCs w:val="22"/>
          <w:lang w:val="es-CR"/>
        </w:rPr>
        <w:t xml:space="preserve">Si bien el </w:t>
      </w:r>
      <w:r w:rsidR="00BA05A7">
        <w:rPr>
          <w:sz w:val="22"/>
          <w:szCs w:val="22"/>
          <w:lang w:val="es-CR"/>
        </w:rPr>
        <w:t xml:space="preserve">documento excluye </w:t>
      </w:r>
      <w:r w:rsidR="00FF3F71">
        <w:rPr>
          <w:sz w:val="22"/>
          <w:szCs w:val="22"/>
          <w:lang w:val="es-CR"/>
        </w:rPr>
        <w:t>a los países</w:t>
      </w:r>
      <w:r w:rsidR="00BA05A7">
        <w:rPr>
          <w:sz w:val="22"/>
          <w:szCs w:val="22"/>
          <w:lang w:val="es-CR"/>
        </w:rPr>
        <w:t xml:space="preserve"> del Caribe</w:t>
      </w:r>
      <w:r w:rsidR="00FF3F71">
        <w:rPr>
          <w:sz w:val="22"/>
          <w:szCs w:val="22"/>
          <w:lang w:val="es-CR"/>
        </w:rPr>
        <w:t xml:space="preserve"> en nuestra región</w:t>
      </w:r>
      <w:r w:rsidR="00BA05A7">
        <w:rPr>
          <w:sz w:val="22"/>
          <w:szCs w:val="22"/>
          <w:lang w:val="es-CR"/>
        </w:rPr>
        <w:t xml:space="preserve"> y posee un foco en países Iberoamericanos, </w:t>
      </w:r>
      <w:r w:rsidR="00995897">
        <w:rPr>
          <w:sz w:val="22"/>
          <w:szCs w:val="22"/>
          <w:lang w:val="es-CR"/>
        </w:rPr>
        <w:t xml:space="preserve">hacia el final </w:t>
      </w:r>
      <w:r w:rsidR="00E72DFF">
        <w:rPr>
          <w:sz w:val="22"/>
          <w:szCs w:val="22"/>
          <w:lang w:val="es-CR"/>
        </w:rPr>
        <w:t xml:space="preserve">del documento se </w:t>
      </w:r>
      <w:r w:rsidR="00995897">
        <w:rPr>
          <w:sz w:val="22"/>
          <w:szCs w:val="22"/>
          <w:lang w:val="es-CR"/>
        </w:rPr>
        <w:t>plantea</w:t>
      </w:r>
      <w:r w:rsidR="00B87FC3">
        <w:rPr>
          <w:sz w:val="22"/>
          <w:szCs w:val="22"/>
          <w:lang w:val="es-CR"/>
        </w:rPr>
        <w:t xml:space="preserve"> una serie de desafíos para la “región” con </w:t>
      </w:r>
      <w:r w:rsidR="0003083E">
        <w:rPr>
          <w:sz w:val="22"/>
          <w:szCs w:val="22"/>
          <w:lang w:val="es-CR"/>
        </w:rPr>
        <w:t xml:space="preserve">un señalamiento pronunciado hacia </w:t>
      </w:r>
      <w:r w:rsidR="00871D47">
        <w:rPr>
          <w:sz w:val="22"/>
          <w:szCs w:val="22"/>
          <w:lang w:val="es-CR"/>
        </w:rPr>
        <w:t>aquellos asociados a</w:t>
      </w:r>
      <w:r w:rsidR="0003083E">
        <w:rPr>
          <w:sz w:val="22"/>
          <w:szCs w:val="22"/>
          <w:lang w:val="es-CR"/>
        </w:rPr>
        <w:t xml:space="preserve"> la </w:t>
      </w:r>
      <w:r w:rsidR="00163F0D">
        <w:rPr>
          <w:sz w:val="22"/>
          <w:szCs w:val="22"/>
          <w:lang w:val="es-CR"/>
        </w:rPr>
        <w:t>automatización</w:t>
      </w:r>
      <w:r w:rsidR="00331F53">
        <w:rPr>
          <w:sz w:val="22"/>
          <w:szCs w:val="22"/>
          <w:lang w:val="es-CR"/>
        </w:rPr>
        <w:t xml:space="preserve"> y las habilidades </w:t>
      </w:r>
      <w:r w:rsidR="00650317">
        <w:rPr>
          <w:sz w:val="22"/>
          <w:szCs w:val="22"/>
          <w:lang w:val="es-CR"/>
        </w:rPr>
        <w:t>requeridas en el contexto de la industria,</w:t>
      </w:r>
      <w:r w:rsidR="00163F0D">
        <w:rPr>
          <w:sz w:val="22"/>
          <w:szCs w:val="22"/>
          <w:lang w:val="es-CR"/>
        </w:rPr>
        <w:t xml:space="preserve"> señalando la necesidad de un enfoque de formación a lo largo de toda la </w:t>
      </w:r>
      <w:r w:rsidR="00650317">
        <w:rPr>
          <w:sz w:val="22"/>
          <w:szCs w:val="22"/>
          <w:lang w:val="es-CR"/>
        </w:rPr>
        <w:t>vida</w:t>
      </w:r>
      <w:r w:rsidR="00163F0D">
        <w:rPr>
          <w:sz w:val="22"/>
          <w:szCs w:val="22"/>
          <w:lang w:val="es-CR"/>
        </w:rPr>
        <w:t>.</w:t>
      </w:r>
      <w:r w:rsidR="00886EEF">
        <w:rPr>
          <w:sz w:val="22"/>
          <w:szCs w:val="22"/>
          <w:lang w:val="es-CR"/>
        </w:rPr>
        <w:t xml:space="preserve"> </w:t>
      </w:r>
    </w:p>
    <w:p w14:paraId="045FDE08" w14:textId="77777777" w:rsidR="00886EEF" w:rsidRDefault="00886EEF" w:rsidP="009E2C41">
      <w:pPr>
        <w:tabs>
          <w:tab w:val="left" w:pos="720"/>
          <w:tab w:val="left" w:pos="1530"/>
        </w:tabs>
        <w:jc w:val="both"/>
        <w:rPr>
          <w:sz w:val="22"/>
          <w:szCs w:val="22"/>
          <w:lang w:val="es-CR"/>
        </w:rPr>
      </w:pPr>
    </w:p>
    <w:p w14:paraId="645410AA" w14:textId="11A93D0E" w:rsidR="00C911A9" w:rsidRDefault="009E2C41" w:rsidP="009E2C41">
      <w:pPr>
        <w:tabs>
          <w:tab w:val="left" w:pos="720"/>
          <w:tab w:val="left" w:pos="1530"/>
        </w:tabs>
        <w:jc w:val="both"/>
        <w:rPr>
          <w:sz w:val="22"/>
          <w:szCs w:val="22"/>
          <w:lang w:val="es-CR"/>
        </w:rPr>
      </w:pPr>
      <w:r>
        <w:rPr>
          <w:sz w:val="22"/>
          <w:szCs w:val="22"/>
          <w:lang w:val="es-CR"/>
        </w:rPr>
        <w:tab/>
      </w:r>
      <w:r w:rsidR="00886EEF" w:rsidRPr="6F621BC2">
        <w:rPr>
          <w:sz w:val="22"/>
          <w:szCs w:val="22"/>
          <w:lang w:val="es-CR"/>
        </w:rPr>
        <w:t xml:space="preserve">Si bien la </w:t>
      </w:r>
      <w:r w:rsidR="00F46583" w:rsidRPr="6F621BC2">
        <w:rPr>
          <w:sz w:val="22"/>
          <w:szCs w:val="22"/>
          <w:lang w:val="es-CR"/>
        </w:rPr>
        <w:t>coincidencia</w:t>
      </w:r>
      <w:r w:rsidR="00886EEF" w:rsidRPr="6F621BC2">
        <w:rPr>
          <w:sz w:val="22"/>
          <w:szCs w:val="22"/>
          <w:lang w:val="es-CR"/>
        </w:rPr>
        <w:t xml:space="preserve"> con la importancia de</w:t>
      </w:r>
      <w:r w:rsidR="00F46583" w:rsidRPr="6F621BC2">
        <w:rPr>
          <w:sz w:val="22"/>
          <w:szCs w:val="22"/>
          <w:lang w:val="es-CR"/>
        </w:rPr>
        <w:t xml:space="preserve">l fortalecimiento de políticas de capacitación y </w:t>
      </w:r>
      <w:r w:rsidR="00955F92" w:rsidRPr="6F621BC2">
        <w:rPr>
          <w:sz w:val="22"/>
          <w:szCs w:val="22"/>
          <w:lang w:val="es-CR"/>
        </w:rPr>
        <w:t>formación a</w:t>
      </w:r>
      <w:r w:rsidR="00F46583" w:rsidRPr="6F621BC2">
        <w:rPr>
          <w:sz w:val="22"/>
          <w:szCs w:val="22"/>
          <w:lang w:val="es-CR"/>
        </w:rPr>
        <w:t xml:space="preserve"> lo </w:t>
      </w:r>
      <w:r w:rsidR="0036314F" w:rsidRPr="6F621BC2">
        <w:rPr>
          <w:sz w:val="22"/>
          <w:szCs w:val="22"/>
          <w:lang w:val="es-CR"/>
        </w:rPr>
        <w:t>largo</w:t>
      </w:r>
      <w:r w:rsidR="00F46583" w:rsidRPr="6F621BC2">
        <w:rPr>
          <w:sz w:val="22"/>
          <w:szCs w:val="22"/>
          <w:lang w:val="es-CR"/>
        </w:rPr>
        <w:t xml:space="preserve"> de toda la vid</w:t>
      </w:r>
      <w:r w:rsidR="00625FB7" w:rsidRPr="6F621BC2">
        <w:rPr>
          <w:sz w:val="22"/>
          <w:szCs w:val="22"/>
          <w:lang w:val="es-CR"/>
        </w:rPr>
        <w:t xml:space="preserve">a no generan ninguna duda, es importante </w:t>
      </w:r>
      <w:r w:rsidR="00661C40" w:rsidRPr="6F621BC2">
        <w:rPr>
          <w:sz w:val="22"/>
          <w:szCs w:val="22"/>
          <w:lang w:val="es-CR"/>
        </w:rPr>
        <w:t xml:space="preserve">señalar </w:t>
      </w:r>
      <w:r w:rsidR="0036314F" w:rsidRPr="6F621BC2">
        <w:rPr>
          <w:sz w:val="22"/>
          <w:szCs w:val="22"/>
          <w:lang w:val="es-CR"/>
        </w:rPr>
        <w:t>así</w:t>
      </w:r>
      <w:r w:rsidR="00661C40" w:rsidRPr="6F621BC2">
        <w:rPr>
          <w:sz w:val="22"/>
          <w:szCs w:val="22"/>
          <w:lang w:val="es-CR"/>
        </w:rPr>
        <w:t xml:space="preserve"> mismo la necesidad de un abordaje </w:t>
      </w:r>
      <w:r w:rsidR="73986AF7" w:rsidRPr="6F621BC2">
        <w:rPr>
          <w:sz w:val="22"/>
          <w:szCs w:val="22"/>
          <w:lang w:val="es-CR"/>
        </w:rPr>
        <w:t>crítico</w:t>
      </w:r>
      <w:r w:rsidR="00661C40" w:rsidRPr="6F621BC2">
        <w:rPr>
          <w:sz w:val="22"/>
          <w:szCs w:val="22"/>
          <w:lang w:val="es-CR"/>
        </w:rPr>
        <w:t xml:space="preserve"> sobre todo con </w:t>
      </w:r>
      <w:r w:rsidR="00D565C1" w:rsidRPr="6F621BC2">
        <w:rPr>
          <w:sz w:val="22"/>
          <w:szCs w:val="22"/>
          <w:lang w:val="es-CR"/>
        </w:rPr>
        <w:t>l</w:t>
      </w:r>
      <w:r w:rsidR="0039126C" w:rsidRPr="6F621BC2">
        <w:rPr>
          <w:sz w:val="22"/>
          <w:szCs w:val="22"/>
          <w:lang w:val="es-CR"/>
        </w:rPr>
        <w:t>o</w:t>
      </w:r>
      <w:r w:rsidR="00D565C1" w:rsidRPr="6F621BC2">
        <w:rPr>
          <w:sz w:val="22"/>
          <w:szCs w:val="22"/>
          <w:lang w:val="es-CR"/>
        </w:rPr>
        <w:t xml:space="preserve">s recientes y crecientes </w:t>
      </w:r>
      <w:r w:rsidR="0039126C" w:rsidRPr="6F621BC2">
        <w:rPr>
          <w:sz w:val="22"/>
          <w:szCs w:val="22"/>
          <w:lang w:val="es-CR"/>
        </w:rPr>
        <w:t>debates</w:t>
      </w:r>
      <w:r w:rsidR="00661C40" w:rsidRPr="6F621BC2">
        <w:rPr>
          <w:sz w:val="22"/>
          <w:szCs w:val="22"/>
          <w:lang w:val="es-CR"/>
        </w:rPr>
        <w:t xml:space="preserve"> que se </w:t>
      </w:r>
      <w:r w:rsidR="0039126C" w:rsidRPr="6F621BC2">
        <w:rPr>
          <w:sz w:val="22"/>
          <w:szCs w:val="22"/>
          <w:lang w:val="es-CR"/>
        </w:rPr>
        <w:t xml:space="preserve">están generando, por </w:t>
      </w:r>
      <w:r w:rsidR="00765FC4" w:rsidRPr="6F621BC2">
        <w:rPr>
          <w:sz w:val="22"/>
          <w:szCs w:val="22"/>
          <w:lang w:val="es-CR"/>
        </w:rPr>
        <w:t>ejemplo, sobre</w:t>
      </w:r>
      <w:r w:rsidR="00661C40" w:rsidRPr="6F621BC2">
        <w:rPr>
          <w:sz w:val="22"/>
          <w:szCs w:val="22"/>
          <w:lang w:val="es-CR"/>
        </w:rPr>
        <w:t xml:space="preserve"> el tema de</w:t>
      </w:r>
      <w:r w:rsidR="00765FC4" w:rsidRPr="6F621BC2">
        <w:rPr>
          <w:sz w:val="22"/>
          <w:szCs w:val="22"/>
          <w:lang w:val="es-CR"/>
        </w:rPr>
        <w:t xml:space="preserve"> las regulaciones, procesos y procedimientos en </w:t>
      </w:r>
      <w:r w:rsidR="005F3B72" w:rsidRPr="6F621BC2">
        <w:rPr>
          <w:sz w:val="22"/>
          <w:szCs w:val="22"/>
          <w:lang w:val="es-CR"/>
        </w:rPr>
        <w:t>la introducción</w:t>
      </w:r>
      <w:r w:rsidR="00955F92" w:rsidRPr="6F621BC2">
        <w:rPr>
          <w:sz w:val="22"/>
          <w:szCs w:val="22"/>
          <w:lang w:val="es-CR"/>
        </w:rPr>
        <w:t xml:space="preserve"> </w:t>
      </w:r>
      <w:r w:rsidR="0036314F" w:rsidRPr="6F621BC2">
        <w:rPr>
          <w:sz w:val="22"/>
          <w:szCs w:val="22"/>
          <w:lang w:val="es-CR"/>
        </w:rPr>
        <w:t xml:space="preserve">de </w:t>
      </w:r>
      <w:r w:rsidR="00955F92" w:rsidRPr="6F621BC2">
        <w:rPr>
          <w:sz w:val="22"/>
          <w:szCs w:val="22"/>
          <w:lang w:val="es-CR"/>
        </w:rPr>
        <w:t>inteligencia</w:t>
      </w:r>
      <w:r w:rsidR="0036314F" w:rsidRPr="6F621BC2">
        <w:rPr>
          <w:sz w:val="22"/>
          <w:szCs w:val="22"/>
          <w:lang w:val="es-CR"/>
        </w:rPr>
        <w:t xml:space="preserve"> artificial </w:t>
      </w:r>
      <w:r w:rsidR="00955F92" w:rsidRPr="6F621BC2">
        <w:rPr>
          <w:sz w:val="22"/>
          <w:szCs w:val="22"/>
          <w:lang w:val="es-CR"/>
        </w:rPr>
        <w:t>para dar respuestas y soluciones</w:t>
      </w:r>
      <w:r w:rsidR="005F3B72" w:rsidRPr="6F621BC2">
        <w:rPr>
          <w:sz w:val="22"/>
          <w:szCs w:val="22"/>
          <w:lang w:val="es-CR"/>
        </w:rPr>
        <w:t xml:space="preserve"> en diferentes ámbitos, incluidos el de la educación y el empleo</w:t>
      </w:r>
      <w:r w:rsidR="00955F92" w:rsidRPr="6F621BC2">
        <w:rPr>
          <w:sz w:val="22"/>
          <w:szCs w:val="22"/>
          <w:lang w:val="es-CR"/>
        </w:rPr>
        <w:t xml:space="preserve"> (por ejemplo, </w:t>
      </w:r>
      <w:proofErr w:type="spellStart"/>
      <w:r w:rsidR="00D565C1" w:rsidRPr="6F621BC2">
        <w:rPr>
          <w:sz w:val="22"/>
          <w:szCs w:val="22"/>
          <w:lang w:val="es-CR"/>
        </w:rPr>
        <w:t>chat</w:t>
      </w:r>
      <w:r w:rsidR="00765FC4" w:rsidRPr="6F621BC2">
        <w:rPr>
          <w:sz w:val="22"/>
          <w:szCs w:val="22"/>
          <w:lang w:val="es-CR"/>
        </w:rPr>
        <w:t>bots</w:t>
      </w:r>
      <w:proofErr w:type="spellEnd"/>
      <w:r w:rsidR="00955F92" w:rsidRPr="6F621BC2">
        <w:rPr>
          <w:sz w:val="22"/>
          <w:szCs w:val="22"/>
          <w:lang w:val="es-CR"/>
        </w:rPr>
        <w:t>)</w:t>
      </w:r>
      <w:r w:rsidR="001E6162" w:rsidRPr="6F621BC2">
        <w:rPr>
          <w:sz w:val="22"/>
          <w:szCs w:val="22"/>
          <w:lang w:val="es-CR"/>
        </w:rPr>
        <w:t xml:space="preserve">.  </w:t>
      </w:r>
    </w:p>
    <w:p w14:paraId="72BBC201" w14:textId="77777777" w:rsidR="00C911A9" w:rsidRDefault="00C911A9" w:rsidP="009E2C41">
      <w:pPr>
        <w:tabs>
          <w:tab w:val="left" w:pos="720"/>
          <w:tab w:val="left" w:pos="1530"/>
        </w:tabs>
        <w:jc w:val="both"/>
        <w:rPr>
          <w:sz w:val="22"/>
          <w:szCs w:val="22"/>
          <w:lang w:val="es-CR"/>
        </w:rPr>
      </w:pPr>
    </w:p>
    <w:p w14:paraId="54E2D865" w14:textId="2497F0EB" w:rsidR="00BE0D8D" w:rsidRPr="00BE0D8D" w:rsidRDefault="009E2C41" w:rsidP="009E2C41">
      <w:pPr>
        <w:tabs>
          <w:tab w:val="left" w:pos="720"/>
          <w:tab w:val="left" w:pos="1530"/>
        </w:tabs>
        <w:jc w:val="both"/>
        <w:rPr>
          <w:i/>
          <w:iCs/>
          <w:sz w:val="22"/>
          <w:szCs w:val="22"/>
          <w:lang w:val="es-CR"/>
        </w:rPr>
      </w:pPr>
      <w:r>
        <w:rPr>
          <w:sz w:val="22"/>
          <w:szCs w:val="22"/>
          <w:lang w:val="es-CR"/>
        </w:rPr>
        <w:tab/>
      </w:r>
      <w:r w:rsidR="002A2C00">
        <w:rPr>
          <w:sz w:val="22"/>
          <w:szCs w:val="22"/>
          <w:lang w:val="es-CR"/>
        </w:rPr>
        <w:t>En este sentido, p</w:t>
      </w:r>
      <w:r w:rsidR="001E6162">
        <w:rPr>
          <w:sz w:val="22"/>
          <w:szCs w:val="22"/>
          <w:lang w:val="es-CR"/>
        </w:rPr>
        <w:t xml:space="preserve">uede resultar altamente significativo </w:t>
      </w:r>
      <w:proofErr w:type="spellStart"/>
      <w:r w:rsidR="001E6162">
        <w:rPr>
          <w:sz w:val="22"/>
          <w:szCs w:val="22"/>
          <w:lang w:val="es-CR"/>
        </w:rPr>
        <w:t>re-visitar</w:t>
      </w:r>
      <w:proofErr w:type="spellEnd"/>
      <w:r w:rsidR="001E6162">
        <w:rPr>
          <w:sz w:val="22"/>
          <w:szCs w:val="22"/>
          <w:lang w:val="es-CR"/>
        </w:rPr>
        <w:t xml:space="preserve"> el </w:t>
      </w:r>
      <w:r w:rsidR="00175CE4">
        <w:fldChar w:fldCharType="begin"/>
      </w:r>
      <w:r w:rsidR="00175CE4" w:rsidRPr="00175CE4">
        <w:rPr>
          <w:lang w:val="es-US"/>
        </w:rPr>
        <w:instrText>HYPERLINK "https://diversidadaudiovisual.org/wp-content/uploads/2013/05/macbride-1980.pdf"</w:instrText>
      </w:r>
      <w:r w:rsidR="00175CE4">
        <w:fldChar w:fldCharType="separate"/>
      </w:r>
      <w:r w:rsidR="001E6162" w:rsidRPr="00991668">
        <w:rPr>
          <w:rStyle w:val="Hyperlink"/>
          <w:sz w:val="22"/>
          <w:szCs w:val="22"/>
          <w:lang w:val="es-CR"/>
        </w:rPr>
        <w:t>Informe Mac Bride</w:t>
      </w:r>
      <w:r w:rsidR="00175CE4">
        <w:rPr>
          <w:rStyle w:val="Hyperlink"/>
          <w:sz w:val="22"/>
          <w:szCs w:val="22"/>
          <w:lang w:val="es-CR"/>
        </w:rPr>
        <w:fldChar w:fldCharType="end"/>
      </w:r>
      <w:r w:rsidR="00DC1498">
        <w:rPr>
          <w:sz w:val="22"/>
          <w:szCs w:val="22"/>
          <w:lang w:val="es-CR"/>
        </w:rPr>
        <w:t xml:space="preserve"> cuando en su </w:t>
      </w:r>
      <w:r w:rsidR="00811F70">
        <w:rPr>
          <w:sz w:val="22"/>
          <w:szCs w:val="22"/>
          <w:lang w:val="es-CR"/>
        </w:rPr>
        <w:t>Prologo</w:t>
      </w:r>
      <w:r w:rsidR="00DC1498">
        <w:rPr>
          <w:sz w:val="22"/>
          <w:szCs w:val="22"/>
          <w:lang w:val="es-CR"/>
        </w:rPr>
        <w:t xml:space="preserve"> el entonces Director General de </w:t>
      </w:r>
      <w:r w:rsidR="00DA7BEF">
        <w:rPr>
          <w:sz w:val="22"/>
          <w:szCs w:val="22"/>
          <w:lang w:val="es-CR"/>
        </w:rPr>
        <w:t>Unesco,</w:t>
      </w:r>
      <w:r w:rsidR="00811F70">
        <w:rPr>
          <w:sz w:val="22"/>
          <w:szCs w:val="22"/>
          <w:lang w:val="es-CR"/>
        </w:rPr>
        <w:t xml:space="preserve"> </w:t>
      </w:r>
      <w:proofErr w:type="spellStart"/>
      <w:r w:rsidR="00811F70">
        <w:rPr>
          <w:sz w:val="22"/>
          <w:szCs w:val="22"/>
          <w:lang w:val="es-CR"/>
        </w:rPr>
        <w:t>Amadou-Mahtar</w:t>
      </w:r>
      <w:proofErr w:type="spellEnd"/>
      <w:r w:rsidR="00811F70">
        <w:rPr>
          <w:sz w:val="22"/>
          <w:szCs w:val="22"/>
          <w:lang w:val="es-CR"/>
        </w:rPr>
        <w:t xml:space="preserve"> </w:t>
      </w:r>
      <w:proofErr w:type="spellStart"/>
      <w:r w:rsidR="00811F70">
        <w:rPr>
          <w:sz w:val="22"/>
          <w:szCs w:val="22"/>
          <w:lang w:val="es-CR"/>
        </w:rPr>
        <w:t>M’Bow</w:t>
      </w:r>
      <w:proofErr w:type="spellEnd"/>
      <w:r w:rsidR="00811F70">
        <w:rPr>
          <w:sz w:val="22"/>
          <w:szCs w:val="22"/>
          <w:lang w:val="es-CR"/>
        </w:rPr>
        <w:t xml:space="preserve">, menciona </w:t>
      </w:r>
      <w:r w:rsidR="00811F70" w:rsidRPr="009E2C41">
        <w:rPr>
          <w:sz w:val="22"/>
          <w:szCs w:val="22"/>
          <w:lang w:val="es-CR"/>
        </w:rPr>
        <w:t>“</w:t>
      </w:r>
      <w:r w:rsidR="00C03BF6" w:rsidRPr="009E2C41">
        <w:rPr>
          <w:sz w:val="22"/>
          <w:szCs w:val="22"/>
          <w:lang w:val="es-CR"/>
        </w:rPr>
        <w:t xml:space="preserve">Pero estas son solo algunas de las perspectivas ofrecidas por una época que es igualmente capaz de producir lo mejor para el </w:t>
      </w:r>
      <w:r w:rsidR="00A57DAD" w:rsidRPr="009E2C41">
        <w:rPr>
          <w:sz w:val="22"/>
          <w:szCs w:val="22"/>
          <w:lang w:val="es-CR"/>
        </w:rPr>
        <w:t>futuro</w:t>
      </w:r>
      <w:r w:rsidR="00C03BF6" w:rsidRPr="009E2C41">
        <w:rPr>
          <w:sz w:val="22"/>
          <w:szCs w:val="22"/>
          <w:lang w:val="es-CR"/>
        </w:rPr>
        <w:t xml:space="preserve">, o lo peor. Tales perspectivas se </w:t>
      </w:r>
      <w:r w:rsidR="00A57DAD" w:rsidRPr="009E2C41">
        <w:rPr>
          <w:sz w:val="22"/>
          <w:szCs w:val="22"/>
          <w:lang w:val="es-CR"/>
        </w:rPr>
        <w:t>realizarán solo si se resiste la tentación de poner los med</w:t>
      </w:r>
      <w:r w:rsidR="005A35A8" w:rsidRPr="009E2C41">
        <w:rPr>
          <w:sz w:val="22"/>
          <w:szCs w:val="22"/>
          <w:lang w:val="es-CR"/>
        </w:rPr>
        <w:t>i</w:t>
      </w:r>
      <w:r w:rsidR="00A57DAD" w:rsidRPr="009E2C41">
        <w:rPr>
          <w:sz w:val="22"/>
          <w:szCs w:val="22"/>
          <w:lang w:val="es-CR"/>
        </w:rPr>
        <w:t xml:space="preserve">os informativos al servicio </w:t>
      </w:r>
      <w:r w:rsidR="00421EA5" w:rsidRPr="009E2C41">
        <w:rPr>
          <w:sz w:val="22"/>
          <w:szCs w:val="22"/>
          <w:lang w:val="es-CR"/>
        </w:rPr>
        <w:t xml:space="preserve">de estrechos intereses sectarios y convertirlos en nuevos instrumentos de poder, justificando </w:t>
      </w:r>
      <w:r w:rsidR="00DD7CC8" w:rsidRPr="009E2C41">
        <w:rPr>
          <w:sz w:val="22"/>
          <w:szCs w:val="22"/>
          <w:lang w:val="es-CR"/>
        </w:rPr>
        <w:t>los ataques a la dignidad humana y agravando las desigualdades que ya existen entre las naciones y dentro de cada una</w:t>
      </w:r>
      <w:r w:rsidR="00DA7BEF" w:rsidRPr="009E2C41">
        <w:rPr>
          <w:sz w:val="22"/>
          <w:szCs w:val="22"/>
          <w:lang w:val="es-CR"/>
        </w:rPr>
        <w:t xml:space="preserve"> de las propias naciones”</w:t>
      </w:r>
    </w:p>
    <w:p w14:paraId="2EAC8F4B" w14:textId="77777777" w:rsidR="00AE170D" w:rsidRDefault="00AE170D" w:rsidP="009E2C41">
      <w:pPr>
        <w:tabs>
          <w:tab w:val="left" w:pos="720"/>
          <w:tab w:val="left" w:pos="1530"/>
        </w:tabs>
        <w:jc w:val="both"/>
        <w:rPr>
          <w:sz w:val="22"/>
          <w:szCs w:val="22"/>
          <w:lang w:val="es-CR"/>
        </w:rPr>
      </w:pPr>
    </w:p>
    <w:p w14:paraId="79689BF3" w14:textId="74022F00" w:rsidR="00C67779" w:rsidRPr="009E2C41" w:rsidRDefault="009E2C41" w:rsidP="009E2C41">
      <w:pPr>
        <w:tabs>
          <w:tab w:val="left" w:pos="720"/>
          <w:tab w:val="left" w:pos="1530"/>
        </w:tabs>
        <w:jc w:val="both"/>
        <w:rPr>
          <w:sz w:val="22"/>
          <w:szCs w:val="22"/>
          <w:lang w:val="es-US"/>
        </w:rPr>
      </w:pPr>
      <w:r>
        <w:rPr>
          <w:sz w:val="22"/>
          <w:szCs w:val="22"/>
          <w:lang w:val="es-CR"/>
        </w:rPr>
        <w:tab/>
      </w:r>
      <w:r w:rsidR="00397DD1">
        <w:rPr>
          <w:sz w:val="22"/>
          <w:szCs w:val="22"/>
          <w:lang w:val="es-CR"/>
        </w:rPr>
        <w:t xml:space="preserve">Es </w:t>
      </w:r>
      <w:r w:rsidR="00EC4ECE">
        <w:rPr>
          <w:sz w:val="22"/>
          <w:szCs w:val="22"/>
          <w:lang w:val="es-CR"/>
        </w:rPr>
        <w:t>necesario destacar</w:t>
      </w:r>
      <w:r w:rsidR="00397DD1">
        <w:rPr>
          <w:sz w:val="22"/>
          <w:szCs w:val="22"/>
          <w:lang w:val="es-CR"/>
        </w:rPr>
        <w:t xml:space="preserve"> l</w:t>
      </w:r>
      <w:r w:rsidR="00F61795">
        <w:rPr>
          <w:sz w:val="22"/>
          <w:szCs w:val="22"/>
          <w:lang w:val="es-CR"/>
        </w:rPr>
        <w:t>a</w:t>
      </w:r>
      <w:r w:rsidR="00397DD1">
        <w:rPr>
          <w:sz w:val="22"/>
          <w:szCs w:val="22"/>
          <w:lang w:val="es-CR"/>
        </w:rPr>
        <w:t xml:space="preserve"> vigen</w:t>
      </w:r>
      <w:r w:rsidR="00F61795">
        <w:rPr>
          <w:sz w:val="22"/>
          <w:szCs w:val="22"/>
          <w:lang w:val="es-CR"/>
        </w:rPr>
        <w:t>cia</w:t>
      </w:r>
      <w:r w:rsidR="00397DD1">
        <w:rPr>
          <w:sz w:val="22"/>
          <w:szCs w:val="22"/>
          <w:lang w:val="es-CR"/>
        </w:rPr>
        <w:t xml:space="preserve"> tanto de este informe como de las palabras de la </w:t>
      </w:r>
      <w:r w:rsidR="00AB6720">
        <w:rPr>
          <w:sz w:val="22"/>
          <w:szCs w:val="22"/>
          <w:lang w:val="es-CR"/>
        </w:rPr>
        <w:t xml:space="preserve">Primera Presidenta de la </w:t>
      </w:r>
      <w:r w:rsidR="005D53BA">
        <w:rPr>
          <w:sz w:val="22"/>
          <w:szCs w:val="22"/>
          <w:lang w:val="es-CR"/>
        </w:rPr>
        <w:t>Comisión</w:t>
      </w:r>
      <w:r w:rsidR="00AB6720">
        <w:rPr>
          <w:sz w:val="22"/>
          <w:szCs w:val="22"/>
          <w:lang w:val="es-CR"/>
        </w:rPr>
        <w:t xml:space="preserve"> de Derechos Humanos de las Naciones Unidas, </w:t>
      </w:r>
      <w:r w:rsidR="00593035">
        <w:rPr>
          <w:sz w:val="22"/>
          <w:szCs w:val="22"/>
          <w:lang w:val="es-CR"/>
        </w:rPr>
        <w:t>(Eleanor Roosevelt</w:t>
      </w:r>
      <w:r w:rsidR="00806F64">
        <w:rPr>
          <w:sz w:val="22"/>
          <w:szCs w:val="22"/>
          <w:lang w:val="es-CR"/>
        </w:rPr>
        <w:t>, El futuro es hoy, 1963)</w:t>
      </w:r>
      <w:r w:rsidR="00593035">
        <w:rPr>
          <w:sz w:val="22"/>
          <w:szCs w:val="22"/>
          <w:lang w:val="es-CR"/>
        </w:rPr>
        <w:t xml:space="preserve"> </w:t>
      </w:r>
      <w:r w:rsidR="0008078D">
        <w:rPr>
          <w:sz w:val="22"/>
          <w:szCs w:val="22"/>
          <w:lang w:val="es-CR"/>
        </w:rPr>
        <w:t xml:space="preserve">cuando </w:t>
      </w:r>
      <w:r w:rsidR="00C763F8">
        <w:rPr>
          <w:sz w:val="22"/>
          <w:szCs w:val="22"/>
          <w:lang w:val="es-CR"/>
        </w:rPr>
        <w:t xml:space="preserve">en su </w:t>
      </w:r>
      <w:r w:rsidR="00DF1CA4">
        <w:rPr>
          <w:sz w:val="22"/>
          <w:szCs w:val="22"/>
          <w:lang w:val="es-CR"/>
        </w:rPr>
        <w:t xml:space="preserve">capítulo </w:t>
      </w:r>
      <w:r w:rsidR="00037F94">
        <w:rPr>
          <w:sz w:val="22"/>
          <w:szCs w:val="22"/>
          <w:lang w:val="es-CR"/>
        </w:rPr>
        <w:t>L</w:t>
      </w:r>
      <w:r w:rsidR="00DF1CA4">
        <w:rPr>
          <w:sz w:val="22"/>
          <w:szCs w:val="22"/>
          <w:lang w:val="es-CR"/>
        </w:rPr>
        <w:t>a revolución en educación</w:t>
      </w:r>
      <w:r w:rsidR="00037F94">
        <w:rPr>
          <w:sz w:val="22"/>
          <w:szCs w:val="22"/>
          <w:lang w:val="es-CR"/>
        </w:rPr>
        <w:t>,</w:t>
      </w:r>
      <w:r w:rsidR="00DF1CA4">
        <w:rPr>
          <w:sz w:val="22"/>
          <w:szCs w:val="22"/>
          <w:lang w:val="es-CR"/>
        </w:rPr>
        <w:t xml:space="preserve"> dice</w:t>
      </w:r>
      <w:r w:rsidR="0008078D" w:rsidRPr="009E2C41">
        <w:rPr>
          <w:sz w:val="22"/>
          <w:szCs w:val="22"/>
          <w:lang w:val="es-CR"/>
        </w:rPr>
        <w:t>: “</w:t>
      </w:r>
      <w:r w:rsidR="00C96199" w:rsidRPr="009E2C41">
        <w:rPr>
          <w:sz w:val="22"/>
          <w:szCs w:val="22"/>
          <w:lang w:val="es-CR"/>
        </w:rPr>
        <w:t xml:space="preserve">Si queremos enfrentar con éxito nuestra revolución en la ciencia, en la economía, en las áreas sociales, debemos prepararnos para la revolución en la Educación que se requerirá para enfrentar, comprender y dominar las nuevas condiciones. </w:t>
      </w:r>
      <w:r w:rsidR="00C96199" w:rsidRPr="009E2C41">
        <w:rPr>
          <w:sz w:val="22"/>
          <w:szCs w:val="22"/>
          <w:lang w:val="es-US"/>
        </w:rPr>
        <w:t>Sin un enfoque totalmente nuevo de la educación, nuestros jóvenes no estarán equipados para hacer frente al mundo del futur</w:t>
      </w:r>
      <w:r w:rsidR="00664016" w:rsidRPr="009E2C41">
        <w:rPr>
          <w:sz w:val="22"/>
          <w:szCs w:val="22"/>
          <w:lang w:val="es-US"/>
        </w:rPr>
        <w:t>o</w:t>
      </w:r>
      <w:r w:rsidR="00ED584B" w:rsidRPr="009E2C41">
        <w:rPr>
          <w:sz w:val="22"/>
          <w:szCs w:val="22"/>
          <w:lang w:val="es-US"/>
        </w:rPr>
        <w:t>…</w:t>
      </w:r>
      <w:r w:rsidR="00C67779" w:rsidRPr="009E2C41">
        <w:rPr>
          <w:lang w:val="es-US"/>
        </w:rPr>
        <w:t xml:space="preserve"> </w:t>
      </w:r>
      <w:r w:rsidR="00C67779" w:rsidRPr="009E2C41">
        <w:rPr>
          <w:sz w:val="22"/>
          <w:szCs w:val="22"/>
          <w:lang w:val="es-US"/>
        </w:rPr>
        <w:t xml:space="preserve">La formación del pasado —demasiado inadecuada incluso para los propósitos del pasado— no servirá para preparar a los jóvenes de hoy para hacer frente a las nuevas condiciones; sobre todo, condiciones que ninguno de nosotros puede prever claramente. Una cosa es proporcionar una habilidad simple que se pueda aplicar a una situación determinada. Otra cosa muy diferente –y algo nuevo, revolucionario– es preparar a los jóvenes para enfrentarse a un mundo desconocido, para resolver problemas imprevisibles y para adaptar sus habilidades, su inteligencia y sus conocimientos a las nuevas situaciones que se desarrollan a la velocidad </w:t>
      </w:r>
      <w:r w:rsidR="006D4EF0" w:rsidRPr="009E2C41">
        <w:rPr>
          <w:sz w:val="22"/>
          <w:szCs w:val="22"/>
          <w:lang w:val="es-US"/>
        </w:rPr>
        <w:t>de la luz</w:t>
      </w:r>
      <w:r w:rsidR="00C67779" w:rsidRPr="009E2C41">
        <w:rPr>
          <w:sz w:val="22"/>
          <w:szCs w:val="22"/>
          <w:lang w:val="es-US"/>
        </w:rPr>
        <w:t>.”</w:t>
      </w:r>
    </w:p>
    <w:p w14:paraId="1FFC1C63" w14:textId="77777777" w:rsidR="0039533F" w:rsidRPr="009E2C41" w:rsidRDefault="0039533F" w:rsidP="009E2C41">
      <w:pPr>
        <w:tabs>
          <w:tab w:val="left" w:pos="720"/>
          <w:tab w:val="left" w:pos="1530"/>
        </w:tabs>
        <w:jc w:val="both"/>
        <w:rPr>
          <w:sz w:val="22"/>
          <w:szCs w:val="22"/>
          <w:lang w:val="es-CR"/>
        </w:rPr>
      </w:pPr>
    </w:p>
    <w:p w14:paraId="585D901C" w14:textId="1998F32E" w:rsidR="00BF598E" w:rsidRDefault="009E2C41" w:rsidP="009E2C41">
      <w:pPr>
        <w:tabs>
          <w:tab w:val="left" w:pos="720"/>
          <w:tab w:val="left" w:pos="1530"/>
        </w:tabs>
        <w:jc w:val="both"/>
        <w:rPr>
          <w:sz w:val="22"/>
          <w:szCs w:val="22"/>
          <w:lang w:val="es-CR"/>
        </w:rPr>
      </w:pPr>
      <w:r>
        <w:rPr>
          <w:sz w:val="22"/>
          <w:szCs w:val="22"/>
          <w:lang w:val="es-CR"/>
        </w:rPr>
        <w:tab/>
      </w:r>
      <w:r w:rsidR="007D5F06">
        <w:rPr>
          <w:sz w:val="22"/>
          <w:szCs w:val="22"/>
          <w:lang w:val="es-CR"/>
        </w:rPr>
        <w:t>L</w:t>
      </w:r>
      <w:r w:rsidR="00B178FA">
        <w:rPr>
          <w:sz w:val="22"/>
          <w:szCs w:val="22"/>
          <w:lang w:val="es-CR"/>
        </w:rPr>
        <w:t xml:space="preserve">a primera Reunión de </w:t>
      </w:r>
      <w:proofErr w:type="gramStart"/>
      <w:r w:rsidR="00BF598E">
        <w:rPr>
          <w:sz w:val="22"/>
          <w:szCs w:val="22"/>
          <w:lang w:val="es-CR"/>
        </w:rPr>
        <w:t>Ministros</w:t>
      </w:r>
      <w:proofErr w:type="gramEnd"/>
      <w:r w:rsidR="00B178FA">
        <w:rPr>
          <w:sz w:val="22"/>
          <w:szCs w:val="22"/>
          <w:lang w:val="es-CR"/>
        </w:rPr>
        <w:t xml:space="preserve"> de </w:t>
      </w:r>
      <w:r w:rsidR="00BF598E">
        <w:rPr>
          <w:sz w:val="22"/>
          <w:szCs w:val="22"/>
          <w:lang w:val="es-CR"/>
        </w:rPr>
        <w:t>Educación</w:t>
      </w:r>
      <w:r w:rsidR="00B178FA">
        <w:rPr>
          <w:sz w:val="22"/>
          <w:szCs w:val="22"/>
          <w:lang w:val="es-CR"/>
        </w:rPr>
        <w:t xml:space="preserve"> de la OEA </w:t>
      </w:r>
      <w:r w:rsidR="00D046EE">
        <w:rPr>
          <w:sz w:val="22"/>
          <w:szCs w:val="22"/>
          <w:lang w:val="es-CR"/>
        </w:rPr>
        <w:t>(Brasil, 1998)</w:t>
      </w:r>
      <w:r>
        <w:rPr>
          <w:sz w:val="22"/>
          <w:szCs w:val="22"/>
          <w:lang w:val="es-CR"/>
        </w:rPr>
        <w:t xml:space="preserve"> ha</w:t>
      </w:r>
      <w:r w:rsidR="00D046EE">
        <w:rPr>
          <w:sz w:val="22"/>
          <w:szCs w:val="22"/>
          <w:lang w:val="es-CR"/>
        </w:rPr>
        <w:t xml:space="preserve"> </w:t>
      </w:r>
      <w:r w:rsidR="2D70E7AF" w:rsidRPr="7FAB3DCB">
        <w:rPr>
          <w:sz w:val="22"/>
          <w:szCs w:val="22"/>
          <w:lang w:val="es-CR"/>
        </w:rPr>
        <w:t xml:space="preserve">marcado </w:t>
      </w:r>
      <w:r w:rsidR="007D5F06">
        <w:rPr>
          <w:sz w:val="22"/>
          <w:szCs w:val="22"/>
          <w:lang w:val="es-CR"/>
        </w:rPr>
        <w:t xml:space="preserve">el camino desde entonces </w:t>
      </w:r>
      <w:r w:rsidR="00A64663">
        <w:rPr>
          <w:sz w:val="22"/>
          <w:szCs w:val="22"/>
          <w:lang w:val="es-CR"/>
        </w:rPr>
        <w:t>acerca de</w:t>
      </w:r>
      <w:r w:rsidR="007D5F06">
        <w:rPr>
          <w:sz w:val="22"/>
          <w:szCs w:val="22"/>
          <w:lang w:val="es-CR"/>
        </w:rPr>
        <w:t xml:space="preserve"> la relevancia de la formación vocacional y técnica a través de la </w:t>
      </w:r>
      <w:r w:rsidR="00D046EE">
        <w:rPr>
          <w:sz w:val="22"/>
          <w:szCs w:val="22"/>
          <w:lang w:val="es-CR"/>
        </w:rPr>
        <w:t xml:space="preserve">adopción del </w:t>
      </w:r>
      <w:hyperlink r:id="rId14">
        <w:r w:rsidR="00BF598E" w:rsidRPr="7FAB3DCB">
          <w:rPr>
            <w:rStyle w:val="Hyperlink"/>
            <w:sz w:val="22"/>
            <w:szCs w:val="22"/>
            <w:lang w:val="es-CR"/>
          </w:rPr>
          <w:t xml:space="preserve">Primer </w:t>
        </w:r>
        <w:r w:rsidR="00D046EE" w:rsidRPr="7FAB3DCB">
          <w:rPr>
            <w:rStyle w:val="Hyperlink"/>
            <w:sz w:val="22"/>
            <w:szCs w:val="22"/>
            <w:lang w:val="es-CR"/>
          </w:rPr>
          <w:t xml:space="preserve">Programa </w:t>
        </w:r>
        <w:r w:rsidR="00EC2E1F" w:rsidRPr="7FAB3DCB">
          <w:rPr>
            <w:rStyle w:val="Hyperlink"/>
            <w:sz w:val="22"/>
            <w:szCs w:val="22"/>
            <w:lang w:val="es-CR"/>
          </w:rPr>
          <w:t>Hemisférico</w:t>
        </w:r>
        <w:r w:rsidR="00EA68AB" w:rsidRPr="7FAB3DCB">
          <w:rPr>
            <w:rStyle w:val="Hyperlink"/>
            <w:sz w:val="22"/>
            <w:szCs w:val="22"/>
            <w:lang w:val="es-CR"/>
          </w:rPr>
          <w:t xml:space="preserve"> </w:t>
        </w:r>
        <w:r w:rsidR="00D046EE" w:rsidRPr="7FAB3DCB">
          <w:rPr>
            <w:rStyle w:val="Hyperlink"/>
            <w:sz w:val="22"/>
            <w:szCs w:val="22"/>
            <w:lang w:val="es-CR"/>
          </w:rPr>
          <w:t xml:space="preserve">de </w:t>
        </w:r>
        <w:r w:rsidR="008A3BC5" w:rsidRPr="7FAB3DCB">
          <w:rPr>
            <w:rStyle w:val="Hyperlink"/>
            <w:sz w:val="22"/>
            <w:szCs w:val="22"/>
            <w:lang w:val="es-CR"/>
          </w:rPr>
          <w:t>Educación</w:t>
        </w:r>
      </w:hyperlink>
      <w:r w:rsidR="00D046EE" w:rsidRPr="7FAB3DCB">
        <w:rPr>
          <w:sz w:val="22"/>
          <w:szCs w:val="22"/>
          <w:lang w:val="es-CR"/>
        </w:rPr>
        <w:t xml:space="preserve"> para la </w:t>
      </w:r>
      <w:r w:rsidR="00827CFF" w:rsidRPr="7FAB3DCB">
        <w:rPr>
          <w:sz w:val="22"/>
          <w:szCs w:val="22"/>
          <w:lang w:val="es-CR"/>
        </w:rPr>
        <w:t>región</w:t>
      </w:r>
      <w:r w:rsidR="00BF1FB0" w:rsidRPr="7FAB3DCB">
        <w:rPr>
          <w:sz w:val="22"/>
          <w:szCs w:val="22"/>
          <w:lang w:val="es-CR"/>
        </w:rPr>
        <w:t>.</w:t>
      </w:r>
      <w:r w:rsidR="00BF1FB0">
        <w:rPr>
          <w:sz w:val="22"/>
          <w:szCs w:val="22"/>
          <w:lang w:val="es-CR"/>
        </w:rPr>
        <w:t xml:space="preserve"> Este </w:t>
      </w:r>
      <w:r>
        <w:rPr>
          <w:sz w:val="22"/>
          <w:szCs w:val="22"/>
          <w:lang w:val="es-CR"/>
        </w:rPr>
        <w:t>P</w:t>
      </w:r>
      <w:r w:rsidR="00BF1FB0">
        <w:rPr>
          <w:sz w:val="22"/>
          <w:szCs w:val="22"/>
          <w:lang w:val="es-CR"/>
        </w:rPr>
        <w:t>rograma focalizó</w:t>
      </w:r>
      <w:r w:rsidR="00D046EE">
        <w:rPr>
          <w:sz w:val="22"/>
          <w:szCs w:val="22"/>
          <w:lang w:val="es-CR"/>
        </w:rPr>
        <w:t xml:space="preserve"> </w:t>
      </w:r>
      <w:r w:rsidR="00BF1FB0">
        <w:rPr>
          <w:sz w:val="22"/>
          <w:szCs w:val="22"/>
          <w:lang w:val="es-CR"/>
        </w:rPr>
        <w:t xml:space="preserve">en </w:t>
      </w:r>
      <w:r w:rsidR="00D046EE">
        <w:rPr>
          <w:sz w:val="22"/>
          <w:szCs w:val="22"/>
          <w:lang w:val="es-CR"/>
        </w:rPr>
        <w:t>uno de sus pilares</w:t>
      </w:r>
      <w:r w:rsidR="00BF598E">
        <w:rPr>
          <w:sz w:val="22"/>
          <w:szCs w:val="22"/>
          <w:lang w:val="es-CR"/>
        </w:rPr>
        <w:t xml:space="preserve"> la atención sobre la formación vocacional y técnica</w:t>
      </w:r>
      <w:r w:rsidR="00BF1FB0">
        <w:rPr>
          <w:sz w:val="22"/>
          <w:szCs w:val="22"/>
          <w:lang w:val="es-CR"/>
        </w:rPr>
        <w:t xml:space="preserve"> con el</w:t>
      </w:r>
      <w:r w:rsidR="00442E96">
        <w:rPr>
          <w:sz w:val="22"/>
          <w:szCs w:val="22"/>
          <w:lang w:val="es-CR"/>
        </w:rPr>
        <w:t xml:space="preserve"> objetivo </w:t>
      </w:r>
      <w:r w:rsidR="00BF1FB0">
        <w:rPr>
          <w:sz w:val="22"/>
          <w:szCs w:val="22"/>
          <w:lang w:val="es-CR"/>
        </w:rPr>
        <w:t xml:space="preserve">de </w:t>
      </w:r>
      <w:r w:rsidR="00442E96" w:rsidRPr="00442E96">
        <w:rPr>
          <w:sz w:val="22"/>
          <w:szCs w:val="22"/>
          <w:lang w:val="es-DO"/>
        </w:rPr>
        <w:t>orienta</w:t>
      </w:r>
      <w:r w:rsidR="00442E96">
        <w:rPr>
          <w:sz w:val="22"/>
          <w:szCs w:val="22"/>
          <w:lang w:val="es-DO"/>
        </w:rPr>
        <w:t xml:space="preserve">r </w:t>
      </w:r>
      <w:r w:rsidR="00431E62">
        <w:rPr>
          <w:sz w:val="22"/>
          <w:szCs w:val="22"/>
          <w:lang w:val="es-DO"/>
        </w:rPr>
        <w:t xml:space="preserve">y </w:t>
      </w:r>
      <w:r w:rsidR="00431E62" w:rsidRPr="00442E96">
        <w:rPr>
          <w:sz w:val="22"/>
          <w:szCs w:val="22"/>
          <w:lang w:val="es-DO"/>
        </w:rPr>
        <w:t>promover</w:t>
      </w:r>
      <w:r w:rsidR="00442E96" w:rsidRPr="00442E96">
        <w:rPr>
          <w:sz w:val="22"/>
          <w:szCs w:val="22"/>
          <w:lang w:val="es-DO"/>
        </w:rPr>
        <w:t xml:space="preserve"> el proceso de investigar y poner a prueba, difundir y aplicar con mayor calidad adelantos </w:t>
      </w:r>
      <w:r w:rsidR="00A379EE">
        <w:rPr>
          <w:sz w:val="22"/>
          <w:szCs w:val="22"/>
          <w:lang w:val="es-DO"/>
        </w:rPr>
        <w:t xml:space="preserve">en estrategias educativas, políticas públicas y programas </w:t>
      </w:r>
      <w:r w:rsidR="00442E96" w:rsidRPr="00442E96">
        <w:rPr>
          <w:sz w:val="22"/>
          <w:szCs w:val="22"/>
          <w:lang w:val="es-DO"/>
        </w:rPr>
        <w:t xml:space="preserve">por medio de </w:t>
      </w:r>
      <w:r w:rsidR="00A379EE">
        <w:rPr>
          <w:sz w:val="22"/>
          <w:szCs w:val="22"/>
          <w:lang w:val="es-DO"/>
        </w:rPr>
        <w:t xml:space="preserve">la </w:t>
      </w:r>
      <w:r w:rsidR="00442E96" w:rsidRPr="00442E96">
        <w:rPr>
          <w:sz w:val="22"/>
          <w:szCs w:val="22"/>
          <w:lang w:val="es-DO"/>
        </w:rPr>
        <w:t>formación de redes, publicaciones y consultas regionales</w:t>
      </w:r>
      <w:r w:rsidR="00A379EE">
        <w:rPr>
          <w:sz w:val="22"/>
          <w:szCs w:val="22"/>
          <w:lang w:val="es-DO"/>
        </w:rPr>
        <w:t>.</w:t>
      </w:r>
    </w:p>
    <w:p w14:paraId="79334DFD" w14:textId="6D5C040B" w:rsidR="00F2464D" w:rsidRDefault="00F2464D" w:rsidP="009E2C41">
      <w:pPr>
        <w:tabs>
          <w:tab w:val="left" w:pos="720"/>
          <w:tab w:val="left" w:pos="1530"/>
        </w:tabs>
        <w:jc w:val="both"/>
        <w:rPr>
          <w:sz w:val="22"/>
          <w:szCs w:val="22"/>
          <w:lang w:val="es-CR"/>
        </w:rPr>
      </w:pPr>
    </w:p>
    <w:p w14:paraId="69FCEF40" w14:textId="1BB5DF90" w:rsidR="00555D71" w:rsidRPr="00555D71" w:rsidRDefault="009E2C41" w:rsidP="009E2C41">
      <w:pPr>
        <w:tabs>
          <w:tab w:val="left" w:pos="720"/>
          <w:tab w:val="left" w:pos="1530"/>
        </w:tabs>
        <w:jc w:val="both"/>
        <w:rPr>
          <w:sz w:val="22"/>
          <w:szCs w:val="22"/>
          <w:lang w:val="es-CR"/>
        </w:rPr>
      </w:pPr>
      <w:r>
        <w:rPr>
          <w:sz w:val="22"/>
          <w:szCs w:val="22"/>
          <w:lang w:val="es-CR"/>
        </w:rPr>
        <w:tab/>
      </w:r>
      <w:r w:rsidR="00513AD0">
        <w:rPr>
          <w:sz w:val="22"/>
          <w:szCs w:val="22"/>
          <w:lang w:val="es-CR"/>
        </w:rPr>
        <w:t xml:space="preserve">Uno de los resultados de esta Reunión de </w:t>
      </w:r>
      <w:proofErr w:type="gramStart"/>
      <w:r w:rsidR="00555D71">
        <w:rPr>
          <w:sz w:val="22"/>
          <w:szCs w:val="22"/>
          <w:lang w:val="es-CR"/>
        </w:rPr>
        <w:t>M</w:t>
      </w:r>
      <w:r w:rsidR="00513AD0">
        <w:rPr>
          <w:sz w:val="22"/>
          <w:szCs w:val="22"/>
          <w:lang w:val="es-CR"/>
        </w:rPr>
        <w:t>inistros</w:t>
      </w:r>
      <w:proofErr w:type="gramEnd"/>
      <w:r w:rsidR="00513AD0">
        <w:rPr>
          <w:sz w:val="22"/>
          <w:szCs w:val="22"/>
          <w:lang w:val="es-CR"/>
        </w:rPr>
        <w:t xml:space="preserve"> fue la definición y creación de diferentes Proyectos multilaterales, entre ellos cabe destacar el </w:t>
      </w:r>
      <w:r w:rsidR="00CD3162" w:rsidRPr="00CD3162">
        <w:rPr>
          <w:sz w:val="22"/>
          <w:szCs w:val="22"/>
          <w:lang w:val="es-CR"/>
        </w:rPr>
        <w:t xml:space="preserve">Proyecto </w:t>
      </w:r>
      <w:r w:rsidR="00555D71">
        <w:rPr>
          <w:sz w:val="22"/>
          <w:szCs w:val="22"/>
          <w:lang w:val="es-CR"/>
        </w:rPr>
        <w:t xml:space="preserve">para </w:t>
      </w:r>
      <w:r w:rsidR="00555D71" w:rsidRPr="00555D71">
        <w:rPr>
          <w:sz w:val="22"/>
          <w:szCs w:val="22"/>
          <w:lang w:val="es-CR"/>
        </w:rPr>
        <w:t>Fortalecer la Formación y la Capacitación para el Mundo del Trabajo</w:t>
      </w:r>
      <w:r w:rsidR="00F5562F">
        <w:rPr>
          <w:sz w:val="22"/>
          <w:szCs w:val="22"/>
          <w:lang w:val="es-CR"/>
        </w:rPr>
        <w:t>.</w:t>
      </w:r>
    </w:p>
    <w:p w14:paraId="15485102" w14:textId="77777777" w:rsidR="00CD3162" w:rsidRDefault="00CD3162" w:rsidP="009E2C41">
      <w:pPr>
        <w:tabs>
          <w:tab w:val="left" w:pos="720"/>
          <w:tab w:val="left" w:pos="1530"/>
        </w:tabs>
        <w:jc w:val="both"/>
        <w:rPr>
          <w:sz w:val="22"/>
          <w:szCs w:val="22"/>
          <w:lang w:val="es-CR"/>
        </w:rPr>
      </w:pPr>
    </w:p>
    <w:p w14:paraId="79813522" w14:textId="614502D8" w:rsidR="00CD3162" w:rsidRPr="009A5C2E" w:rsidRDefault="009E2C41" w:rsidP="009E2C41">
      <w:pPr>
        <w:tabs>
          <w:tab w:val="left" w:pos="720"/>
          <w:tab w:val="left" w:pos="1530"/>
        </w:tabs>
        <w:jc w:val="both"/>
        <w:rPr>
          <w:sz w:val="22"/>
          <w:szCs w:val="22"/>
          <w:lang w:val="es-CR"/>
        </w:rPr>
      </w:pPr>
      <w:r>
        <w:rPr>
          <w:sz w:val="22"/>
          <w:szCs w:val="22"/>
          <w:lang w:val="es-CR"/>
        </w:rPr>
        <w:tab/>
      </w:r>
      <w:r w:rsidR="00036DFD" w:rsidRPr="6F621BC2">
        <w:rPr>
          <w:sz w:val="22"/>
          <w:szCs w:val="22"/>
          <w:lang w:val="es-CR"/>
        </w:rPr>
        <w:t>Asimismo</w:t>
      </w:r>
      <w:r w:rsidR="00F5562F" w:rsidRPr="6F621BC2">
        <w:rPr>
          <w:sz w:val="22"/>
          <w:szCs w:val="22"/>
          <w:lang w:val="es-CR"/>
        </w:rPr>
        <w:t>,</w:t>
      </w:r>
      <w:r w:rsidR="00036DFD" w:rsidRPr="6F621BC2">
        <w:rPr>
          <w:sz w:val="22"/>
          <w:szCs w:val="22"/>
          <w:lang w:val="es-CR"/>
        </w:rPr>
        <w:t xml:space="preserve"> la </w:t>
      </w:r>
      <w:hyperlink r:id="rId15" w:history="1">
        <w:r w:rsidR="00036DFD" w:rsidRPr="00BB5B9A">
          <w:rPr>
            <w:rStyle w:val="Hyperlink"/>
            <w:sz w:val="22"/>
            <w:szCs w:val="22"/>
            <w:lang w:val="es-CR"/>
          </w:rPr>
          <w:t xml:space="preserve">Tercera Reunión de Ministros de </w:t>
        </w:r>
        <w:r w:rsidR="002D5F48" w:rsidRPr="00BB5B9A">
          <w:rPr>
            <w:rStyle w:val="Hyperlink"/>
            <w:sz w:val="22"/>
            <w:szCs w:val="22"/>
            <w:lang w:val="es-CR"/>
          </w:rPr>
          <w:t>Educación</w:t>
        </w:r>
      </w:hyperlink>
      <w:r w:rsidR="00036DFD" w:rsidRPr="6F621BC2">
        <w:rPr>
          <w:sz w:val="22"/>
          <w:szCs w:val="22"/>
          <w:lang w:val="es-CR"/>
        </w:rPr>
        <w:t xml:space="preserve"> celebrada en M</w:t>
      </w:r>
      <w:r w:rsidR="0B858CC1" w:rsidRPr="6F621BC2">
        <w:rPr>
          <w:sz w:val="22"/>
          <w:szCs w:val="22"/>
          <w:lang w:val="es-CR"/>
        </w:rPr>
        <w:t>é</w:t>
      </w:r>
      <w:r w:rsidR="00036DFD" w:rsidRPr="6F621BC2">
        <w:rPr>
          <w:sz w:val="22"/>
          <w:szCs w:val="22"/>
          <w:lang w:val="es-CR"/>
        </w:rPr>
        <w:t xml:space="preserve">xico en 2003, fecha </w:t>
      </w:r>
      <w:r w:rsidR="004621C5" w:rsidRPr="6F621BC2">
        <w:rPr>
          <w:sz w:val="22"/>
          <w:szCs w:val="22"/>
          <w:lang w:val="es-CR"/>
        </w:rPr>
        <w:t xml:space="preserve">y reunión </w:t>
      </w:r>
      <w:r w:rsidR="00036DFD" w:rsidRPr="6F621BC2">
        <w:rPr>
          <w:sz w:val="22"/>
          <w:szCs w:val="22"/>
          <w:lang w:val="es-CR"/>
        </w:rPr>
        <w:t xml:space="preserve">en la que se </w:t>
      </w:r>
      <w:r w:rsidR="006D104E" w:rsidRPr="6F621BC2">
        <w:rPr>
          <w:sz w:val="22"/>
          <w:szCs w:val="22"/>
          <w:lang w:val="es-CR"/>
        </w:rPr>
        <w:t>c</w:t>
      </w:r>
      <w:r w:rsidR="00036DFD" w:rsidRPr="6F621BC2">
        <w:rPr>
          <w:sz w:val="22"/>
          <w:szCs w:val="22"/>
          <w:lang w:val="es-CR"/>
        </w:rPr>
        <w:t>rea la Comisi</w:t>
      </w:r>
      <w:r w:rsidR="406FEAAE" w:rsidRPr="6F621BC2">
        <w:rPr>
          <w:sz w:val="22"/>
          <w:szCs w:val="22"/>
          <w:lang w:val="es-CR"/>
        </w:rPr>
        <w:t>ó</w:t>
      </w:r>
      <w:r w:rsidR="00036DFD" w:rsidRPr="6F621BC2">
        <w:rPr>
          <w:sz w:val="22"/>
          <w:szCs w:val="22"/>
          <w:lang w:val="es-CR"/>
        </w:rPr>
        <w:t>n Interamericana de Educaci</w:t>
      </w:r>
      <w:r w:rsidR="0B580A9F" w:rsidRPr="6F621BC2">
        <w:rPr>
          <w:sz w:val="22"/>
          <w:szCs w:val="22"/>
          <w:lang w:val="es-CR"/>
        </w:rPr>
        <w:t>ó</w:t>
      </w:r>
      <w:r w:rsidR="00036DFD" w:rsidRPr="6F621BC2">
        <w:rPr>
          <w:sz w:val="22"/>
          <w:szCs w:val="22"/>
          <w:lang w:val="es-CR"/>
        </w:rPr>
        <w:t xml:space="preserve">n, rescata el compromiso de los </w:t>
      </w:r>
      <w:r>
        <w:rPr>
          <w:sz w:val="22"/>
          <w:szCs w:val="22"/>
          <w:lang w:val="es-CR"/>
        </w:rPr>
        <w:t>E</w:t>
      </w:r>
      <w:r w:rsidR="00036DFD" w:rsidRPr="6F621BC2">
        <w:rPr>
          <w:sz w:val="22"/>
          <w:szCs w:val="22"/>
          <w:lang w:val="es-CR"/>
        </w:rPr>
        <w:t xml:space="preserve">stados </w:t>
      </w:r>
      <w:r>
        <w:rPr>
          <w:sz w:val="22"/>
          <w:szCs w:val="22"/>
          <w:lang w:val="es-CR"/>
        </w:rPr>
        <w:t>M</w:t>
      </w:r>
      <w:r w:rsidR="00036DFD" w:rsidRPr="6F621BC2">
        <w:rPr>
          <w:sz w:val="22"/>
          <w:szCs w:val="22"/>
          <w:lang w:val="es-CR"/>
        </w:rPr>
        <w:t>iembros en</w:t>
      </w:r>
      <w:r w:rsidR="009A5C2E" w:rsidRPr="6F621BC2">
        <w:rPr>
          <w:sz w:val="22"/>
          <w:szCs w:val="22"/>
          <w:lang w:val="es-CR"/>
        </w:rPr>
        <w:t xml:space="preserve"> </w:t>
      </w:r>
      <w:r w:rsidR="00036DFD" w:rsidRPr="009E2C41">
        <w:rPr>
          <w:b/>
          <w:bCs/>
          <w:sz w:val="22"/>
          <w:szCs w:val="22"/>
          <w:lang w:val="es-CR"/>
        </w:rPr>
        <w:t>hacer los esfuerzos necesarios para ampliar la cobertura en la educación secundaria y media, especialmente en el área técnica, incorporando en ella los elementos necesarios para que se prepare a nuestros jóvenes para la vida, para la ciudadanía, para el mundo laboral; incorporando en este aprendizaje profundos elementos de creatividad, innovación y desarrollo de la capacidad emprendedora; así como la comprensión del funcionamiento de la realidad educativa y económica, la libre empresa, el papel del estado, la sociedad civil y los medios de comunicación; y el desarrollo de habilidades y virtudes para el insertarse en dicha realidad . Todo lo cual debe ser acompañado de un sistema de certificación de los conocimientos y competencias de los estudiantes que finalicen este nivel educativo.</w:t>
      </w:r>
    </w:p>
    <w:p w14:paraId="09132E5A" w14:textId="77777777" w:rsidR="00F2464D" w:rsidRDefault="00F2464D" w:rsidP="009E2C41">
      <w:pPr>
        <w:tabs>
          <w:tab w:val="left" w:pos="720"/>
          <w:tab w:val="left" w:pos="1530"/>
        </w:tabs>
        <w:jc w:val="both"/>
        <w:rPr>
          <w:sz w:val="22"/>
          <w:szCs w:val="22"/>
          <w:lang w:val="es-CR"/>
        </w:rPr>
      </w:pPr>
    </w:p>
    <w:p w14:paraId="08773E73" w14:textId="2F8AFE99" w:rsidR="00F16003" w:rsidRDefault="009E2C41" w:rsidP="009E2C41">
      <w:pPr>
        <w:tabs>
          <w:tab w:val="left" w:pos="720"/>
          <w:tab w:val="left" w:pos="1530"/>
        </w:tabs>
        <w:jc w:val="both"/>
        <w:rPr>
          <w:sz w:val="22"/>
          <w:szCs w:val="22"/>
          <w:lang w:val="es-CR"/>
        </w:rPr>
      </w:pPr>
      <w:r>
        <w:rPr>
          <w:sz w:val="22"/>
          <w:szCs w:val="22"/>
          <w:lang w:val="es-CR"/>
        </w:rPr>
        <w:tab/>
      </w:r>
      <w:r w:rsidR="007C0667">
        <w:rPr>
          <w:sz w:val="22"/>
          <w:szCs w:val="22"/>
          <w:lang w:val="es-CR"/>
        </w:rPr>
        <w:t>Todos estos antecedentes están en sintonía con e</w:t>
      </w:r>
      <w:r w:rsidR="00CC13F4">
        <w:rPr>
          <w:sz w:val="22"/>
          <w:szCs w:val="22"/>
          <w:lang w:val="es-CR"/>
        </w:rPr>
        <w:t>l panorama que brinda un</w:t>
      </w:r>
      <w:r w:rsidR="00CD3A2B" w:rsidRPr="00CD3A2B">
        <w:rPr>
          <w:sz w:val="22"/>
          <w:szCs w:val="22"/>
          <w:lang w:val="es-CR"/>
        </w:rPr>
        <w:t xml:space="preserve"> reciente informe de</w:t>
      </w:r>
      <w:r w:rsidR="00910FAF">
        <w:rPr>
          <w:sz w:val="22"/>
          <w:szCs w:val="22"/>
          <w:lang w:val="es-CR"/>
        </w:rPr>
        <w:t xml:space="preserve">l </w:t>
      </w:r>
      <w:r w:rsidR="00910FAF" w:rsidRPr="005E7F09">
        <w:rPr>
          <w:sz w:val="22"/>
          <w:szCs w:val="22"/>
          <w:lang w:val="es-US"/>
        </w:rPr>
        <w:t>Sistema de Información de Tendencias Educativas en América Latina (SITEAL</w:t>
      </w:r>
      <w:r w:rsidR="004D60B9" w:rsidRPr="005E7F09">
        <w:rPr>
          <w:sz w:val="22"/>
          <w:szCs w:val="22"/>
          <w:lang w:val="es-US"/>
        </w:rPr>
        <w:t>-IIPE UNESCO</w:t>
      </w:r>
      <w:r w:rsidR="005E7F09">
        <w:rPr>
          <w:sz w:val="22"/>
          <w:szCs w:val="22"/>
          <w:lang w:val="es-US"/>
        </w:rPr>
        <w:t>, 2022</w:t>
      </w:r>
      <w:r w:rsidR="00910FAF" w:rsidRPr="005E7F09">
        <w:rPr>
          <w:sz w:val="22"/>
          <w:szCs w:val="22"/>
          <w:lang w:val="es-US"/>
        </w:rPr>
        <w:t>)</w:t>
      </w:r>
      <w:r w:rsidR="00CD3A2B" w:rsidRPr="00CD3A2B">
        <w:rPr>
          <w:sz w:val="22"/>
          <w:szCs w:val="22"/>
          <w:lang w:val="es-CR"/>
        </w:rPr>
        <w:t xml:space="preserve"> </w:t>
      </w:r>
      <w:r w:rsidR="32D64A2D" w:rsidRPr="7FAB3DCB">
        <w:rPr>
          <w:sz w:val="22"/>
          <w:szCs w:val="22"/>
          <w:lang w:val="es-CR"/>
        </w:rPr>
        <w:t xml:space="preserve">que </w:t>
      </w:r>
      <w:r w:rsidR="00CD3A2B" w:rsidRPr="00CD3A2B">
        <w:rPr>
          <w:sz w:val="22"/>
          <w:szCs w:val="22"/>
          <w:lang w:val="es-CR"/>
        </w:rPr>
        <w:t xml:space="preserve">indica que </w:t>
      </w:r>
      <w:r w:rsidR="006E061B">
        <w:rPr>
          <w:sz w:val="22"/>
          <w:szCs w:val="22"/>
          <w:lang w:val="es-CR"/>
        </w:rPr>
        <w:t>si bien l</w:t>
      </w:r>
      <w:r w:rsidR="00CD3A2B" w:rsidRPr="00CD3A2B">
        <w:rPr>
          <w:sz w:val="22"/>
          <w:szCs w:val="22"/>
          <w:lang w:val="es-CR"/>
        </w:rPr>
        <w:t xml:space="preserve">os esfuerzos </w:t>
      </w:r>
      <w:r w:rsidR="006E061B">
        <w:rPr>
          <w:sz w:val="22"/>
          <w:szCs w:val="22"/>
          <w:lang w:val="es-CR"/>
        </w:rPr>
        <w:t>realizados en el sector de</w:t>
      </w:r>
      <w:r w:rsidR="00CD3A2B" w:rsidRPr="00CD3A2B">
        <w:rPr>
          <w:sz w:val="22"/>
          <w:szCs w:val="22"/>
          <w:lang w:val="es-CR"/>
        </w:rPr>
        <w:t xml:space="preserve"> la </w:t>
      </w:r>
      <w:hyperlink r:id="rId16">
        <w:r w:rsidR="00CD3A2B" w:rsidRPr="7FAB3DCB">
          <w:rPr>
            <w:rStyle w:val="Hyperlink"/>
            <w:sz w:val="22"/>
            <w:szCs w:val="22"/>
            <w:lang w:val="es-CR"/>
          </w:rPr>
          <w:t>Educación y Formación Técnica y Profesional</w:t>
        </w:r>
      </w:hyperlink>
      <w:r w:rsidR="00CD3A2B" w:rsidRPr="00CD3A2B">
        <w:rPr>
          <w:sz w:val="22"/>
          <w:szCs w:val="22"/>
          <w:lang w:val="es-CR"/>
        </w:rPr>
        <w:t xml:space="preserve"> (EFTP)</w:t>
      </w:r>
      <w:r w:rsidR="006E061B">
        <w:rPr>
          <w:sz w:val="22"/>
          <w:szCs w:val="22"/>
          <w:lang w:val="es-CR"/>
        </w:rPr>
        <w:t xml:space="preserve">para mejorar </w:t>
      </w:r>
      <w:r w:rsidR="00CD3A2B" w:rsidRPr="00CD3A2B">
        <w:rPr>
          <w:sz w:val="22"/>
          <w:szCs w:val="22"/>
          <w:lang w:val="es-CR"/>
        </w:rPr>
        <w:t>su calidad y pertinencia, garantizar el acceso y avanzar en políticas más inclusivas han sido amplios</w:t>
      </w:r>
      <w:r w:rsidR="24D84DD0" w:rsidRPr="7FAB3DCB">
        <w:rPr>
          <w:sz w:val="22"/>
          <w:szCs w:val="22"/>
          <w:lang w:val="es-CR"/>
        </w:rPr>
        <w:t>,</w:t>
      </w:r>
      <w:r w:rsidR="006E061B">
        <w:rPr>
          <w:sz w:val="22"/>
          <w:szCs w:val="22"/>
          <w:lang w:val="es-CR"/>
        </w:rPr>
        <w:t xml:space="preserve"> aún existen numerosos desafíos teniendo en cuenta los contantes cambio</w:t>
      </w:r>
      <w:r w:rsidR="006828E3">
        <w:rPr>
          <w:sz w:val="22"/>
          <w:szCs w:val="22"/>
          <w:lang w:val="es-CR"/>
        </w:rPr>
        <w:t>s</w:t>
      </w:r>
      <w:r w:rsidR="006E061B">
        <w:rPr>
          <w:sz w:val="22"/>
          <w:szCs w:val="22"/>
          <w:lang w:val="es-CR"/>
        </w:rPr>
        <w:t xml:space="preserve"> que enfrentan los sistemas educativos en la región</w:t>
      </w:r>
      <w:r w:rsidR="00CD3A2B" w:rsidRPr="00CD3A2B">
        <w:rPr>
          <w:sz w:val="22"/>
          <w:szCs w:val="22"/>
          <w:lang w:val="es-CR"/>
        </w:rPr>
        <w:t xml:space="preserve">. </w:t>
      </w:r>
      <w:r w:rsidR="002B06EF">
        <w:rPr>
          <w:sz w:val="22"/>
          <w:szCs w:val="22"/>
          <w:lang w:val="es-CR"/>
        </w:rPr>
        <w:t xml:space="preserve">Las áreas </w:t>
      </w:r>
      <w:r w:rsidR="00910E1B">
        <w:rPr>
          <w:sz w:val="22"/>
          <w:szCs w:val="22"/>
          <w:lang w:val="es-CR"/>
        </w:rPr>
        <w:t xml:space="preserve">identificadas en términos de intervenciones para el mejoramiento de políticas </w:t>
      </w:r>
      <w:r w:rsidR="00A9093D">
        <w:rPr>
          <w:sz w:val="22"/>
          <w:szCs w:val="22"/>
          <w:lang w:val="es-CR"/>
        </w:rPr>
        <w:t>públicas</w:t>
      </w:r>
      <w:r w:rsidR="00910E1B">
        <w:rPr>
          <w:sz w:val="22"/>
          <w:szCs w:val="22"/>
          <w:lang w:val="es-CR"/>
        </w:rPr>
        <w:t xml:space="preserve"> y </w:t>
      </w:r>
      <w:r w:rsidR="007C0667">
        <w:rPr>
          <w:sz w:val="22"/>
          <w:szCs w:val="22"/>
          <w:lang w:val="es-CR"/>
        </w:rPr>
        <w:t>programas son</w:t>
      </w:r>
      <w:r w:rsidR="002B06EF">
        <w:rPr>
          <w:sz w:val="22"/>
          <w:szCs w:val="22"/>
          <w:lang w:val="es-CR"/>
        </w:rPr>
        <w:t xml:space="preserve"> las siguientes</w:t>
      </w:r>
      <w:r w:rsidR="00A9093D">
        <w:rPr>
          <w:sz w:val="22"/>
          <w:szCs w:val="22"/>
          <w:lang w:val="es-CR"/>
        </w:rPr>
        <w:t xml:space="preserve">: </w:t>
      </w:r>
      <w:r w:rsidR="00CD3A2B" w:rsidRPr="00CD3A2B">
        <w:rPr>
          <w:sz w:val="22"/>
          <w:szCs w:val="22"/>
          <w:lang w:val="es-CR"/>
        </w:rPr>
        <w:t>el fortalecimiento de itinerarios formativos, el acceso, las oportunidades laborales, el fortalecimiento de la calidad, los avances en torno a inclusión y género, y las estrategias desplegadas durante la pandemia.</w:t>
      </w:r>
    </w:p>
    <w:p w14:paraId="01588884" w14:textId="77777777" w:rsidR="00F16003" w:rsidRDefault="00F16003" w:rsidP="009E2C41">
      <w:pPr>
        <w:tabs>
          <w:tab w:val="left" w:pos="720"/>
          <w:tab w:val="left" w:pos="1530"/>
        </w:tabs>
        <w:jc w:val="both"/>
        <w:rPr>
          <w:color w:val="000000" w:themeColor="text1"/>
          <w:sz w:val="22"/>
          <w:szCs w:val="22"/>
          <w:lang w:val="es"/>
        </w:rPr>
      </w:pPr>
    </w:p>
    <w:p w14:paraId="314B0FE1" w14:textId="37DDF5F9" w:rsidR="00A922C2" w:rsidRPr="005F5B32" w:rsidRDefault="009E2C41" w:rsidP="009E2C41">
      <w:pPr>
        <w:tabs>
          <w:tab w:val="left" w:pos="720"/>
          <w:tab w:val="left" w:pos="1530"/>
        </w:tabs>
        <w:jc w:val="both"/>
        <w:rPr>
          <w:rFonts w:eastAsia="MS Mincho"/>
          <w:sz w:val="22"/>
          <w:szCs w:val="22"/>
          <w:lang w:val="es-US"/>
        </w:rPr>
      </w:pPr>
      <w:r>
        <w:rPr>
          <w:color w:val="000000" w:themeColor="text1"/>
          <w:sz w:val="22"/>
          <w:szCs w:val="22"/>
          <w:lang w:val="es"/>
        </w:rPr>
        <w:tab/>
      </w:r>
      <w:r w:rsidR="000B7DB2" w:rsidRPr="00B1736D">
        <w:rPr>
          <w:color w:val="000000" w:themeColor="text1"/>
          <w:sz w:val="22"/>
          <w:szCs w:val="22"/>
          <w:lang w:val="es"/>
        </w:rPr>
        <w:t>Las autoridades electas de la CIE para el período 2021-2024, asumieron el compromiso de hacer un trabajo colaborativo con todos los países, procurando el acuerdo y la concertación y reuniendo las experiencias y aprendizajes de cada uno para recuperarlas, sistematizarlas, compartirlas y ponerlas a disposición de todos</w:t>
      </w:r>
      <w:r w:rsidR="10D44A9F" w:rsidRPr="7FAB3DCB">
        <w:rPr>
          <w:color w:val="000000" w:themeColor="text1"/>
          <w:sz w:val="22"/>
          <w:szCs w:val="22"/>
          <w:lang w:val="es"/>
        </w:rPr>
        <w:t xml:space="preserve">. </w:t>
      </w:r>
      <w:r w:rsidR="453CFBC9" w:rsidRPr="7FAB3DCB">
        <w:rPr>
          <w:color w:val="000000" w:themeColor="text1"/>
          <w:sz w:val="22"/>
          <w:szCs w:val="22"/>
          <w:lang w:val="es"/>
        </w:rPr>
        <w:t>A</w:t>
      </w:r>
      <w:r w:rsidR="0078394E" w:rsidRPr="00B1736D">
        <w:rPr>
          <w:color w:val="000000" w:themeColor="text1"/>
          <w:sz w:val="22"/>
          <w:szCs w:val="22"/>
          <w:lang w:val="es"/>
        </w:rPr>
        <w:t xml:space="preserve"> partir </w:t>
      </w:r>
      <w:r w:rsidR="000B7DB2" w:rsidRPr="00B1736D">
        <w:rPr>
          <w:color w:val="000000" w:themeColor="text1"/>
          <w:sz w:val="22"/>
          <w:szCs w:val="22"/>
          <w:lang w:val="es"/>
        </w:rPr>
        <w:t>de la Novena Reunión Ordinaria, las autoridades de la CIE definieron</w:t>
      </w:r>
      <w:r w:rsidR="006828E3" w:rsidRPr="006828E3">
        <w:rPr>
          <w:color w:val="000000" w:themeColor="text1"/>
          <w:sz w:val="22"/>
          <w:szCs w:val="22"/>
          <w:lang w:val="es"/>
        </w:rPr>
        <w:t xml:space="preserve"> a la agenda intersectorial</w:t>
      </w:r>
      <w:r w:rsidR="00F20ECE">
        <w:rPr>
          <w:color w:val="000000" w:themeColor="text1"/>
          <w:sz w:val="22"/>
          <w:szCs w:val="22"/>
          <w:lang w:val="es"/>
        </w:rPr>
        <w:t>,</w:t>
      </w:r>
      <w:r w:rsidR="006828E3" w:rsidRPr="006828E3">
        <w:rPr>
          <w:color w:val="000000" w:themeColor="text1"/>
          <w:sz w:val="22"/>
          <w:szCs w:val="22"/>
          <w:lang w:val="es"/>
        </w:rPr>
        <w:t xml:space="preserve"> como uno de los ejes esenciales que deben guiar la AE</w:t>
      </w:r>
      <w:r w:rsidR="00F20ECE">
        <w:rPr>
          <w:color w:val="000000" w:themeColor="text1"/>
          <w:sz w:val="22"/>
          <w:szCs w:val="22"/>
          <w:lang w:val="es"/>
        </w:rPr>
        <w:t>I</w:t>
      </w:r>
      <w:r w:rsidR="003E0A5E" w:rsidRPr="00B1736D">
        <w:rPr>
          <w:color w:val="000000" w:themeColor="text1"/>
          <w:sz w:val="22"/>
          <w:szCs w:val="22"/>
          <w:lang w:val="es"/>
        </w:rPr>
        <w:t xml:space="preserve">. De esta </w:t>
      </w:r>
      <w:r w:rsidR="0078394E" w:rsidRPr="00B1736D">
        <w:rPr>
          <w:color w:val="000000" w:themeColor="text1"/>
          <w:sz w:val="22"/>
          <w:szCs w:val="22"/>
          <w:lang w:val="es"/>
        </w:rPr>
        <w:t>forma expresaron</w:t>
      </w:r>
      <w:r w:rsidR="000B7DB2" w:rsidRPr="00B1736D">
        <w:rPr>
          <w:color w:val="000000" w:themeColor="text1"/>
          <w:sz w:val="22"/>
          <w:szCs w:val="22"/>
          <w:lang w:val="es"/>
        </w:rPr>
        <w:t xml:space="preserve"> su intención de desarrollar un plan de trabajo centrado en promover espacios de discusión y acompañamiento en temas como la reactivación del sector educativo postpandemia,</w:t>
      </w:r>
      <w:r w:rsidR="0005467F">
        <w:rPr>
          <w:color w:val="000000" w:themeColor="text1"/>
          <w:sz w:val="22"/>
          <w:szCs w:val="22"/>
          <w:lang w:val="es"/>
        </w:rPr>
        <w:t xml:space="preserve"> y </w:t>
      </w:r>
      <w:r w:rsidR="009F278A" w:rsidRPr="009F278A">
        <w:rPr>
          <w:color w:val="000000" w:themeColor="text1"/>
          <w:sz w:val="22"/>
          <w:szCs w:val="22"/>
          <w:lang w:val="es"/>
        </w:rPr>
        <w:t>la importancia de fortalecer un enfoque integral y sostenible a la promoción de estilos de vida saludables, asegurando la inclusión y la equidad para todos y la importancia de políticas públicas, marcos legales, reglamentos y directrices integrales y multidimensionales</w:t>
      </w:r>
      <w:r w:rsidR="0005467F">
        <w:rPr>
          <w:color w:val="000000" w:themeColor="text1"/>
          <w:sz w:val="22"/>
          <w:szCs w:val="22"/>
          <w:lang w:val="es"/>
        </w:rPr>
        <w:t>.</w:t>
      </w:r>
    </w:p>
    <w:p w14:paraId="6BAB2739" w14:textId="77777777" w:rsidR="000B7DB2" w:rsidRPr="0085480A" w:rsidRDefault="000B7DB2" w:rsidP="009E2C41">
      <w:pPr>
        <w:tabs>
          <w:tab w:val="left" w:pos="720"/>
          <w:tab w:val="left" w:pos="1530"/>
        </w:tabs>
        <w:jc w:val="both"/>
        <w:rPr>
          <w:rFonts w:eastAsia="MS Mincho"/>
          <w:sz w:val="22"/>
          <w:szCs w:val="22"/>
          <w:lang w:val="es-CO"/>
        </w:rPr>
      </w:pPr>
    </w:p>
    <w:p w14:paraId="221BC3DC" w14:textId="7A15B67C" w:rsidR="000B7DB2" w:rsidRDefault="000B7DB2" w:rsidP="009E2C41">
      <w:pPr>
        <w:jc w:val="both"/>
        <w:rPr>
          <w:b/>
          <w:bCs/>
          <w:sz w:val="22"/>
          <w:szCs w:val="22"/>
          <w:lang w:val="es"/>
        </w:rPr>
      </w:pPr>
      <w:r w:rsidRPr="0085480A">
        <w:rPr>
          <w:b/>
          <w:bCs/>
          <w:sz w:val="22"/>
          <w:szCs w:val="22"/>
          <w:lang w:val="es"/>
        </w:rPr>
        <w:t xml:space="preserve">El Programa </w:t>
      </w:r>
      <w:r w:rsidR="00AF64D3">
        <w:rPr>
          <w:b/>
          <w:bCs/>
          <w:sz w:val="22"/>
          <w:szCs w:val="22"/>
          <w:lang w:val="es"/>
        </w:rPr>
        <w:t>Hemisférico</w:t>
      </w:r>
      <w:r w:rsidR="00875ACF" w:rsidRPr="0088702D">
        <w:rPr>
          <w:b/>
          <w:bCs/>
          <w:sz w:val="22"/>
          <w:szCs w:val="22"/>
          <w:lang w:val="es-CO"/>
        </w:rPr>
        <w:t xml:space="preserve"> para el desarrollo de habilidades bajo contextos de cambio. Un abordaje intersectorial sobre las habilidades del futuro y la formación para el trabajo</w:t>
      </w:r>
      <w:r w:rsidRPr="0085480A">
        <w:rPr>
          <w:b/>
          <w:bCs/>
          <w:sz w:val="22"/>
          <w:szCs w:val="22"/>
          <w:lang w:val="es"/>
        </w:rPr>
        <w:t>: meta y objetivos</w:t>
      </w:r>
    </w:p>
    <w:p w14:paraId="0F72593A" w14:textId="77777777" w:rsidR="00875ACF" w:rsidRPr="0085480A" w:rsidRDefault="00875ACF" w:rsidP="009E2C41">
      <w:pPr>
        <w:jc w:val="both"/>
        <w:rPr>
          <w:rFonts w:eastAsia="Calibri"/>
          <w:color w:val="000000" w:themeColor="text1"/>
          <w:sz w:val="22"/>
          <w:szCs w:val="22"/>
          <w:lang w:val="es-ES"/>
        </w:rPr>
      </w:pPr>
    </w:p>
    <w:p w14:paraId="5F17AB9A" w14:textId="77777777" w:rsidR="00B1736D" w:rsidRDefault="000B7DB2" w:rsidP="009E2C41">
      <w:pPr>
        <w:ind w:firstLine="720"/>
        <w:jc w:val="both"/>
        <w:rPr>
          <w:color w:val="000000" w:themeColor="text1"/>
          <w:sz w:val="22"/>
          <w:szCs w:val="22"/>
          <w:lang w:val="es"/>
        </w:rPr>
      </w:pPr>
      <w:r w:rsidRPr="003E0B23">
        <w:rPr>
          <w:color w:val="000000" w:themeColor="text1"/>
          <w:sz w:val="22"/>
          <w:szCs w:val="22"/>
          <w:lang w:val="es"/>
        </w:rPr>
        <w:t xml:space="preserve">En los diferentes diálogos sobre políticas públicas y acciones programáticas que se desarrollaron en el marco de las Actividades del Plan de Trabajo 2019-2022 de la Comisión Interamericana de Educación (CIE) y en medio de un panorama de crisis sanitaria mundial que implicó el cierre masivo de centros educativos, las autoridades educativas manifestaron el compromiso de que la educación es un derecho y como tal un compromiso ineludible del Estado. </w:t>
      </w:r>
    </w:p>
    <w:p w14:paraId="0950721C" w14:textId="77777777" w:rsidR="00B1736D" w:rsidRDefault="00B1736D" w:rsidP="009E2C41">
      <w:pPr>
        <w:jc w:val="both"/>
        <w:rPr>
          <w:color w:val="000000" w:themeColor="text1"/>
          <w:sz w:val="22"/>
          <w:szCs w:val="22"/>
          <w:lang w:val="es"/>
        </w:rPr>
      </w:pPr>
    </w:p>
    <w:p w14:paraId="367A6F61" w14:textId="7C9B3AC8" w:rsidR="00B1736D" w:rsidRDefault="00B1736D" w:rsidP="009E2C41">
      <w:pPr>
        <w:ind w:firstLine="720"/>
        <w:jc w:val="both"/>
        <w:rPr>
          <w:color w:val="000000" w:themeColor="text1"/>
          <w:sz w:val="22"/>
          <w:szCs w:val="22"/>
          <w:lang w:val="es"/>
        </w:rPr>
      </w:pPr>
      <w:r>
        <w:rPr>
          <w:color w:val="000000" w:themeColor="text1"/>
          <w:sz w:val="22"/>
          <w:szCs w:val="22"/>
          <w:lang w:val="es"/>
        </w:rPr>
        <w:t>En este sentido</w:t>
      </w:r>
      <w:r w:rsidR="67D1FE98" w:rsidRPr="7FAB3DCB">
        <w:rPr>
          <w:color w:val="000000" w:themeColor="text1"/>
          <w:sz w:val="22"/>
          <w:szCs w:val="22"/>
          <w:lang w:val="es"/>
        </w:rPr>
        <w:t>,</w:t>
      </w:r>
      <w:r>
        <w:rPr>
          <w:color w:val="000000" w:themeColor="text1"/>
          <w:sz w:val="22"/>
          <w:szCs w:val="22"/>
          <w:lang w:val="es"/>
        </w:rPr>
        <w:t xml:space="preserve"> este Programa </w:t>
      </w:r>
      <w:r w:rsidR="00EC2E1F">
        <w:rPr>
          <w:color w:val="000000" w:themeColor="text1"/>
          <w:sz w:val="22"/>
          <w:szCs w:val="22"/>
          <w:lang w:val="es"/>
        </w:rPr>
        <w:t>Hemisférico</w:t>
      </w:r>
      <w:r>
        <w:rPr>
          <w:color w:val="000000" w:themeColor="text1"/>
          <w:sz w:val="22"/>
          <w:szCs w:val="22"/>
          <w:lang w:val="es"/>
        </w:rPr>
        <w:t xml:space="preserve"> propone d</w:t>
      </w:r>
      <w:r w:rsidRPr="00B1736D">
        <w:rPr>
          <w:color w:val="000000" w:themeColor="text1"/>
          <w:sz w:val="22"/>
          <w:szCs w:val="22"/>
          <w:lang w:val="es"/>
        </w:rPr>
        <w:t>esarrollar capital humano en habilidades y conocimientos claves que les permitan participar activamente en el desarrollo integral de los países, a través de su inserción en una vida productiva y digna que a su vez contribuya a la construcción de sociedades más democráticas, inclusivas y justas. Profundizar la colaboración con la Conferencia Interamericana de Ministros de Trabajo (CIMT) fortaleciendo la interacción y articulación en la formación para el trabajo mediante políticas públicas activas en temáticas prioritarias como el aprendizaje para la vida, capacitación técnica y vocacional, marcos de cualificación profesional, especialmente para quienes se encuentran en situaciones de mayor vulnerabilidad, como las mujeres, los jóvenes, las personas en condición de discapacidad, migrantes, indígenas y aquellos que involuntariamente no estudian ni trabajan.</w:t>
      </w:r>
    </w:p>
    <w:p w14:paraId="0013AB94" w14:textId="77777777" w:rsidR="00B1736D" w:rsidRDefault="00B1736D" w:rsidP="009E2C41">
      <w:pPr>
        <w:jc w:val="both"/>
        <w:rPr>
          <w:color w:val="000000" w:themeColor="text1"/>
          <w:sz w:val="22"/>
          <w:szCs w:val="22"/>
          <w:lang w:val="es"/>
        </w:rPr>
      </w:pPr>
    </w:p>
    <w:p w14:paraId="2967D0AD" w14:textId="120FB807" w:rsidR="000B7DB2" w:rsidRDefault="000B7DB2" w:rsidP="009E2C41">
      <w:pPr>
        <w:ind w:firstLine="720"/>
        <w:jc w:val="both"/>
        <w:rPr>
          <w:sz w:val="22"/>
          <w:szCs w:val="22"/>
          <w:lang w:val="es"/>
        </w:rPr>
      </w:pPr>
      <w:r w:rsidRPr="0085480A">
        <w:rPr>
          <w:sz w:val="22"/>
          <w:szCs w:val="22"/>
          <w:lang w:val="es"/>
        </w:rPr>
        <w:t xml:space="preserve">Siguiendo la línea de trabajo establecida en su metodología </w:t>
      </w:r>
      <w:r w:rsidR="003E0B23">
        <w:rPr>
          <w:sz w:val="22"/>
          <w:szCs w:val="22"/>
          <w:lang w:val="es"/>
        </w:rPr>
        <w:t xml:space="preserve">de trabajo </w:t>
      </w:r>
      <w:r w:rsidRPr="0085480A">
        <w:rPr>
          <w:sz w:val="22"/>
          <w:szCs w:val="22"/>
          <w:lang w:val="es"/>
        </w:rPr>
        <w:t xml:space="preserve">por </w:t>
      </w:r>
      <w:r w:rsidR="003E0B23">
        <w:rPr>
          <w:sz w:val="22"/>
          <w:szCs w:val="22"/>
          <w:lang w:val="es"/>
        </w:rPr>
        <w:t xml:space="preserve">parte de </w:t>
      </w:r>
      <w:r w:rsidRPr="0085480A">
        <w:rPr>
          <w:sz w:val="22"/>
          <w:szCs w:val="22"/>
          <w:lang w:val="es"/>
        </w:rPr>
        <w:t>las autoridades de la CIE y construyendo sobre la base de los contextos actuales, los resultados logrados y las lecciones aprendidas se proponen:</w:t>
      </w:r>
    </w:p>
    <w:p w14:paraId="07833788" w14:textId="77777777" w:rsidR="003E0B23" w:rsidRPr="003E0B23" w:rsidRDefault="003E0B23" w:rsidP="009E2C41">
      <w:pPr>
        <w:jc w:val="both"/>
        <w:rPr>
          <w:color w:val="000000" w:themeColor="text1"/>
          <w:sz w:val="22"/>
          <w:szCs w:val="22"/>
          <w:lang w:val="es"/>
        </w:rPr>
      </w:pPr>
    </w:p>
    <w:p w14:paraId="7F23361D" w14:textId="77777777" w:rsidR="00612C61" w:rsidRPr="00612C61" w:rsidRDefault="00612C61" w:rsidP="009E2C41">
      <w:pPr>
        <w:pStyle w:val="ListParagraph"/>
        <w:numPr>
          <w:ilvl w:val="0"/>
          <w:numId w:val="12"/>
        </w:numPr>
        <w:ind w:left="1440" w:hanging="720"/>
        <w:jc w:val="both"/>
        <w:rPr>
          <w:color w:val="000000" w:themeColor="text1"/>
          <w:sz w:val="22"/>
          <w:szCs w:val="22"/>
          <w:lang w:val="es"/>
        </w:rPr>
      </w:pPr>
      <w:r w:rsidRPr="00612C61">
        <w:rPr>
          <w:color w:val="000000" w:themeColor="text1"/>
          <w:sz w:val="22"/>
          <w:szCs w:val="22"/>
          <w:lang w:val="es"/>
        </w:rPr>
        <w:t>Crear un espacio donde los países puedan intercambiar iniciativas exitosas para ayudar a avanzar en el marco de acción y las políticas públicas fomentando y dando apoyo en el diseño e implementación de políticas públicas postpandemia.</w:t>
      </w:r>
    </w:p>
    <w:p w14:paraId="0D43D730" w14:textId="77777777" w:rsidR="000B7DB2" w:rsidRPr="0085480A" w:rsidRDefault="000B7DB2" w:rsidP="009E2C41">
      <w:pPr>
        <w:pStyle w:val="ListParagraph"/>
        <w:ind w:left="1440" w:hanging="720"/>
        <w:jc w:val="both"/>
        <w:rPr>
          <w:color w:val="000000" w:themeColor="text1"/>
          <w:sz w:val="22"/>
          <w:szCs w:val="22"/>
          <w:lang w:val="es"/>
        </w:rPr>
      </w:pPr>
    </w:p>
    <w:p w14:paraId="64E58313" w14:textId="77777777" w:rsidR="004211FB" w:rsidRDefault="000B7DB2" w:rsidP="009E2C41">
      <w:pPr>
        <w:pStyle w:val="ListParagraph"/>
        <w:numPr>
          <w:ilvl w:val="0"/>
          <w:numId w:val="12"/>
        </w:numPr>
        <w:ind w:left="1440" w:hanging="720"/>
        <w:jc w:val="both"/>
        <w:rPr>
          <w:color w:val="000000" w:themeColor="text1"/>
          <w:sz w:val="22"/>
          <w:szCs w:val="22"/>
          <w:lang w:val="es"/>
        </w:rPr>
      </w:pPr>
      <w:r w:rsidRPr="0085480A">
        <w:rPr>
          <w:color w:val="000000" w:themeColor="text1"/>
          <w:sz w:val="22"/>
          <w:szCs w:val="22"/>
          <w:lang w:val="es"/>
        </w:rPr>
        <w:t xml:space="preserve">Apoyar los mecanismos de transformación que los sistemas educativos necesitan para afrontar las brechas de desigualdad que se han acrecentado en los últimos años a través de cooperación técnica y desarrollo de capacidades. </w:t>
      </w:r>
    </w:p>
    <w:p w14:paraId="53E24B9D" w14:textId="77777777" w:rsidR="004211FB" w:rsidRPr="004211FB" w:rsidRDefault="004211FB" w:rsidP="009E2C41">
      <w:pPr>
        <w:pStyle w:val="ListParagraph"/>
        <w:ind w:left="1440" w:hanging="720"/>
        <w:rPr>
          <w:color w:val="000000" w:themeColor="text1"/>
          <w:sz w:val="22"/>
          <w:szCs w:val="22"/>
          <w:lang w:val="es"/>
        </w:rPr>
      </w:pPr>
    </w:p>
    <w:p w14:paraId="311F273B" w14:textId="5022DF83" w:rsidR="004211FB" w:rsidRPr="004211FB" w:rsidRDefault="004211FB" w:rsidP="009E2C41">
      <w:pPr>
        <w:pStyle w:val="ListParagraph"/>
        <w:numPr>
          <w:ilvl w:val="0"/>
          <w:numId w:val="12"/>
        </w:numPr>
        <w:ind w:left="1440" w:hanging="720"/>
        <w:jc w:val="both"/>
        <w:rPr>
          <w:color w:val="000000" w:themeColor="text1"/>
          <w:sz w:val="22"/>
          <w:szCs w:val="22"/>
          <w:lang w:val="es"/>
        </w:rPr>
      </w:pPr>
      <w:r w:rsidRPr="004211FB">
        <w:rPr>
          <w:color w:val="000000" w:themeColor="text1"/>
          <w:sz w:val="22"/>
          <w:szCs w:val="22"/>
          <w:lang w:val="es"/>
        </w:rPr>
        <w:t xml:space="preserve">Generar los insumos necesarios para la toma de decisiones de política pública y acción programática a través de una línea de investigación sobre temáticas claves. </w:t>
      </w:r>
    </w:p>
    <w:p w14:paraId="74E1AE1E" w14:textId="77777777" w:rsidR="001B2672" w:rsidRPr="0085480A" w:rsidRDefault="001B2672" w:rsidP="009E2C41">
      <w:pPr>
        <w:tabs>
          <w:tab w:val="left" w:pos="720"/>
          <w:tab w:val="left" w:pos="1530"/>
        </w:tabs>
        <w:jc w:val="both"/>
        <w:rPr>
          <w:rFonts w:eastAsia="MS Mincho"/>
          <w:b/>
          <w:bCs/>
          <w:sz w:val="22"/>
          <w:szCs w:val="22"/>
          <w:lang w:val="es-CO"/>
        </w:rPr>
      </w:pPr>
    </w:p>
    <w:p w14:paraId="0E980F3E" w14:textId="723ED064" w:rsidR="00876B15" w:rsidRDefault="000B7DB2" w:rsidP="009E2C41">
      <w:pPr>
        <w:jc w:val="both"/>
        <w:rPr>
          <w:rFonts w:eastAsia="MS Mincho"/>
          <w:b/>
          <w:bCs/>
          <w:sz w:val="22"/>
          <w:szCs w:val="22"/>
          <w:lang w:val="es-CO"/>
        </w:rPr>
      </w:pPr>
      <w:r w:rsidRPr="6F621BC2">
        <w:rPr>
          <w:rFonts w:eastAsia="MS Mincho"/>
          <w:b/>
          <w:bCs/>
          <w:sz w:val="22"/>
          <w:szCs w:val="22"/>
          <w:lang w:val="es-CO"/>
        </w:rPr>
        <w:t>Resultado esperado</w:t>
      </w:r>
      <w:r w:rsidRPr="6F621BC2">
        <w:rPr>
          <w:rFonts w:eastAsia="MS Mincho"/>
          <w:sz w:val="22"/>
          <w:szCs w:val="22"/>
          <w:lang w:val="es-CO"/>
        </w:rPr>
        <w:t xml:space="preserve">: </w:t>
      </w:r>
      <w:r w:rsidR="00876B15" w:rsidRPr="6F621BC2">
        <w:rPr>
          <w:rFonts w:eastAsia="MS Mincho"/>
          <w:b/>
          <w:bCs/>
          <w:sz w:val="22"/>
          <w:szCs w:val="22"/>
          <w:lang w:val="es-CO"/>
        </w:rPr>
        <w:t>Lineamientos Regionales sobre</w:t>
      </w:r>
      <w:r w:rsidR="00876B15" w:rsidRPr="6F621BC2">
        <w:rPr>
          <w:lang w:val="es-ES"/>
        </w:rPr>
        <w:t xml:space="preserve"> </w:t>
      </w:r>
      <w:r w:rsidR="00876B15" w:rsidRPr="6F621BC2">
        <w:rPr>
          <w:rFonts w:eastAsia="MS Mincho"/>
          <w:b/>
          <w:bCs/>
          <w:sz w:val="22"/>
          <w:szCs w:val="22"/>
          <w:lang w:val="es-CO"/>
        </w:rPr>
        <w:t>sobre políticas y programa</w:t>
      </w:r>
      <w:r w:rsidR="00C3DB60" w:rsidRPr="6F621BC2">
        <w:rPr>
          <w:rFonts w:eastAsia="MS Mincho"/>
          <w:b/>
          <w:bCs/>
          <w:sz w:val="22"/>
          <w:szCs w:val="22"/>
          <w:lang w:val="es-CO"/>
        </w:rPr>
        <w:t>s</w:t>
      </w:r>
      <w:r w:rsidR="00876B15" w:rsidRPr="6F621BC2">
        <w:rPr>
          <w:rFonts w:eastAsia="MS Mincho"/>
          <w:b/>
          <w:bCs/>
          <w:sz w:val="22"/>
          <w:szCs w:val="22"/>
          <w:lang w:val="es-CO"/>
        </w:rPr>
        <w:t xml:space="preserve"> de formación a lo largo de toda la vida en contextos de cambio desde una perspectiva multidimensionalidad e intersectorial entre educación y trabajo</w:t>
      </w:r>
      <w:r w:rsidR="006111A3">
        <w:rPr>
          <w:rFonts w:eastAsia="MS Mincho"/>
          <w:b/>
          <w:bCs/>
          <w:sz w:val="22"/>
          <w:szCs w:val="22"/>
          <w:lang w:val="es-CO"/>
        </w:rPr>
        <w:t>.</w:t>
      </w:r>
    </w:p>
    <w:p w14:paraId="5AC9AF18" w14:textId="77777777" w:rsidR="00C45F53" w:rsidRPr="00876B15" w:rsidRDefault="00C45F53" w:rsidP="009E2C41">
      <w:pPr>
        <w:jc w:val="both"/>
        <w:rPr>
          <w:b/>
          <w:lang w:val="es-UY"/>
        </w:rPr>
      </w:pPr>
    </w:p>
    <w:p w14:paraId="56B345FD" w14:textId="274AD61C" w:rsidR="00C83AEC" w:rsidRPr="00C83AEC" w:rsidRDefault="00C83AEC" w:rsidP="009E2C41">
      <w:pPr>
        <w:ind w:firstLine="720"/>
        <w:jc w:val="both"/>
        <w:rPr>
          <w:sz w:val="22"/>
          <w:szCs w:val="22"/>
          <w:lang w:val="es"/>
        </w:rPr>
      </w:pPr>
      <w:r w:rsidRPr="00C83AEC">
        <w:rPr>
          <w:sz w:val="22"/>
          <w:szCs w:val="22"/>
          <w:lang w:val="es"/>
        </w:rPr>
        <w:t xml:space="preserve">La vinculación entre educación y trabajo es un tema prioritario para la región y ha generado una discusión constante al interior de sus políticas de educación, empleo, desarrollo y productividad. </w:t>
      </w:r>
      <w:r>
        <w:rPr>
          <w:sz w:val="22"/>
          <w:szCs w:val="22"/>
          <w:lang w:val="es"/>
        </w:rPr>
        <w:t xml:space="preserve"> </w:t>
      </w:r>
      <w:r w:rsidRPr="00C83AEC">
        <w:rPr>
          <w:sz w:val="22"/>
          <w:szCs w:val="22"/>
          <w:lang w:val="es"/>
        </w:rPr>
        <w:t>La educación es un proceso fundamental para desarrollar capital humano, formando a niños, niñas, adolescentes y jóvenes en habilidades y conocimientos claves que les permitan participar activamente en el desarrollo integral de sus países, a través de su inserción en una vida productiva y digna que a su vez contribuya a la construcción de sociedades más democráticas, inclusivas y socialmente justas.</w:t>
      </w:r>
    </w:p>
    <w:p w14:paraId="3690E2E9" w14:textId="77777777" w:rsidR="00C83AEC" w:rsidRPr="00C83AEC" w:rsidRDefault="00C83AEC" w:rsidP="009E2C41">
      <w:pPr>
        <w:jc w:val="both"/>
        <w:rPr>
          <w:sz w:val="22"/>
          <w:szCs w:val="22"/>
          <w:lang w:val="es"/>
        </w:rPr>
      </w:pPr>
    </w:p>
    <w:p w14:paraId="6BF77A72" w14:textId="7E508FD6" w:rsidR="00C83AEC" w:rsidRDefault="00C83AEC" w:rsidP="009E2C41">
      <w:pPr>
        <w:ind w:firstLine="720"/>
        <w:jc w:val="both"/>
        <w:rPr>
          <w:sz w:val="22"/>
          <w:szCs w:val="22"/>
          <w:lang w:val="es"/>
        </w:rPr>
      </w:pPr>
      <w:r w:rsidRPr="00C83AEC">
        <w:rPr>
          <w:sz w:val="22"/>
          <w:szCs w:val="22"/>
          <w:lang w:val="es"/>
        </w:rPr>
        <w:t>El trabajo, por su parte, es un medio de realización personal y contribución social que permite a los individuos el desarrollo de sus capacidades adquiridas y aprendidas a lo largo de la vida. Tanto en las Américas como en otras regiones, la calidad del trabajo y la probabilidad de que sea digno, productivo, protegido y bien remunerado depende en gran medida del nivel y la calidad de la educación.</w:t>
      </w:r>
    </w:p>
    <w:p w14:paraId="6B9C9536" w14:textId="77777777" w:rsidR="00C83AEC" w:rsidRPr="00C83AEC" w:rsidRDefault="00C83AEC" w:rsidP="009E2C41">
      <w:pPr>
        <w:jc w:val="both"/>
        <w:rPr>
          <w:sz w:val="22"/>
          <w:szCs w:val="22"/>
          <w:lang w:val="es-US"/>
        </w:rPr>
      </w:pPr>
    </w:p>
    <w:p w14:paraId="1CE830C3" w14:textId="5942E1F8" w:rsidR="00C45F53" w:rsidRPr="00C83AEC" w:rsidRDefault="00C45F53" w:rsidP="009E2C41">
      <w:pPr>
        <w:ind w:firstLine="720"/>
        <w:jc w:val="both"/>
        <w:rPr>
          <w:sz w:val="22"/>
          <w:szCs w:val="22"/>
          <w:lang w:val="es"/>
        </w:rPr>
      </w:pPr>
      <w:r w:rsidRPr="00C45F53">
        <w:rPr>
          <w:sz w:val="22"/>
          <w:szCs w:val="22"/>
          <w:lang w:val="es"/>
        </w:rPr>
        <w:t xml:space="preserve">Desde 2019 se han mantenido conversaciones productivas y llamados a la acción a partir de la colaboración intersectorial entre Educación, Trabajo y Salud en temas como habilidades para el futuro y el marco regional de cualificaciones (en el caso del sector trabajo); y ambientes escolares saludables y habilidades para una vida sana (en el caso del sector salud).Para el periodo 2022-2027 de la AEI, las </w:t>
      </w:r>
      <w:r w:rsidRPr="00C83AEC">
        <w:rPr>
          <w:sz w:val="22"/>
          <w:szCs w:val="22"/>
          <w:lang w:val="es"/>
        </w:rPr>
        <w:t>autoridades electas de la CIE consideraron relevante incorporar a la agenda intersectorial las siguientes líneas temáticas:</w:t>
      </w:r>
    </w:p>
    <w:p w14:paraId="5D048776" w14:textId="68DFA18E" w:rsidR="00C45F53" w:rsidRPr="00C83AEC" w:rsidRDefault="00C45F53" w:rsidP="009E2C41">
      <w:pPr>
        <w:jc w:val="both"/>
        <w:rPr>
          <w:sz w:val="22"/>
          <w:szCs w:val="22"/>
          <w:lang w:val="es"/>
        </w:rPr>
      </w:pPr>
    </w:p>
    <w:p w14:paraId="11CDA64B" w14:textId="77777777" w:rsidR="00C45F53" w:rsidRPr="00C83AEC" w:rsidRDefault="00C45F53" w:rsidP="009E2C41">
      <w:pPr>
        <w:ind w:left="720"/>
        <w:jc w:val="both"/>
        <w:rPr>
          <w:sz w:val="22"/>
          <w:szCs w:val="22"/>
          <w:lang w:val="es"/>
        </w:rPr>
      </w:pPr>
      <w:r w:rsidRPr="00C83AEC">
        <w:rPr>
          <w:sz w:val="22"/>
          <w:szCs w:val="22"/>
          <w:lang w:val="es"/>
        </w:rPr>
        <w:t>•</w:t>
      </w:r>
      <w:r w:rsidRPr="00C83AEC">
        <w:rPr>
          <w:sz w:val="22"/>
          <w:szCs w:val="22"/>
          <w:lang w:val="es"/>
        </w:rPr>
        <w:tab/>
        <w:t>Relación entre educación, empleo y el desarrollo de los países.</w:t>
      </w:r>
    </w:p>
    <w:p w14:paraId="1941455E" w14:textId="1971385B" w:rsidR="009224CE" w:rsidRPr="00C45F53" w:rsidRDefault="00C45F53" w:rsidP="009E2C41">
      <w:pPr>
        <w:ind w:left="1440" w:hanging="720"/>
        <w:jc w:val="both"/>
        <w:rPr>
          <w:sz w:val="22"/>
          <w:szCs w:val="22"/>
          <w:lang w:val="es"/>
        </w:rPr>
      </w:pPr>
      <w:r w:rsidRPr="00C83AEC">
        <w:rPr>
          <w:sz w:val="22"/>
          <w:szCs w:val="22"/>
          <w:lang w:val="es"/>
        </w:rPr>
        <w:t>•</w:t>
      </w:r>
      <w:r w:rsidRPr="00C83AEC">
        <w:rPr>
          <w:sz w:val="22"/>
          <w:szCs w:val="22"/>
          <w:lang w:val="es"/>
        </w:rPr>
        <w:tab/>
        <w:t>Desarrollo de ambientes escolares saludables.</w:t>
      </w:r>
    </w:p>
    <w:p w14:paraId="1360E143" w14:textId="77777777" w:rsidR="00C83AEC" w:rsidRDefault="00C83AEC" w:rsidP="009E2C41">
      <w:pPr>
        <w:jc w:val="both"/>
        <w:rPr>
          <w:sz w:val="22"/>
          <w:szCs w:val="22"/>
          <w:lang w:val="es-US"/>
        </w:rPr>
      </w:pPr>
    </w:p>
    <w:p w14:paraId="70C6DD48" w14:textId="53FC92E3" w:rsidR="00C83AEC" w:rsidRDefault="00B3159B" w:rsidP="009E2C41">
      <w:pPr>
        <w:ind w:firstLine="720"/>
        <w:jc w:val="both"/>
        <w:rPr>
          <w:sz w:val="22"/>
          <w:szCs w:val="22"/>
          <w:lang w:val="es-US"/>
        </w:rPr>
      </w:pPr>
      <w:r w:rsidRPr="00B3159B">
        <w:rPr>
          <w:sz w:val="22"/>
          <w:szCs w:val="22"/>
          <w:lang w:val="es-US"/>
        </w:rPr>
        <w:t>Se incluyen en la Agenda temas como la articulación entre políticas económicas, educativas, culturales, sanitarias y laborales, para abordar y superar los efectos de la crisis. En particular la creación de estrategias destinadas a la promoción de empleo para la juventud; la reducción del desempleo y del empleo precario juvenil; la facilitación de la transición escuela-trabajo y la generación de oportunidades de educación y capacitación técnica y vocacional para este grupo etario, especialmente para quienes se encuentran en situaciones de mayor vulnerabilidad; teniendo en consideración, como se afirmó en la Novena Cumbre de las Américas “la interconexión de múltiples y agravantes formas de discriminación, exclusión y desigualdad”.</w:t>
      </w:r>
    </w:p>
    <w:p w14:paraId="39D6CFE1" w14:textId="77777777" w:rsidR="00C83AEC" w:rsidRDefault="00C83AEC" w:rsidP="009E2C41">
      <w:pPr>
        <w:jc w:val="both"/>
        <w:rPr>
          <w:sz w:val="22"/>
          <w:szCs w:val="22"/>
          <w:lang w:val="es-US"/>
        </w:rPr>
      </w:pPr>
    </w:p>
    <w:p w14:paraId="5866246D" w14:textId="77777777" w:rsidR="009E2C41" w:rsidRDefault="009E2C41" w:rsidP="009E2C41">
      <w:pPr>
        <w:jc w:val="both"/>
        <w:rPr>
          <w:sz w:val="22"/>
          <w:szCs w:val="22"/>
          <w:lang w:val="es-US"/>
        </w:rPr>
      </w:pPr>
    </w:p>
    <w:p w14:paraId="772FE914" w14:textId="77777777" w:rsidR="009E2C41" w:rsidRPr="00C45F53" w:rsidRDefault="009E2C41" w:rsidP="009E2C41">
      <w:pPr>
        <w:jc w:val="both"/>
        <w:rPr>
          <w:sz w:val="22"/>
          <w:szCs w:val="22"/>
          <w:lang w:val="es-US"/>
        </w:rPr>
      </w:pPr>
    </w:p>
    <w:p w14:paraId="55A9C9B7" w14:textId="77777777" w:rsidR="000B7DB2" w:rsidRDefault="000B7DB2" w:rsidP="009E2C41">
      <w:pPr>
        <w:jc w:val="both"/>
        <w:rPr>
          <w:b/>
          <w:bCs/>
          <w:sz w:val="22"/>
          <w:szCs w:val="22"/>
          <w:lang w:val="es"/>
        </w:rPr>
      </w:pPr>
      <w:r w:rsidRPr="0085480A">
        <w:rPr>
          <w:b/>
          <w:bCs/>
          <w:sz w:val="22"/>
          <w:szCs w:val="22"/>
          <w:lang w:val="es"/>
        </w:rPr>
        <w:t>Temas y áreas de acción</w:t>
      </w:r>
    </w:p>
    <w:p w14:paraId="62002113" w14:textId="77777777" w:rsidR="00074DAD" w:rsidRPr="0085480A" w:rsidRDefault="00074DAD" w:rsidP="009E2C41">
      <w:pPr>
        <w:jc w:val="both"/>
        <w:rPr>
          <w:b/>
          <w:bCs/>
          <w:sz w:val="22"/>
          <w:szCs w:val="22"/>
          <w:lang w:val="es"/>
        </w:rPr>
      </w:pPr>
    </w:p>
    <w:p w14:paraId="6DAC44F3" w14:textId="6FD0C5E6" w:rsidR="000B7DB2" w:rsidRPr="00074DAD" w:rsidRDefault="00074DAD" w:rsidP="009E2C41">
      <w:pPr>
        <w:pStyle w:val="ListParagraph"/>
        <w:numPr>
          <w:ilvl w:val="1"/>
          <w:numId w:val="10"/>
        </w:numPr>
        <w:ind w:hanging="720"/>
        <w:jc w:val="both"/>
        <w:rPr>
          <w:rFonts w:eastAsiaTheme="minorEastAsia"/>
          <w:sz w:val="22"/>
          <w:szCs w:val="22"/>
          <w:lang w:val="es-ES"/>
        </w:rPr>
      </w:pPr>
      <w:r>
        <w:rPr>
          <w:rFonts w:eastAsia="Calibri"/>
          <w:sz w:val="22"/>
          <w:szCs w:val="22"/>
          <w:lang w:val="es-ES"/>
        </w:rPr>
        <w:t>F</w:t>
      </w:r>
      <w:r w:rsidRPr="00074DAD">
        <w:rPr>
          <w:rFonts w:eastAsia="Calibri"/>
          <w:sz w:val="22"/>
          <w:szCs w:val="22"/>
          <w:lang w:val="es-ES"/>
        </w:rPr>
        <w:t>acilitación de la transición escuela-trabajo</w:t>
      </w:r>
      <w:r w:rsidR="000B7DB2" w:rsidRPr="00074DAD">
        <w:rPr>
          <w:sz w:val="22"/>
          <w:szCs w:val="22"/>
          <w:lang w:val="es"/>
        </w:rPr>
        <w:t xml:space="preserve">. </w:t>
      </w:r>
    </w:p>
    <w:p w14:paraId="04DE0575" w14:textId="5A8F555E" w:rsidR="000B7DB2" w:rsidRPr="00074DAD" w:rsidRDefault="00683188" w:rsidP="009E2C41">
      <w:pPr>
        <w:pStyle w:val="ListParagraph"/>
        <w:ind w:left="1440"/>
        <w:jc w:val="both"/>
        <w:rPr>
          <w:rFonts w:eastAsia="Calibri"/>
          <w:sz w:val="22"/>
          <w:szCs w:val="22"/>
          <w:lang w:val="es-ES"/>
        </w:rPr>
      </w:pPr>
      <w:r>
        <w:rPr>
          <w:rFonts w:eastAsia="Calibri"/>
          <w:sz w:val="22"/>
          <w:szCs w:val="22"/>
          <w:lang w:val="es-ES"/>
        </w:rPr>
        <w:t xml:space="preserve">La transición de la escuela al trabajo </w:t>
      </w:r>
      <w:r w:rsidR="08E45944" w:rsidRPr="7FAB3DCB">
        <w:rPr>
          <w:rFonts w:eastAsia="Calibri"/>
          <w:sz w:val="22"/>
          <w:szCs w:val="22"/>
          <w:lang w:val="es-ES"/>
        </w:rPr>
        <w:t>sigue</w:t>
      </w:r>
      <w:r w:rsidR="00F97E80">
        <w:rPr>
          <w:rFonts w:eastAsia="Calibri"/>
          <w:sz w:val="22"/>
          <w:szCs w:val="22"/>
          <w:lang w:val="es-ES"/>
        </w:rPr>
        <w:t xml:space="preserve"> </w:t>
      </w:r>
      <w:r w:rsidRPr="7FAB3DCB">
        <w:rPr>
          <w:rFonts w:eastAsia="Calibri"/>
          <w:sz w:val="22"/>
          <w:szCs w:val="22"/>
          <w:lang w:val="es-ES"/>
        </w:rPr>
        <w:t>siendo</w:t>
      </w:r>
      <w:r>
        <w:rPr>
          <w:rFonts w:eastAsia="Calibri"/>
          <w:sz w:val="22"/>
          <w:szCs w:val="22"/>
          <w:lang w:val="es-ES"/>
        </w:rPr>
        <w:t xml:space="preserve"> un </w:t>
      </w:r>
      <w:r w:rsidR="00A266EE">
        <w:rPr>
          <w:rFonts w:eastAsia="Calibri"/>
          <w:sz w:val="22"/>
          <w:szCs w:val="22"/>
          <w:lang w:val="es-ES"/>
        </w:rPr>
        <w:t xml:space="preserve">proceso difícil. </w:t>
      </w:r>
      <w:r w:rsidR="000B7DB2" w:rsidRPr="00074DAD">
        <w:rPr>
          <w:rFonts w:eastAsia="Calibri"/>
          <w:sz w:val="22"/>
          <w:szCs w:val="22"/>
          <w:lang w:val="es-ES"/>
        </w:rPr>
        <w:t>Esto abarca políticas de inclusión tanto de acceso, acompañamiento de trayectorias educativas como de prevención del abandono escolar</w:t>
      </w:r>
      <w:r w:rsidR="00920D74">
        <w:rPr>
          <w:rFonts w:eastAsia="Calibri"/>
          <w:sz w:val="22"/>
          <w:szCs w:val="22"/>
          <w:lang w:val="es-ES"/>
        </w:rPr>
        <w:t xml:space="preserve"> y de inserción laboral</w:t>
      </w:r>
      <w:r w:rsidR="000B7DB2" w:rsidRPr="00074DAD">
        <w:rPr>
          <w:rFonts w:eastAsia="Calibri"/>
          <w:sz w:val="22"/>
          <w:szCs w:val="22"/>
          <w:lang w:val="es-ES"/>
        </w:rPr>
        <w:t>. Tal es el caso</w:t>
      </w:r>
      <w:r w:rsidR="000B7DB2" w:rsidRPr="00074DAD">
        <w:rPr>
          <w:rFonts w:eastAsia="Calibri"/>
          <w:color w:val="FF0000"/>
          <w:sz w:val="22"/>
          <w:szCs w:val="22"/>
          <w:lang w:val="es-ES"/>
        </w:rPr>
        <w:t>,</w:t>
      </w:r>
      <w:r w:rsidR="000B7DB2" w:rsidRPr="00074DAD">
        <w:rPr>
          <w:rFonts w:eastAsia="Calibri"/>
          <w:sz w:val="22"/>
          <w:szCs w:val="22"/>
          <w:lang w:val="es-ES"/>
        </w:rPr>
        <w:t xml:space="preserve"> por ejemplo</w:t>
      </w:r>
      <w:r w:rsidR="000B7DB2" w:rsidRPr="00074DAD">
        <w:rPr>
          <w:rFonts w:eastAsia="Calibri"/>
          <w:color w:val="FF0000"/>
          <w:sz w:val="22"/>
          <w:szCs w:val="22"/>
          <w:lang w:val="es-ES"/>
        </w:rPr>
        <w:t>,</w:t>
      </w:r>
      <w:r w:rsidR="000B7DB2" w:rsidRPr="00074DAD">
        <w:rPr>
          <w:rFonts w:eastAsia="Calibri"/>
          <w:sz w:val="22"/>
          <w:szCs w:val="22"/>
          <w:lang w:val="es-ES"/>
        </w:rPr>
        <w:t xml:space="preserve"> de los programas de </w:t>
      </w:r>
      <w:r w:rsidR="00920D74">
        <w:rPr>
          <w:rFonts w:eastAsia="Calibri"/>
          <w:sz w:val="22"/>
          <w:szCs w:val="22"/>
          <w:lang w:val="es-ES"/>
        </w:rPr>
        <w:t>formación técnica y vocacional</w:t>
      </w:r>
      <w:r w:rsidR="000B7DB2" w:rsidRPr="00074DAD">
        <w:rPr>
          <w:rFonts w:eastAsia="Calibri"/>
          <w:sz w:val="22"/>
          <w:szCs w:val="22"/>
          <w:lang w:val="es-ES"/>
        </w:rPr>
        <w:t xml:space="preserve"> </w:t>
      </w:r>
      <w:r w:rsidR="00920D74">
        <w:rPr>
          <w:rFonts w:eastAsia="Calibri"/>
          <w:sz w:val="22"/>
          <w:szCs w:val="22"/>
          <w:lang w:val="es-ES"/>
        </w:rPr>
        <w:t xml:space="preserve">y </w:t>
      </w:r>
      <w:r w:rsidR="000B7DB2" w:rsidRPr="00074DAD">
        <w:rPr>
          <w:rFonts w:eastAsia="Calibri"/>
          <w:sz w:val="22"/>
          <w:szCs w:val="22"/>
          <w:lang w:val="es-ES"/>
        </w:rPr>
        <w:t>sobre todo a la inclusión de grupos vulnerables (incluyendo los procesos de movilidad humana) y personas en condición de discapacidad.</w:t>
      </w:r>
    </w:p>
    <w:p w14:paraId="69A502D6" w14:textId="77777777" w:rsidR="000B7DB2" w:rsidRPr="00074DAD" w:rsidRDefault="000B7DB2" w:rsidP="009E2C41">
      <w:pPr>
        <w:pStyle w:val="ListParagraph"/>
        <w:ind w:left="1440" w:hanging="720"/>
        <w:jc w:val="both"/>
        <w:rPr>
          <w:rFonts w:eastAsiaTheme="minorEastAsia"/>
          <w:sz w:val="22"/>
          <w:szCs w:val="22"/>
          <w:lang w:val="es-ES"/>
        </w:rPr>
      </w:pPr>
    </w:p>
    <w:p w14:paraId="7A6AB22A" w14:textId="3A7348C1" w:rsidR="000B7DB2" w:rsidRPr="00074DAD" w:rsidRDefault="000B7DB2" w:rsidP="009E2C41">
      <w:pPr>
        <w:pStyle w:val="ListParagraph"/>
        <w:numPr>
          <w:ilvl w:val="1"/>
          <w:numId w:val="10"/>
        </w:numPr>
        <w:ind w:hanging="720"/>
        <w:jc w:val="both"/>
        <w:rPr>
          <w:rFonts w:eastAsiaTheme="minorEastAsia"/>
          <w:sz w:val="22"/>
          <w:szCs w:val="22"/>
          <w:lang w:val="es-ES"/>
        </w:rPr>
      </w:pPr>
      <w:r w:rsidRPr="00074DAD">
        <w:rPr>
          <w:sz w:val="22"/>
          <w:szCs w:val="22"/>
          <w:lang w:val="es"/>
        </w:rPr>
        <w:t xml:space="preserve">Innovación educativa para la </w:t>
      </w:r>
      <w:r w:rsidR="00074DAD" w:rsidRPr="00074DAD">
        <w:rPr>
          <w:sz w:val="22"/>
          <w:szCs w:val="22"/>
          <w:lang w:val="es"/>
        </w:rPr>
        <w:t>formación a lo largo de toda la vida</w:t>
      </w:r>
    </w:p>
    <w:p w14:paraId="56C6B76B" w14:textId="0145382F" w:rsidR="0063720A" w:rsidRPr="0063720A" w:rsidRDefault="000B7DB2" w:rsidP="009E2C41">
      <w:pPr>
        <w:ind w:left="1418"/>
        <w:jc w:val="both"/>
        <w:rPr>
          <w:rFonts w:eastAsia="Calibri"/>
          <w:sz w:val="22"/>
          <w:szCs w:val="22"/>
          <w:lang w:val="es-ES"/>
        </w:rPr>
      </w:pPr>
      <w:r w:rsidRPr="0063720A">
        <w:rPr>
          <w:rFonts w:eastAsia="Calibri"/>
          <w:sz w:val="22"/>
          <w:szCs w:val="22"/>
          <w:lang w:val="es-ES"/>
        </w:rPr>
        <w:t xml:space="preserve">Este tema </w:t>
      </w:r>
      <w:r w:rsidR="007123FB" w:rsidRPr="0063720A">
        <w:rPr>
          <w:rFonts w:eastAsia="Calibri"/>
          <w:sz w:val="22"/>
          <w:szCs w:val="22"/>
          <w:lang w:val="es-ES"/>
        </w:rPr>
        <w:t xml:space="preserve">es fundamental tanto </w:t>
      </w:r>
      <w:r w:rsidR="00A50175" w:rsidRPr="0063720A">
        <w:rPr>
          <w:rFonts w:eastAsia="Calibri"/>
          <w:sz w:val="22"/>
          <w:szCs w:val="22"/>
          <w:lang w:val="es-ES"/>
        </w:rPr>
        <w:t xml:space="preserve">en su </w:t>
      </w:r>
      <w:r w:rsidR="00200B83" w:rsidRPr="0063720A">
        <w:rPr>
          <w:rFonts w:eastAsia="Calibri"/>
          <w:sz w:val="22"/>
          <w:szCs w:val="22"/>
          <w:lang w:val="es-ES"/>
        </w:rPr>
        <w:t>implicancia</w:t>
      </w:r>
      <w:r w:rsidR="00A50175" w:rsidRPr="0063720A">
        <w:rPr>
          <w:rFonts w:eastAsia="Calibri"/>
          <w:sz w:val="22"/>
          <w:szCs w:val="22"/>
          <w:lang w:val="es-ES"/>
        </w:rPr>
        <w:t xml:space="preserve"> social como educativa </w:t>
      </w:r>
      <w:r w:rsidR="007123FB" w:rsidRPr="0063720A">
        <w:rPr>
          <w:rFonts w:eastAsia="Calibri"/>
          <w:sz w:val="22"/>
          <w:szCs w:val="22"/>
          <w:lang w:val="es-ES"/>
        </w:rPr>
        <w:t>en términos</w:t>
      </w:r>
      <w:r w:rsidR="00200B83" w:rsidRPr="0063720A">
        <w:rPr>
          <w:rFonts w:eastAsia="Calibri"/>
          <w:sz w:val="22"/>
          <w:szCs w:val="22"/>
          <w:lang w:val="es-ES"/>
        </w:rPr>
        <w:t xml:space="preserve"> de la urgencia </w:t>
      </w:r>
      <w:r w:rsidR="00D928AB" w:rsidRPr="0063720A">
        <w:rPr>
          <w:rFonts w:eastAsia="Calibri"/>
          <w:sz w:val="22"/>
          <w:szCs w:val="22"/>
          <w:lang w:val="es-ES"/>
        </w:rPr>
        <w:t xml:space="preserve">primordial de los sistemas educativos </w:t>
      </w:r>
      <w:r w:rsidR="00200B83" w:rsidRPr="0063720A">
        <w:rPr>
          <w:rFonts w:eastAsia="Calibri"/>
          <w:sz w:val="22"/>
          <w:szCs w:val="22"/>
          <w:lang w:val="es-ES"/>
        </w:rPr>
        <w:t xml:space="preserve">en proporcionar oportunidades de </w:t>
      </w:r>
      <w:r w:rsidR="0063720A" w:rsidRPr="0063720A">
        <w:rPr>
          <w:rFonts w:eastAsia="Calibri"/>
          <w:sz w:val="22"/>
          <w:szCs w:val="22"/>
          <w:lang w:val="es-ES"/>
        </w:rPr>
        <w:t>formación continua</w:t>
      </w:r>
      <w:r w:rsidR="0056081E">
        <w:rPr>
          <w:rFonts w:eastAsia="Calibri"/>
          <w:sz w:val="22"/>
          <w:szCs w:val="22"/>
          <w:lang w:val="es-ES"/>
        </w:rPr>
        <w:t xml:space="preserve"> que promueva el desarrollo humano y profesional constante </w:t>
      </w:r>
      <w:r w:rsidR="0063720A" w:rsidRPr="0063720A">
        <w:rPr>
          <w:rFonts w:eastAsia="Calibri"/>
          <w:sz w:val="22"/>
          <w:szCs w:val="22"/>
          <w:lang w:val="es-ES"/>
        </w:rPr>
        <w:t xml:space="preserve">para formar ciudadanos </w:t>
      </w:r>
      <w:r w:rsidR="00D928AB" w:rsidRPr="0063720A">
        <w:rPr>
          <w:rFonts w:eastAsia="Calibri"/>
          <w:sz w:val="22"/>
          <w:szCs w:val="22"/>
          <w:lang w:val="es-ES"/>
        </w:rPr>
        <w:t>capaces de asumir sus responsabilidades éticas y sociales, con capacidades personales para adaptarse a los cambios sociales, tecnológicos y productivos.</w:t>
      </w:r>
    </w:p>
    <w:p w14:paraId="253E9A1E" w14:textId="77777777" w:rsidR="000B7DB2" w:rsidRPr="00074DAD" w:rsidRDefault="000B7DB2" w:rsidP="009E2C41">
      <w:pPr>
        <w:ind w:left="1418"/>
        <w:jc w:val="both"/>
        <w:rPr>
          <w:rFonts w:eastAsiaTheme="minorEastAsia"/>
          <w:sz w:val="22"/>
          <w:szCs w:val="22"/>
          <w:lang w:val="es"/>
        </w:rPr>
      </w:pPr>
    </w:p>
    <w:p w14:paraId="6DAB4022" w14:textId="7FC6BE37" w:rsidR="000B7DB2" w:rsidRPr="00074DAD" w:rsidRDefault="00074DAD" w:rsidP="009E2C41">
      <w:pPr>
        <w:pStyle w:val="ListParagraph"/>
        <w:numPr>
          <w:ilvl w:val="1"/>
          <w:numId w:val="10"/>
        </w:numPr>
        <w:ind w:hanging="720"/>
        <w:jc w:val="both"/>
        <w:rPr>
          <w:rStyle w:val="Hyperlink"/>
          <w:rFonts w:eastAsiaTheme="minorEastAsia"/>
          <w:sz w:val="22"/>
          <w:szCs w:val="22"/>
          <w:lang w:val="es-ES"/>
        </w:rPr>
      </w:pPr>
      <w:r>
        <w:rPr>
          <w:sz w:val="22"/>
          <w:szCs w:val="22"/>
          <w:lang w:val="es"/>
        </w:rPr>
        <w:t>Promoción</w:t>
      </w:r>
      <w:r w:rsidRPr="00074DAD">
        <w:rPr>
          <w:sz w:val="22"/>
          <w:szCs w:val="22"/>
          <w:lang w:val="es"/>
        </w:rPr>
        <w:t xml:space="preserve"> de oportunidades de educación y capacitación técnica y vocacional</w:t>
      </w:r>
      <w:r w:rsidR="000B7DB2" w:rsidRPr="00074DAD">
        <w:rPr>
          <w:sz w:val="22"/>
          <w:szCs w:val="22"/>
          <w:lang w:val="es"/>
        </w:rPr>
        <w:t>.</w:t>
      </w:r>
    </w:p>
    <w:p w14:paraId="67973CDA" w14:textId="43FC620D" w:rsidR="000B7DB2" w:rsidRDefault="00461447" w:rsidP="009E2C41">
      <w:pPr>
        <w:ind w:left="1418"/>
        <w:jc w:val="both"/>
        <w:rPr>
          <w:rFonts w:eastAsia="Calibri"/>
          <w:sz w:val="22"/>
          <w:szCs w:val="22"/>
          <w:lang w:val="es-ES"/>
        </w:rPr>
      </w:pPr>
      <w:r w:rsidRPr="6F621BC2">
        <w:rPr>
          <w:rFonts w:eastAsia="Calibri"/>
          <w:sz w:val="22"/>
          <w:szCs w:val="22"/>
          <w:lang w:val="es-ES"/>
        </w:rPr>
        <w:t xml:space="preserve">La educación y formación técnica y vocacional (TVET, por sus siglas en inglés) está orientada fundamentalmente </w:t>
      </w:r>
      <w:r w:rsidR="007616FC" w:rsidRPr="6F621BC2">
        <w:rPr>
          <w:rFonts w:eastAsia="Calibri"/>
          <w:sz w:val="22"/>
          <w:szCs w:val="22"/>
          <w:lang w:val="es-ES"/>
        </w:rPr>
        <w:t>ofrecer</w:t>
      </w:r>
      <w:r w:rsidR="00CD1153" w:rsidRPr="6F621BC2">
        <w:rPr>
          <w:rFonts w:eastAsia="Calibri"/>
          <w:sz w:val="22"/>
          <w:szCs w:val="22"/>
          <w:lang w:val="es-ES"/>
        </w:rPr>
        <w:t xml:space="preserve"> y proporcionar</w:t>
      </w:r>
      <w:r w:rsidRPr="6F621BC2">
        <w:rPr>
          <w:rFonts w:eastAsia="Calibri"/>
          <w:sz w:val="22"/>
          <w:szCs w:val="22"/>
          <w:lang w:val="es-ES"/>
        </w:rPr>
        <w:t xml:space="preserve"> a los estudiantes las habilidades prácticas, el conocimiento y la comprensión necesarios para el ingreso directo a una ocupación o negocio en particular (o a una clase de ocupaciones o negocios). Finalizar con éxito dichos programas normalmente conduce a una calificación profesional relevante en el mercado laboral reconocida por las autoridades nacionales competentes</w:t>
      </w:r>
      <w:r w:rsidR="000B7DB2" w:rsidRPr="6F621BC2">
        <w:rPr>
          <w:rFonts w:eastAsia="Calibri"/>
          <w:sz w:val="22"/>
          <w:szCs w:val="22"/>
          <w:lang w:val="es-ES"/>
        </w:rPr>
        <w:t xml:space="preserve">. </w:t>
      </w:r>
    </w:p>
    <w:p w14:paraId="30065468" w14:textId="77777777" w:rsidR="000B7DB2" w:rsidRPr="0085480A" w:rsidRDefault="000B7DB2" w:rsidP="009E2C41">
      <w:pPr>
        <w:jc w:val="both"/>
        <w:rPr>
          <w:rFonts w:eastAsia="Calibri"/>
          <w:b/>
          <w:bCs/>
          <w:sz w:val="22"/>
          <w:szCs w:val="22"/>
          <w:lang w:val="es-ES"/>
        </w:rPr>
      </w:pPr>
    </w:p>
    <w:p w14:paraId="7DE0F21E" w14:textId="77777777" w:rsidR="000B7DB2" w:rsidRPr="0085480A" w:rsidRDefault="000B7DB2" w:rsidP="009E2C41">
      <w:pPr>
        <w:jc w:val="both"/>
        <w:rPr>
          <w:rFonts w:eastAsia="Calibri"/>
          <w:sz w:val="22"/>
          <w:szCs w:val="22"/>
          <w:lang w:val="es-ES"/>
        </w:rPr>
      </w:pPr>
      <w:r w:rsidRPr="0085480A">
        <w:rPr>
          <w:sz w:val="22"/>
          <w:szCs w:val="22"/>
          <w:lang w:val="es"/>
        </w:rPr>
        <w:t>Las principales áreas de acción se enmarcarán en los siguientes componentes:</w:t>
      </w:r>
    </w:p>
    <w:tbl>
      <w:tblPr>
        <w:tblW w:w="5000" w:type="pct"/>
        <w:tblCellMar>
          <w:left w:w="0" w:type="dxa"/>
          <w:right w:w="0" w:type="dxa"/>
        </w:tblCellMar>
        <w:tblLook w:val="0420" w:firstRow="1" w:lastRow="0" w:firstColumn="0" w:lastColumn="0" w:noHBand="0" w:noVBand="1"/>
      </w:tblPr>
      <w:tblGrid>
        <w:gridCol w:w="2991"/>
        <w:gridCol w:w="2991"/>
        <w:gridCol w:w="2989"/>
      </w:tblGrid>
      <w:tr w:rsidR="000B7DB2" w:rsidRPr="0085480A" w14:paraId="6A5C2CE8" w14:textId="77777777" w:rsidTr="002D68E7">
        <w:trPr>
          <w:trHeight w:val="637"/>
        </w:trPr>
        <w:tc>
          <w:tcPr>
            <w:tcW w:w="1667" w:type="pct"/>
            <w:tcBorders>
              <w:top w:val="single" w:sz="8" w:space="0" w:color="4472C4" w:themeColor="accent1"/>
              <w:left w:val="nil"/>
              <w:bottom w:val="single" w:sz="8" w:space="0" w:color="4472C4" w:themeColor="accent1"/>
              <w:right w:val="nil"/>
            </w:tcBorders>
            <w:shd w:val="clear" w:color="auto" w:fill="auto"/>
            <w:tcMar>
              <w:top w:w="72" w:type="dxa"/>
              <w:left w:w="144" w:type="dxa"/>
              <w:bottom w:w="72" w:type="dxa"/>
              <w:right w:w="144" w:type="dxa"/>
            </w:tcMar>
            <w:hideMark/>
          </w:tcPr>
          <w:p w14:paraId="39B56F05" w14:textId="6A0C2D85" w:rsidR="000B7DB2" w:rsidRPr="0085480A" w:rsidRDefault="000B7DB2" w:rsidP="009E2C41">
            <w:pPr>
              <w:tabs>
                <w:tab w:val="left" w:pos="1440"/>
              </w:tabs>
              <w:jc w:val="both"/>
              <w:rPr>
                <w:b/>
                <w:bCs/>
                <w:sz w:val="22"/>
                <w:szCs w:val="22"/>
                <w:lang w:val="es-CR"/>
              </w:rPr>
            </w:pPr>
            <w:r w:rsidRPr="0085480A">
              <w:rPr>
                <w:b/>
                <w:bCs/>
                <w:sz w:val="22"/>
                <w:szCs w:val="22"/>
                <w:lang w:val="es"/>
              </w:rPr>
              <w:t>Componente d</w:t>
            </w:r>
            <w:r w:rsidR="00660B15">
              <w:rPr>
                <w:b/>
                <w:bCs/>
                <w:sz w:val="22"/>
                <w:szCs w:val="22"/>
                <w:lang w:val="es"/>
              </w:rPr>
              <w:t xml:space="preserve">e </w:t>
            </w:r>
            <w:r w:rsidRPr="0085480A">
              <w:rPr>
                <w:b/>
                <w:bCs/>
                <w:sz w:val="22"/>
                <w:szCs w:val="22"/>
                <w:lang w:val="es"/>
              </w:rPr>
              <w:t xml:space="preserve">investigación:  </w:t>
            </w:r>
          </w:p>
        </w:tc>
        <w:tc>
          <w:tcPr>
            <w:tcW w:w="1667" w:type="pct"/>
            <w:tcBorders>
              <w:top w:val="single" w:sz="8" w:space="0" w:color="4472C4" w:themeColor="accent1"/>
              <w:left w:val="nil"/>
              <w:bottom w:val="single" w:sz="8" w:space="0" w:color="4472C4" w:themeColor="accent1"/>
              <w:right w:val="nil"/>
            </w:tcBorders>
            <w:shd w:val="clear" w:color="auto" w:fill="auto"/>
            <w:tcMar>
              <w:top w:w="72" w:type="dxa"/>
              <w:left w:w="144" w:type="dxa"/>
              <w:bottom w:w="72" w:type="dxa"/>
              <w:right w:w="144" w:type="dxa"/>
            </w:tcMar>
            <w:hideMark/>
          </w:tcPr>
          <w:p w14:paraId="0070F20E" w14:textId="77777777" w:rsidR="000B7DB2" w:rsidRPr="0085480A" w:rsidRDefault="000B7DB2" w:rsidP="009E2C41">
            <w:pPr>
              <w:tabs>
                <w:tab w:val="left" w:pos="1440"/>
              </w:tabs>
              <w:jc w:val="both"/>
              <w:rPr>
                <w:b/>
                <w:sz w:val="22"/>
                <w:szCs w:val="22"/>
                <w:lang w:val="es-CR"/>
              </w:rPr>
            </w:pPr>
          </w:p>
        </w:tc>
        <w:tc>
          <w:tcPr>
            <w:tcW w:w="1667" w:type="pct"/>
            <w:tcBorders>
              <w:top w:val="single" w:sz="8" w:space="0" w:color="4472C4" w:themeColor="accent1"/>
              <w:left w:val="nil"/>
              <w:bottom w:val="single" w:sz="8" w:space="0" w:color="4472C4" w:themeColor="accent1"/>
              <w:right w:val="nil"/>
            </w:tcBorders>
            <w:shd w:val="clear" w:color="auto" w:fill="auto"/>
            <w:tcMar>
              <w:top w:w="72" w:type="dxa"/>
              <w:left w:w="144" w:type="dxa"/>
              <w:bottom w:w="72" w:type="dxa"/>
              <w:right w:w="144" w:type="dxa"/>
            </w:tcMar>
            <w:hideMark/>
          </w:tcPr>
          <w:p w14:paraId="0802B165" w14:textId="77777777" w:rsidR="000B7DB2" w:rsidRPr="0085480A" w:rsidRDefault="000B7DB2" w:rsidP="009E2C41">
            <w:pPr>
              <w:tabs>
                <w:tab w:val="left" w:pos="1440"/>
              </w:tabs>
              <w:jc w:val="both"/>
              <w:rPr>
                <w:b/>
                <w:sz w:val="22"/>
                <w:szCs w:val="22"/>
                <w:lang w:val="es-CR"/>
              </w:rPr>
            </w:pPr>
          </w:p>
        </w:tc>
      </w:tr>
      <w:tr w:rsidR="000B7DB2" w:rsidRPr="00175CE4" w14:paraId="6B6551C4" w14:textId="77777777" w:rsidTr="007616FC">
        <w:trPr>
          <w:trHeight w:val="584"/>
        </w:trPr>
        <w:tc>
          <w:tcPr>
            <w:tcW w:w="5000" w:type="pct"/>
            <w:gridSpan w:val="3"/>
            <w:tcBorders>
              <w:top w:val="single" w:sz="8" w:space="0" w:color="4472C4" w:themeColor="accent1"/>
              <w:left w:val="nil"/>
              <w:bottom w:val="nil"/>
              <w:right w:val="nil"/>
            </w:tcBorders>
            <w:shd w:val="clear" w:color="auto" w:fill="DEEAF6" w:themeFill="accent5" w:themeFillTint="33"/>
            <w:tcMar>
              <w:top w:w="72" w:type="dxa"/>
              <w:left w:w="144" w:type="dxa"/>
              <w:bottom w:w="72" w:type="dxa"/>
              <w:right w:w="144" w:type="dxa"/>
            </w:tcMar>
            <w:hideMark/>
          </w:tcPr>
          <w:p w14:paraId="6D33B4FB" w14:textId="77777777" w:rsidR="000B7DB2" w:rsidRPr="00746C65" w:rsidRDefault="000B7DB2" w:rsidP="002D68E7">
            <w:pPr>
              <w:tabs>
                <w:tab w:val="left" w:pos="1440"/>
              </w:tabs>
              <w:ind w:left="220" w:hanging="220"/>
              <w:jc w:val="both"/>
              <w:rPr>
                <w:sz w:val="22"/>
                <w:szCs w:val="22"/>
                <w:lang w:val="es-ES"/>
              </w:rPr>
            </w:pPr>
            <w:r w:rsidRPr="00746C65">
              <w:rPr>
                <w:sz w:val="22"/>
                <w:szCs w:val="22"/>
                <w:lang w:val="es"/>
              </w:rPr>
              <w:t xml:space="preserve">1. Inventario de las investigaciones e instituciones de investigación existentes en áreas relacionadas dentro de la región. </w:t>
            </w:r>
          </w:p>
          <w:p w14:paraId="73B2EA88" w14:textId="71E72457" w:rsidR="000B7DB2" w:rsidRPr="00746C65" w:rsidRDefault="000B7DB2" w:rsidP="002D68E7">
            <w:pPr>
              <w:tabs>
                <w:tab w:val="left" w:pos="1440"/>
              </w:tabs>
              <w:ind w:left="220" w:hanging="220"/>
              <w:jc w:val="both"/>
              <w:rPr>
                <w:bCs/>
                <w:sz w:val="22"/>
                <w:szCs w:val="22"/>
                <w:lang w:val="es-ES"/>
              </w:rPr>
            </w:pPr>
            <w:r w:rsidRPr="00746C65">
              <w:rPr>
                <w:bCs/>
                <w:sz w:val="22"/>
                <w:szCs w:val="22"/>
                <w:lang w:val="es"/>
              </w:rPr>
              <w:t>2</w:t>
            </w:r>
            <w:r w:rsidR="00AE1FD8">
              <w:rPr>
                <w:bCs/>
                <w:sz w:val="22"/>
                <w:szCs w:val="22"/>
                <w:lang w:val="es"/>
              </w:rPr>
              <w:t>. Estudios</w:t>
            </w:r>
            <w:r w:rsidR="00AE1FD8" w:rsidRPr="00AE1FD8">
              <w:rPr>
                <w:bCs/>
                <w:sz w:val="22"/>
                <w:szCs w:val="22"/>
                <w:lang w:val="es"/>
              </w:rPr>
              <w:t xml:space="preserve"> de </w:t>
            </w:r>
            <w:r w:rsidR="00AE1FD8">
              <w:rPr>
                <w:bCs/>
                <w:sz w:val="22"/>
                <w:szCs w:val="22"/>
                <w:lang w:val="es"/>
              </w:rPr>
              <w:t>la situación</w:t>
            </w:r>
            <w:r w:rsidR="00AE1FD8" w:rsidRPr="00AE1FD8">
              <w:rPr>
                <w:bCs/>
                <w:sz w:val="22"/>
                <w:szCs w:val="22"/>
                <w:lang w:val="es"/>
              </w:rPr>
              <w:t xml:space="preserve"> referente a una educación adecuada para los proyectos laborales que procuren promover el desarrollo de aptitudes académicas básicas a través de la producción y el empleo, enfocando especialmente a los jóvenes que no estén en la escuela y procuren obtener su primer empleo.</w:t>
            </w:r>
          </w:p>
          <w:p w14:paraId="31DC4C3B" w14:textId="3E72C048" w:rsidR="000B7DB2" w:rsidRPr="00D46CF6" w:rsidRDefault="000B7DB2" w:rsidP="002D68E7">
            <w:pPr>
              <w:tabs>
                <w:tab w:val="left" w:pos="1440"/>
              </w:tabs>
              <w:ind w:left="220" w:hanging="220"/>
              <w:jc w:val="both"/>
              <w:rPr>
                <w:b/>
                <w:sz w:val="22"/>
                <w:szCs w:val="22"/>
                <w:highlight w:val="yellow"/>
                <w:lang w:val="es-ES"/>
              </w:rPr>
            </w:pPr>
            <w:r w:rsidRPr="00746C65">
              <w:rPr>
                <w:bCs/>
                <w:sz w:val="22"/>
                <w:szCs w:val="22"/>
                <w:lang w:val="es"/>
              </w:rPr>
              <w:t>3.</w:t>
            </w:r>
            <w:r w:rsidR="002D68E7">
              <w:rPr>
                <w:bCs/>
                <w:sz w:val="22"/>
                <w:szCs w:val="22"/>
                <w:lang w:val="es"/>
              </w:rPr>
              <w:t xml:space="preserve"> </w:t>
            </w:r>
            <w:r w:rsidRPr="00746C65">
              <w:rPr>
                <w:bCs/>
                <w:sz w:val="22"/>
                <w:szCs w:val="22"/>
                <w:lang w:val="es"/>
              </w:rPr>
              <w:t xml:space="preserve">Publicación sobre temas prioritarios identificados con la implementación del Programa </w:t>
            </w:r>
            <w:r w:rsidR="00EC2E1F">
              <w:rPr>
                <w:bCs/>
                <w:sz w:val="22"/>
                <w:szCs w:val="22"/>
                <w:lang w:val="es"/>
              </w:rPr>
              <w:t>Hemisférico</w:t>
            </w:r>
            <w:r w:rsidRPr="00746C65">
              <w:rPr>
                <w:bCs/>
                <w:sz w:val="22"/>
                <w:szCs w:val="22"/>
                <w:lang w:val="es"/>
              </w:rPr>
              <w:t xml:space="preserve">. </w:t>
            </w:r>
          </w:p>
        </w:tc>
      </w:tr>
      <w:tr w:rsidR="000B7DB2" w:rsidRPr="00175CE4" w14:paraId="5025B86C" w14:textId="77777777" w:rsidTr="007616FC">
        <w:trPr>
          <w:trHeight w:val="584"/>
        </w:trPr>
        <w:tc>
          <w:tcPr>
            <w:tcW w:w="5000" w:type="pct"/>
            <w:gridSpan w:val="3"/>
            <w:tcBorders>
              <w:top w:val="nil"/>
              <w:left w:val="nil"/>
              <w:bottom w:val="nil"/>
              <w:right w:val="nil"/>
            </w:tcBorders>
            <w:shd w:val="clear" w:color="auto" w:fill="auto"/>
            <w:tcMar>
              <w:top w:w="72" w:type="dxa"/>
              <w:left w:w="144" w:type="dxa"/>
              <w:bottom w:w="72" w:type="dxa"/>
              <w:right w:w="144" w:type="dxa"/>
            </w:tcMar>
            <w:hideMark/>
          </w:tcPr>
          <w:p w14:paraId="28FEC058" w14:textId="77777777" w:rsidR="000B7DB2" w:rsidRPr="00746C65" w:rsidRDefault="000B7DB2" w:rsidP="009E2C41">
            <w:pPr>
              <w:tabs>
                <w:tab w:val="left" w:pos="1440"/>
              </w:tabs>
              <w:jc w:val="both"/>
              <w:rPr>
                <w:b/>
                <w:sz w:val="22"/>
                <w:szCs w:val="22"/>
                <w:lang w:val="es-ES"/>
              </w:rPr>
            </w:pPr>
            <w:r w:rsidRPr="00746C65">
              <w:rPr>
                <w:b/>
                <w:bCs/>
                <w:sz w:val="22"/>
                <w:szCs w:val="22"/>
                <w:lang w:val="es"/>
              </w:rPr>
              <w:t>Componente de Desarrollo Profesional y Recursos Educativos:</w:t>
            </w:r>
          </w:p>
        </w:tc>
      </w:tr>
      <w:tr w:rsidR="000B7DB2" w:rsidRPr="00175CE4" w14:paraId="4AFD2C16" w14:textId="77777777" w:rsidTr="007616FC">
        <w:trPr>
          <w:trHeight w:val="584"/>
        </w:trPr>
        <w:tc>
          <w:tcPr>
            <w:tcW w:w="5000" w:type="pct"/>
            <w:gridSpan w:val="3"/>
            <w:tcBorders>
              <w:top w:val="nil"/>
              <w:left w:val="nil"/>
              <w:bottom w:val="nil"/>
              <w:right w:val="nil"/>
            </w:tcBorders>
            <w:shd w:val="clear" w:color="auto" w:fill="FFEFEA"/>
            <w:tcMar>
              <w:top w:w="72" w:type="dxa"/>
              <w:left w:w="144" w:type="dxa"/>
              <w:bottom w:w="72" w:type="dxa"/>
              <w:right w:w="144" w:type="dxa"/>
            </w:tcMar>
            <w:hideMark/>
          </w:tcPr>
          <w:p w14:paraId="5220F9E0" w14:textId="61C5FCCD" w:rsidR="000B7DB2" w:rsidRPr="00746C65" w:rsidRDefault="000B7DB2" w:rsidP="002D68E7">
            <w:pPr>
              <w:tabs>
                <w:tab w:val="left" w:pos="1440"/>
              </w:tabs>
              <w:ind w:left="220" w:hanging="220"/>
              <w:jc w:val="both"/>
              <w:rPr>
                <w:sz w:val="22"/>
                <w:szCs w:val="22"/>
                <w:lang w:val="es-ES"/>
              </w:rPr>
            </w:pPr>
            <w:r w:rsidRPr="00746C65">
              <w:rPr>
                <w:sz w:val="22"/>
                <w:szCs w:val="22"/>
                <w:lang w:val="es"/>
              </w:rPr>
              <w:t xml:space="preserve">1. </w:t>
            </w:r>
            <w:r w:rsidR="007E58AA" w:rsidRPr="000F3F4B">
              <w:rPr>
                <w:sz w:val="22"/>
                <w:szCs w:val="22"/>
                <w:lang w:val="es-CR"/>
              </w:rPr>
              <w:t>Curso regional para especialistas en diseño, ejecución, evaluación e investigación de proyectos, tomando como objetivo el campo de las innovaciones educativas vinculadas con el empleo productivo, inclusive en el sector rural</w:t>
            </w:r>
          </w:p>
          <w:p w14:paraId="561EDCC4" w14:textId="7671AE5A" w:rsidR="000B7DB2" w:rsidRPr="00746C65" w:rsidRDefault="000B7DB2" w:rsidP="002D68E7">
            <w:pPr>
              <w:tabs>
                <w:tab w:val="left" w:pos="1440"/>
              </w:tabs>
              <w:ind w:left="220" w:hanging="220"/>
              <w:jc w:val="both"/>
              <w:rPr>
                <w:sz w:val="22"/>
                <w:szCs w:val="22"/>
                <w:lang w:val="es-ES"/>
              </w:rPr>
            </w:pPr>
            <w:r w:rsidRPr="00746C65">
              <w:rPr>
                <w:sz w:val="22"/>
                <w:szCs w:val="22"/>
                <w:lang w:val="es"/>
              </w:rPr>
              <w:t xml:space="preserve">2. Repositorio virtual de políticas, programas, directrices y herramientas </w:t>
            </w:r>
            <w:r w:rsidR="000F3F4B">
              <w:rPr>
                <w:sz w:val="22"/>
                <w:szCs w:val="22"/>
                <w:lang w:val="es"/>
              </w:rPr>
              <w:t>sobre formación</w:t>
            </w:r>
            <w:r w:rsidR="007E58AA">
              <w:rPr>
                <w:sz w:val="22"/>
                <w:szCs w:val="22"/>
                <w:lang w:val="es"/>
              </w:rPr>
              <w:t xml:space="preserve"> a lo largo de toda la vida</w:t>
            </w:r>
            <w:r w:rsidR="000F3F4B">
              <w:rPr>
                <w:sz w:val="22"/>
                <w:szCs w:val="22"/>
                <w:lang w:val="es"/>
              </w:rPr>
              <w:t xml:space="preserve"> con una mirada intersectorial educación -trabajo</w:t>
            </w:r>
            <w:r w:rsidRPr="00746C65">
              <w:rPr>
                <w:sz w:val="22"/>
                <w:szCs w:val="22"/>
                <w:lang w:val="es"/>
              </w:rPr>
              <w:t>.</w:t>
            </w:r>
          </w:p>
          <w:p w14:paraId="72CA2590" w14:textId="77777777" w:rsidR="000B7DB2" w:rsidRDefault="000B7DB2" w:rsidP="002D68E7">
            <w:pPr>
              <w:tabs>
                <w:tab w:val="left" w:pos="1440"/>
              </w:tabs>
              <w:ind w:left="220" w:hanging="220"/>
              <w:jc w:val="both"/>
              <w:rPr>
                <w:sz w:val="22"/>
                <w:szCs w:val="22"/>
                <w:lang w:val="es-CR"/>
              </w:rPr>
            </w:pPr>
            <w:r w:rsidRPr="00746C65">
              <w:rPr>
                <w:sz w:val="22"/>
                <w:szCs w:val="22"/>
                <w:lang w:val="es"/>
              </w:rPr>
              <w:t xml:space="preserve">3. </w:t>
            </w:r>
            <w:r w:rsidR="00AE1FD8" w:rsidRPr="00746C65">
              <w:rPr>
                <w:sz w:val="22"/>
                <w:szCs w:val="22"/>
                <w:lang w:val="es-CR"/>
              </w:rPr>
              <w:t>Estado de situación sobre el diseño, ejecución, evaluación e investigación de proyectos, tomando como objetivo el campo de las innovaciones educativas vinculadas con el empleo productivo, inclusive en el sector rural</w:t>
            </w:r>
            <w:r w:rsidR="00AE1FD8">
              <w:rPr>
                <w:sz w:val="22"/>
                <w:szCs w:val="22"/>
                <w:lang w:val="es-CR"/>
              </w:rPr>
              <w:t xml:space="preserve"> </w:t>
            </w:r>
          </w:p>
          <w:p w14:paraId="52E4324B" w14:textId="7B986CB8" w:rsidR="00305E12" w:rsidRDefault="00305E12" w:rsidP="002D68E7">
            <w:pPr>
              <w:tabs>
                <w:tab w:val="left" w:pos="720"/>
                <w:tab w:val="left" w:pos="1530"/>
              </w:tabs>
              <w:ind w:left="220" w:hanging="220"/>
              <w:jc w:val="both"/>
              <w:rPr>
                <w:sz w:val="22"/>
                <w:szCs w:val="22"/>
                <w:lang w:val="es-CR"/>
              </w:rPr>
            </w:pPr>
            <w:r>
              <w:rPr>
                <w:sz w:val="22"/>
                <w:szCs w:val="22"/>
                <w:lang w:val="es-CR"/>
              </w:rPr>
              <w:t xml:space="preserve">4. </w:t>
            </w:r>
            <w:r w:rsidRPr="00305E12">
              <w:rPr>
                <w:sz w:val="22"/>
                <w:szCs w:val="22"/>
                <w:lang w:val="es-CR"/>
              </w:rPr>
              <w:t xml:space="preserve">Apoyar mecanismos sistemáticos para el intercambio de información y conocimientos técnicos sobre experiencias en certificación, formación profesional por competencia y otras innovaciones en el campo de la educación vinculada con el trabajo, </w:t>
            </w:r>
            <w:r>
              <w:rPr>
                <w:sz w:val="22"/>
                <w:szCs w:val="22"/>
                <w:lang w:val="es-CR"/>
              </w:rPr>
              <w:t>que cul</w:t>
            </w:r>
            <w:r w:rsidR="00F04B54">
              <w:rPr>
                <w:sz w:val="22"/>
                <w:szCs w:val="22"/>
                <w:lang w:val="es-CR"/>
              </w:rPr>
              <w:t xml:space="preserve">minen en la publicación de un número especial de </w:t>
            </w:r>
            <w:r w:rsidRPr="00305E12">
              <w:rPr>
                <w:sz w:val="22"/>
                <w:szCs w:val="22"/>
                <w:lang w:val="es-CR"/>
              </w:rPr>
              <w:t>la Revista Interamericana de Educación.</w:t>
            </w:r>
          </w:p>
          <w:p w14:paraId="79083599" w14:textId="176A4476" w:rsidR="00305E12" w:rsidRPr="00305E12" w:rsidRDefault="00305E12" w:rsidP="009E2C41">
            <w:pPr>
              <w:tabs>
                <w:tab w:val="left" w:pos="1440"/>
              </w:tabs>
              <w:jc w:val="both"/>
              <w:rPr>
                <w:sz w:val="22"/>
                <w:szCs w:val="22"/>
                <w:lang w:val="es-CR"/>
              </w:rPr>
            </w:pPr>
          </w:p>
        </w:tc>
      </w:tr>
      <w:tr w:rsidR="000B7DB2" w:rsidRPr="00AE1FD8" w14:paraId="753BA97E" w14:textId="77777777" w:rsidTr="002D68E7">
        <w:trPr>
          <w:trHeight w:val="441"/>
        </w:trPr>
        <w:tc>
          <w:tcPr>
            <w:tcW w:w="5000" w:type="pct"/>
            <w:gridSpan w:val="3"/>
            <w:tcBorders>
              <w:top w:val="nil"/>
              <w:left w:val="nil"/>
              <w:bottom w:val="nil"/>
              <w:right w:val="nil"/>
            </w:tcBorders>
            <w:shd w:val="clear" w:color="auto" w:fill="auto"/>
            <w:tcMar>
              <w:top w:w="72" w:type="dxa"/>
              <w:left w:w="144" w:type="dxa"/>
              <w:bottom w:w="72" w:type="dxa"/>
              <w:right w:w="144" w:type="dxa"/>
            </w:tcMar>
            <w:hideMark/>
          </w:tcPr>
          <w:p w14:paraId="6D912B6B" w14:textId="77777777" w:rsidR="000B7DB2" w:rsidRPr="00AE1FD8" w:rsidRDefault="000B7DB2" w:rsidP="009E2C41">
            <w:pPr>
              <w:tabs>
                <w:tab w:val="left" w:pos="1440"/>
              </w:tabs>
              <w:jc w:val="both"/>
              <w:rPr>
                <w:b/>
                <w:sz w:val="22"/>
                <w:szCs w:val="22"/>
                <w:lang w:val="es-ES"/>
              </w:rPr>
            </w:pPr>
            <w:r w:rsidRPr="00AE1FD8">
              <w:rPr>
                <w:b/>
                <w:bCs/>
                <w:sz w:val="22"/>
                <w:szCs w:val="22"/>
                <w:lang w:val="es"/>
              </w:rPr>
              <w:t>Programa de Asistencia Técnica e Intercambio:</w:t>
            </w:r>
          </w:p>
        </w:tc>
      </w:tr>
      <w:tr w:rsidR="000B7DB2" w:rsidRPr="00175CE4" w14:paraId="1D573185" w14:textId="77777777" w:rsidTr="007616FC">
        <w:trPr>
          <w:trHeight w:val="584"/>
        </w:trPr>
        <w:tc>
          <w:tcPr>
            <w:tcW w:w="5000" w:type="pct"/>
            <w:gridSpan w:val="3"/>
            <w:tcBorders>
              <w:top w:val="nil"/>
              <w:left w:val="nil"/>
              <w:bottom w:val="single" w:sz="8" w:space="0" w:color="4472C4" w:themeColor="accent1"/>
              <w:right w:val="nil"/>
            </w:tcBorders>
            <w:shd w:val="clear" w:color="auto" w:fill="C5E0B3" w:themeFill="accent6" w:themeFillTint="66"/>
            <w:tcMar>
              <w:top w:w="72" w:type="dxa"/>
              <w:left w:w="144" w:type="dxa"/>
              <w:bottom w:w="72" w:type="dxa"/>
              <w:right w:w="144" w:type="dxa"/>
            </w:tcMar>
            <w:hideMark/>
          </w:tcPr>
          <w:p w14:paraId="0CE25045" w14:textId="77777777" w:rsidR="000B7DB2" w:rsidRPr="00AE1FD8" w:rsidRDefault="000B7DB2" w:rsidP="009E2C41">
            <w:pPr>
              <w:tabs>
                <w:tab w:val="left" w:pos="1440"/>
              </w:tabs>
              <w:jc w:val="both"/>
              <w:rPr>
                <w:bCs/>
                <w:sz w:val="22"/>
                <w:szCs w:val="22"/>
                <w:lang w:val="es-ES"/>
              </w:rPr>
            </w:pPr>
            <w:r w:rsidRPr="00AE1FD8">
              <w:rPr>
                <w:bCs/>
                <w:sz w:val="22"/>
                <w:szCs w:val="22"/>
                <w:lang w:val="es"/>
              </w:rPr>
              <w:t>1. Cartera de iniciativas prometedoras y series de informes de políticas.</w:t>
            </w:r>
          </w:p>
          <w:p w14:paraId="612E2687" w14:textId="77777777" w:rsidR="000B7DB2" w:rsidRPr="00AE1FD8" w:rsidRDefault="000B7DB2" w:rsidP="009E2C41">
            <w:pPr>
              <w:tabs>
                <w:tab w:val="left" w:pos="1440"/>
              </w:tabs>
              <w:jc w:val="both"/>
              <w:rPr>
                <w:bCs/>
                <w:sz w:val="22"/>
                <w:szCs w:val="22"/>
                <w:lang w:val="es-ES"/>
              </w:rPr>
            </w:pPr>
            <w:r w:rsidRPr="00AE1FD8">
              <w:rPr>
                <w:bCs/>
                <w:sz w:val="22"/>
                <w:szCs w:val="22"/>
                <w:lang w:val="es"/>
              </w:rPr>
              <w:t xml:space="preserve">2. Misiones de Asistencia Técnica y documentación de las experiencias de los países. </w:t>
            </w:r>
          </w:p>
          <w:p w14:paraId="4289037A" w14:textId="77777777" w:rsidR="000B7DB2" w:rsidRPr="00AE1FD8" w:rsidRDefault="000B7DB2" w:rsidP="009E2C41">
            <w:pPr>
              <w:tabs>
                <w:tab w:val="left" w:pos="1440"/>
              </w:tabs>
              <w:jc w:val="both"/>
              <w:rPr>
                <w:bCs/>
                <w:sz w:val="22"/>
                <w:szCs w:val="22"/>
                <w:lang w:val="es-ES"/>
              </w:rPr>
            </w:pPr>
            <w:r w:rsidRPr="00AE1FD8">
              <w:rPr>
                <w:bCs/>
                <w:sz w:val="22"/>
                <w:szCs w:val="22"/>
                <w:lang w:val="es"/>
              </w:rPr>
              <w:t xml:space="preserve">3. Talleres de intercambio de conocimientos sobre políticas y prácticas.  </w:t>
            </w:r>
          </w:p>
        </w:tc>
      </w:tr>
    </w:tbl>
    <w:p w14:paraId="351378C2" w14:textId="77777777" w:rsidR="000B7DB2" w:rsidRPr="00AE1FD8" w:rsidRDefault="000B7DB2" w:rsidP="009E2C41">
      <w:pPr>
        <w:jc w:val="both"/>
        <w:rPr>
          <w:rFonts w:eastAsia="Calibri"/>
          <w:b/>
          <w:bCs/>
          <w:sz w:val="22"/>
          <w:szCs w:val="22"/>
          <w:lang w:val="es-ES"/>
        </w:rPr>
      </w:pPr>
    </w:p>
    <w:p w14:paraId="1A13A889" w14:textId="77777777" w:rsidR="000B7DB2" w:rsidRPr="0085480A" w:rsidRDefault="000B7DB2" w:rsidP="009E2C41">
      <w:pPr>
        <w:jc w:val="both"/>
        <w:rPr>
          <w:rFonts w:eastAsia="Calibri"/>
          <w:b/>
          <w:bCs/>
          <w:color w:val="000000" w:themeColor="text1"/>
          <w:sz w:val="22"/>
          <w:szCs w:val="22"/>
          <w:lang w:val="es-ES"/>
        </w:rPr>
      </w:pPr>
      <w:r w:rsidRPr="0085480A">
        <w:rPr>
          <w:b/>
          <w:bCs/>
          <w:color w:val="000000" w:themeColor="text1"/>
          <w:sz w:val="22"/>
          <w:szCs w:val="22"/>
          <w:lang w:val="es"/>
        </w:rPr>
        <w:t>Resultados esperados</w:t>
      </w:r>
    </w:p>
    <w:p w14:paraId="47B63CAB" w14:textId="6D941D27" w:rsidR="0011294F" w:rsidRPr="00AE1FD8" w:rsidRDefault="006D5989" w:rsidP="002D68E7">
      <w:pPr>
        <w:jc w:val="both"/>
        <w:rPr>
          <w:b/>
          <w:bCs/>
          <w:sz w:val="22"/>
          <w:szCs w:val="22"/>
          <w:lang w:val="es"/>
        </w:rPr>
      </w:pPr>
      <w:r w:rsidRPr="006D5989">
        <w:rPr>
          <w:color w:val="000000" w:themeColor="text1"/>
          <w:sz w:val="22"/>
          <w:szCs w:val="22"/>
          <w:lang w:val="es"/>
        </w:rPr>
        <w:t>Se espera que para fines de 2025 se hayan analizado y fortalecido las políticas para promover sistemas educativos resilientes en materia de competencias y formación para el futuro del trabajo</w:t>
      </w:r>
    </w:p>
    <w:p w14:paraId="0BAD06C1" w14:textId="77777777" w:rsidR="006D5989" w:rsidRPr="00AE1FD8" w:rsidRDefault="006D5989" w:rsidP="009E2C41">
      <w:pPr>
        <w:jc w:val="both"/>
        <w:rPr>
          <w:b/>
          <w:bCs/>
          <w:sz w:val="22"/>
          <w:szCs w:val="22"/>
          <w:lang w:val="es"/>
        </w:rPr>
      </w:pPr>
    </w:p>
    <w:p w14:paraId="3BD15D7F" w14:textId="354253AC" w:rsidR="000B7DB2" w:rsidRPr="00AE1FD8" w:rsidRDefault="000B7DB2" w:rsidP="009E2C41">
      <w:pPr>
        <w:jc w:val="both"/>
        <w:rPr>
          <w:b/>
          <w:bCs/>
          <w:sz w:val="22"/>
          <w:szCs w:val="22"/>
          <w:lang w:val="es"/>
        </w:rPr>
      </w:pPr>
      <w:r w:rsidRPr="00AE1FD8">
        <w:rPr>
          <w:b/>
          <w:bCs/>
          <w:sz w:val="22"/>
          <w:szCs w:val="22"/>
          <w:lang w:val="es"/>
        </w:rPr>
        <w:t>Recursos humanos y financieros</w:t>
      </w:r>
    </w:p>
    <w:p w14:paraId="40AC66D3" w14:textId="07BC6D1B" w:rsidR="0011294F" w:rsidRPr="00305E12" w:rsidRDefault="000B7DB2" w:rsidP="002D68E7">
      <w:pPr>
        <w:jc w:val="both"/>
        <w:rPr>
          <w:sz w:val="22"/>
          <w:szCs w:val="22"/>
          <w:lang w:val="es-ES"/>
        </w:rPr>
      </w:pPr>
      <w:r w:rsidRPr="00AE1FD8">
        <w:rPr>
          <w:sz w:val="22"/>
          <w:szCs w:val="22"/>
          <w:lang w:val="es"/>
        </w:rPr>
        <w:t xml:space="preserve">La OEA y las Autoridades de la CIE y sus grupos de Trabajo harán todos sus esfuerzos para movilizar recursos para la implementación de este Programa </w:t>
      </w:r>
      <w:r w:rsidR="00EC2E1F">
        <w:rPr>
          <w:sz w:val="22"/>
          <w:szCs w:val="22"/>
          <w:lang w:val="es"/>
        </w:rPr>
        <w:t>Hemisférico</w:t>
      </w:r>
      <w:r w:rsidRPr="00AE1FD8">
        <w:rPr>
          <w:sz w:val="22"/>
          <w:szCs w:val="22"/>
          <w:lang w:val="es"/>
        </w:rPr>
        <w:t xml:space="preserve"> incluyendo contactos efectivos y consistentes con los posibles donantes. También tratarán de establecer alianzas oportunas y esfuerzos de recaudación de fondos con diversas organizaciones de desarrollo y organismos pertinentes del Sistema </w:t>
      </w:r>
      <w:r w:rsidR="00EC2E1F">
        <w:rPr>
          <w:sz w:val="22"/>
          <w:szCs w:val="22"/>
          <w:lang w:val="es"/>
        </w:rPr>
        <w:t>Hemisférico</w:t>
      </w:r>
      <w:r w:rsidRPr="00AE1FD8">
        <w:rPr>
          <w:sz w:val="22"/>
          <w:szCs w:val="22"/>
          <w:lang w:val="es"/>
        </w:rPr>
        <w:t>, salvaguardando tales compromisos de conflictos de interés.</w:t>
      </w:r>
    </w:p>
    <w:p w14:paraId="4200F9BF" w14:textId="758F71B6" w:rsidR="7FAB3DCB" w:rsidRDefault="7FAB3DCB" w:rsidP="009E2C41">
      <w:pPr>
        <w:jc w:val="both"/>
        <w:rPr>
          <w:b/>
          <w:bCs/>
          <w:sz w:val="22"/>
          <w:szCs w:val="22"/>
          <w:lang w:val="es"/>
        </w:rPr>
      </w:pPr>
    </w:p>
    <w:p w14:paraId="1B609FB4" w14:textId="3E3CE1BA" w:rsidR="000B7DB2" w:rsidRPr="0085480A" w:rsidRDefault="000B7DB2" w:rsidP="009E2C41">
      <w:pPr>
        <w:jc w:val="both"/>
        <w:rPr>
          <w:b/>
          <w:bCs/>
          <w:sz w:val="22"/>
          <w:szCs w:val="22"/>
          <w:lang w:val="es"/>
        </w:rPr>
      </w:pPr>
      <w:r w:rsidRPr="0085480A">
        <w:rPr>
          <w:b/>
          <w:bCs/>
          <w:sz w:val="22"/>
          <w:szCs w:val="22"/>
          <w:lang w:val="es"/>
        </w:rPr>
        <w:t>Designación de funcionarios</w:t>
      </w:r>
    </w:p>
    <w:p w14:paraId="64DB8718" w14:textId="77777777" w:rsidR="000B7DB2" w:rsidRPr="0085480A" w:rsidRDefault="000B7DB2" w:rsidP="002D68E7">
      <w:pPr>
        <w:jc w:val="both"/>
        <w:rPr>
          <w:rFonts w:eastAsia="Calibri"/>
          <w:sz w:val="22"/>
          <w:szCs w:val="22"/>
          <w:lang w:val="es-ES"/>
        </w:rPr>
      </w:pPr>
      <w:r w:rsidRPr="0085480A">
        <w:rPr>
          <w:sz w:val="22"/>
          <w:szCs w:val="22"/>
          <w:lang w:val="es"/>
        </w:rPr>
        <w:t xml:space="preserve">Se recomienda que los equipos estén conformados por hasta tres funcionarios responsables de las políticas públicas y programas sobre el tema y/o encargados de asesorar sobre temas relacionados con </w:t>
      </w:r>
      <w:r w:rsidRPr="0085480A">
        <w:rPr>
          <w:rFonts w:eastAsia="Calibri"/>
          <w:sz w:val="22"/>
          <w:szCs w:val="22"/>
          <w:lang w:val="es"/>
        </w:rPr>
        <w:t>el</w:t>
      </w:r>
      <w:r w:rsidRPr="0085480A">
        <w:rPr>
          <w:rFonts w:eastAsia="Calibri"/>
          <w:sz w:val="22"/>
          <w:szCs w:val="22"/>
          <w:lang w:val="es-ES"/>
        </w:rPr>
        <w:t xml:space="preserve"> acceso, acompañamiento de trayectorias educativas como de prevención del abandono escolar</w:t>
      </w:r>
      <w:r w:rsidRPr="0085480A">
        <w:rPr>
          <w:sz w:val="22"/>
          <w:szCs w:val="22"/>
          <w:lang w:val="es"/>
        </w:rPr>
        <w:t>.</w:t>
      </w:r>
    </w:p>
    <w:p w14:paraId="03761928" w14:textId="2284B99F" w:rsidR="7FAB3DCB" w:rsidRDefault="7FAB3DCB" w:rsidP="009E2C41">
      <w:pPr>
        <w:jc w:val="both"/>
        <w:rPr>
          <w:b/>
          <w:bCs/>
          <w:sz w:val="22"/>
          <w:szCs w:val="22"/>
          <w:lang w:val="es"/>
        </w:rPr>
      </w:pPr>
    </w:p>
    <w:p w14:paraId="54DA813A" w14:textId="77777777" w:rsidR="000B7DB2" w:rsidRPr="0085480A" w:rsidRDefault="000B7DB2" w:rsidP="009E2C41">
      <w:pPr>
        <w:jc w:val="both"/>
        <w:rPr>
          <w:b/>
          <w:bCs/>
          <w:sz w:val="22"/>
          <w:szCs w:val="22"/>
          <w:lang w:val="es"/>
        </w:rPr>
      </w:pPr>
      <w:r w:rsidRPr="0085480A">
        <w:rPr>
          <w:b/>
          <w:bCs/>
          <w:sz w:val="22"/>
          <w:szCs w:val="22"/>
          <w:lang w:val="es"/>
        </w:rPr>
        <w:t>Oficial de contacto</w:t>
      </w:r>
    </w:p>
    <w:p w14:paraId="583EF9CB" w14:textId="71C282A3" w:rsidR="000B7DB2" w:rsidRPr="006D5989" w:rsidRDefault="000B7DB2" w:rsidP="009E2C41">
      <w:pPr>
        <w:jc w:val="both"/>
        <w:rPr>
          <w:sz w:val="22"/>
          <w:szCs w:val="22"/>
          <w:lang w:val="es-ES"/>
        </w:rPr>
      </w:pPr>
      <w:r w:rsidRPr="0085480A">
        <w:rPr>
          <w:sz w:val="22"/>
          <w:szCs w:val="22"/>
          <w:lang w:val="es"/>
        </w:rPr>
        <w:t>Se solicita a cada Ministerio que envíe la información de los funcionarios designados a</w:t>
      </w:r>
      <w:r w:rsidR="006D5989">
        <w:rPr>
          <w:sz w:val="22"/>
          <w:szCs w:val="22"/>
          <w:lang w:val="es"/>
        </w:rPr>
        <w:t xml:space="preserve"> </w:t>
      </w:r>
      <w:r w:rsidRPr="006D5989">
        <w:rPr>
          <w:sz w:val="22"/>
          <w:szCs w:val="22"/>
          <w:lang w:val="es"/>
        </w:rPr>
        <w:t xml:space="preserve">Cecilia Martins: </w:t>
      </w:r>
      <w:hyperlink r:id="rId17" w:history="1">
        <w:r w:rsidRPr="006D5989">
          <w:rPr>
            <w:rStyle w:val="Hyperlink"/>
            <w:sz w:val="22"/>
            <w:szCs w:val="22"/>
            <w:lang w:val="es"/>
          </w:rPr>
          <w:t>education@oas.org</w:t>
        </w:r>
      </w:hyperlink>
      <w:r w:rsidRPr="006D5989">
        <w:rPr>
          <w:sz w:val="22"/>
          <w:szCs w:val="22"/>
          <w:lang w:val="es"/>
        </w:rPr>
        <w:t xml:space="preserve"> y </w:t>
      </w:r>
      <w:hyperlink r:id="rId18" w:history="1">
        <w:r w:rsidRPr="006D5989">
          <w:rPr>
            <w:rStyle w:val="Hyperlink"/>
            <w:sz w:val="22"/>
            <w:szCs w:val="22"/>
            <w:lang w:val="es"/>
          </w:rPr>
          <w:t>cmartins@oas.org</w:t>
        </w:r>
      </w:hyperlink>
      <w:r w:rsidR="00175CE4">
        <w:rPr>
          <w:noProof/>
          <w:sz w:val="22"/>
          <w:szCs w:val="22"/>
          <w:lang w:val="es-ES"/>
        </w:rPr>
        <mc:AlternateContent>
          <mc:Choice Requires="wps">
            <w:drawing>
              <wp:anchor distT="0" distB="0" distL="114300" distR="114300" simplePos="0" relativeHeight="251659264" behindDoc="0" locked="1" layoutInCell="1" allowOverlap="1" wp14:anchorId="4E1A9044" wp14:editId="37FCD786">
                <wp:simplePos x="0" y="0"/>
                <wp:positionH relativeFrom="column">
                  <wp:posOffset>-91440</wp:posOffset>
                </wp:positionH>
                <wp:positionV relativeFrom="page">
                  <wp:posOffset>9144000</wp:posOffset>
                </wp:positionV>
                <wp:extent cx="3383280" cy="228600"/>
                <wp:effectExtent l="0" t="0" r="0" b="0"/>
                <wp:wrapNone/>
                <wp:docPr id="3792320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ECD752E" w14:textId="48CF2ADF" w:rsidR="00175CE4" w:rsidRPr="00175CE4" w:rsidRDefault="00175CE4">
                            <w:pPr>
                              <w:rPr>
                                <w:sz w:val="18"/>
                              </w:rPr>
                            </w:pPr>
                            <w:r>
                              <w:rPr>
                                <w:sz w:val="18"/>
                              </w:rPr>
                              <w:fldChar w:fldCharType="begin"/>
                            </w:r>
                            <w:r>
                              <w:rPr>
                                <w:sz w:val="18"/>
                              </w:rPr>
                              <w:instrText xml:space="preserve"> FILENAME  \* MERGEFORMAT </w:instrText>
                            </w:r>
                            <w:r>
                              <w:rPr>
                                <w:sz w:val="18"/>
                              </w:rPr>
                              <w:fldChar w:fldCharType="separate"/>
                            </w:r>
                            <w:r>
                              <w:rPr>
                                <w:noProof/>
                                <w:sz w:val="18"/>
                              </w:rPr>
                              <w:t>CIDED00322S01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1A9044"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4ECD752E" w14:textId="48CF2ADF" w:rsidR="00175CE4" w:rsidRPr="00175CE4" w:rsidRDefault="00175CE4">
                      <w:pPr>
                        <w:rPr>
                          <w:sz w:val="18"/>
                        </w:rPr>
                      </w:pPr>
                      <w:r>
                        <w:rPr>
                          <w:sz w:val="18"/>
                        </w:rPr>
                        <w:fldChar w:fldCharType="begin"/>
                      </w:r>
                      <w:r>
                        <w:rPr>
                          <w:sz w:val="18"/>
                        </w:rPr>
                        <w:instrText xml:space="preserve"> FILENAME  \* MERGEFORMAT </w:instrText>
                      </w:r>
                      <w:r>
                        <w:rPr>
                          <w:sz w:val="18"/>
                        </w:rPr>
                        <w:fldChar w:fldCharType="separate"/>
                      </w:r>
                      <w:r>
                        <w:rPr>
                          <w:noProof/>
                          <w:sz w:val="18"/>
                        </w:rPr>
                        <w:t>CIDED00322S01</w:t>
                      </w:r>
                      <w:r>
                        <w:rPr>
                          <w:sz w:val="18"/>
                        </w:rPr>
                        <w:fldChar w:fldCharType="end"/>
                      </w:r>
                    </w:p>
                  </w:txbxContent>
                </v:textbox>
                <w10:wrap anchory="page"/>
                <w10:anchorlock/>
              </v:shape>
            </w:pict>
          </mc:Fallback>
        </mc:AlternateContent>
      </w:r>
    </w:p>
    <w:sectPr w:rsidR="000B7DB2" w:rsidRPr="006D5989" w:rsidSect="00271C8A">
      <w:pgSz w:w="12240" w:h="15840" w:code="1"/>
      <w:pgMar w:top="2160" w:right="1570" w:bottom="1296" w:left="1699" w:header="720" w:footer="720" w:gutter="0"/>
      <w:pgNumType w:fmt="numberInDash"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D8AD0" w14:textId="77777777" w:rsidR="0083759D" w:rsidRDefault="0083759D">
      <w:r>
        <w:separator/>
      </w:r>
    </w:p>
  </w:endnote>
  <w:endnote w:type="continuationSeparator" w:id="0">
    <w:p w14:paraId="460EA922" w14:textId="77777777" w:rsidR="0083759D" w:rsidRDefault="0083759D">
      <w:r>
        <w:continuationSeparator/>
      </w:r>
    </w:p>
  </w:endnote>
  <w:endnote w:type="continuationNotice" w:id="1">
    <w:p w14:paraId="05C144FE" w14:textId="77777777" w:rsidR="0083759D" w:rsidRDefault="00837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F572" w14:textId="77777777" w:rsidR="0083759D" w:rsidRDefault="0083759D">
      <w:r>
        <w:separator/>
      </w:r>
    </w:p>
  </w:footnote>
  <w:footnote w:type="continuationSeparator" w:id="0">
    <w:p w14:paraId="4CBF528A" w14:textId="77777777" w:rsidR="0083759D" w:rsidRDefault="0083759D">
      <w:r>
        <w:continuationSeparator/>
      </w:r>
    </w:p>
  </w:footnote>
  <w:footnote w:type="continuationNotice" w:id="1">
    <w:p w14:paraId="1F231B07" w14:textId="77777777" w:rsidR="0083759D" w:rsidRDefault="008375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0B8AEB37" w:rsidR="005A1046" w:rsidRDefault="000D5FBE" w:rsidP="005E60AB">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separate"/>
    </w:r>
    <w:r w:rsidR="009E2C41">
      <w:rPr>
        <w:rStyle w:val="PageNumber"/>
        <w:noProof/>
      </w:rPr>
      <w:t>2</w: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020" w14:textId="37A0B789" w:rsidR="005A1046" w:rsidRPr="005A1046" w:rsidRDefault="005A1046" w:rsidP="005A1046">
    <w:pPr>
      <w:pStyle w:val="Header"/>
      <w:jc w:val="center"/>
      <w:rPr>
        <w:lang w:val="es-AR"/>
      </w:rPr>
    </w:pPr>
    <w:r>
      <w:rPr>
        <w:lang w:val="es-AR"/>
      </w:rP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E64B2C">
      <w:rPr>
        <w:rStyle w:val="PageNumber"/>
        <w:noProof/>
      </w:rPr>
      <w:t>3</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rPr>
      <mc:AlternateContent>
        <mc:Choice Requires="wps">
          <w:drawing>
            <wp:anchor distT="0" distB="0" distL="114300" distR="114300" simplePos="0" relativeHeight="251656192"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lang w:val="es-CO"/>
                            </w:rPr>
                          </w:pPr>
                          <w:r w:rsidRPr="007437F5">
                            <w:rPr>
                              <w:rFonts w:ascii="Garamond" w:hAnsi="Garamond"/>
                              <w:b/>
                              <w:sz w:val="28"/>
                              <w:szCs w:val="28"/>
                              <w:lang w:val="es-CO"/>
                            </w:rPr>
                            <w:t>ORGANIZACIÓN DE LOS ESTADOS AMERICANOS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lang w:val="es-CO"/>
                            </w:rPr>
                          </w:pPr>
                          <w:r w:rsidRPr="007437F5">
                            <w:rPr>
                              <w:rFonts w:ascii="Garamond" w:hAnsi="Garamond"/>
                              <w:sz w:val="28"/>
                              <w:szCs w:val="28"/>
                              <w:lang w:val="es-CO"/>
                            </w:rPr>
                            <w:t>Consejo Interamericano para el Desarrollo Integral</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49DEB6D" id="_x0000_t202" coordsize="21600,21600" o:spt="202" path="m,l,21600r21600,l21600,xe">
              <v:stroke joinstyle="miter"/>
              <v:path gradientshapeok="t" o:connecttype="rect"/>
            </v:shapetype>
            <v:shape id="Text Box 3" o:spid="_x0000_s1026" type="#_x0000_t202" style="position:absolute;margin-left:35pt;margin-top:2.55pt;width:367.2pt;height: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lang w:val="es-CO"/>
                      </w:rPr>
                    </w:pPr>
                    <w:r w:rsidRPr="007437F5">
                      <w:rPr>
                        <w:rFonts w:ascii="Garamond" w:hAnsi="Garamond"/>
                        <w:b/>
                        <w:sz w:val="28"/>
                        <w:szCs w:val="28"/>
                        <w:lang w:val="es-CO"/>
                      </w:rPr>
                      <w:t>ORGANIZACIÓN DE LOS ESTADOS AMERICANOS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lang w:val="es-CO"/>
                      </w:rPr>
                    </w:pPr>
                    <w:r w:rsidRPr="007437F5">
                      <w:rPr>
                        <w:rFonts w:ascii="Garamond" w:hAnsi="Garamond"/>
                        <w:sz w:val="28"/>
                        <w:szCs w:val="28"/>
                        <w:lang w:val="es-CO"/>
                      </w:rPr>
                      <w:t>Consejo Interamericano para el Desarrollo Integral</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4"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5D6394" id="Text Box 2" o:spid="_x0000_s1027" type="#_x0000_t202" style="position:absolute;margin-left:400pt;margin-top:-2.8pt;width:101.4pt;height:6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4"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0"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1"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0C7654"/>
    <w:multiLevelType w:val="hybridMultilevel"/>
    <w:tmpl w:val="EAE6F6B8"/>
    <w:lvl w:ilvl="0" w:tplc="FFFFFFFF">
      <w:start w:val="1"/>
      <w:numFmt w:val="bullet"/>
      <w:lvlText w:val=""/>
      <w:lvlJc w:val="left"/>
      <w:pPr>
        <w:ind w:left="720" w:hanging="360"/>
      </w:pPr>
      <w:rPr>
        <w:rFonts w:ascii="Symbol" w:hAnsi="Symbol" w:hint="default"/>
      </w:rPr>
    </w:lvl>
    <w:lvl w:ilvl="1" w:tplc="7DB61F5C">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F36DC"/>
    <w:multiLevelType w:val="hybridMultilevel"/>
    <w:tmpl w:val="B16884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AE16ECA"/>
    <w:multiLevelType w:val="hybridMultilevel"/>
    <w:tmpl w:val="DF706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21BCD"/>
    <w:multiLevelType w:val="hybridMultilevel"/>
    <w:tmpl w:val="A90CAE7E"/>
    <w:lvl w:ilvl="0" w:tplc="04090017">
      <w:start w:val="1"/>
      <w:numFmt w:val="lowerLetter"/>
      <w:lvlText w:val="%1)"/>
      <w:lvlJc w:val="left"/>
      <w:pPr>
        <w:ind w:left="720" w:hanging="360"/>
      </w:pPr>
      <w:rPr>
        <w:rFonts w:hint="default"/>
      </w:rPr>
    </w:lvl>
    <w:lvl w:ilvl="1" w:tplc="C1EE5D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8"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6"/>
  </w:num>
  <w:num w:numId="3" w16cid:durableId="313222694">
    <w:abstractNumId w:val="0"/>
  </w:num>
  <w:num w:numId="4" w16cid:durableId="1224829501">
    <w:abstractNumId w:val="11"/>
  </w:num>
  <w:num w:numId="5" w16cid:durableId="979951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10"/>
  </w:num>
  <w:num w:numId="7" w16cid:durableId="849369625">
    <w:abstractNumId w:val="9"/>
  </w:num>
  <w:num w:numId="8" w16cid:durableId="1465192515">
    <w:abstractNumId w:val="8"/>
  </w:num>
  <w:num w:numId="9" w16cid:durableId="716199066">
    <w:abstractNumId w:val="7"/>
  </w:num>
  <w:num w:numId="10" w16cid:durableId="1399205">
    <w:abstractNumId w:val="2"/>
  </w:num>
  <w:num w:numId="11" w16cid:durableId="1209874980">
    <w:abstractNumId w:val="3"/>
  </w:num>
  <w:num w:numId="12" w16cid:durableId="716977480">
    <w:abstractNumId w:val="5"/>
  </w:num>
  <w:num w:numId="13" w16cid:durableId="193963216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168F"/>
    <w:rsid w:val="00004C52"/>
    <w:rsid w:val="000167CB"/>
    <w:rsid w:val="00017CBF"/>
    <w:rsid w:val="00021789"/>
    <w:rsid w:val="00025985"/>
    <w:rsid w:val="000274E0"/>
    <w:rsid w:val="00030603"/>
    <w:rsid w:val="0003083E"/>
    <w:rsid w:val="000312AC"/>
    <w:rsid w:val="00032463"/>
    <w:rsid w:val="0003461C"/>
    <w:rsid w:val="00036DB6"/>
    <w:rsid w:val="00036DFD"/>
    <w:rsid w:val="000375A9"/>
    <w:rsid w:val="00037F94"/>
    <w:rsid w:val="00040991"/>
    <w:rsid w:val="00043C97"/>
    <w:rsid w:val="00043E77"/>
    <w:rsid w:val="0004463E"/>
    <w:rsid w:val="00045035"/>
    <w:rsid w:val="00045896"/>
    <w:rsid w:val="00045DFF"/>
    <w:rsid w:val="00050309"/>
    <w:rsid w:val="00051559"/>
    <w:rsid w:val="000526EE"/>
    <w:rsid w:val="00053CC6"/>
    <w:rsid w:val="00054134"/>
    <w:rsid w:val="0005467F"/>
    <w:rsid w:val="0005588A"/>
    <w:rsid w:val="00060F1F"/>
    <w:rsid w:val="00061942"/>
    <w:rsid w:val="000645F7"/>
    <w:rsid w:val="00066EF4"/>
    <w:rsid w:val="000677A6"/>
    <w:rsid w:val="0006783C"/>
    <w:rsid w:val="00070CC1"/>
    <w:rsid w:val="00071A7E"/>
    <w:rsid w:val="00074DAD"/>
    <w:rsid w:val="000763A8"/>
    <w:rsid w:val="00077427"/>
    <w:rsid w:val="00077820"/>
    <w:rsid w:val="0008078D"/>
    <w:rsid w:val="000809CE"/>
    <w:rsid w:val="00081459"/>
    <w:rsid w:val="0008182E"/>
    <w:rsid w:val="000829AA"/>
    <w:rsid w:val="00083C8D"/>
    <w:rsid w:val="0008433E"/>
    <w:rsid w:val="0008535F"/>
    <w:rsid w:val="00085364"/>
    <w:rsid w:val="00085EFA"/>
    <w:rsid w:val="0008751A"/>
    <w:rsid w:val="00091848"/>
    <w:rsid w:val="0009198F"/>
    <w:rsid w:val="0009486D"/>
    <w:rsid w:val="0009528C"/>
    <w:rsid w:val="000A0311"/>
    <w:rsid w:val="000A1044"/>
    <w:rsid w:val="000A25D0"/>
    <w:rsid w:val="000A458D"/>
    <w:rsid w:val="000A7094"/>
    <w:rsid w:val="000A76B9"/>
    <w:rsid w:val="000B3378"/>
    <w:rsid w:val="000B3562"/>
    <w:rsid w:val="000B7CAD"/>
    <w:rsid w:val="000B7DB2"/>
    <w:rsid w:val="000C0BBB"/>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E730D"/>
    <w:rsid w:val="000F2E0B"/>
    <w:rsid w:val="000F3F4B"/>
    <w:rsid w:val="00100E12"/>
    <w:rsid w:val="00100E27"/>
    <w:rsid w:val="00103845"/>
    <w:rsid w:val="00106475"/>
    <w:rsid w:val="001117C5"/>
    <w:rsid w:val="0011294F"/>
    <w:rsid w:val="00112AD1"/>
    <w:rsid w:val="00115B8C"/>
    <w:rsid w:val="00122AB6"/>
    <w:rsid w:val="00126625"/>
    <w:rsid w:val="0012712A"/>
    <w:rsid w:val="00131225"/>
    <w:rsid w:val="00131611"/>
    <w:rsid w:val="00132665"/>
    <w:rsid w:val="001369DE"/>
    <w:rsid w:val="001373E0"/>
    <w:rsid w:val="00142F02"/>
    <w:rsid w:val="00150CC0"/>
    <w:rsid w:val="00151700"/>
    <w:rsid w:val="00152D2A"/>
    <w:rsid w:val="001550E1"/>
    <w:rsid w:val="00156876"/>
    <w:rsid w:val="00157A84"/>
    <w:rsid w:val="001602D1"/>
    <w:rsid w:val="00160379"/>
    <w:rsid w:val="00162B6E"/>
    <w:rsid w:val="00163F0D"/>
    <w:rsid w:val="00164BC8"/>
    <w:rsid w:val="001657F2"/>
    <w:rsid w:val="00171221"/>
    <w:rsid w:val="00171545"/>
    <w:rsid w:val="0017174E"/>
    <w:rsid w:val="00175CE4"/>
    <w:rsid w:val="0017652F"/>
    <w:rsid w:val="00177787"/>
    <w:rsid w:val="00181A34"/>
    <w:rsid w:val="001828D7"/>
    <w:rsid w:val="00184FD9"/>
    <w:rsid w:val="00185845"/>
    <w:rsid w:val="0018588B"/>
    <w:rsid w:val="001864AC"/>
    <w:rsid w:val="001876A4"/>
    <w:rsid w:val="00190211"/>
    <w:rsid w:val="0019145F"/>
    <w:rsid w:val="00192535"/>
    <w:rsid w:val="00192C3C"/>
    <w:rsid w:val="00193D26"/>
    <w:rsid w:val="00194712"/>
    <w:rsid w:val="001A36AC"/>
    <w:rsid w:val="001A4BC4"/>
    <w:rsid w:val="001B2672"/>
    <w:rsid w:val="001B2B35"/>
    <w:rsid w:val="001B2C37"/>
    <w:rsid w:val="001C06AA"/>
    <w:rsid w:val="001C1A5C"/>
    <w:rsid w:val="001D0220"/>
    <w:rsid w:val="001D0993"/>
    <w:rsid w:val="001D16EA"/>
    <w:rsid w:val="001D1D02"/>
    <w:rsid w:val="001D1F13"/>
    <w:rsid w:val="001D2AD1"/>
    <w:rsid w:val="001D31B7"/>
    <w:rsid w:val="001D51A4"/>
    <w:rsid w:val="001D5FE9"/>
    <w:rsid w:val="001D6139"/>
    <w:rsid w:val="001D6EDD"/>
    <w:rsid w:val="001D7330"/>
    <w:rsid w:val="001E1565"/>
    <w:rsid w:val="001E40E7"/>
    <w:rsid w:val="001E6162"/>
    <w:rsid w:val="001F2F0F"/>
    <w:rsid w:val="001F6478"/>
    <w:rsid w:val="001F7E7F"/>
    <w:rsid w:val="002008AF"/>
    <w:rsid w:val="00200B83"/>
    <w:rsid w:val="00202B4B"/>
    <w:rsid w:val="00203BC1"/>
    <w:rsid w:val="002044F4"/>
    <w:rsid w:val="0020588E"/>
    <w:rsid w:val="0021019B"/>
    <w:rsid w:val="00210F3C"/>
    <w:rsid w:val="00214E3D"/>
    <w:rsid w:val="002150B3"/>
    <w:rsid w:val="00215780"/>
    <w:rsid w:val="00215F64"/>
    <w:rsid w:val="0021615C"/>
    <w:rsid w:val="0021649B"/>
    <w:rsid w:val="0021760C"/>
    <w:rsid w:val="00220440"/>
    <w:rsid w:val="002215FA"/>
    <w:rsid w:val="002223FA"/>
    <w:rsid w:val="002244A7"/>
    <w:rsid w:val="002272B3"/>
    <w:rsid w:val="0023084B"/>
    <w:rsid w:val="00230EA7"/>
    <w:rsid w:val="0023137B"/>
    <w:rsid w:val="00231FAB"/>
    <w:rsid w:val="00233BB6"/>
    <w:rsid w:val="00236034"/>
    <w:rsid w:val="00236B16"/>
    <w:rsid w:val="00246EAD"/>
    <w:rsid w:val="0024784D"/>
    <w:rsid w:val="002526C6"/>
    <w:rsid w:val="00252A8A"/>
    <w:rsid w:val="00254D7F"/>
    <w:rsid w:val="0025559D"/>
    <w:rsid w:val="00256627"/>
    <w:rsid w:val="002570EA"/>
    <w:rsid w:val="002646C8"/>
    <w:rsid w:val="00264DBA"/>
    <w:rsid w:val="00265E60"/>
    <w:rsid w:val="00267653"/>
    <w:rsid w:val="0026766E"/>
    <w:rsid w:val="002679E3"/>
    <w:rsid w:val="00270B10"/>
    <w:rsid w:val="00271160"/>
    <w:rsid w:val="00271C8A"/>
    <w:rsid w:val="00273303"/>
    <w:rsid w:val="00273308"/>
    <w:rsid w:val="0027425E"/>
    <w:rsid w:val="002764E5"/>
    <w:rsid w:val="00276A3B"/>
    <w:rsid w:val="002805ED"/>
    <w:rsid w:val="002816E1"/>
    <w:rsid w:val="0028637D"/>
    <w:rsid w:val="002915A0"/>
    <w:rsid w:val="002918CB"/>
    <w:rsid w:val="00292769"/>
    <w:rsid w:val="00293527"/>
    <w:rsid w:val="00293CBE"/>
    <w:rsid w:val="00295C9B"/>
    <w:rsid w:val="002960F7"/>
    <w:rsid w:val="00296D06"/>
    <w:rsid w:val="002974B1"/>
    <w:rsid w:val="002A01BE"/>
    <w:rsid w:val="002A1047"/>
    <w:rsid w:val="002A2C00"/>
    <w:rsid w:val="002A4038"/>
    <w:rsid w:val="002A4650"/>
    <w:rsid w:val="002A5B98"/>
    <w:rsid w:val="002B0369"/>
    <w:rsid w:val="002B06EF"/>
    <w:rsid w:val="002B0BA1"/>
    <w:rsid w:val="002B364F"/>
    <w:rsid w:val="002B47C4"/>
    <w:rsid w:val="002C190E"/>
    <w:rsid w:val="002C2D8A"/>
    <w:rsid w:val="002C34B6"/>
    <w:rsid w:val="002C5645"/>
    <w:rsid w:val="002C59CD"/>
    <w:rsid w:val="002D3EDE"/>
    <w:rsid w:val="002D5F48"/>
    <w:rsid w:val="002D68E7"/>
    <w:rsid w:val="002D70CB"/>
    <w:rsid w:val="002E0514"/>
    <w:rsid w:val="002E5309"/>
    <w:rsid w:val="002F0485"/>
    <w:rsid w:val="002F2207"/>
    <w:rsid w:val="002F57A3"/>
    <w:rsid w:val="002F609F"/>
    <w:rsid w:val="002F7E67"/>
    <w:rsid w:val="00301242"/>
    <w:rsid w:val="00301531"/>
    <w:rsid w:val="00303AA1"/>
    <w:rsid w:val="003043D9"/>
    <w:rsid w:val="00305E12"/>
    <w:rsid w:val="003104C1"/>
    <w:rsid w:val="00310527"/>
    <w:rsid w:val="00311117"/>
    <w:rsid w:val="00314282"/>
    <w:rsid w:val="003167C5"/>
    <w:rsid w:val="0032081C"/>
    <w:rsid w:val="00331F53"/>
    <w:rsid w:val="00333B68"/>
    <w:rsid w:val="0034060E"/>
    <w:rsid w:val="003447E1"/>
    <w:rsid w:val="003456A4"/>
    <w:rsid w:val="00346558"/>
    <w:rsid w:val="0034729D"/>
    <w:rsid w:val="00347DDE"/>
    <w:rsid w:val="00350D52"/>
    <w:rsid w:val="0035316E"/>
    <w:rsid w:val="00355CE6"/>
    <w:rsid w:val="003573B6"/>
    <w:rsid w:val="00361604"/>
    <w:rsid w:val="0036314F"/>
    <w:rsid w:val="00364A17"/>
    <w:rsid w:val="00364C68"/>
    <w:rsid w:val="003667AE"/>
    <w:rsid w:val="00370594"/>
    <w:rsid w:val="00370818"/>
    <w:rsid w:val="0037120D"/>
    <w:rsid w:val="00372F24"/>
    <w:rsid w:val="00373395"/>
    <w:rsid w:val="00374AF8"/>
    <w:rsid w:val="003818FF"/>
    <w:rsid w:val="00383C6B"/>
    <w:rsid w:val="00385ADC"/>
    <w:rsid w:val="003868ED"/>
    <w:rsid w:val="00390D60"/>
    <w:rsid w:val="0039126C"/>
    <w:rsid w:val="00391541"/>
    <w:rsid w:val="00392E4A"/>
    <w:rsid w:val="0039533F"/>
    <w:rsid w:val="00397905"/>
    <w:rsid w:val="00397DD1"/>
    <w:rsid w:val="003A0748"/>
    <w:rsid w:val="003A2174"/>
    <w:rsid w:val="003A37A8"/>
    <w:rsid w:val="003A3C00"/>
    <w:rsid w:val="003A730F"/>
    <w:rsid w:val="003B12A6"/>
    <w:rsid w:val="003B13DB"/>
    <w:rsid w:val="003B3CBF"/>
    <w:rsid w:val="003B5BA1"/>
    <w:rsid w:val="003B60C5"/>
    <w:rsid w:val="003B6980"/>
    <w:rsid w:val="003C1B35"/>
    <w:rsid w:val="003C33CE"/>
    <w:rsid w:val="003C3A8D"/>
    <w:rsid w:val="003C55BF"/>
    <w:rsid w:val="003C6CCB"/>
    <w:rsid w:val="003D05C0"/>
    <w:rsid w:val="003D0723"/>
    <w:rsid w:val="003D0834"/>
    <w:rsid w:val="003D5F5C"/>
    <w:rsid w:val="003E0A5E"/>
    <w:rsid w:val="003E0B23"/>
    <w:rsid w:val="003E6635"/>
    <w:rsid w:val="003F452D"/>
    <w:rsid w:val="003F5069"/>
    <w:rsid w:val="00401E10"/>
    <w:rsid w:val="00402A08"/>
    <w:rsid w:val="00404772"/>
    <w:rsid w:val="00404E49"/>
    <w:rsid w:val="00414B75"/>
    <w:rsid w:val="004211FB"/>
    <w:rsid w:val="00421EA5"/>
    <w:rsid w:val="00423B74"/>
    <w:rsid w:val="004245AE"/>
    <w:rsid w:val="004259BE"/>
    <w:rsid w:val="004269A3"/>
    <w:rsid w:val="004269D8"/>
    <w:rsid w:val="004275C7"/>
    <w:rsid w:val="00431E62"/>
    <w:rsid w:val="00433C3B"/>
    <w:rsid w:val="00433D7C"/>
    <w:rsid w:val="00437B78"/>
    <w:rsid w:val="00442E96"/>
    <w:rsid w:val="00444E36"/>
    <w:rsid w:val="00445958"/>
    <w:rsid w:val="00446605"/>
    <w:rsid w:val="004472CA"/>
    <w:rsid w:val="00447863"/>
    <w:rsid w:val="00452AF5"/>
    <w:rsid w:val="00452D93"/>
    <w:rsid w:val="00456679"/>
    <w:rsid w:val="00457B2F"/>
    <w:rsid w:val="00461447"/>
    <w:rsid w:val="004621C5"/>
    <w:rsid w:val="00464AFA"/>
    <w:rsid w:val="0046706D"/>
    <w:rsid w:val="00470147"/>
    <w:rsid w:val="00470BC0"/>
    <w:rsid w:val="00471464"/>
    <w:rsid w:val="004725EB"/>
    <w:rsid w:val="00472BCB"/>
    <w:rsid w:val="00482BBE"/>
    <w:rsid w:val="00482F39"/>
    <w:rsid w:val="0048384F"/>
    <w:rsid w:val="004838AD"/>
    <w:rsid w:val="004841CA"/>
    <w:rsid w:val="00485C21"/>
    <w:rsid w:val="00490648"/>
    <w:rsid w:val="00491396"/>
    <w:rsid w:val="0049287D"/>
    <w:rsid w:val="00492E2E"/>
    <w:rsid w:val="004939AC"/>
    <w:rsid w:val="004A0D00"/>
    <w:rsid w:val="004A11F7"/>
    <w:rsid w:val="004B13CC"/>
    <w:rsid w:val="004B1A2C"/>
    <w:rsid w:val="004B5025"/>
    <w:rsid w:val="004C0E8A"/>
    <w:rsid w:val="004C1EEB"/>
    <w:rsid w:val="004C3136"/>
    <w:rsid w:val="004C4190"/>
    <w:rsid w:val="004C700A"/>
    <w:rsid w:val="004C7235"/>
    <w:rsid w:val="004D3B86"/>
    <w:rsid w:val="004D60B9"/>
    <w:rsid w:val="004D6858"/>
    <w:rsid w:val="004E0E58"/>
    <w:rsid w:val="004E0EA7"/>
    <w:rsid w:val="004E45B1"/>
    <w:rsid w:val="004F10DE"/>
    <w:rsid w:val="004F1602"/>
    <w:rsid w:val="004F25EF"/>
    <w:rsid w:val="004F6544"/>
    <w:rsid w:val="005030A7"/>
    <w:rsid w:val="00513AD0"/>
    <w:rsid w:val="00514F5D"/>
    <w:rsid w:val="00515C6F"/>
    <w:rsid w:val="005176D9"/>
    <w:rsid w:val="005228AB"/>
    <w:rsid w:val="005232F9"/>
    <w:rsid w:val="00524807"/>
    <w:rsid w:val="00526554"/>
    <w:rsid w:val="0052682E"/>
    <w:rsid w:val="005322C5"/>
    <w:rsid w:val="00533A0C"/>
    <w:rsid w:val="0053672F"/>
    <w:rsid w:val="00542EFA"/>
    <w:rsid w:val="00544185"/>
    <w:rsid w:val="00545C97"/>
    <w:rsid w:val="00554D1A"/>
    <w:rsid w:val="00555D71"/>
    <w:rsid w:val="00557BD2"/>
    <w:rsid w:val="005600AD"/>
    <w:rsid w:val="0056081E"/>
    <w:rsid w:val="0056192A"/>
    <w:rsid w:val="00566D61"/>
    <w:rsid w:val="00570B02"/>
    <w:rsid w:val="005811E5"/>
    <w:rsid w:val="00586791"/>
    <w:rsid w:val="00591C0B"/>
    <w:rsid w:val="00593035"/>
    <w:rsid w:val="005952DF"/>
    <w:rsid w:val="00596EB7"/>
    <w:rsid w:val="005A089F"/>
    <w:rsid w:val="005A1046"/>
    <w:rsid w:val="005A1E1A"/>
    <w:rsid w:val="005A1E33"/>
    <w:rsid w:val="005A35A8"/>
    <w:rsid w:val="005A7631"/>
    <w:rsid w:val="005B11F3"/>
    <w:rsid w:val="005B123D"/>
    <w:rsid w:val="005B1F49"/>
    <w:rsid w:val="005B526D"/>
    <w:rsid w:val="005B6465"/>
    <w:rsid w:val="005B6D3B"/>
    <w:rsid w:val="005C100F"/>
    <w:rsid w:val="005C167F"/>
    <w:rsid w:val="005C504E"/>
    <w:rsid w:val="005C63F5"/>
    <w:rsid w:val="005C761C"/>
    <w:rsid w:val="005D0256"/>
    <w:rsid w:val="005D1B79"/>
    <w:rsid w:val="005D1F9F"/>
    <w:rsid w:val="005D244D"/>
    <w:rsid w:val="005D3434"/>
    <w:rsid w:val="005D4A08"/>
    <w:rsid w:val="005D53BA"/>
    <w:rsid w:val="005D6FEF"/>
    <w:rsid w:val="005E17CD"/>
    <w:rsid w:val="005E60AB"/>
    <w:rsid w:val="005E63FC"/>
    <w:rsid w:val="005E6BE1"/>
    <w:rsid w:val="005E7D3E"/>
    <w:rsid w:val="005E7F09"/>
    <w:rsid w:val="005F05EF"/>
    <w:rsid w:val="005F0648"/>
    <w:rsid w:val="005F3B72"/>
    <w:rsid w:val="005F569E"/>
    <w:rsid w:val="005F5B32"/>
    <w:rsid w:val="005F6F42"/>
    <w:rsid w:val="005F777E"/>
    <w:rsid w:val="005F7843"/>
    <w:rsid w:val="006001C2"/>
    <w:rsid w:val="0060264F"/>
    <w:rsid w:val="00602B84"/>
    <w:rsid w:val="00603425"/>
    <w:rsid w:val="006111A3"/>
    <w:rsid w:val="006113C3"/>
    <w:rsid w:val="0061171D"/>
    <w:rsid w:val="00612C61"/>
    <w:rsid w:val="00620A25"/>
    <w:rsid w:val="00625FB7"/>
    <w:rsid w:val="00626056"/>
    <w:rsid w:val="0062646E"/>
    <w:rsid w:val="006304B3"/>
    <w:rsid w:val="00632869"/>
    <w:rsid w:val="0063305D"/>
    <w:rsid w:val="006337C2"/>
    <w:rsid w:val="00634653"/>
    <w:rsid w:val="0063720A"/>
    <w:rsid w:val="006444E5"/>
    <w:rsid w:val="00650317"/>
    <w:rsid w:val="00650F0A"/>
    <w:rsid w:val="006528AB"/>
    <w:rsid w:val="00653821"/>
    <w:rsid w:val="00657754"/>
    <w:rsid w:val="00657B97"/>
    <w:rsid w:val="00657D81"/>
    <w:rsid w:val="00660B15"/>
    <w:rsid w:val="00661C40"/>
    <w:rsid w:val="00662A5D"/>
    <w:rsid w:val="0066307E"/>
    <w:rsid w:val="00664016"/>
    <w:rsid w:val="0066447E"/>
    <w:rsid w:val="0066493D"/>
    <w:rsid w:val="00664ED5"/>
    <w:rsid w:val="00666772"/>
    <w:rsid w:val="006724DD"/>
    <w:rsid w:val="00672CD4"/>
    <w:rsid w:val="00673C74"/>
    <w:rsid w:val="00675D8C"/>
    <w:rsid w:val="0067670B"/>
    <w:rsid w:val="0067752A"/>
    <w:rsid w:val="006828E3"/>
    <w:rsid w:val="00683188"/>
    <w:rsid w:val="00683874"/>
    <w:rsid w:val="006841C5"/>
    <w:rsid w:val="00690F17"/>
    <w:rsid w:val="00696016"/>
    <w:rsid w:val="006A45FC"/>
    <w:rsid w:val="006A5F42"/>
    <w:rsid w:val="006A6CE1"/>
    <w:rsid w:val="006B0BB8"/>
    <w:rsid w:val="006C5A7E"/>
    <w:rsid w:val="006C5D32"/>
    <w:rsid w:val="006C6676"/>
    <w:rsid w:val="006C6724"/>
    <w:rsid w:val="006C7070"/>
    <w:rsid w:val="006D104E"/>
    <w:rsid w:val="006D4EF0"/>
    <w:rsid w:val="006D4F95"/>
    <w:rsid w:val="006D5989"/>
    <w:rsid w:val="006E061B"/>
    <w:rsid w:val="006E0C7B"/>
    <w:rsid w:val="006E177E"/>
    <w:rsid w:val="006E3DCF"/>
    <w:rsid w:val="006E7A3D"/>
    <w:rsid w:val="006F1098"/>
    <w:rsid w:val="006F12F2"/>
    <w:rsid w:val="006F473B"/>
    <w:rsid w:val="006F6387"/>
    <w:rsid w:val="006F64B5"/>
    <w:rsid w:val="00700CAB"/>
    <w:rsid w:val="00701067"/>
    <w:rsid w:val="00703A9F"/>
    <w:rsid w:val="00704241"/>
    <w:rsid w:val="00705956"/>
    <w:rsid w:val="00705F9E"/>
    <w:rsid w:val="007100E8"/>
    <w:rsid w:val="007123FB"/>
    <w:rsid w:val="00717A7A"/>
    <w:rsid w:val="00722A08"/>
    <w:rsid w:val="00722A28"/>
    <w:rsid w:val="00723DBC"/>
    <w:rsid w:val="0072574C"/>
    <w:rsid w:val="0072779B"/>
    <w:rsid w:val="0073025D"/>
    <w:rsid w:val="007319FE"/>
    <w:rsid w:val="00735A80"/>
    <w:rsid w:val="00735B59"/>
    <w:rsid w:val="0073799B"/>
    <w:rsid w:val="00740679"/>
    <w:rsid w:val="00740F69"/>
    <w:rsid w:val="00741C11"/>
    <w:rsid w:val="007437F5"/>
    <w:rsid w:val="00746574"/>
    <w:rsid w:val="00746C65"/>
    <w:rsid w:val="00754310"/>
    <w:rsid w:val="00756488"/>
    <w:rsid w:val="00757E68"/>
    <w:rsid w:val="00760228"/>
    <w:rsid w:val="007616FC"/>
    <w:rsid w:val="00761A63"/>
    <w:rsid w:val="0076362B"/>
    <w:rsid w:val="00764298"/>
    <w:rsid w:val="00765FC4"/>
    <w:rsid w:val="00766B54"/>
    <w:rsid w:val="00766F3E"/>
    <w:rsid w:val="007712AD"/>
    <w:rsid w:val="007724DD"/>
    <w:rsid w:val="007736F2"/>
    <w:rsid w:val="00776866"/>
    <w:rsid w:val="00776946"/>
    <w:rsid w:val="0078249E"/>
    <w:rsid w:val="00782DF4"/>
    <w:rsid w:val="0078394E"/>
    <w:rsid w:val="007A0E75"/>
    <w:rsid w:val="007A1C91"/>
    <w:rsid w:val="007A77F9"/>
    <w:rsid w:val="007B2E2C"/>
    <w:rsid w:val="007B5D81"/>
    <w:rsid w:val="007B6719"/>
    <w:rsid w:val="007B6CA9"/>
    <w:rsid w:val="007B725E"/>
    <w:rsid w:val="007C015C"/>
    <w:rsid w:val="007C0667"/>
    <w:rsid w:val="007C1A21"/>
    <w:rsid w:val="007C1E09"/>
    <w:rsid w:val="007C487B"/>
    <w:rsid w:val="007C722D"/>
    <w:rsid w:val="007D30C5"/>
    <w:rsid w:val="007D3FC4"/>
    <w:rsid w:val="007D5F06"/>
    <w:rsid w:val="007D62DC"/>
    <w:rsid w:val="007D70D3"/>
    <w:rsid w:val="007D7EBC"/>
    <w:rsid w:val="007E14EE"/>
    <w:rsid w:val="007E33EB"/>
    <w:rsid w:val="007E3626"/>
    <w:rsid w:val="007E58AA"/>
    <w:rsid w:val="007E66F0"/>
    <w:rsid w:val="007F027A"/>
    <w:rsid w:val="007F0555"/>
    <w:rsid w:val="007F2232"/>
    <w:rsid w:val="007F2774"/>
    <w:rsid w:val="007F2964"/>
    <w:rsid w:val="00801BBE"/>
    <w:rsid w:val="00806875"/>
    <w:rsid w:val="00806F64"/>
    <w:rsid w:val="00811F70"/>
    <w:rsid w:val="008123C2"/>
    <w:rsid w:val="008131B9"/>
    <w:rsid w:val="00813AD5"/>
    <w:rsid w:val="00815A69"/>
    <w:rsid w:val="00815B8B"/>
    <w:rsid w:val="008173A8"/>
    <w:rsid w:val="008178ED"/>
    <w:rsid w:val="00820BE4"/>
    <w:rsid w:val="00824592"/>
    <w:rsid w:val="00825D34"/>
    <w:rsid w:val="008276AE"/>
    <w:rsid w:val="00827CFF"/>
    <w:rsid w:val="008300D7"/>
    <w:rsid w:val="00831F7B"/>
    <w:rsid w:val="0083612A"/>
    <w:rsid w:val="0083759D"/>
    <w:rsid w:val="008406BC"/>
    <w:rsid w:val="00840A80"/>
    <w:rsid w:val="008465F8"/>
    <w:rsid w:val="008471BD"/>
    <w:rsid w:val="0085046B"/>
    <w:rsid w:val="008535F8"/>
    <w:rsid w:val="0085480A"/>
    <w:rsid w:val="0085501E"/>
    <w:rsid w:val="00855B35"/>
    <w:rsid w:val="00855CF0"/>
    <w:rsid w:val="00860701"/>
    <w:rsid w:val="00864A78"/>
    <w:rsid w:val="00871717"/>
    <w:rsid w:val="00871D47"/>
    <w:rsid w:val="00874472"/>
    <w:rsid w:val="00874E94"/>
    <w:rsid w:val="00875ACF"/>
    <w:rsid w:val="0087673A"/>
    <w:rsid w:val="00876786"/>
    <w:rsid w:val="00876B15"/>
    <w:rsid w:val="00877904"/>
    <w:rsid w:val="008844A0"/>
    <w:rsid w:val="0088452B"/>
    <w:rsid w:val="00885891"/>
    <w:rsid w:val="00886499"/>
    <w:rsid w:val="00886EEF"/>
    <w:rsid w:val="00886F6A"/>
    <w:rsid w:val="0088702D"/>
    <w:rsid w:val="00887D91"/>
    <w:rsid w:val="008902E8"/>
    <w:rsid w:val="00891377"/>
    <w:rsid w:val="0089272D"/>
    <w:rsid w:val="008A0A73"/>
    <w:rsid w:val="008A3BC5"/>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2258"/>
    <w:rsid w:val="008F4927"/>
    <w:rsid w:val="008F6E4E"/>
    <w:rsid w:val="0090111F"/>
    <w:rsid w:val="00903461"/>
    <w:rsid w:val="0090399F"/>
    <w:rsid w:val="00905B3E"/>
    <w:rsid w:val="0090696E"/>
    <w:rsid w:val="009077C1"/>
    <w:rsid w:val="00907C39"/>
    <w:rsid w:val="00910E1B"/>
    <w:rsid w:val="00910FAF"/>
    <w:rsid w:val="0091360B"/>
    <w:rsid w:val="009209A8"/>
    <w:rsid w:val="00920D74"/>
    <w:rsid w:val="009217A7"/>
    <w:rsid w:val="009224CE"/>
    <w:rsid w:val="00923359"/>
    <w:rsid w:val="00923F4F"/>
    <w:rsid w:val="00924F41"/>
    <w:rsid w:val="009258EA"/>
    <w:rsid w:val="00925C66"/>
    <w:rsid w:val="00925CDF"/>
    <w:rsid w:val="009267EC"/>
    <w:rsid w:val="009272D9"/>
    <w:rsid w:val="00927491"/>
    <w:rsid w:val="00927732"/>
    <w:rsid w:val="00934604"/>
    <w:rsid w:val="00936668"/>
    <w:rsid w:val="009411D9"/>
    <w:rsid w:val="00941951"/>
    <w:rsid w:val="009522A3"/>
    <w:rsid w:val="00954933"/>
    <w:rsid w:val="00955F92"/>
    <w:rsid w:val="009644C2"/>
    <w:rsid w:val="00964A6E"/>
    <w:rsid w:val="00964C0D"/>
    <w:rsid w:val="00971A48"/>
    <w:rsid w:val="00972C4E"/>
    <w:rsid w:val="009761A3"/>
    <w:rsid w:val="009836BB"/>
    <w:rsid w:val="009855A4"/>
    <w:rsid w:val="00986A86"/>
    <w:rsid w:val="009900F5"/>
    <w:rsid w:val="00991668"/>
    <w:rsid w:val="00992043"/>
    <w:rsid w:val="0099570A"/>
    <w:rsid w:val="00995897"/>
    <w:rsid w:val="009A1BD4"/>
    <w:rsid w:val="009A2564"/>
    <w:rsid w:val="009A51DF"/>
    <w:rsid w:val="009A5C2E"/>
    <w:rsid w:val="009A7AF0"/>
    <w:rsid w:val="009B0DC5"/>
    <w:rsid w:val="009B25B5"/>
    <w:rsid w:val="009B29A7"/>
    <w:rsid w:val="009B3593"/>
    <w:rsid w:val="009C0BA3"/>
    <w:rsid w:val="009C413E"/>
    <w:rsid w:val="009C4E0B"/>
    <w:rsid w:val="009D0832"/>
    <w:rsid w:val="009D16DF"/>
    <w:rsid w:val="009D2385"/>
    <w:rsid w:val="009D2FA7"/>
    <w:rsid w:val="009D3A97"/>
    <w:rsid w:val="009D7E18"/>
    <w:rsid w:val="009E1D01"/>
    <w:rsid w:val="009E2C41"/>
    <w:rsid w:val="009E3409"/>
    <w:rsid w:val="009E37A5"/>
    <w:rsid w:val="009E5B27"/>
    <w:rsid w:val="009E7B68"/>
    <w:rsid w:val="009F028C"/>
    <w:rsid w:val="009F278A"/>
    <w:rsid w:val="009F4248"/>
    <w:rsid w:val="009F4AA0"/>
    <w:rsid w:val="009F7FBA"/>
    <w:rsid w:val="00A027C9"/>
    <w:rsid w:val="00A031D0"/>
    <w:rsid w:val="00A064F3"/>
    <w:rsid w:val="00A11113"/>
    <w:rsid w:val="00A1255E"/>
    <w:rsid w:val="00A16A3A"/>
    <w:rsid w:val="00A21B7C"/>
    <w:rsid w:val="00A22855"/>
    <w:rsid w:val="00A266EE"/>
    <w:rsid w:val="00A27B99"/>
    <w:rsid w:val="00A309D8"/>
    <w:rsid w:val="00A30AD0"/>
    <w:rsid w:val="00A32CD9"/>
    <w:rsid w:val="00A379EE"/>
    <w:rsid w:val="00A37CD5"/>
    <w:rsid w:val="00A40839"/>
    <w:rsid w:val="00A43656"/>
    <w:rsid w:val="00A45606"/>
    <w:rsid w:val="00A46048"/>
    <w:rsid w:val="00A46552"/>
    <w:rsid w:val="00A50175"/>
    <w:rsid w:val="00A51839"/>
    <w:rsid w:val="00A5531F"/>
    <w:rsid w:val="00A556AF"/>
    <w:rsid w:val="00A57DAD"/>
    <w:rsid w:val="00A60C5E"/>
    <w:rsid w:val="00A615CC"/>
    <w:rsid w:val="00A625FE"/>
    <w:rsid w:val="00A64663"/>
    <w:rsid w:val="00A64BFE"/>
    <w:rsid w:val="00A65C29"/>
    <w:rsid w:val="00A67BD7"/>
    <w:rsid w:val="00A67D01"/>
    <w:rsid w:val="00A72D49"/>
    <w:rsid w:val="00A77E53"/>
    <w:rsid w:val="00A808F6"/>
    <w:rsid w:val="00A859C2"/>
    <w:rsid w:val="00A85B46"/>
    <w:rsid w:val="00A8783D"/>
    <w:rsid w:val="00A9093D"/>
    <w:rsid w:val="00A922C2"/>
    <w:rsid w:val="00A9444B"/>
    <w:rsid w:val="00A94A80"/>
    <w:rsid w:val="00A96897"/>
    <w:rsid w:val="00A97703"/>
    <w:rsid w:val="00AA3AB9"/>
    <w:rsid w:val="00AB0584"/>
    <w:rsid w:val="00AB105C"/>
    <w:rsid w:val="00AB1961"/>
    <w:rsid w:val="00AB2733"/>
    <w:rsid w:val="00AB29C6"/>
    <w:rsid w:val="00AB584B"/>
    <w:rsid w:val="00AB6720"/>
    <w:rsid w:val="00AC09D9"/>
    <w:rsid w:val="00AC0CA8"/>
    <w:rsid w:val="00AC0FBD"/>
    <w:rsid w:val="00AC1787"/>
    <w:rsid w:val="00AC2B40"/>
    <w:rsid w:val="00AC3E35"/>
    <w:rsid w:val="00AC7CF8"/>
    <w:rsid w:val="00AD0654"/>
    <w:rsid w:val="00AD492D"/>
    <w:rsid w:val="00AD7B06"/>
    <w:rsid w:val="00AE170D"/>
    <w:rsid w:val="00AE1FD8"/>
    <w:rsid w:val="00AE2736"/>
    <w:rsid w:val="00AE2C5A"/>
    <w:rsid w:val="00AE5E2B"/>
    <w:rsid w:val="00AE6186"/>
    <w:rsid w:val="00AE6F5E"/>
    <w:rsid w:val="00AE7C3F"/>
    <w:rsid w:val="00AF12F2"/>
    <w:rsid w:val="00AF64D3"/>
    <w:rsid w:val="00B032CF"/>
    <w:rsid w:val="00B14864"/>
    <w:rsid w:val="00B1635A"/>
    <w:rsid w:val="00B1730A"/>
    <w:rsid w:val="00B1736D"/>
    <w:rsid w:val="00B178FA"/>
    <w:rsid w:val="00B20AFC"/>
    <w:rsid w:val="00B21081"/>
    <w:rsid w:val="00B22CBB"/>
    <w:rsid w:val="00B23125"/>
    <w:rsid w:val="00B250CB"/>
    <w:rsid w:val="00B306E8"/>
    <w:rsid w:val="00B3159B"/>
    <w:rsid w:val="00B32F37"/>
    <w:rsid w:val="00B355E1"/>
    <w:rsid w:val="00B41C46"/>
    <w:rsid w:val="00B428E5"/>
    <w:rsid w:val="00B44997"/>
    <w:rsid w:val="00B526E3"/>
    <w:rsid w:val="00B54CE9"/>
    <w:rsid w:val="00B55FC5"/>
    <w:rsid w:val="00B56BDC"/>
    <w:rsid w:val="00B60DA5"/>
    <w:rsid w:val="00B6212E"/>
    <w:rsid w:val="00B624F0"/>
    <w:rsid w:val="00B672CE"/>
    <w:rsid w:val="00B67603"/>
    <w:rsid w:val="00B71D1A"/>
    <w:rsid w:val="00B727D6"/>
    <w:rsid w:val="00B7402B"/>
    <w:rsid w:val="00B7752D"/>
    <w:rsid w:val="00B824D3"/>
    <w:rsid w:val="00B87FC3"/>
    <w:rsid w:val="00B90FFA"/>
    <w:rsid w:val="00B93188"/>
    <w:rsid w:val="00B937C4"/>
    <w:rsid w:val="00B93F2D"/>
    <w:rsid w:val="00B94018"/>
    <w:rsid w:val="00B94BCA"/>
    <w:rsid w:val="00B96307"/>
    <w:rsid w:val="00BA05A7"/>
    <w:rsid w:val="00BA16A5"/>
    <w:rsid w:val="00BA1F21"/>
    <w:rsid w:val="00BA4579"/>
    <w:rsid w:val="00BA7B0F"/>
    <w:rsid w:val="00BB2ACF"/>
    <w:rsid w:val="00BB34E6"/>
    <w:rsid w:val="00BB52FB"/>
    <w:rsid w:val="00BB5B9A"/>
    <w:rsid w:val="00BB751D"/>
    <w:rsid w:val="00BE0D8D"/>
    <w:rsid w:val="00BE162E"/>
    <w:rsid w:val="00BE1B94"/>
    <w:rsid w:val="00BE2D94"/>
    <w:rsid w:val="00BE43C7"/>
    <w:rsid w:val="00BE75A8"/>
    <w:rsid w:val="00BE7A23"/>
    <w:rsid w:val="00BF16B0"/>
    <w:rsid w:val="00BF1FB0"/>
    <w:rsid w:val="00BF3C4C"/>
    <w:rsid w:val="00BF598E"/>
    <w:rsid w:val="00BF6EC7"/>
    <w:rsid w:val="00BF79B1"/>
    <w:rsid w:val="00C00FD8"/>
    <w:rsid w:val="00C01D14"/>
    <w:rsid w:val="00C02FA5"/>
    <w:rsid w:val="00C03BF6"/>
    <w:rsid w:val="00C061C2"/>
    <w:rsid w:val="00C068D8"/>
    <w:rsid w:val="00C07293"/>
    <w:rsid w:val="00C1013C"/>
    <w:rsid w:val="00C11BF0"/>
    <w:rsid w:val="00C13F29"/>
    <w:rsid w:val="00C169EA"/>
    <w:rsid w:val="00C20973"/>
    <w:rsid w:val="00C226CF"/>
    <w:rsid w:val="00C246C6"/>
    <w:rsid w:val="00C26F37"/>
    <w:rsid w:val="00C3DB60"/>
    <w:rsid w:val="00C41BF5"/>
    <w:rsid w:val="00C44410"/>
    <w:rsid w:val="00C4442A"/>
    <w:rsid w:val="00C45F53"/>
    <w:rsid w:val="00C4670D"/>
    <w:rsid w:val="00C46A08"/>
    <w:rsid w:val="00C539FD"/>
    <w:rsid w:val="00C54A64"/>
    <w:rsid w:val="00C55B82"/>
    <w:rsid w:val="00C570FF"/>
    <w:rsid w:val="00C57E90"/>
    <w:rsid w:val="00C624AD"/>
    <w:rsid w:val="00C63EA8"/>
    <w:rsid w:val="00C66445"/>
    <w:rsid w:val="00C66B12"/>
    <w:rsid w:val="00C67779"/>
    <w:rsid w:val="00C70A11"/>
    <w:rsid w:val="00C719E2"/>
    <w:rsid w:val="00C71C2A"/>
    <w:rsid w:val="00C75026"/>
    <w:rsid w:val="00C763F8"/>
    <w:rsid w:val="00C77276"/>
    <w:rsid w:val="00C77722"/>
    <w:rsid w:val="00C804D7"/>
    <w:rsid w:val="00C8080E"/>
    <w:rsid w:val="00C823BC"/>
    <w:rsid w:val="00C83AEC"/>
    <w:rsid w:val="00C85410"/>
    <w:rsid w:val="00C87AEF"/>
    <w:rsid w:val="00C911A9"/>
    <w:rsid w:val="00C92134"/>
    <w:rsid w:val="00C95220"/>
    <w:rsid w:val="00C96199"/>
    <w:rsid w:val="00CA1D3E"/>
    <w:rsid w:val="00CA1DF8"/>
    <w:rsid w:val="00CA319B"/>
    <w:rsid w:val="00CA3725"/>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3F4"/>
    <w:rsid w:val="00CC15BC"/>
    <w:rsid w:val="00CC2105"/>
    <w:rsid w:val="00CC21D7"/>
    <w:rsid w:val="00CC4785"/>
    <w:rsid w:val="00CC7AFC"/>
    <w:rsid w:val="00CD00CB"/>
    <w:rsid w:val="00CD1153"/>
    <w:rsid w:val="00CD3162"/>
    <w:rsid w:val="00CD3A2B"/>
    <w:rsid w:val="00CD72D7"/>
    <w:rsid w:val="00CE4166"/>
    <w:rsid w:val="00CE47B3"/>
    <w:rsid w:val="00CE5033"/>
    <w:rsid w:val="00CE74D1"/>
    <w:rsid w:val="00CE7602"/>
    <w:rsid w:val="00CE7CA6"/>
    <w:rsid w:val="00CF0DB3"/>
    <w:rsid w:val="00CF0F1B"/>
    <w:rsid w:val="00CF1A65"/>
    <w:rsid w:val="00CF2B5A"/>
    <w:rsid w:val="00CF32ED"/>
    <w:rsid w:val="00D018E7"/>
    <w:rsid w:val="00D0223C"/>
    <w:rsid w:val="00D046EE"/>
    <w:rsid w:val="00D05EBA"/>
    <w:rsid w:val="00D06912"/>
    <w:rsid w:val="00D0707E"/>
    <w:rsid w:val="00D07D77"/>
    <w:rsid w:val="00D13EA8"/>
    <w:rsid w:val="00D215FE"/>
    <w:rsid w:val="00D24DBE"/>
    <w:rsid w:val="00D25F2E"/>
    <w:rsid w:val="00D26326"/>
    <w:rsid w:val="00D264A7"/>
    <w:rsid w:val="00D27BBE"/>
    <w:rsid w:val="00D37026"/>
    <w:rsid w:val="00D37D36"/>
    <w:rsid w:val="00D422E2"/>
    <w:rsid w:val="00D42FB3"/>
    <w:rsid w:val="00D44B22"/>
    <w:rsid w:val="00D469C8"/>
    <w:rsid w:val="00D46CF6"/>
    <w:rsid w:val="00D47893"/>
    <w:rsid w:val="00D520BB"/>
    <w:rsid w:val="00D53340"/>
    <w:rsid w:val="00D539CA"/>
    <w:rsid w:val="00D565C1"/>
    <w:rsid w:val="00D56E05"/>
    <w:rsid w:val="00D57BB7"/>
    <w:rsid w:val="00D6016B"/>
    <w:rsid w:val="00D601EB"/>
    <w:rsid w:val="00D60EF6"/>
    <w:rsid w:val="00D62356"/>
    <w:rsid w:val="00D63BC2"/>
    <w:rsid w:val="00D64096"/>
    <w:rsid w:val="00D66B39"/>
    <w:rsid w:val="00D73F87"/>
    <w:rsid w:val="00D83177"/>
    <w:rsid w:val="00D8564E"/>
    <w:rsid w:val="00D85F2F"/>
    <w:rsid w:val="00D868EE"/>
    <w:rsid w:val="00D90F51"/>
    <w:rsid w:val="00D9150E"/>
    <w:rsid w:val="00D928AB"/>
    <w:rsid w:val="00D946B4"/>
    <w:rsid w:val="00D966E8"/>
    <w:rsid w:val="00DA0407"/>
    <w:rsid w:val="00DA2D06"/>
    <w:rsid w:val="00DA4593"/>
    <w:rsid w:val="00DA4894"/>
    <w:rsid w:val="00DA5380"/>
    <w:rsid w:val="00DA7BEF"/>
    <w:rsid w:val="00DB172C"/>
    <w:rsid w:val="00DB535B"/>
    <w:rsid w:val="00DB6CD7"/>
    <w:rsid w:val="00DC1498"/>
    <w:rsid w:val="00DC2B9C"/>
    <w:rsid w:val="00DC4DF4"/>
    <w:rsid w:val="00DC5975"/>
    <w:rsid w:val="00DC670C"/>
    <w:rsid w:val="00DC74C8"/>
    <w:rsid w:val="00DD24D8"/>
    <w:rsid w:val="00DD44C4"/>
    <w:rsid w:val="00DD5ACE"/>
    <w:rsid w:val="00DD72C2"/>
    <w:rsid w:val="00DD7CC8"/>
    <w:rsid w:val="00DE0789"/>
    <w:rsid w:val="00DE0831"/>
    <w:rsid w:val="00DE0CF6"/>
    <w:rsid w:val="00DE1F9D"/>
    <w:rsid w:val="00DE30E8"/>
    <w:rsid w:val="00DE409C"/>
    <w:rsid w:val="00DE5DD8"/>
    <w:rsid w:val="00DE5EFD"/>
    <w:rsid w:val="00DE65F8"/>
    <w:rsid w:val="00DE7715"/>
    <w:rsid w:val="00DF0DE1"/>
    <w:rsid w:val="00DF18CD"/>
    <w:rsid w:val="00DF1CA4"/>
    <w:rsid w:val="00DF47FD"/>
    <w:rsid w:val="00DF6987"/>
    <w:rsid w:val="00E012BB"/>
    <w:rsid w:val="00E0218A"/>
    <w:rsid w:val="00E0325D"/>
    <w:rsid w:val="00E03501"/>
    <w:rsid w:val="00E11A46"/>
    <w:rsid w:val="00E1235F"/>
    <w:rsid w:val="00E12803"/>
    <w:rsid w:val="00E12AB2"/>
    <w:rsid w:val="00E12C77"/>
    <w:rsid w:val="00E15D9C"/>
    <w:rsid w:val="00E21C64"/>
    <w:rsid w:val="00E24CFD"/>
    <w:rsid w:val="00E25454"/>
    <w:rsid w:val="00E25DFB"/>
    <w:rsid w:val="00E2617F"/>
    <w:rsid w:val="00E268BC"/>
    <w:rsid w:val="00E27B43"/>
    <w:rsid w:val="00E30682"/>
    <w:rsid w:val="00E31314"/>
    <w:rsid w:val="00E31659"/>
    <w:rsid w:val="00E332F5"/>
    <w:rsid w:val="00E3473B"/>
    <w:rsid w:val="00E3506C"/>
    <w:rsid w:val="00E354FF"/>
    <w:rsid w:val="00E3596D"/>
    <w:rsid w:val="00E4117B"/>
    <w:rsid w:val="00E41786"/>
    <w:rsid w:val="00E41FFC"/>
    <w:rsid w:val="00E42019"/>
    <w:rsid w:val="00E4305D"/>
    <w:rsid w:val="00E43D96"/>
    <w:rsid w:val="00E444FE"/>
    <w:rsid w:val="00E453C3"/>
    <w:rsid w:val="00E52DC7"/>
    <w:rsid w:val="00E56DEE"/>
    <w:rsid w:val="00E62E14"/>
    <w:rsid w:val="00E64B2C"/>
    <w:rsid w:val="00E67DC2"/>
    <w:rsid w:val="00E72007"/>
    <w:rsid w:val="00E72DFF"/>
    <w:rsid w:val="00E76941"/>
    <w:rsid w:val="00E769DC"/>
    <w:rsid w:val="00E774F3"/>
    <w:rsid w:val="00E801DF"/>
    <w:rsid w:val="00E83747"/>
    <w:rsid w:val="00E85F2C"/>
    <w:rsid w:val="00E874C2"/>
    <w:rsid w:val="00E87889"/>
    <w:rsid w:val="00E95549"/>
    <w:rsid w:val="00E95C73"/>
    <w:rsid w:val="00EA06B8"/>
    <w:rsid w:val="00EA2B7C"/>
    <w:rsid w:val="00EA2C2B"/>
    <w:rsid w:val="00EA68AB"/>
    <w:rsid w:val="00EB0B3A"/>
    <w:rsid w:val="00EB5A91"/>
    <w:rsid w:val="00EB64C5"/>
    <w:rsid w:val="00EB7E9D"/>
    <w:rsid w:val="00EC2E1F"/>
    <w:rsid w:val="00EC4ECE"/>
    <w:rsid w:val="00EC5D47"/>
    <w:rsid w:val="00EC7701"/>
    <w:rsid w:val="00ED0914"/>
    <w:rsid w:val="00ED0DB6"/>
    <w:rsid w:val="00ED264D"/>
    <w:rsid w:val="00ED584B"/>
    <w:rsid w:val="00ED5B3B"/>
    <w:rsid w:val="00EE10F4"/>
    <w:rsid w:val="00EE131D"/>
    <w:rsid w:val="00EE2426"/>
    <w:rsid w:val="00EE27E0"/>
    <w:rsid w:val="00EE4B43"/>
    <w:rsid w:val="00EE56CB"/>
    <w:rsid w:val="00EE6B28"/>
    <w:rsid w:val="00EE72E8"/>
    <w:rsid w:val="00EF0160"/>
    <w:rsid w:val="00EF1B78"/>
    <w:rsid w:val="00EF24EB"/>
    <w:rsid w:val="00EF4CD3"/>
    <w:rsid w:val="00EF6D3A"/>
    <w:rsid w:val="00F013D0"/>
    <w:rsid w:val="00F04793"/>
    <w:rsid w:val="00F04B54"/>
    <w:rsid w:val="00F0507F"/>
    <w:rsid w:val="00F05E0F"/>
    <w:rsid w:val="00F05F8D"/>
    <w:rsid w:val="00F12254"/>
    <w:rsid w:val="00F12526"/>
    <w:rsid w:val="00F14344"/>
    <w:rsid w:val="00F14BD1"/>
    <w:rsid w:val="00F16003"/>
    <w:rsid w:val="00F16456"/>
    <w:rsid w:val="00F16F15"/>
    <w:rsid w:val="00F20ECE"/>
    <w:rsid w:val="00F21734"/>
    <w:rsid w:val="00F2464D"/>
    <w:rsid w:val="00F263F8"/>
    <w:rsid w:val="00F264CF"/>
    <w:rsid w:val="00F30993"/>
    <w:rsid w:val="00F30A6C"/>
    <w:rsid w:val="00F31382"/>
    <w:rsid w:val="00F31860"/>
    <w:rsid w:val="00F31C49"/>
    <w:rsid w:val="00F33290"/>
    <w:rsid w:val="00F35971"/>
    <w:rsid w:val="00F35F51"/>
    <w:rsid w:val="00F36423"/>
    <w:rsid w:val="00F369C6"/>
    <w:rsid w:val="00F377DE"/>
    <w:rsid w:val="00F4227B"/>
    <w:rsid w:val="00F45A3E"/>
    <w:rsid w:val="00F463B4"/>
    <w:rsid w:val="00F46583"/>
    <w:rsid w:val="00F54BC3"/>
    <w:rsid w:val="00F555B0"/>
    <w:rsid w:val="00F5562F"/>
    <w:rsid w:val="00F562C1"/>
    <w:rsid w:val="00F56D3D"/>
    <w:rsid w:val="00F56E1E"/>
    <w:rsid w:val="00F5717A"/>
    <w:rsid w:val="00F61795"/>
    <w:rsid w:val="00F621D9"/>
    <w:rsid w:val="00F63CDB"/>
    <w:rsid w:val="00F64A0F"/>
    <w:rsid w:val="00F65186"/>
    <w:rsid w:val="00F67DE9"/>
    <w:rsid w:val="00F72AAA"/>
    <w:rsid w:val="00F73F2A"/>
    <w:rsid w:val="00F745EB"/>
    <w:rsid w:val="00F8017C"/>
    <w:rsid w:val="00F8038B"/>
    <w:rsid w:val="00F8716A"/>
    <w:rsid w:val="00F92FCC"/>
    <w:rsid w:val="00F94126"/>
    <w:rsid w:val="00F958B1"/>
    <w:rsid w:val="00F972CF"/>
    <w:rsid w:val="00F97E80"/>
    <w:rsid w:val="00FB20FC"/>
    <w:rsid w:val="00FB2D1C"/>
    <w:rsid w:val="00FB3344"/>
    <w:rsid w:val="00FB3715"/>
    <w:rsid w:val="00FB3E42"/>
    <w:rsid w:val="00FB5862"/>
    <w:rsid w:val="00FC02C4"/>
    <w:rsid w:val="00FC0A19"/>
    <w:rsid w:val="00FC4E71"/>
    <w:rsid w:val="00FC6572"/>
    <w:rsid w:val="00FC697A"/>
    <w:rsid w:val="00FC79A7"/>
    <w:rsid w:val="00FD035F"/>
    <w:rsid w:val="00FD1EC6"/>
    <w:rsid w:val="00FD33AB"/>
    <w:rsid w:val="00FD66D4"/>
    <w:rsid w:val="00FD7040"/>
    <w:rsid w:val="00FD7138"/>
    <w:rsid w:val="00FE16DE"/>
    <w:rsid w:val="00FE2FD3"/>
    <w:rsid w:val="00FE5615"/>
    <w:rsid w:val="00FE77E1"/>
    <w:rsid w:val="00FF15EC"/>
    <w:rsid w:val="00FF1A1D"/>
    <w:rsid w:val="00FF3F71"/>
    <w:rsid w:val="00FF53E3"/>
    <w:rsid w:val="00FF7111"/>
    <w:rsid w:val="057DD92F"/>
    <w:rsid w:val="08E45944"/>
    <w:rsid w:val="0B580A9F"/>
    <w:rsid w:val="0B858CC1"/>
    <w:rsid w:val="0DF324D0"/>
    <w:rsid w:val="10D44A9F"/>
    <w:rsid w:val="1548BC9F"/>
    <w:rsid w:val="1C1B6531"/>
    <w:rsid w:val="1E1F16F8"/>
    <w:rsid w:val="1E699D8D"/>
    <w:rsid w:val="1EAE523E"/>
    <w:rsid w:val="24BFB6B4"/>
    <w:rsid w:val="24D84DD0"/>
    <w:rsid w:val="288A83EA"/>
    <w:rsid w:val="28A7526A"/>
    <w:rsid w:val="28B2F3EC"/>
    <w:rsid w:val="2B2EF838"/>
    <w:rsid w:val="2CCAC899"/>
    <w:rsid w:val="2D70E7AF"/>
    <w:rsid w:val="2E6698FA"/>
    <w:rsid w:val="32D64A2D"/>
    <w:rsid w:val="33063891"/>
    <w:rsid w:val="38B7B918"/>
    <w:rsid w:val="3CE8D9E9"/>
    <w:rsid w:val="3FCD7013"/>
    <w:rsid w:val="406FEAAE"/>
    <w:rsid w:val="451D2F4D"/>
    <w:rsid w:val="453CFBC9"/>
    <w:rsid w:val="4C0F0B0A"/>
    <w:rsid w:val="4C92CABE"/>
    <w:rsid w:val="4E95D0CE"/>
    <w:rsid w:val="5448D9CD"/>
    <w:rsid w:val="592C56D7"/>
    <w:rsid w:val="5A6D3015"/>
    <w:rsid w:val="5DA6A67A"/>
    <w:rsid w:val="602D6452"/>
    <w:rsid w:val="644E7B2A"/>
    <w:rsid w:val="67D1FE98"/>
    <w:rsid w:val="6A0D0950"/>
    <w:rsid w:val="6B22D214"/>
    <w:rsid w:val="6F621BC2"/>
    <w:rsid w:val="71CD2FF9"/>
    <w:rsid w:val="73986AF7"/>
    <w:rsid w:val="7AF1EA84"/>
    <w:rsid w:val="7C6839D9"/>
    <w:rsid w:val="7E8C8FC0"/>
    <w:rsid w:val="7FAB3D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EA30"/>
  <w15:chartTrackingRefBased/>
  <w15:docId w15:val="{A8482156-C569-40A9-B29B-D8787574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semiHidden/>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aliases w:val="Fundamentacion,Bulleted List,SubPárrafo de lista"/>
    <w:basedOn w:val="Normal"/>
    <w:link w:val="ListParagraphChar"/>
    <w:uiPriority w:val="99"/>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 w:type="character" w:customStyle="1" w:styleId="ListParagraphChar">
    <w:name w:val="List Paragraph Char"/>
    <w:aliases w:val="Fundamentacion Char,Bulleted List Char,SubPárrafo de lista Char"/>
    <w:link w:val="ListParagraph"/>
    <w:uiPriority w:val="99"/>
    <w:locked/>
    <w:rsid w:val="000B7DB2"/>
  </w:style>
  <w:style w:type="character" w:styleId="UnresolvedMention">
    <w:name w:val="Unresolved Mention"/>
    <w:basedOn w:val="DefaultParagraphFont"/>
    <w:uiPriority w:val="99"/>
    <w:semiHidden/>
    <w:unhideWhenUsed/>
    <w:rsid w:val="00EE131D"/>
    <w:rPr>
      <w:color w:val="605E5C"/>
      <w:shd w:val="clear" w:color="auto" w:fill="E1DFDD"/>
    </w:rPr>
  </w:style>
  <w:style w:type="paragraph" w:styleId="Revision">
    <w:name w:val="Revision"/>
    <w:hidden/>
    <w:uiPriority w:val="99"/>
    <w:semiHidden/>
    <w:rsid w:val="00383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cmartins@oa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ducation@oas.org" TargetMode="External"/><Relationship Id="rId2" Type="http://schemas.openxmlformats.org/officeDocument/2006/relationships/customXml" Target="../customXml/item2.xml"/><Relationship Id="rId16" Type="http://schemas.openxmlformats.org/officeDocument/2006/relationships/hyperlink" Target="https://siteal.iiep.unesco.org/eje/pdf/107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as.org/udse/informeIIIministerial/informe/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as.org/udse/espanol/cpo_educ_1minist.asp"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customXml/itemProps2.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3.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4.xml><?xml version="1.0" encoding="utf-8"?>
<ds:datastoreItem xmlns:ds="http://schemas.openxmlformats.org/officeDocument/2006/customXml" ds:itemID="{F12F1C4F-E820-4FEA-9F61-FBB23AF2E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2</TotalTime>
  <Pages>8</Pages>
  <Words>2879</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19777</CharactersWithSpaces>
  <SharedDoc>false</SharedDoc>
  <HLinks>
    <vt:vector size="48" baseType="variant">
      <vt:variant>
        <vt:i4>458812</vt:i4>
      </vt:variant>
      <vt:variant>
        <vt:i4>21</vt:i4>
      </vt:variant>
      <vt:variant>
        <vt:i4>0</vt:i4>
      </vt:variant>
      <vt:variant>
        <vt:i4>5</vt:i4>
      </vt:variant>
      <vt:variant>
        <vt:lpwstr>mailto:cmartins@oas.org</vt:lpwstr>
      </vt:variant>
      <vt:variant>
        <vt:lpwstr/>
      </vt:variant>
      <vt:variant>
        <vt:i4>43</vt:i4>
      </vt:variant>
      <vt:variant>
        <vt:i4>18</vt:i4>
      </vt:variant>
      <vt:variant>
        <vt:i4>0</vt:i4>
      </vt:variant>
      <vt:variant>
        <vt:i4>5</vt:i4>
      </vt:variant>
      <vt:variant>
        <vt:lpwstr>mailto:education@oas.org</vt:lpwstr>
      </vt:variant>
      <vt:variant>
        <vt:lpwstr/>
      </vt:variant>
      <vt:variant>
        <vt:i4>3735599</vt:i4>
      </vt:variant>
      <vt:variant>
        <vt:i4>15</vt:i4>
      </vt:variant>
      <vt:variant>
        <vt:i4>0</vt:i4>
      </vt:variant>
      <vt:variant>
        <vt:i4>5</vt:i4>
      </vt:variant>
      <vt:variant>
        <vt:lpwstr>https://siteal.iiep.unesco.org/eje/pdf/1072</vt:lpwstr>
      </vt:variant>
      <vt:variant>
        <vt:lpwstr/>
      </vt:variant>
      <vt:variant>
        <vt:i4>5374027</vt:i4>
      </vt:variant>
      <vt:variant>
        <vt:i4>12</vt:i4>
      </vt:variant>
      <vt:variant>
        <vt:i4>0</vt:i4>
      </vt:variant>
      <vt:variant>
        <vt:i4>5</vt:i4>
      </vt:variant>
      <vt:variant>
        <vt:lpwstr>https://www.oas.org/udse/informeIIIministerial/informe/index.html</vt:lpwstr>
      </vt:variant>
      <vt:variant>
        <vt:lpwstr/>
      </vt:variant>
      <vt:variant>
        <vt:i4>3670074</vt:i4>
      </vt:variant>
      <vt:variant>
        <vt:i4>9</vt:i4>
      </vt:variant>
      <vt:variant>
        <vt:i4>0</vt:i4>
      </vt:variant>
      <vt:variant>
        <vt:i4>5</vt:i4>
      </vt:variant>
      <vt:variant>
        <vt:lpwstr>http://www.oas.org/udse/espanol/cpo_educ_1minist.asp</vt:lpwstr>
      </vt:variant>
      <vt:variant>
        <vt:lpwstr/>
      </vt:variant>
      <vt:variant>
        <vt:i4>3211326</vt:i4>
      </vt:variant>
      <vt:variant>
        <vt:i4>6</vt:i4>
      </vt:variant>
      <vt:variant>
        <vt:i4>0</vt:i4>
      </vt:variant>
      <vt:variant>
        <vt:i4>5</vt:i4>
      </vt:variant>
      <vt:variant>
        <vt:lpwstr>https://diversidadaudiovisual.org/wp-content/uploads/2013/05/macbride-1980.pdf</vt:lpwstr>
      </vt:variant>
      <vt:variant>
        <vt:lpwstr/>
      </vt:variant>
      <vt:variant>
        <vt:i4>2490370</vt:i4>
      </vt:variant>
      <vt:variant>
        <vt:i4>3</vt:i4>
      </vt:variant>
      <vt:variant>
        <vt:i4>0</vt:i4>
      </vt:variant>
      <vt:variant>
        <vt:i4>5</vt:i4>
      </vt:variant>
      <vt:variant>
        <vt:lpwstr>https://repositorio.cepal.org/bitstream/handle/11362/46066/4/S2000522_es.pdf</vt:lpwstr>
      </vt:variant>
      <vt:variant>
        <vt:lpwstr/>
      </vt:variant>
      <vt:variant>
        <vt:i4>1179743</vt:i4>
      </vt:variant>
      <vt:variant>
        <vt:i4>0</vt:i4>
      </vt:variant>
      <vt:variant>
        <vt:i4>0</vt:i4>
      </vt:variant>
      <vt:variant>
        <vt:i4>5</vt:i4>
      </vt:variant>
      <vt:variant>
        <vt:lpwstr>https://sdgs.un.org/es/2030agenda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Diaz - Avalos,  Estela</cp:lastModifiedBy>
  <cp:revision>3</cp:revision>
  <cp:lastPrinted>2011-06-15T16:36:00Z</cp:lastPrinted>
  <dcterms:created xsi:type="dcterms:W3CDTF">2023-06-14T23:23:00Z</dcterms:created>
  <dcterms:modified xsi:type="dcterms:W3CDTF">2023-06-14T23:23:00Z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