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CCFD" w14:textId="56EAE18D" w:rsidR="00647FFD" w:rsidRDefault="00647FFD" w:rsidP="00647FFD">
      <w:pPr>
        <w:tabs>
          <w:tab w:val="left" w:pos="6660"/>
        </w:tabs>
        <w:ind w:right="-1080"/>
        <w:rPr>
          <w:sz w:val="22"/>
          <w:szCs w:val="22"/>
          <w:lang w:val="es-ES"/>
        </w:rPr>
      </w:pPr>
      <w:r>
        <w:rPr>
          <w:b/>
          <w:bCs/>
          <w:sz w:val="22"/>
          <w:szCs w:val="22"/>
          <w:lang w:val="es-ES"/>
        </w:rPr>
        <w:t>REUNIÓN</w:t>
      </w:r>
      <w:r>
        <w:rPr>
          <w:b/>
          <w:sz w:val="22"/>
          <w:szCs w:val="22"/>
          <w:lang w:val="es-ES"/>
        </w:rPr>
        <w:t xml:space="preserve"> DE </w:t>
      </w:r>
      <w:r>
        <w:rPr>
          <w:b/>
          <w:bCs/>
          <w:sz w:val="22"/>
          <w:szCs w:val="22"/>
          <w:lang w:val="es-ES"/>
        </w:rPr>
        <w:t>PLANEACIÓN</w:t>
      </w:r>
      <w:r>
        <w:rPr>
          <w:b/>
          <w:sz w:val="22"/>
          <w:szCs w:val="22"/>
          <w:lang w:val="es-ES"/>
        </w:rPr>
        <w:t xml:space="preserve"> DE LAS AUTORIDADES</w:t>
      </w:r>
      <w:r>
        <w:rPr>
          <w:sz w:val="22"/>
          <w:szCs w:val="22"/>
          <w:lang w:val="es-ES"/>
        </w:rPr>
        <w:tab/>
      </w:r>
      <w:r>
        <w:rPr>
          <w:sz w:val="22"/>
          <w:szCs w:val="22"/>
          <w:lang w:val="es-US"/>
        </w:rPr>
        <w:t>OEA/</w:t>
      </w:r>
      <w:proofErr w:type="spellStart"/>
      <w:r>
        <w:rPr>
          <w:sz w:val="22"/>
          <w:szCs w:val="22"/>
          <w:lang w:val="es-US"/>
        </w:rPr>
        <w:t>Ser.W</w:t>
      </w:r>
      <w:proofErr w:type="spellEnd"/>
      <w:r>
        <w:rPr>
          <w:sz w:val="22"/>
          <w:szCs w:val="22"/>
          <w:lang w:val="es-US"/>
        </w:rPr>
        <w:t>/XIII.6</w:t>
      </w:r>
    </w:p>
    <w:p w14:paraId="1350AEAD" w14:textId="7E744D7F" w:rsidR="00647FFD" w:rsidRDefault="00647FFD" w:rsidP="00647FFD">
      <w:pPr>
        <w:tabs>
          <w:tab w:val="left" w:pos="6480"/>
        </w:tabs>
        <w:ind w:right="-1080"/>
        <w:rPr>
          <w:sz w:val="22"/>
          <w:szCs w:val="22"/>
          <w:lang w:val="es-US"/>
        </w:rPr>
      </w:pPr>
      <w:r>
        <w:rPr>
          <w:b/>
          <w:sz w:val="22"/>
          <w:szCs w:val="22"/>
          <w:lang w:val="es-US"/>
        </w:rPr>
        <w:t>CIDI Proceso Ministerial - Educación</w:t>
      </w:r>
      <w:r>
        <w:rPr>
          <w:b/>
          <w:sz w:val="22"/>
          <w:szCs w:val="22"/>
          <w:lang w:val="es-US"/>
        </w:rPr>
        <w:tab/>
        <w:t xml:space="preserve">   </w:t>
      </w:r>
      <w:r>
        <w:rPr>
          <w:sz w:val="22"/>
          <w:szCs w:val="22"/>
          <w:lang w:val="es-US"/>
        </w:rPr>
        <w:t>CIDI/CIE/RPA/doc.17/23 rev.</w:t>
      </w:r>
      <w:r w:rsidR="00C52C49">
        <w:rPr>
          <w:sz w:val="22"/>
          <w:szCs w:val="22"/>
          <w:lang w:val="es-US"/>
        </w:rPr>
        <w:t>2</w:t>
      </w:r>
      <w:r>
        <w:rPr>
          <w:sz w:val="22"/>
          <w:szCs w:val="22"/>
          <w:lang w:val="es-US"/>
        </w:rPr>
        <w:t xml:space="preserve"> add.2</w:t>
      </w:r>
    </w:p>
    <w:p w14:paraId="1949CF22" w14:textId="2771C96A" w:rsidR="00647FFD" w:rsidRDefault="00647FFD" w:rsidP="00647FFD">
      <w:pPr>
        <w:tabs>
          <w:tab w:val="left" w:pos="6480"/>
        </w:tabs>
        <w:ind w:right="-1080"/>
        <w:rPr>
          <w:sz w:val="22"/>
          <w:szCs w:val="22"/>
          <w:lang w:val="es-ES"/>
        </w:rPr>
      </w:pPr>
      <w:r>
        <w:rPr>
          <w:sz w:val="22"/>
          <w:szCs w:val="22"/>
          <w:lang w:val="es-ES"/>
        </w:rPr>
        <w:t>9 de febrero de 2023</w:t>
      </w:r>
      <w:r>
        <w:rPr>
          <w:sz w:val="22"/>
          <w:szCs w:val="22"/>
          <w:lang w:val="es-ES"/>
        </w:rPr>
        <w:tab/>
        <w:t xml:space="preserve">   </w:t>
      </w:r>
      <w:r w:rsidR="00C52C49">
        <w:rPr>
          <w:sz w:val="22"/>
          <w:szCs w:val="22"/>
          <w:lang w:val="es-ES"/>
        </w:rPr>
        <w:t>1</w:t>
      </w:r>
      <w:r w:rsidR="00B55584">
        <w:rPr>
          <w:sz w:val="22"/>
          <w:szCs w:val="22"/>
          <w:lang w:val="es-ES"/>
        </w:rPr>
        <w:t>4</w:t>
      </w:r>
      <w:r w:rsidR="00C52C49">
        <w:rPr>
          <w:sz w:val="22"/>
          <w:szCs w:val="22"/>
          <w:lang w:val="es-ES"/>
        </w:rPr>
        <w:t xml:space="preserve"> junio</w:t>
      </w:r>
      <w:r>
        <w:rPr>
          <w:sz w:val="22"/>
          <w:szCs w:val="22"/>
          <w:lang w:val="es-ES"/>
        </w:rPr>
        <w:t xml:space="preserve"> 2023</w:t>
      </w:r>
    </w:p>
    <w:p w14:paraId="3F9C0C3D" w14:textId="77777777" w:rsidR="00647FFD" w:rsidRDefault="00647FFD" w:rsidP="00647FFD">
      <w:pPr>
        <w:tabs>
          <w:tab w:val="left" w:pos="6480"/>
        </w:tabs>
        <w:ind w:right="-1080"/>
        <w:rPr>
          <w:sz w:val="22"/>
          <w:szCs w:val="22"/>
          <w:lang w:val="es-ES"/>
        </w:rPr>
      </w:pPr>
      <w:r>
        <w:rPr>
          <w:sz w:val="22"/>
          <w:szCs w:val="22"/>
          <w:lang w:val="es-ES"/>
        </w:rPr>
        <w:t xml:space="preserve">Washington, D.C. </w:t>
      </w:r>
      <w:r>
        <w:rPr>
          <w:sz w:val="22"/>
          <w:szCs w:val="22"/>
          <w:lang w:val="es-ES"/>
        </w:rPr>
        <w:tab/>
        <w:t xml:space="preserve">   Original: </w:t>
      </w:r>
      <w:r>
        <w:rPr>
          <w:bCs/>
          <w:sz w:val="22"/>
          <w:szCs w:val="22"/>
          <w:lang w:val="es-ES"/>
        </w:rPr>
        <w:t>español</w:t>
      </w:r>
    </w:p>
    <w:p w14:paraId="01172B06" w14:textId="77777777" w:rsidR="006F1098" w:rsidRPr="00E54302" w:rsidRDefault="006F1098" w:rsidP="00223D25">
      <w:pPr>
        <w:pBdr>
          <w:bottom w:val="single" w:sz="12" w:space="1" w:color="auto"/>
        </w:pBdr>
        <w:tabs>
          <w:tab w:val="left" w:pos="6840"/>
        </w:tabs>
        <w:ind w:right="-29"/>
        <w:rPr>
          <w:sz w:val="22"/>
          <w:szCs w:val="22"/>
          <w:lang w:val="es-US"/>
        </w:rPr>
      </w:pPr>
    </w:p>
    <w:p w14:paraId="26979D2C" w14:textId="77777777" w:rsidR="006F1098" w:rsidRPr="00E54302" w:rsidRDefault="006F1098" w:rsidP="00AA7434">
      <w:pPr>
        <w:jc w:val="center"/>
        <w:rPr>
          <w:sz w:val="22"/>
          <w:szCs w:val="22"/>
          <w:lang w:val="es-US"/>
        </w:rPr>
      </w:pPr>
    </w:p>
    <w:p w14:paraId="32F8A232" w14:textId="77777777" w:rsidR="006F1098" w:rsidRPr="00E54302" w:rsidRDefault="006F1098" w:rsidP="00AA7434">
      <w:pPr>
        <w:jc w:val="center"/>
        <w:rPr>
          <w:sz w:val="22"/>
          <w:szCs w:val="22"/>
          <w:lang w:val="es-US"/>
        </w:rPr>
      </w:pPr>
    </w:p>
    <w:p w14:paraId="7958153A" w14:textId="77777777" w:rsidR="0085480A" w:rsidRDefault="0085480A" w:rsidP="00AA7434">
      <w:pPr>
        <w:jc w:val="center"/>
        <w:rPr>
          <w:sz w:val="22"/>
          <w:szCs w:val="22"/>
          <w:lang w:val="es-US"/>
        </w:rPr>
      </w:pPr>
    </w:p>
    <w:p w14:paraId="64F444C4" w14:textId="77777777" w:rsidR="00647FFD" w:rsidRDefault="00647FFD" w:rsidP="00AA7434">
      <w:pPr>
        <w:jc w:val="center"/>
        <w:rPr>
          <w:sz w:val="22"/>
          <w:szCs w:val="22"/>
          <w:lang w:val="es-US"/>
        </w:rPr>
      </w:pPr>
    </w:p>
    <w:p w14:paraId="18171FC9" w14:textId="77777777" w:rsidR="00647FFD" w:rsidRDefault="00647FFD" w:rsidP="00AA7434">
      <w:pPr>
        <w:jc w:val="center"/>
        <w:rPr>
          <w:sz w:val="22"/>
          <w:szCs w:val="22"/>
          <w:lang w:val="es-US"/>
        </w:rPr>
      </w:pPr>
    </w:p>
    <w:p w14:paraId="7417E175" w14:textId="77777777" w:rsidR="00647FFD" w:rsidRDefault="00647FFD" w:rsidP="00AA7434">
      <w:pPr>
        <w:jc w:val="center"/>
        <w:rPr>
          <w:sz w:val="22"/>
          <w:szCs w:val="22"/>
          <w:lang w:val="es-US"/>
        </w:rPr>
      </w:pPr>
    </w:p>
    <w:p w14:paraId="23EA46E6" w14:textId="77777777" w:rsidR="00647FFD" w:rsidRDefault="00647FFD" w:rsidP="00AA7434">
      <w:pPr>
        <w:jc w:val="center"/>
        <w:rPr>
          <w:sz w:val="22"/>
          <w:szCs w:val="22"/>
          <w:lang w:val="es-US"/>
        </w:rPr>
      </w:pPr>
    </w:p>
    <w:p w14:paraId="62EBC321" w14:textId="77777777" w:rsidR="00647FFD" w:rsidRDefault="00647FFD" w:rsidP="00AA7434">
      <w:pPr>
        <w:jc w:val="center"/>
        <w:rPr>
          <w:sz w:val="22"/>
          <w:szCs w:val="22"/>
          <w:lang w:val="es-US"/>
        </w:rPr>
      </w:pPr>
    </w:p>
    <w:p w14:paraId="503F3DFE" w14:textId="77777777" w:rsidR="00647FFD" w:rsidRPr="00E54302" w:rsidRDefault="00647FFD" w:rsidP="00AA7434">
      <w:pPr>
        <w:jc w:val="center"/>
        <w:rPr>
          <w:sz w:val="22"/>
          <w:szCs w:val="22"/>
          <w:lang w:val="es-US"/>
        </w:rPr>
      </w:pPr>
    </w:p>
    <w:p w14:paraId="0DD13F0B" w14:textId="41FD2B39" w:rsidR="009258EA" w:rsidRPr="00E54302" w:rsidRDefault="009258EA" w:rsidP="00AA7434">
      <w:pPr>
        <w:jc w:val="center"/>
        <w:rPr>
          <w:sz w:val="22"/>
          <w:szCs w:val="22"/>
          <w:lang w:val="es-US"/>
        </w:rPr>
      </w:pPr>
    </w:p>
    <w:p w14:paraId="64FE6F51" w14:textId="1C83448C" w:rsidR="00647FFD" w:rsidRPr="00647FFD" w:rsidRDefault="00647FFD" w:rsidP="00647FFD">
      <w:pPr>
        <w:tabs>
          <w:tab w:val="left" w:pos="7380"/>
        </w:tabs>
        <w:jc w:val="center"/>
        <w:rPr>
          <w:rFonts w:eastAsia="MS Mincho"/>
          <w:b/>
          <w:bCs/>
          <w:color w:val="000000" w:themeColor="text1"/>
          <w:sz w:val="22"/>
          <w:szCs w:val="22"/>
          <w:lang w:val="es-US" w:bidi="en-US"/>
        </w:rPr>
      </w:pPr>
      <w:r w:rsidRPr="00647FFD">
        <w:rPr>
          <w:b/>
          <w:bCs/>
          <w:color w:val="000000" w:themeColor="text1"/>
          <w:sz w:val="22"/>
          <w:szCs w:val="22"/>
          <w:lang w:val="es-ES_tradnl"/>
        </w:rPr>
        <w:t>PLAN DE TRABAJO 2022-2025</w:t>
      </w:r>
    </w:p>
    <w:p w14:paraId="10015C08" w14:textId="2EE1F529" w:rsidR="00647FFD" w:rsidRPr="00647FFD" w:rsidRDefault="00647FFD" w:rsidP="00647FFD">
      <w:pPr>
        <w:tabs>
          <w:tab w:val="left" w:pos="7380"/>
        </w:tabs>
        <w:jc w:val="center"/>
        <w:rPr>
          <w:b/>
          <w:bCs/>
          <w:color w:val="000000" w:themeColor="text1"/>
          <w:sz w:val="22"/>
          <w:szCs w:val="22"/>
          <w:lang w:val="es-ES_tradnl"/>
        </w:rPr>
      </w:pPr>
      <w:r w:rsidRPr="00647FFD">
        <w:rPr>
          <w:b/>
          <w:bCs/>
          <w:color w:val="000000" w:themeColor="text1"/>
          <w:sz w:val="22"/>
          <w:szCs w:val="22"/>
          <w:lang w:val="es-ES_tradnl"/>
        </w:rPr>
        <w:t xml:space="preserve">DE LA </w:t>
      </w:r>
      <w:r w:rsidRPr="00647FFD">
        <w:rPr>
          <w:rFonts w:eastAsia="MS Mincho"/>
          <w:b/>
          <w:bCs/>
          <w:color w:val="000000" w:themeColor="text1"/>
          <w:sz w:val="22"/>
          <w:szCs w:val="22"/>
          <w:lang w:val="es-US" w:bidi="en-US"/>
        </w:rPr>
        <w:t>COMISIÓN</w:t>
      </w:r>
      <w:r w:rsidRPr="00647FFD">
        <w:rPr>
          <w:b/>
          <w:bCs/>
          <w:color w:val="000000" w:themeColor="text1"/>
          <w:sz w:val="22"/>
          <w:szCs w:val="22"/>
          <w:lang w:val="es-ES_tradnl"/>
        </w:rPr>
        <w:t xml:space="preserve"> INTERAMERICANA DE EDUCAC</w:t>
      </w:r>
      <w:r w:rsidR="00C52C49">
        <w:rPr>
          <w:b/>
          <w:bCs/>
          <w:color w:val="000000" w:themeColor="text1"/>
          <w:sz w:val="22"/>
          <w:szCs w:val="22"/>
          <w:lang w:val="es-ES_tradnl"/>
        </w:rPr>
        <w:t>IÓ</w:t>
      </w:r>
      <w:r w:rsidRPr="00647FFD">
        <w:rPr>
          <w:b/>
          <w:bCs/>
          <w:color w:val="000000" w:themeColor="text1"/>
          <w:sz w:val="22"/>
          <w:szCs w:val="22"/>
          <w:lang w:val="es-ES_tradnl"/>
        </w:rPr>
        <w:t>N (CIE)</w:t>
      </w:r>
    </w:p>
    <w:p w14:paraId="6B75054C" w14:textId="77777777" w:rsidR="0085480A" w:rsidRPr="00647FFD" w:rsidRDefault="0085480A" w:rsidP="00AA7434">
      <w:pPr>
        <w:jc w:val="center"/>
        <w:rPr>
          <w:b/>
          <w:bCs/>
          <w:sz w:val="22"/>
          <w:szCs w:val="22"/>
          <w:lang w:val="es-ES_tradnl"/>
        </w:rPr>
      </w:pPr>
    </w:p>
    <w:p w14:paraId="1466732C" w14:textId="5F6A56C9" w:rsidR="00647FFD" w:rsidRPr="00647FFD" w:rsidRDefault="00647FFD" w:rsidP="00AA7434">
      <w:pPr>
        <w:jc w:val="center"/>
        <w:rPr>
          <w:b/>
          <w:bCs/>
          <w:sz w:val="22"/>
          <w:szCs w:val="22"/>
          <w:lang w:val="es-ES_tradnl"/>
        </w:rPr>
      </w:pPr>
      <w:r w:rsidRPr="00647FFD">
        <w:rPr>
          <w:b/>
          <w:bCs/>
          <w:sz w:val="22"/>
          <w:szCs w:val="22"/>
          <w:lang w:val="es-ES_tradnl"/>
        </w:rPr>
        <w:t>ANEXO II</w:t>
      </w:r>
    </w:p>
    <w:p w14:paraId="0F0FAF8A" w14:textId="77777777" w:rsidR="0085480A" w:rsidRDefault="0085480A" w:rsidP="00AA7434">
      <w:pPr>
        <w:jc w:val="center"/>
        <w:rPr>
          <w:b/>
          <w:bCs/>
          <w:sz w:val="22"/>
          <w:szCs w:val="22"/>
          <w:lang w:val="es-US"/>
        </w:rPr>
      </w:pPr>
    </w:p>
    <w:p w14:paraId="13F1A1F1" w14:textId="77777777" w:rsidR="00647FFD" w:rsidRPr="00647FFD" w:rsidRDefault="00647FFD" w:rsidP="00AA7434">
      <w:pPr>
        <w:jc w:val="center"/>
        <w:rPr>
          <w:b/>
          <w:bCs/>
          <w:sz w:val="22"/>
          <w:szCs w:val="22"/>
          <w:lang w:val="es-US"/>
        </w:rPr>
      </w:pPr>
    </w:p>
    <w:p w14:paraId="60A22ACD" w14:textId="3E416B2F" w:rsidR="00E54302" w:rsidRPr="00647FFD" w:rsidRDefault="00E54302" w:rsidP="00E54302">
      <w:pPr>
        <w:jc w:val="center"/>
        <w:rPr>
          <w:b/>
          <w:bCs/>
          <w:sz w:val="22"/>
          <w:szCs w:val="22"/>
          <w:lang w:val="es-DO"/>
        </w:rPr>
      </w:pPr>
      <w:r w:rsidRPr="00647FFD">
        <w:rPr>
          <w:b/>
          <w:bCs/>
          <w:sz w:val="22"/>
          <w:szCs w:val="22"/>
          <w:lang w:val="es-DO"/>
        </w:rPr>
        <w:t>ENFOQUE SISTÉMICO PARA LA CONSTRUCCIÓN DE SISTEMAS EDUCATIVOS RESILIENTES</w:t>
      </w:r>
    </w:p>
    <w:p w14:paraId="729230B3" w14:textId="77777777" w:rsidR="00647FFD" w:rsidRPr="00647FFD" w:rsidRDefault="00647FFD" w:rsidP="000E3478">
      <w:pPr>
        <w:jc w:val="center"/>
        <w:rPr>
          <w:b/>
          <w:bCs/>
          <w:sz w:val="22"/>
          <w:szCs w:val="22"/>
          <w:lang w:val="es-DO"/>
        </w:rPr>
      </w:pPr>
    </w:p>
    <w:p w14:paraId="79F6A757" w14:textId="2F57D151" w:rsidR="000E3478" w:rsidRPr="00647FFD" w:rsidRDefault="000E3478" w:rsidP="000E3478">
      <w:pPr>
        <w:jc w:val="center"/>
        <w:rPr>
          <w:b/>
          <w:bCs/>
          <w:sz w:val="22"/>
          <w:szCs w:val="22"/>
          <w:lang w:val="es-DO"/>
        </w:rPr>
      </w:pPr>
      <w:r w:rsidRPr="00647FFD">
        <w:rPr>
          <w:b/>
          <w:bCs/>
          <w:sz w:val="22"/>
          <w:szCs w:val="22"/>
          <w:lang w:val="es-DO"/>
        </w:rPr>
        <w:t>PROGRAMA HEMISFÉRICO DE LITERACIDAD CR</w:t>
      </w:r>
      <w:r w:rsidR="00C52C49">
        <w:rPr>
          <w:b/>
          <w:bCs/>
          <w:sz w:val="22"/>
          <w:szCs w:val="22"/>
          <w:lang w:val="es-DO"/>
        </w:rPr>
        <w:t>Í</w:t>
      </w:r>
      <w:r w:rsidRPr="00647FFD">
        <w:rPr>
          <w:b/>
          <w:bCs/>
          <w:sz w:val="22"/>
          <w:szCs w:val="22"/>
          <w:lang w:val="es-DO"/>
        </w:rPr>
        <w:t>TICA Y EDUCACI</w:t>
      </w:r>
      <w:r w:rsidR="00C52C49">
        <w:rPr>
          <w:b/>
          <w:bCs/>
          <w:sz w:val="22"/>
          <w:szCs w:val="22"/>
          <w:lang w:val="es-DO"/>
        </w:rPr>
        <w:t>Ó</w:t>
      </w:r>
      <w:r w:rsidRPr="00647FFD">
        <w:rPr>
          <w:b/>
          <w:bCs/>
          <w:sz w:val="22"/>
          <w:szCs w:val="22"/>
          <w:lang w:val="es-DO"/>
        </w:rPr>
        <w:t>N DIGITAL EN CONTEXTOS DE CAMBIO (LICED)</w:t>
      </w:r>
    </w:p>
    <w:p w14:paraId="3B410835" w14:textId="77777777" w:rsidR="00F017A4" w:rsidRPr="000E3478" w:rsidRDefault="00F017A4" w:rsidP="00AA7434">
      <w:pPr>
        <w:jc w:val="center"/>
        <w:rPr>
          <w:sz w:val="22"/>
          <w:szCs w:val="22"/>
          <w:lang w:val="es-DO"/>
        </w:rPr>
      </w:pPr>
    </w:p>
    <w:p w14:paraId="06B208AC" w14:textId="77777777" w:rsidR="00F017A4" w:rsidRPr="000E3478" w:rsidRDefault="00F017A4" w:rsidP="00AA7434">
      <w:pPr>
        <w:jc w:val="center"/>
        <w:rPr>
          <w:sz w:val="22"/>
          <w:szCs w:val="22"/>
          <w:lang w:val="es-US"/>
        </w:rPr>
      </w:pPr>
    </w:p>
    <w:p w14:paraId="59AF1692" w14:textId="77777777" w:rsidR="00F017A4" w:rsidRPr="000E3478" w:rsidRDefault="00F017A4" w:rsidP="00AA7434">
      <w:pPr>
        <w:jc w:val="center"/>
        <w:rPr>
          <w:sz w:val="22"/>
          <w:szCs w:val="22"/>
          <w:lang w:val="es-US"/>
        </w:rPr>
      </w:pPr>
    </w:p>
    <w:p w14:paraId="19E904F4" w14:textId="77777777" w:rsidR="0085480A" w:rsidRPr="000E3478" w:rsidRDefault="0085480A" w:rsidP="00AA7434">
      <w:pPr>
        <w:jc w:val="center"/>
        <w:rPr>
          <w:sz w:val="22"/>
          <w:szCs w:val="22"/>
          <w:lang w:val="es-US"/>
        </w:rPr>
      </w:pPr>
    </w:p>
    <w:p w14:paraId="507375D8" w14:textId="77777777" w:rsidR="00AA7434" w:rsidRPr="00CD4AB6" w:rsidRDefault="00AA7434" w:rsidP="00AA7434">
      <w:pPr>
        <w:jc w:val="center"/>
        <w:rPr>
          <w:sz w:val="22"/>
          <w:szCs w:val="22"/>
          <w:lang w:val="es-US"/>
        </w:rPr>
        <w:sectPr w:rsidR="00AA7434" w:rsidRPr="00CD4AB6" w:rsidSect="00AA7434">
          <w:headerReference w:type="even" r:id="rId11"/>
          <w:headerReference w:type="default" r:id="rId12"/>
          <w:headerReference w:type="first" r:id="rId13"/>
          <w:type w:val="oddPage"/>
          <w:pgSz w:w="12240" w:h="15840" w:code="1"/>
          <w:pgMar w:top="2160" w:right="1570" w:bottom="1296" w:left="1699" w:header="720" w:footer="720" w:gutter="0"/>
          <w:pgNumType w:start="1"/>
          <w:cols w:space="720"/>
          <w:titlePg/>
        </w:sectPr>
      </w:pPr>
    </w:p>
    <w:p w14:paraId="1E0C3326" w14:textId="5705CAA5" w:rsidR="00D73255" w:rsidRPr="00647FFD" w:rsidRDefault="00D73255" w:rsidP="00D73255">
      <w:pPr>
        <w:tabs>
          <w:tab w:val="left" w:pos="7380"/>
        </w:tabs>
        <w:jc w:val="center"/>
        <w:rPr>
          <w:rFonts w:eastAsia="MS Mincho"/>
          <w:b/>
          <w:bCs/>
          <w:color w:val="000000" w:themeColor="text1"/>
          <w:sz w:val="22"/>
          <w:szCs w:val="22"/>
          <w:lang w:val="es-US" w:bidi="en-US"/>
        </w:rPr>
      </w:pPr>
      <w:r w:rsidRPr="00647FFD">
        <w:rPr>
          <w:b/>
          <w:bCs/>
          <w:color w:val="000000" w:themeColor="text1"/>
          <w:sz w:val="22"/>
          <w:szCs w:val="22"/>
          <w:lang w:val="es-ES_tradnl"/>
        </w:rPr>
        <w:lastRenderedPageBreak/>
        <w:t>PLAN DE TRABAJO 2022-2025</w:t>
      </w:r>
    </w:p>
    <w:p w14:paraId="5512F412" w14:textId="7AE047A6" w:rsidR="00D73255" w:rsidRPr="00647FFD" w:rsidRDefault="00D73255" w:rsidP="00D73255">
      <w:pPr>
        <w:tabs>
          <w:tab w:val="left" w:pos="7380"/>
        </w:tabs>
        <w:jc w:val="center"/>
        <w:rPr>
          <w:b/>
          <w:bCs/>
          <w:color w:val="000000" w:themeColor="text1"/>
          <w:sz w:val="22"/>
          <w:szCs w:val="22"/>
          <w:lang w:val="es-ES_tradnl"/>
        </w:rPr>
      </w:pPr>
      <w:r w:rsidRPr="00647FFD">
        <w:rPr>
          <w:b/>
          <w:bCs/>
          <w:color w:val="000000" w:themeColor="text1"/>
          <w:sz w:val="22"/>
          <w:szCs w:val="22"/>
          <w:lang w:val="es-ES_tradnl"/>
        </w:rPr>
        <w:t xml:space="preserve">DE LA </w:t>
      </w:r>
      <w:r w:rsidRPr="00647FFD">
        <w:rPr>
          <w:rFonts w:eastAsia="MS Mincho"/>
          <w:b/>
          <w:bCs/>
          <w:color w:val="000000" w:themeColor="text1"/>
          <w:sz w:val="22"/>
          <w:szCs w:val="22"/>
          <w:lang w:val="es-US" w:bidi="en-US"/>
        </w:rPr>
        <w:t>COMISIÓN</w:t>
      </w:r>
      <w:r w:rsidRPr="00647FFD">
        <w:rPr>
          <w:b/>
          <w:bCs/>
          <w:color w:val="000000" w:themeColor="text1"/>
          <w:sz w:val="22"/>
          <w:szCs w:val="22"/>
          <w:lang w:val="es-ES_tradnl"/>
        </w:rPr>
        <w:t xml:space="preserve"> INTERAMERICANA DE EDUCAC</w:t>
      </w:r>
      <w:r w:rsidR="00C52C49">
        <w:rPr>
          <w:b/>
          <w:bCs/>
          <w:color w:val="000000" w:themeColor="text1"/>
          <w:sz w:val="22"/>
          <w:szCs w:val="22"/>
          <w:lang w:val="es-ES_tradnl"/>
        </w:rPr>
        <w:t>IÓ</w:t>
      </w:r>
      <w:r w:rsidRPr="00647FFD">
        <w:rPr>
          <w:b/>
          <w:bCs/>
          <w:color w:val="000000" w:themeColor="text1"/>
          <w:sz w:val="22"/>
          <w:szCs w:val="22"/>
          <w:lang w:val="es-ES_tradnl"/>
        </w:rPr>
        <w:t>N (CIE)</w:t>
      </w:r>
    </w:p>
    <w:p w14:paraId="532A4A61" w14:textId="77777777" w:rsidR="00D73255" w:rsidRPr="00647FFD" w:rsidRDefault="00D73255" w:rsidP="00D73255">
      <w:pPr>
        <w:jc w:val="center"/>
        <w:rPr>
          <w:b/>
          <w:bCs/>
          <w:sz w:val="22"/>
          <w:szCs w:val="22"/>
          <w:lang w:val="es-ES_tradnl"/>
        </w:rPr>
      </w:pPr>
    </w:p>
    <w:p w14:paraId="18743E09" w14:textId="77777777" w:rsidR="00D73255" w:rsidRPr="00647FFD" w:rsidRDefault="00D73255" w:rsidP="00D73255">
      <w:pPr>
        <w:jc w:val="center"/>
        <w:rPr>
          <w:b/>
          <w:bCs/>
          <w:sz w:val="22"/>
          <w:szCs w:val="22"/>
          <w:lang w:val="es-ES_tradnl"/>
        </w:rPr>
      </w:pPr>
      <w:r w:rsidRPr="00647FFD">
        <w:rPr>
          <w:b/>
          <w:bCs/>
          <w:sz w:val="22"/>
          <w:szCs w:val="22"/>
          <w:lang w:val="es-ES_tradnl"/>
        </w:rPr>
        <w:t>ANEXO II</w:t>
      </w:r>
    </w:p>
    <w:p w14:paraId="57EC447C" w14:textId="77777777" w:rsidR="00D73255" w:rsidRDefault="00D73255" w:rsidP="000E3478">
      <w:pPr>
        <w:jc w:val="center"/>
        <w:rPr>
          <w:sz w:val="22"/>
          <w:szCs w:val="22"/>
          <w:lang w:val="es-DO"/>
        </w:rPr>
      </w:pPr>
    </w:p>
    <w:p w14:paraId="3FF95A0E" w14:textId="224F513D" w:rsidR="000E3478" w:rsidRPr="00C52C49" w:rsidRDefault="000E3478" w:rsidP="000E3478">
      <w:pPr>
        <w:jc w:val="center"/>
        <w:rPr>
          <w:b/>
          <w:bCs/>
          <w:sz w:val="22"/>
          <w:szCs w:val="22"/>
          <w:lang w:val="es-DO"/>
        </w:rPr>
      </w:pPr>
      <w:r w:rsidRPr="00C52C49">
        <w:rPr>
          <w:b/>
          <w:bCs/>
          <w:sz w:val="22"/>
          <w:szCs w:val="22"/>
          <w:lang w:val="es-DO"/>
        </w:rPr>
        <w:t>PROGRAMA HEMISFÉRICO DE LITERACIDAD CRITICA Y EDUCACION DIGITAL EN CONTEXTOS DE CAMBIO (LICED)</w:t>
      </w:r>
    </w:p>
    <w:p w14:paraId="5C008FCB" w14:textId="77777777" w:rsidR="000E3478" w:rsidRPr="001C1FE6" w:rsidRDefault="000E3478" w:rsidP="000E3478">
      <w:pPr>
        <w:tabs>
          <w:tab w:val="left" w:pos="7380"/>
        </w:tabs>
        <w:jc w:val="center"/>
        <w:rPr>
          <w:color w:val="000000" w:themeColor="text1"/>
          <w:sz w:val="22"/>
          <w:szCs w:val="22"/>
          <w:lang w:val="es-DO"/>
        </w:rPr>
      </w:pPr>
    </w:p>
    <w:p w14:paraId="1C994E3E" w14:textId="77777777" w:rsidR="000E3478" w:rsidRPr="001C1FE6" w:rsidRDefault="000E3478" w:rsidP="000E3478">
      <w:pPr>
        <w:tabs>
          <w:tab w:val="left" w:pos="7380"/>
        </w:tabs>
        <w:jc w:val="center"/>
        <w:rPr>
          <w:color w:val="000000" w:themeColor="text1"/>
          <w:sz w:val="22"/>
          <w:szCs w:val="22"/>
          <w:lang w:val="es-DO"/>
        </w:rPr>
      </w:pPr>
    </w:p>
    <w:p w14:paraId="405B5ECA" w14:textId="77777777" w:rsidR="000E3478" w:rsidRPr="002C5466" w:rsidRDefault="000E3478" w:rsidP="000E3478">
      <w:pPr>
        <w:widowControl w:val="0"/>
        <w:tabs>
          <w:tab w:val="left" w:pos="2610"/>
          <w:tab w:val="left" w:pos="8370"/>
        </w:tabs>
        <w:autoSpaceDE w:val="0"/>
        <w:autoSpaceDN w:val="0"/>
        <w:adjustRightInd w:val="0"/>
        <w:jc w:val="both"/>
        <w:rPr>
          <w:rFonts w:eastAsia="MS Mincho"/>
          <w:b/>
          <w:sz w:val="22"/>
          <w:szCs w:val="22"/>
          <w:lang w:val="es-DO"/>
        </w:rPr>
      </w:pPr>
      <w:r w:rsidRPr="002C5466">
        <w:rPr>
          <w:rFonts w:eastAsia="MS Mincho"/>
          <w:b/>
          <w:bCs/>
          <w:sz w:val="22"/>
          <w:szCs w:val="22"/>
          <w:lang w:val="es-DO"/>
        </w:rPr>
        <w:t xml:space="preserve">Introducción </w:t>
      </w:r>
    </w:p>
    <w:p w14:paraId="0C50430D" w14:textId="77777777" w:rsidR="000E3478" w:rsidRDefault="000E3478" w:rsidP="000E3478">
      <w:pPr>
        <w:ind w:firstLine="720"/>
        <w:jc w:val="both"/>
        <w:rPr>
          <w:sz w:val="22"/>
          <w:szCs w:val="22"/>
          <w:lang w:val="es-DO"/>
        </w:rPr>
      </w:pPr>
    </w:p>
    <w:p w14:paraId="7E291120" w14:textId="29961587" w:rsidR="000E3478" w:rsidRPr="001C1FE6" w:rsidRDefault="000E3478" w:rsidP="000E3478">
      <w:pPr>
        <w:ind w:firstLine="720"/>
        <w:jc w:val="both"/>
        <w:rPr>
          <w:sz w:val="22"/>
          <w:szCs w:val="22"/>
          <w:lang w:val="es-DO"/>
        </w:rPr>
      </w:pPr>
      <w:r w:rsidRPr="0046D6FB">
        <w:rPr>
          <w:sz w:val="22"/>
          <w:szCs w:val="22"/>
          <w:lang w:val="es-DO"/>
        </w:rPr>
        <w:t xml:space="preserve">A través de la Agenda Educativa Interamericana (AEI) 2022-2027, aprobada durante la Décima Primera Reunión de Ministros de Educación celebrada los días 10 y el 11 de noviembre de 2022, los Ministros de Educación de los Estados Miembros de la </w:t>
      </w:r>
      <w:r w:rsidR="00647FFD">
        <w:rPr>
          <w:sz w:val="22"/>
          <w:szCs w:val="22"/>
          <w:lang w:val="es-DO"/>
        </w:rPr>
        <w:t>Organización de los Estados Americanos (O</w:t>
      </w:r>
      <w:r w:rsidRPr="0046D6FB">
        <w:rPr>
          <w:sz w:val="22"/>
          <w:szCs w:val="22"/>
          <w:lang w:val="es-DO"/>
        </w:rPr>
        <w:t>EA</w:t>
      </w:r>
      <w:r w:rsidR="00647FFD">
        <w:rPr>
          <w:sz w:val="22"/>
          <w:szCs w:val="22"/>
          <w:lang w:val="es-DO"/>
        </w:rPr>
        <w:t xml:space="preserve">) </w:t>
      </w:r>
      <w:r w:rsidRPr="0046D6FB">
        <w:rPr>
          <w:sz w:val="22"/>
          <w:szCs w:val="22"/>
          <w:lang w:val="es-DO"/>
        </w:rPr>
        <w:t xml:space="preserve">expresaron claramente su compromiso con los objetivos y metas globales acordados en el marco de la </w:t>
      </w:r>
      <w:r w:rsidR="00C25543">
        <w:fldChar w:fldCharType="begin"/>
      </w:r>
      <w:r w:rsidR="00C25543" w:rsidRPr="00C25543">
        <w:rPr>
          <w:lang w:val="es-US"/>
        </w:rPr>
        <w:instrText>HYPERLINK "https://sdgs.un.org/es/2030agenda"</w:instrText>
      </w:r>
      <w:r w:rsidR="00C25543">
        <w:fldChar w:fldCharType="separate"/>
      </w:r>
      <w:r w:rsidRPr="0046D6FB">
        <w:rPr>
          <w:rStyle w:val="Hyperlink"/>
          <w:sz w:val="22"/>
          <w:szCs w:val="22"/>
          <w:lang w:val="es-DO"/>
        </w:rPr>
        <w:t>Agenda 2030</w:t>
      </w:r>
      <w:r w:rsidR="00C25543">
        <w:rPr>
          <w:rStyle w:val="Hyperlink"/>
          <w:sz w:val="22"/>
          <w:szCs w:val="22"/>
          <w:lang w:val="es-DO"/>
        </w:rPr>
        <w:fldChar w:fldCharType="end"/>
      </w:r>
      <w:r w:rsidRPr="0046D6FB">
        <w:rPr>
          <w:sz w:val="22"/>
          <w:szCs w:val="22"/>
          <w:lang w:val="es-DO"/>
        </w:rPr>
        <w:t xml:space="preserve"> definiendo acciones hemisféricas específicas que apoyar</w:t>
      </w:r>
      <w:r>
        <w:rPr>
          <w:sz w:val="22"/>
          <w:szCs w:val="22"/>
          <w:lang w:val="es-DO"/>
        </w:rPr>
        <w:t>á</w:t>
      </w:r>
      <w:r w:rsidRPr="0046D6FB">
        <w:rPr>
          <w:sz w:val="22"/>
          <w:szCs w:val="22"/>
          <w:lang w:val="es-DO"/>
        </w:rPr>
        <w:t>n</w:t>
      </w:r>
      <w:r>
        <w:rPr>
          <w:sz w:val="22"/>
          <w:szCs w:val="22"/>
          <w:lang w:val="es-DO"/>
        </w:rPr>
        <w:t xml:space="preserve"> </w:t>
      </w:r>
      <w:r w:rsidRPr="0046D6FB">
        <w:rPr>
          <w:sz w:val="22"/>
          <w:szCs w:val="22"/>
          <w:lang w:val="es-DO"/>
        </w:rPr>
        <w:t xml:space="preserve">su implementación. </w:t>
      </w:r>
    </w:p>
    <w:p w14:paraId="0882FCCD" w14:textId="77777777" w:rsidR="000E3478" w:rsidRPr="002C5466" w:rsidRDefault="000E3478" w:rsidP="000E3478">
      <w:pPr>
        <w:ind w:firstLine="720"/>
        <w:jc w:val="both"/>
        <w:rPr>
          <w:sz w:val="22"/>
          <w:szCs w:val="22"/>
          <w:lang w:val="es-DO"/>
        </w:rPr>
      </w:pPr>
    </w:p>
    <w:p w14:paraId="242907D6" w14:textId="77777777" w:rsidR="000E3478" w:rsidRPr="001C1FE6" w:rsidRDefault="000E3478" w:rsidP="000E3478">
      <w:pPr>
        <w:ind w:firstLine="720"/>
        <w:jc w:val="both"/>
        <w:rPr>
          <w:sz w:val="22"/>
          <w:szCs w:val="22"/>
          <w:lang w:val="es-DO"/>
        </w:rPr>
      </w:pPr>
      <w:r w:rsidRPr="0046D6FB">
        <w:rPr>
          <w:sz w:val="22"/>
          <w:szCs w:val="22"/>
          <w:lang w:val="es-DO"/>
        </w:rPr>
        <w:t xml:space="preserve">La AEI es un espacio de diálogo político y toma de decisiones guiada por los principios de colaboración, intersectorialidad e interculturalismo, que se fortalece y ejecuta a través de la cooperación interamericana, así como de la coordinación y articulación de esfuerzos con otros organismos internacionales y entidades regionales y subregionales para ayudar a garantizar la continuidad educativa y el derecho a la educación para todos y todas. </w:t>
      </w:r>
    </w:p>
    <w:p w14:paraId="551E5B88" w14:textId="77777777" w:rsidR="000E3478" w:rsidRPr="002C5466" w:rsidRDefault="000E3478" w:rsidP="000E3478">
      <w:pPr>
        <w:ind w:firstLine="720"/>
        <w:jc w:val="both"/>
        <w:rPr>
          <w:sz w:val="22"/>
          <w:szCs w:val="22"/>
          <w:lang w:val="es-DO"/>
        </w:rPr>
      </w:pPr>
    </w:p>
    <w:p w14:paraId="08AA527E" w14:textId="77777777" w:rsidR="000E3478" w:rsidRPr="001C1FE6" w:rsidRDefault="000E3478" w:rsidP="000E3478">
      <w:pPr>
        <w:ind w:firstLine="720"/>
        <w:jc w:val="both"/>
        <w:rPr>
          <w:sz w:val="22"/>
          <w:szCs w:val="22"/>
          <w:lang w:val="es-DO"/>
        </w:rPr>
      </w:pPr>
      <w:r w:rsidRPr="0046D6FB">
        <w:rPr>
          <w:sz w:val="22"/>
          <w:szCs w:val="22"/>
          <w:lang w:val="es-DO"/>
        </w:rPr>
        <w:t xml:space="preserve">A través de su </w:t>
      </w:r>
      <w:r w:rsidR="00C25543">
        <w:fldChar w:fldCharType="begin"/>
      </w:r>
      <w:r w:rsidR="00C25543" w:rsidRPr="00C25543">
        <w:rPr>
          <w:lang w:val="es-US"/>
        </w:rPr>
        <w:instrText>HYPERLINK "https://scm.oas.org/IDMS/Redirectpage.aspx?class=V.14.1.CIDI/RME/doc&amp;classNum=8&amp;lang=s"</w:instrText>
      </w:r>
      <w:r w:rsidR="00C25543">
        <w:fldChar w:fldCharType="separate"/>
      </w:r>
      <w:r w:rsidRPr="008A2EAB">
        <w:rPr>
          <w:rStyle w:val="Hyperlink"/>
          <w:sz w:val="22"/>
          <w:szCs w:val="22"/>
          <w:lang w:val="es-DO"/>
        </w:rPr>
        <w:t>Plan de Acción “Hacia la construcción de un nuevo Pacto Educativo Hemisférico en contextos de cambio”</w:t>
      </w:r>
      <w:r w:rsidR="00C25543">
        <w:rPr>
          <w:rStyle w:val="Hyperlink"/>
          <w:sz w:val="22"/>
          <w:szCs w:val="22"/>
          <w:lang w:val="es-DO"/>
        </w:rPr>
        <w:fldChar w:fldCharType="end"/>
      </w:r>
      <w:r w:rsidRPr="0046D6FB">
        <w:rPr>
          <w:sz w:val="22"/>
          <w:szCs w:val="22"/>
          <w:lang w:val="es-DO"/>
        </w:rPr>
        <w:t xml:space="preserve"> y atendiendo al desafiante contexto de las consecuencias iniciales producidas por la crisis sanitaria mundial, los Ministros de Educación han enfocado su trabajo en generar un marco de acción que aumente la capacidad de ayudar a garantizar la continuidad de la educación en los diferentes tipos y niveles del sistema educativo, promoviendo la atención de aquellos más afectados o desfavorecidos.</w:t>
      </w:r>
    </w:p>
    <w:p w14:paraId="092B5656" w14:textId="77777777" w:rsidR="000E3478" w:rsidRPr="002C5466" w:rsidRDefault="000E3478" w:rsidP="000E3478">
      <w:pPr>
        <w:ind w:firstLine="720"/>
        <w:jc w:val="both"/>
        <w:rPr>
          <w:sz w:val="22"/>
          <w:szCs w:val="22"/>
          <w:lang w:val="es-DO"/>
        </w:rPr>
      </w:pPr>
    </w:p>
    <w:p w14:paraId="5E9BDB4F" w14:textId="3738B091" w:rsidR="000E3478" w:rsidRPr="008B3065" w:rsidRDefault="000E3478" w:rsidP="000E3478">
      <w:pPr>
        <w:ind w:firstLine="720"/>
        <w:jc w:val="both"/>
        <w:rPr>
          <w:sz w:val="22"/>
          <w:szCs w:val="22"/>
          <w:lang w:val="es-DO"/>
        </w:rPr>
      </w:pPr>
      <w:r w:rsidRPr="2B67556C">
        <w:rPr>
          <w:rFonts w:eastAsia="MS Mincho"/>
          <w:sz w:val="22"/>
          <w:szCs w:val="22"/>
          <w:lang w:val="es-DO"/>
        </w:rPr>
        <w:t xml:space="preserve">La meta </w:t>
      </w:r>
      <w:r w:rsidR="00C25543">
        <w:fldChar w:fldCharType="begin"/>
      </w:r>
      <w:r w:rsidR="00C25543" w:rsidRPr="00C25543">
        <w:rPr>
          <w:lang w:val="es-US"/>
        </w:rPr>
        <w:instrText>HYPERLINK "https://www.un.org/sustainabledevelopment/es/education/" \h</w:instrText>
      </w:r>
      <w:r w:rsidR="00C25543">
        <w:fldChar w:fldCharType="separate"/>
      </w:r>
      <w:r w:rsidRPr="2B67556C">
        <w:rPr>
          <w:rStyle w:val="Hyperlink"/>
          <w:rFonts w:eastAsia="MS Mincho"/>
          <w:sz w:val="22"/>
          <w:szCs w:val="22"/>
          <w:lang w:val="es-DO"/>
        </w:rPr>
        <w:t>4.5 del Objetivo de Desarrollo Sostenible 4</w:t>
      </w:r>
      <w:r w:rsidR="00C25543">
        <w:rPr>
          <w:rStyle w:val="Hyperlink"/>
          <w:rFonts w:eastAsia="MS Mincho"/>
          <w:sz w:val="22"/>
          <w:szCs w:val="22"/>
          <w:lang w:val="es-DO"/>
        </w:rPr>
        <w:fldChar w:fldCharType="end"/>
      </w:r>
      <w:r w:rsidRPr="2B67556C">
        <w:rPr>
          <w:rFonts w:eastAsia="MS Mincho"/>
          <w:sz w:val="22"/>
          <w:szCs w:val="22"/>
          <w:lang w:val="es-DO"/>
        </w:rPr>
        <w:t xml:space="preserve"> a la cual los </w:t>
      </w:r>
      <w:r w:rsidRPr="0F554015">
        <w:rPr>
          <w:rFonts w:eastAsia="MS Mincho"/>
          <w:sz w:val="22"/>
          <w:szCs w:val="22"/>
          <w:lang w:val="es-DO"/>
        </w:rPr>
        <w:t>Estados M</w:t>
      </w:r>
      <w:r w:rsidRPr="2B67556C">
        <w:rPr>
          <w:rFonts w:eastAsia="MS Mincho"/>
          <w:sz w:val="22"/>
          <w:szCs w:val="22"/>
          <w:lang w:val="es-DO"/>
        </w:rPr>
        <w:t xml:space="preserve">iembros han comprometido su accionar en el marco de la Agenda 2030, claramente establece la necesidad de eliminar las disparidades de género en la educación y asegurar </w:t>
      </w:r>
      <w:r w:rsidRPr="2B67556C">
        <w:rPr>
          <w:sz w:val="22"/>
          <w:szCs w:val="22"/>
          <w:lang w:val="es-DO"/>
        </w:rPr>
        <w:t xml:space="preserve">el acceso igualitario a todos los niveles de la enseñanza y la </w:t>
      </w:r>
      <w:r w:rsidRPr="00EB4620">
        <w:rPr>
          <w:sz w:val="22"/>
          <w:szCs w:val="22"/>
          <w:lang w:val="es-DO"/>
        </w:rPr>
        <w:t>formación profesional</w:t>
      </w:r>
      <w:r w:rsidRPr="2B67556C">
        <w:rPr>
          <w:sz w:val="22"/>
          <w:szCs w:val="22"/>
          <w:lang w:val="es-DO"/>
        </w:rPr>
        <w:t xml:space="preserve"> para las personas vulnerables, incluidas las personas con discapacidad, los pueblos indígenas,</w:t>
      </w:r>
      <w:r w:rsidR="006E776C">
        <w:rPr>
          <w:sz w:val="22"/>
          <w:szCs w:val="22"/>
          <w:lang w:val="es-DO"/>
        </w:rPr>
        <w:t xml:space="preserve"> </w:t>
      </w:r>
      <w:r w:rsidRPr="2B67556C">
        <w:rPr>
          <w:sz w:val="22"/>
          <w:szCs w:val="22"/>
          <w:lang w:val="es-DO"/>
        </w:rPr>
        <w:t>las niñas y niños en situaciones de vulnerabilidad, entre otros.</w:t>
      </w:r>
    </w:p>
    <w:p w14:paraId="1C395D23" w14:textId="77777777" w:rsidR="000E3478" w:rsidRDefault="000E3478" w:rsidP="000E3478">
      <w:pPr>
        <w:ind w:firstLine="720"/>
        <w:jc w:val="both"/>
        <w:rPr>
          <w:rFonts w:eastAsia="MS Mincho"/>
          <w:sz w:val="22"/>
          <w:szCs w:val="22"/>
          <w:lang w:val="es-DO"/>
        </w:rPr>
      </w:pPr>
    </w:p>
    <w:p w14:paraId="5FB6CFB8" w14:textId="2DEC770C" w:rsidR="000E3478" w:rsidRDefault="000E3478" w:rsidP="000E3478">
      <w:pPr>
        <w:ind w:firstLine="720"/>
        <w:jc w:val="both"/>
        <w:rPr>
          <w:rFonts w:eastAsia="MS Mincho"/>
          <w:sz w:val="22"/>
          <w:szCs w:val="22"/>
          <w:lang w:val="es-US"/>
        </w:rPr>
      </w:pPr>
      <w:r>
        <w:rPr>
          <w:rFonts w:eastAsia="MS Mincho"/>
          <w:sz w:val="22"/>
          <w:szCs w:val="22"/>
          <w:lang w:val="es-DO"/>
        </w:rPr>
        <w:t xml:space="preserve">Varias publicaciones recientes ofrecen un marco de deliberación interesante para la región. Una publicación de la </w:t>
      </w:r>
      <w:r w:rsidR="00C25543">
        <w:fldChar w:fldCharType="begin"/>
      </w:r>
      <w:r w:rsidR="00C25543" w:rsidRPr="00C25543">
        <w:rPr>
          <w:lang w:val="es-US"/>
        </w:rPr>
        <w:instrText>HYPERLINK "https://www.kas.de/documents/7851262/8887001/LIBRO+INT</w:instrText>
      </w:r>
      <w:r w:rsidR="00C25543" w:rsidRPr="00C25543">
        <w:rPr>
          <w:lang w:val="es-US"/>
        </w:rPr>
        <w:instrText>ERNET+Y+PANDEMIA+EN+LAS+AMERICAS+VF.pdf/4a2051a3-c28a-f978-1343-5a9e4168d6ee?version=1.0&amp;t=1608242281728"</w:instrText>
      </w:r>
      <w:r w:rsidR="00C25543">
        <w:fldChar w:fldCharType="separate"/>
      </w:r>
      <w:r w:rsidRPr="005045EF">
        <w:rPr>
          <w:rStyle w:val="Hyperlink"/>
          <w:rFonts w:eastAsia="MS Mincho"/>
          <w:sz w:val="22"/>
          <w:szCs w:val="22"/>
          <w:lang w:val="es-DO"/>
        </w:rPr>
        <w:t>Fundación Konrad Adenauer-</w:t>
      </w:r>
      <w:proofErr w:type="spellStart"/>
      <w:r w:rsidRPr="005045EF">
        <w:rPr>
          <w:rStyle w:val="Hyperlink"/>
          <w:rFonts w:eastAsia="MS Mincho"/>
          <w:sz w:val="22"/>
          <w:szCs w:val="22"/>
          <w:lang w:val="es-DO"/>
        </w:rPr>
        <w:t>Stiftung</w:t>
      </w:r>
      <w:proofErr w:type="spellEnd"/>
      <w:r w:rsidR="00C25543">
        <w:rPr>
          <w:rStyle w:val="Hyperlink"/>
          <w:rFonts w:eastAsia="MS Mincho"/>
          <w:sz w:val="22"/>
          <w:szCs w:val="22"/>
          <w:lang w:val="es-DO"/>
        </w:rPr>
        <w:fldChar w:fldCharType="end"/>
      </w:r>
      <w:r>
        <w:rPr>
          <w:rFonts w:eastAsia="MS Mincho"/>
          <w:sz w:val="22"/>
          <w:szCs w:val="22"/>
          <w:lang w:val="es-DO"/>
        </w:rPr>
        <w:t>, Internet y Pandemia en las Américas, (</w:t>
      </w:r>
      <w:proofErr w:type="spellStart"/>
      <w:r>
        <w:rPr>
          <w:rFonts w:eastAsia="MS Mincho"/>
          <w:sz w:val="22"/>
          <w:szCs w:val="22"/>
          <w:lang w:val="es-DO"/>
        </w:rPr>
        <w:t>Ford,Weck</w:t>
      </w:r>
      <w:proofErr w:type="spellEnd"/>
      <w:r>
        <w:rPr>
          <w:rFonts w:eastAsia="MS Mincho"/>
          <w:sz w:val="22"/>
          <w:szCs w:val="22"/>
          <w:lang w:val="es-DO"/>
        </w:rPr>
        <w:t xml:space="preserve">, 2021) presenta en un espectro muy amplio algunas reflexiones en la región durante la pandemia. Cuando se habla de </w:t>
      </w:r>
      <w:r w:rsidR="00C25543">
        <w:fldChar w:fldCharType="begin"/>
      </w:r>
      <w:r w:rsidR="00C25543" w:rsidRPr="00C25543">
        <w:rPr>
          <w:lang w:val="es-US"/>
        </w:rPr>
        <w:instrText>HYPERLINK "https://repositorio.cepal.org/bitstream/handle/11362/45360/OportDigitalizaCovid-19_es.pdf?sequence=4&amp;isAllowed=y"</w:instrText>
      </w:r>
      <w:r w:rsidR="00C25543">
        <w:fldChar w:fldCharType="separate"/>
      </w:r>
      <w:r w:rsidRPr="002D02B1">
        <w:rPr>
          <w:rStyle w:val="Hyperlink"/>
          <w:rFonts w:eastAsia="MS Mincho"/>
          <w:sz w:val="22"/>
          <w:szCs w:val="22"/>
          <w:lang w:val="es-DO"/>
        </w:rPr>
        <w:t>oportunidades de la digitalización en América Latina frente al covid-19</w:t>
      </w:r>
      <w:r w:rsidR="00C25543">
        <w:rPr>
          <w:rStyle w:val="Hyperlink"/>
          <w:rFonts w:eastAsia="MS Mincho"/>
          <w:sz w:val="22"/>
          <w:szCs w:val="22"/>
          <w:lang w:val="es-DO"/>
        </w:rPr>
        <w:fldChar w:fldCharType="end"/>
      </w:r>
      <w:r>
        <w:rPr>
          <w:rFonts w:eastAsia="MS Mincho"/>
          <w:sz w:val="22"/>
          <w:szCs w:val="22"/>
          <w:lang w:val="es-DO"/>
        </w:rPr>
        <w:t xml:space="preserve">, una publicación de la CAF-CEPAL (2020) en su apartado de Acciones de Política Pública y Regulatoria, destaca decisiones asociadas en su mayor parte a proveedores de servicios de internet en algunos países de la región. De sus 10 recomendaciones solo una refiere a los sectores de </w:t>
      </w:r>
      <w:r w:rsidRPr="003850F1">
        <w:rPr>
          <w:rFonts w:eastAsia="MS Mincho"/>
          <w:sz w:val="22"/>
          <w:szCs w:val="22"/>
          <w:lang w:val="es-US"/>
        </w:rPr>
        <w:t>la salud</w:t>
      </w:r>
      <w:r>
        <w:rPr>
          <w:rFonts w:eastAsia="MS Mincho"/>
          <w:sz w:val="22"/>
          <w:szCs w:val="22"/>
          <w:lang w:val="es-US"/>
        </w:rPr>
        <w:t xml:space="preserve">, </w:t>
      </w:r>
      <w:r w:rsidRPr="003850F1">
        <w:rPr>
          <w:rFonts w:eastAsia="MS Mincho"/>
          <w:sz w:val="22"/>
          <w:szCs w:val="22"/>
          <w:lang w:val="es-US"/>
        </w:rPr>
        <w:t xml:space="preserve">educación </w:t>
      </w:r>
      <w:r>
        <w:rPr>
          <w:rFonts w:eastAsia="MS Mincho"/>
          <w:sz w:val="22"/>
          <w:szCs w:val="22"/>
          <w:lang w:val="es-US"/>
        </w:rPr>
        <w:t>y</w:t>
      </w:r>
      <w:r w:rsidRPr="003850F1">
        <w:rPr>
          <w:rFonts w:eastAsia="MS Mincho"/>
          <w:sz w:val="22"/>
          <w:szCs w:val="22"/>
          <w:lang w:val="es-US"/>
        </w:rPr>
        <w:t xml:space="preserve"> desarrollo productivo.</w:t>
      </w:r>
      <w:r>
        <w:rPr>
          <w:rFonts w:eastAsia="MS Mincho"/>
          <w:sz w:val="22"/>
          <w:szCs w:val="22"/>
          <w:lang w:val="es-US"/>
        </w:rPr>
        <w:t xml:space="preserve"> En su publicación </w:t>
      </w:r>
      <w:r w:rsidR="00C25543">
        <w:fldChar w:fldCharType="begin"/>
      </w:r>
      <w:r w:rsidR="00C25543" w:rsidRPr="00C25543">
        <w:rPr>
          <w:lang w:val="es-US"/>
        </w:rPr>
        <w:instrText>HYPERLINK "https://fundacionceibal.edu.uy/wp-content/uploads/2022/02/Educaci%C3%B3n-y-tecnolog%C3%ADa-El-desaf%C3%ADo-de-la-sustentabilidad-en-Am%C3%A9rica-Latina-1.</w:instrText>
      </w:r>
      <w:r w:rsidR="00C25543" w:rsidRPr="00C25543">
        <w:rPr>
          <w:lang w:val="es-US"/>
        </w:rPr>
        <w:instrText>pdf"</w:instrText>
      </w:r>
      <w:r w:rsidR="00C25543">
        <w:fldChar w:fldCharType="separate"/>
      </w:r>
      <w:r w:rsidRPr="00E57019">
        <w:rPr>
          <w:rStyle w:val="Hyperlink"/>
          <w:rFonts w:eastAsia="MS Mincho"/>
          <w:sz w:val="22"/>
          <w:szCs w:val="22"/>
          <w:lang w:val="es-US"/>
        </w:rPr>
        <w:t>Educaci</w:t>
      </w:r>
      <w:r w:rsidR="006E776C">
        <w:rPr>
          <w:rStyle w:val="Hyperlink"/>
          <w:rFonts w:eastAsia="MS Mincho"/>
          <w:sz w:val="22"/>
          <w:szCs w:val="22"/>
          <w:lang w:val="es-US"/>
        </w:rPr>
        <w:t>ó</w:t>
      </w:r>
      <w:r w:rsidRPr="00E57019">
        <w:rPr>
          <w:rStyle w:val="Hyperlink"/>
          <w:rFonts w:eastAsia="MS Mincho"/>
          <w:sz w:val="22"/>
          <w:szCs w:val="22"/>
          <w:lang w:val="es-US"/>
        </w:rPr>
        <w:t>n y tecnología: el desafío de la sustentabilidad en América Latina</w:t>
      </w:r>
      <w:r w:rsidR="00C25543">
        <w:rPr>
          <w:rStyle w:val="Hyperlink"/>
          <w:rFonts w:eastAsia="MS Mincho"/>
          <w:sz w:val="22"/>
          <w:szCs w:val="22"/>
          <w:lang w:val="es-US"/>
        </w:rPr>
        <w:fldChar w:fldCharType="end"/>
      </w:r>
      <w:r>
        <w:rPr>
          <w:rFonts w:eastAsia="MS Mincho"/>
          <w:sz w:val="22"/>
          <w:szCs w:val="22"/>
          <w:lang w:val="es-US"/>
        </w:rPr>
        <w:t>, Fundación Ceibal y IDRC-CRDI Canadá (2022) se adentran en un debate ineludible considerando sin embargo solo algunas de las miradas de organismos multilaterales de la región con sus voces y miradas a nivel macro.</w:t>
      </w:r>
      <w:r w:rsidRPr="00ED114A">
        <w:rPr>
          <w:rFonts w:eastAsia="MS Mincho"/>
          <w:sz w:val="22"/>
          <w:szCs w:val="22"/>
          <w:lang w:val="es-US"/>
        </w:rPr>
        <w:t xml:space="preserve"> </w:t>
      </w:r>
      <w:r>
        <w:rPr>
          <w:rFonts w:eastAsia="MS Mincho"/>
          <w:sz w:val="22"/>
          <w:szCs w:val="22"/>
          <w:lang w:val="es-US"/>
        </w:rPr>
        <w:t xml:space="preserve">Un reciente post del Banco Mundial (2021) menciona cuatro áreas para encarar la </w:t>
      </w:r>
      <w:r w:rsidR="00C25543">
        <w:fldChar w:fldCharType="begin"/>
      </w:r>
      <w:r w:rsidR="00C25543" w:rsidRPr="00C25543">
        <w:rPr>
          <w:lang w:val="es-US"/>
        </w:rPr>
        <w:instrText>HYPERLINK "https://blogs.worldbank.org/es/latinamerica/el-escaso-acceso-digital-frena-america-latina</w:instrText>
      </w:r>
      <w:r w:rsidR="00C25543" w:rsidRPr="00C25543">
        <w:rPr>
          <w:lang w:val="es-US"/>
        </w:rPr>
        <w:instrText>-y-el-caribe-como-solucionar-este"</w:instrText>
      </w:r>
      <w:r w:rsidR="00C25543">
        <w:fldChar w:fldCharType="separate"/>
      </w:r>
      <w:r w:rsidRPr="00ED114A">
        <w:rPr>
          <w:rStyle w:val="Hyperlink"/>
          <w:rFonts w:eastAsia="MS Mincho"/>
          <w:sz w:val="22"/>
          <w:szCs w:val="22"/>
          <w:lang w:val="es-US"/>
        </w:rPr>
        <w:t>disminución de la brecha digital</w:t>
      </w:r>
      <w:r w:rsidR="00C25543">
        <w:rPr>
          <w:rStyle w:val="Hyperlink"/>
          <w:rFonts w:eastAsia="MS Mincho"/>
          <w:sz w:val="22"/>
          <w:szCs w:val="22"/>
          <w:lang w:val="es-US"/>
        </w:rPr>
        <w:fldChar w:fldCharType="end"/>
      </w:r>
      <w:r>
        <w:rPr>
          <w:rStyle w:val="Hyperlink"/>
          <w:rFonts w:eastAsia="MS Mincho"/>
          <w:sz w:val="22"/>
          <w:szCs w:val="22"/>
          <w:lang w:val="es-US"/>
        </w:rPr>
        <w:t xml:space="preserve">: </w:t>
      </w:r>
      <w:r w:rsidRPr="00EE2570">
        <w:rPr>
          <w:lang w:val="es-US"/>
        </w:rPr>
        <w:t>a) avanzar en el suministro de servicios; b) considerar incentivos financieros directos e indirectos para clientes y operadores; c) ampliar el acceso digital con inversión pública y privada; d) considerar medidas complementarias como la formación en habilidades digitales.</w:t>
      </w:r>
    </w:p>
    <w:p w14:paraId="034BB50B" w14:textId="77777777" w:rsidR="000E3478" w:rsidRDefault="000E3478" w:rsidP="000E3478">
      <w:pPr>
        <w:jc w:val="both"/>
        <w:rPr>
          <w:rFonts w:eastAsia="MS Mincho"/>
          <w:sz w:val="22"/>
          <w:szCs w:val="22"/>
          <w:lang w:val="es-US"/>
        </w:rPr>
      </w:pPr>
    </w:p>
    <w:p w14:paraId="0A6D0964" w14:textId="77777777" w:rsidR="000E3478" w:rsidRPr="009C73D8" w:rsidRDefault="000E3478" w:rsidP="000E3478">
      <w:pPr>
        <w:tabs>
          <w:tab w:val="left" w:pos="1440"/>
        </w:tabs>
        <w:ind w:firstLine="720"/>
        <w:contextualSpacing/>
        <w:jc w:val="both"/>
        <w:rPr>
          <w:rFonts w:eastAsia="MS Mincho"/>
          <w:sz w:val="22"/>
          <w:szCs w:val="22"/>
          <w:lang w:val="es-ES_tradnl"/>
        </w:rPr>
      </w:pPr>
      <w:r w:rsidRPr="009C73D8">
        <w:rPr>
          <w:rFonts w:eastAsia="MS Mincho"/>
          <w:sz w:val="22"/>
          <w:szCs w:val="22"/>
          <w:lang w:val="es-ES_tradnl"/>
        </w:rPr>
        <w:t xml:space="preserve">Un reciente estudio realizado por el </w:t>
      </w:r>
      <w:r>
        <w:rPr>
          <w:rFonts w:eastAsia="MS Mincho"/>
          <w:sz w:val="22"/>
          <w:szCs w:val="22"/>
          <w:lang w:val="es-ES_tradnl"/>
        </w:rPr>
        <w:t>Instituto Interamericano de Cooperación para la Agricultura (</w:t>
      </w:r>
      <w:r w:rsidRPr="005D47DB">
        <w:rPr>
          <w:rFonts w:eastAsia="MS Mincho"/>
          <w:sz w:val="22"/>
          <w:szCs w:val="22"/>
          <w:lang w:val="es-ES_tradnl"/>
        </w:rPr>
        <w:t>IICA)</w:t>
      </w:r>
      <w:r w:rsidRPr="009C73D8">
        <w:rPr>
          <w:rFonts w:eastAsia="MS Mincho"/>
          <w:sz w:val="22"/>
          <w:szCs w:val="22"/>
          <w:lang w:val="es-ES_tradnl"/>
        </w:rPr>
        <w:t xml:space="preserve"> indica que más de 244 millones de personas en América Latina NO posee acceso a Internet. El estudio, que concentró su trabajo en 24 países, revela que un 71% de la población urbana cuenta con opciones de conectividad, ante menos de un 37% en la ruralidad. Tomemos como claro ejemplo una muy interesante conceptualización sobre el </w:t>
      </w:r>
      <w:r w:rsidR="00C25543">
        <w:fldChar w:fldCharType="begin"/>
      </w:r>
      <w:r w:rsidR="00C25543" w:rsidRPr="00C25543">
        <w:rPr>
          <w:lang w:val="es-US"/>
        </w:rPr>
        <w:instrText>HYPERLINK "https://repositorio.iica.int/bitstream/handle/11324/12896/BVE20108887e.pdf?sequence=1&amp;isAllowed=y"</w:instrText>
      </w:r>
      <w:r w:rsidR="00C25543">
        <w:fldChar w:fldCharType="separate"/>
      </w:r>
      <w:r w:rsidRPr="009C73D8">
        <w:rPr>
          <w:rStyle w:val="Hyperlink"/>
          <w:rFonts w:eastAsia="MS Mincho"/>
          <w:sz w:val="22"/>
          <w:szCs w:val="22"/>
          <w:lang w:val="es-ES_tradnl"/>
        </w:rPr>
        <w:t>Índice de Conectividad Significativa Rural y Urbana (</w:t>
      </w:r>
      <w:proofErr w:type="spellStart"/>
      <w:r w:rsidRPr="009C73D8">
        <w:rPr>
          <w:rStyle w:val="Hyperlink"/>
          <w:rFonts w:eastAsia="MS Mincho"/>
          <w:sz w:val="22"/>
          <w:szCs w:val="22"/>
          <w:lang w:val="es-ES_tradnl"/>
        </w:rPr>
        <w:t>ICSr</w:t>
      </w:r>
      <w:proofErr w:type="spellEnd"/>
      <w:r w:rsidRPr="009C73D8">
        <w:rPr>
          <w:rStyle w:val="Hyperlink"/>
          <w:rFonts w:eastAsia="MS Mincho"/>
          <w:sz w:val="22"/>
          <w:szCs w:val="22"/>
          <w:lang w:val="es-ES_tradnl"/>
        </w:rPr>
        <w:t xml:space="preserve"> y Urbana (</w:t>
      </w:r>
      <w:proofErr w:type="spellStart"/>
      <w:r w:rsidRPr="009C73D8">
        <w:rPr>
          <w:rStyle w:val="Hyperlink"/>
          <w:rFonts w:eastAsia="MS Mincho"/>
          <w:sz w:val="22"/>
          <w:szCs w:val="22"/>
          <w:lang w:val="es-ES_tradnl"/>
        </w:rPr>
        <w:t>ICSu</w:t>
      </w:r>
      <w:proofErr w:type="spellEnd"/>
      <w:r w:rsidRPr="009C73D8">
        <w:rPr>
          <w:rStyle w:val="Hyperlink"/>
          <w:rFonts w:eastAsia="MS Mincho"/>
          <w:sz w:val="22"/>
          <w:szCs w:val="22"/>
          <w:lang w:val="es-ES_tradnl"/>
        </w:rPr>
        <w:t>)</w:t>
      </w:r>
      <w:r w:rsidR="00C25543">
        <w:rPr>
          <w:rStyle w:val="Hyperlink"/>
          <w:rFonts w:eastAsia="MS Mincho"/>
          <w:sz w:val="22"/>
          <w:szCs w:val="22"/>
          <w:lang w:val="es-ES_tradnl"/>
        </w:rPr>
        <w:fldChar w:fldCharType="end"/>
      </w:r>
      <w:r w:rsidRPr="009C73D8">
        <w:rPr>
          <w:rFonts w:eastAsia="MS Mincho"/>
          <w:sz w:val="22"/>
          <w:szCs w:val="22"/>
          <w:lang w:val="es-ES_tradnl"/>
        </w:rPr>
        <w:t xml:space="preserve">. Este índice tiene como propósito medir la calidad de la conexión a partir de la información disponible en las estadísticas oficiales y en base a otros índices existentes (Índice de Banda Ancha, del Banco Interamericano de Desarrollo BID; Índice de Conectividad Móvil, </w:t>
      </w:r>
      <w:proofErr w:type="spellStart"/>
      <w:r w:rsidRPr="006E776C">
        <w:rPr>
          <w:rFonts w:eastAsia="MS Mincho"/>
          <w:i/>
          <w:iCs/>
          <w:sz w:val="22"/>
          <w:szCs w:val="22"/>
          <w:lang w:val="es-ES_tradnl"/>
        </w:rPr>
        <w:t>GroupSpecial</w:t>
      </w:r>
      <w:proofErr w:type="spellEnd"/>
      <w:r w:rsidRPr="006E776C">
        <w:rPr>
          <w:rFonts w:eastAsia="MS Mincho"/>
          <w:i/>
          <w:iCs/>
          <w:sz w:val="22"/>
          <w:szCs w:val="22"/>
          <w:lang w:val="es-ES_tradnl"/>
        </w:rPr>
        <w:t xml:space="preserve"> Mobile</w:t>
      </w:r>
      <w:r w:rsidRPr="009C73D8">
        <w:rPr>
          <w:rFonts w:eastAsia="MS Mincho"/>
          <w:sz w:val="22"/>
          <w:szCs w:val="22"/>
          <w:lang w:val="es-ES_tradnl"/>
        </w:rPr>
        <w:t xml:space="preserve">, </w:t>
      </w:r>
      <w:r w:rsidRPr="006E776C">
        <w:rPr>
          <w:rFonts w:eastAsia="MS Mincho"/>
          <w:i/>
          <w:iCs/>
          <w:sz w:val="22"/>
          <w:szCs w:val="22"/>
          <w:lang w:val="es-ES_tradnl"/>
        </w:rPr>
        <w:t xml:space="preserve">GSMA </w:t>
      </w:r>
      <w:proofErr w:type="spellStart"/>
      <w:r w:rsidRPr="006E776C">
        <w:rPr>
          <w:rFonts w:eastAsia="MS Mincho"/>
          <w:i/>
          <w:iCs/>
          <w:sz w:val="22"/>
          <w:szCs w:val="22"/>
          <w:lang w:val="es-ES_tradnl"/>
        </w:rPr>
        <w:t>Association</w:t>
      </w:r>
      <w:proofErr w:type="spellEnd"/>
      <w:r w:rsidRPr="009C73D8">
        <w:rPr>
          <w:rFonts w:eastAsia="MS Mincho"/>
          <w:sz w:val="22"/>
          <w:szCs w:val="22"/>
          <w:lang w:val="es-ES_tradnl"/>
        </w:rPr>
        <w:t xml:space="preserve"> (GSMA); Índice de Conectividad General, utilizado por la Unión Internacional de Telecomunicaciones, ITU por su sigla en inglés).</w:t>
      </w:r>
    </w:p>
    <w:p w14:paraId="140E031F" w14:textId="77777777" w:rsidR="000E3478" w:rsidRPr="004A4B41" w:rsidRDefault="000E3478" w:rsidP="000E3478">
      <w:pPr>
        <w:ind w:firstLine="720"/>
        <w:jc w:val="both"/>
        <w:rPr>
          <w:rFonts w:eastAsia="MS Mincho"/>
          <w:sz w:val="22"/>
          <w:szCs w:val="22"/>
          <w:lang w:val="es-ES_tradnl"/>
        </w:rPr>
      </w:pPr>
    </w:p>
    <w:p w14:paraId="789A72CC" w14:textId="77777777" w:rsidR="000E3478" w:rsidRDefault="000E3478" w:rsidP="000E3478">
      <w:pPr>
        <w:ind w:firstLine="720"/>
        <w:jc w:val="both"/>
        <w:rPr>
          <w:rFonts w:eastAsia="MS Mincho"/>
          <w:sz w:val="22"/>
          <w:szCs w:val="22"/>
          <w:lang w:val="es-US"/>
        </w:rPr>
      </w:pPr>
      <w:r w:rsidRPr="2B67556C">
        <w:rPr>
          <w:rFonts w:eastAsia="MS Mincho"/>
          <w:sz w:val="22"/>
          <w:szCs w:val="22"/>
          <w:lang w:val="es-US"/>
        </w:rPr>
        <w:t xml:space="preserve">Los informes, publicaciones, reportes sobre la temática siguen siendo abundantes, masivos quizás hasta superpoblados. En contraposición, el desafío sigue siendo el mismo: ¿cómo no repetir formulas, implementaciones, programas y proyectos que luego de más de 20 años de acción en la región se enfrentaron en 2020 a una realidad irrefutable? Ante la urgente necesidad de uso e integración de tecnologías en los procesos de formación para garantizar la continuidad educativa, los sistemas seguían sin estar preparados para dar respuesta a la crisis. Ya en la década de los ’80 el </w:t>
      </w:r>
      <w:r w:rsidR="00C25543">
        <w:fldChar w:fldCharType="begin"/>
      </w:r>
      <w:r w:rsidR="00C25543" w:rsidRPr="00C25543">
        <w:rPr>
          <w:lang w:val="es-US"/>
        </w:rPr>
        <w:instrText>HYPERLINK "https://digitallibrary.un.org/record/80?ln=es" \h</w:instrText>
      </w:r>
      <w:r w:rsidR="00C25543">
        <w:fldChar w:fldCharType="separate"/>
      </w:r>
      <w:r w:rsidRPr="2B67556C">
        <w:rPr>
          <w:rStyle w:val="Hyperlink"/>
          <w:rFonts w:eastAsia="MS Mincho"/>
          <w:sz w:val="22"/>
          <w:szCs w:val="22"/>
          <w:lang w:val="es-US"/>
        </w:rPr>
        <w:t>Informe Mac Bride</w:t>
      </w:r>
      <w:r w:rsidR="00C25543">
        <w:rPr>
          <w:rStyle w:val="Hyperlink"/>
          <w:rFonts w:eastAsia="MS Mincho"/>
          <w:sz w:val="22"/>
          <w:szCs w:val="22"/>
          <w:lang w:val="es-US"/>
        </w:rPr>
        <w:fldChar w:fldCharType="end"/>
      </w:r>
      <w:r w:rsidRPr="2B67556C">
        <w:rPr>
          <w:rFonts w:eastAsia="MS Mincho"/>
          <w:sz w:val="22"/>
          <w:szCs w:val="22"/>
          <w:lang w:val="es-US"/>
        </w:rPr>
        <w:t xml:space="preserve"> de la UNESCO (</w:t>
      </w:r>
      <w:proofErr w:type="spellStart"/>
      <w:r w:rsidRPr="006E776C">
        <w:rPr>
          <w:rFonts w:eastAsia="MS Mincho"/>
          <w:i/>
          <w:iCs/>
          <w:sz w:val="22"/>
          <w:szCs w:val="22"/>
          <w:lang w:val="es-US"/>
        </w:rPr>
        <w:t>Many</w:t>
      </w:r>
      <w:proofErr w:type="spellEnd"/>
      <w:r w:rsidRPr="006E776C">
        <w:rPr>
          <w:rFonts w:eastAsia="MS Mincho"/>
          <w:i/>
          <w:iCs/>
          <w:sz w:val="22"/>
          <w:szCs w:val="22"/>
          <w:lang w:val="es-US"/>
        </w:rPr>
        <w:t xml:space="preserve"> </w:t>
      </w:r>
      <w:proofErr w:type="spellStart"/>
      <w:r w:rsidRPr="006E776C">
        <w:rPr>
          <w:rFonts w:eastAsia="MS Mincho"/>
          <w:i/>
          <w:iCs/>
          <w:sz w:val="22"/>
          <w:szCs w:val="22"/>
          <w:lang w:val="es-US"/>
        </w:rPr>
        <w:t>Voices</w:t>
      </w:r>
      <w:proofErr w:type="spellEnd"/>
      <w:r w:rsidRPr="006E776C">
        <w:rPr>
          <w:rFonts w:eastAsia="MS Mincho"/>
          <w:i/>
          <w:iCs/>
          <w:sz w:val="22"/>
          <w:szCs w:val="22"/>
          <w:lang w:val="es-US"/>
        </w:rPr>
        <w:t xml:space="preserve">, </w:t>
      </w:r>
      <w:proofErr w:type="spellStart"/>
      <w:r w:rsidRPr="006E776C">
        <w:rPr>
          <w:rFonts w:eastAsia="MS Mincho"/>
          <w:i/>
          <w:iCs/>
          <w:sz w:val="22"/>
          <w:szCs w:val="22"/>
          <w:lang w:val="es-US"/>
        </w:rPr>
        <w:t>one</w:t>
      </w:r>
      <w:proofErr w:type="spellEnd"/>
      <w:r w:rsidRPr="006E776C">
        <w:rPr>
          <w:rFonts w:eastAsia="MS Mincho"/>
          <w:i/>
          <w:iCs/>
          <w:sz w:val="22"/>
          <w:szCs w:val="22"/>
          <w:lang w:val="es-US"/>
        </w:rPr>
        <w:t xml:space="preserve"> </w:t>
      </w:r>
      <w:proofErr w:type="spellStart"/>
      <w:r w:rsidRPr="006E776C">
        <w:rPr>
          <w:rFonts w:eastAsia="MS Mincho"/>
          <w:i/>
          <w:iCs/>
          <w:sz w:val="22"/>
          <w:szCs w:val="22"/>
          <w:lang w:val="es-US"/>
        </w:rPr>
        <w:t>world</w:t>
      </w:r>
      <w:proofErr w:type="spellEnd"/>
      <w:r w:rsidRPr="2B67556C">
        <w:rPr>
          <w:rFonts w:eastAsia="MS Mincho"/>
          <w:sz w:val="22"/>
          <w:szCs w:val="22"/>
          <w:lang w:val="es-US"/>
        </w:rPr>
        <w:t xml:space="preserve">, 1980) destaca el riesgo de focalizar el marco de avance en temas de uso de tecnologías de la educación como meros instrumentos que agraven las desigualdades. </w:t>
      </w:r>
    </w:p>
    <w:p w14:paraId="36165592" w14:textId="77777777" w:rsidR="000E3478" w:rsidRPr="005977BE" w:rsidRDefault="000E3478" w:rsidP="006E776C">
      <w:pPr>
        <w:pStyle w:val="NormalWeb"/>
        <w:shd w:val="clear" w:color="auto" w:fill="FFFFFF" w:themeFill="background1"/>
        <w:ind w:firstLine="720"/>
        <w:jc w:val="both"/>
        <w:rPr>
          <w:rFonts w:eastAsia="MS Mincho"/>
          <w:i/>
          <w:iCs/>
          <w:sz w:val="22"/>
          <w:szCs w:val="22"/>
          <w:lang w:val="es-ES"/>
        </w:rPr>
      </w:pPr>
      <w:r w:rsidRPr="2B67556C">
        <w:rPr>
          <w:rFonts w:eastAsia="MS Mincho"/>
          <w:sz w:val="22"/>
          <w:szCs w:val="22"/>
          <w:lang w:val="es-ES"/>
        </w:rPr>
        <w:t xml:space="preserve">Así también lo expresaba el </w:t>
      </w:r>
      <w:r w:rsidR="00C25543">
        <w:fldChar w:fldCharType="begin"/>
      </w:r>
      <w:r w:rsidR="00C25543" w:rsidRPr="00C25543">
        <w:rPr>
          <w:lang w:val="es-US"/>
        </w:rPr>
        <w:instrText>HYPERLINK "http://www.summit-americas.org/ii_summit/ii_summit_poa</w:instrText>
      </w:r>
      <w:r w:rsidR="00C25543" w:rsidRPr="00C25543">
        <w:rPr>
          <w:lang w:val="es-US"/>
        </w:rPr>
        <w:instrText>_sp.pdf" \h</w:instrText>
      </w:r>
      <w:r w:rsidR="00C25543">
        <w:fldChar w:fldCharType="separate"/>
      </w:r>
      <w:r w:rsidRPr="000E3478">
        <w:rPr>
          <w:rStyle w:val="Hyperlink"/>
          <w:rFonts w:eastAsia="MS Mincho"/>
          <w:sz w:val="22"/>
          <w:szCs w:val="22"/>
          <w:lang w:val="es-US"/>
        </w:rPr>
        <w:t>Plan de Acción de la Segunda Cumbre de las América</w:t>
      </w:r>
      <w:r w:rsidR="00C25543">
        <w:rPr>
          <w:rStyle w:val="Hyperlink"/>
          <w:rFonts w:eastAsia="MS Mincho"/>
          <w:sz w:val="22"/>
          <w:szCs w:val="22"/>
          <w:lang w:val="es-US"/>
        </w:rPr>
        <w:fldChar w:fldCharType="end"/>
      </w:r>
      <w:r w:rsidRPr="2B67556C">
        <w:rPr>
          <w:rFonts w:eastAsia="MS Mincho"/>
          <w:sz w:val="22"/>
          <w:szCs w:val="22"/>
          <w:lang w:val="es-ES"/>
        </w:rPr>
        <w:t>s llevada a cabo en Santiago, Chile en 1998 al destacar que:</w:t>
      </w:r>
    </w:p>
    <w:p w14:paraId="7DF9B52C" w14:textId="77777777" w:rsidR="000E3478" w:rsidRPr="006E776C" w:rsidRDefault="000E3478" w:rsidP="000E3478">
      <w:pPr>
        <w:pStyle w:val="NormalWeb"/>
        <w:shd w:val="clear" w:color="auto" w:fill="FFFFFF" w:themeFill="background1"/>
        <w:ind w:left="720"/>
        <w:jc w:val="both"/>
        <w:rPr>
          <w:rFonts w:eastAsia="MS Mincho"/>
          <w:sz w:val="20"/>
          <w:szCs w:val="20"/>
          <w:lang w:val="es-ES"/>
        </w:rPr>
      </w:pPr>
      <w:r w:rsidRPr="006E776C">
        <w:rPr>
          <w:rFonts w:eastAsia="MS Mincho"/>
          <w:sz w:val="20"/>
          <w:szCs w:val="20"/>
          <w:lang w:val="es-ES"/>
        </w:rPr>
        <w:t>“el compromiso hemisférico en educación se expresa en vastos procesos de reforma que abarcan a todos los niveles del sistema educativo y se basa en amplios consensos en torno a los problemas que confronta la educación y en el compromiso y esfuerzo compartido de toda la sociedad por superarlos. Estos procesos se sustentan en los principios de equidad, calidad, pertinencia y eficiencia. La equidad entendida como la creación de condiciones para que toda la población tenga oportunidades de recibir servicios educativos con calidad, reduciendo de manera apreciable los efectos que se derivan de la desigualdad social y económica, la discapacidad, la discriminación étnica, cultural y de género; la calidad que comprende el logro de altos niveles y orientaciones cognitivas, de competencias, de habilidades y de actitudes éticas; la pertinencia entendida como la capacidad de los sistemas educativos de responder a las necesidades y aspiraciones de la sociedad en su conjunto, considerando su diversidad social, cultural, étnica y lingüística; y por último, la eficiencia entendida como la provisión de recursos suficientes que se usen de modo óptimo para alcanzar mejores logros educativos.</w:t>
      </w:r>
    </w:p>
    <w:p w14:paraId="6FA864CC" w14:textId="77777777" w:rsidR="000E3478" w:rsidRPr="006E776C" w:rsidRDefault="000E3478" w:rsidP="000E3478">
      <w:pPr>
        <w:pStyle w:val="NormalWeb"/>
        <w:shd w:val="clear" w:color="auto" w:fill="FFFFFF" w:themeFill="background1"/>
        <w:ind w:left="720"/>
        <w:jc w:val="both"/>
        <w:rPr>
          <w:rFonts w:eastAsia="MS Mincho"/>
          <w:sz w:val="20"/>
          <w:szCs w:val="20"/>
          <w:lang w:val="es-ES"/>
        </w:rPr>
      </w:pPr>
      <w:r w:rsidRPr="006E776C">
        <w:rPr>
          <w:rFonts w:eastAsia="MS Mincho"/>
          <w:sz w:val="20"/>
          <w:szCs w:val="20"/>
          <w:lang w:val="es-ES"/>
        </w:rPr>
        <w:t>En consecuencia, los Gobiernos en pleno reconocimiento y respeto de la soberanía nacional, de las responsabilidades en materia de educación de las instituciones en nuestros respectivos países, reiteramos el compromiso de la </w:t>
      </w:r>
      <w:r w:rsidR="00C25543">
        <w:fldChar w:fldCharType="begin"/>
      </w:r>
      <w:r w:rsidR="00C25543" w:rsidRPr="00C25543">
        <w:rPr>
          <w:lang w:val="es-US"/>
        </w:rPr>
        <w:instrText>HYPERLINK "http://www.ftaa-alca.org/Summits/Miami/declara_s.asp" \h</w:instrText>
      </w:r>
      <w:r w:rsidR="00C25543">
        <w:fldChar w:fldCharType="separate"/>
      </w:r>
      <w:r w:rsidRPr="006E776C">
        <w:rPr>
          <w:rFonts w:eastAsia="MS Mincho"/>
          <w:sz w:val="20"/>
          <w:szCs w:val="20"/>
          <w:lang w:val="es-ES"/>
        </w:rPr>
        <w:t>Cumbre de Miami</w:t>
      </w:r>
      <w:r w:rsidR="00C25543">
        <w:rPr>
          <w:rFonts w:eastAsia="MS Mincho"/>
          <w:sz w:val="20"/>
          <w:szCs w:val="20"/>
          <w:lang w:val="es-ES"/>
        </w:rPr>
        <w:fldChar w:fldCharType="end"/>
      </w:r>
      <w:r w:rsidRPr="006E776C">
        <w:rPr>
          <w:rFonts w:eastAsia="MS Mincho"/>
          <w:sz w:val="20"/>
          <w:szCs w:val="20"/>
          <w:lang w:val="es-ES"/>
        </w:rPr>
        <w:t xml:space="preserve"> de asegurar, para el año 2010, el acceso y permanencia universal del 100% de los menores a una educación primaria de calidad, y el acceso para por lo menos el 75% de los jóvenes a la educación secundaria de calidad -con porcentajes cada vez mayores de jóvenes que culminen la escuela secundaria-, y asumimos la responsabilidad de ofrecer oportunidades de educación a lo largo de la vida a la población en general. De cumplir con estas metas estamos ciertos que le daremos a nuestros pueblos las herramientas, habilidades y conocimientos necesarios y adecuados para desarrollar las capacidades que aseguren mejores condiciones de competitividad y productividad que requieren las economías contemporáneas y contribuir como dignos ciudadanos a sus respectivas sociedades” </w:t>
      </w:r>
    </w:p>
    <w:p w14:paraId="2A2FE437" w14:textId="77777777" w:rsidR="000E3478" w:rsidRDefault="000E3478" w:rsidP="000E3478">
      <w:pPr>
        <w:jc w:val="both"/>
        <w:rPr>
          <w:rFonts w:eastAsia="MS Mincho"/>
          <w:sz w:val="22"/>
          <w:szCs w:val="22"/>
          <w:lang w:val="es-DO"/>
        </w:rPr>
      </w:pPr>
    </w:p>
    <w:p w14:paraId="0A52E06F" w14:textId="77777777" w:rsidR="000E3478" w:rsidRDefault="000E3478" w:rsidP="000E3478">
      <w:pPr>
        <w:ind w:firstLine="720"/>
        <w:jc w:val="both"/>
        <w:rPr>
          <w:rFonts w:eastAsia="MS Mincho"/>
          <w:sz w:val="22"/>
          <w:szCs w:val="22"/>
          <w:lang w:val="es-DO"/>
        </w:rPr>
      </w:pPr>
      <w:r>
        <w:rPr>
          <w:rFonts w:eastAsia="MS Mincho"/>
          <w:sz w:val="22"/>
          <w:szCs w:val="22"/>
          <w:lang w:val="es-DO"/>
        </w:rPr>
        <w:t xml:space="preserve">Hoy luego de transcurridas varias décadas desde estos compromisos y para que en la región la reducción de esta brecha se convierta gradualmente en una realidad, es necesario adoptar un abordaje que vaya más allá de las recetas del pasado que, aunque con ciertos logros reconocibles también han probado ser limitadas en su alcance y sostenibilidad, sobre todo con el incremento de brechas educativas agravadas por la pandemia del covid-19; abordajes que permitan </w:t>
      </w:r>
      <w:r w:rsidRPr="00FB38EC">
        <w:rPr>
          <w:rFonts w:eastAsia="MS Mincho"/>
          <w:sz w:val="22"/>
          <w:szCs w:val="22"/>
          <w:lang w:val="es-DO"/>
        </w:rPr>
        <w:t xml:space="preserve">adaptar </w:t>
      </w:r>
      <w:r>
        <w:rPr>
          <w:rFonts w:eastAsia="MS Mincho"/>
          <w:sz w:val="22"/>
          <w:szCs w:val="22"/>
          <w:lang w:val="es-DO"/>
        </w:rPr>
        <w:t>y adoptar</w:t>
      </w:r>
      <w:r w:rsidRPr="00FB38EC">
        <w:rPr>
          <w:rFonts w:eastAsia="MS Mincho"/>
          <w:sz w:val="22"/>
          <w:szCs w:val="22"/>
          <w:lang w:val="es-DO"/>
        </w:rPr>
        <w:t xml:space="preserve"> métodos innovadores de gestión y aprendizaje educativo más coherente con la actual sociedad posdigital</w:t>
      </w:r>
      <w:r>
        <w:rPr>
          <w:rFonts w:eastAsia="MS Mincho"/>
          <w:sz w:val="22"/>
          <w:szCs w:val="22"/>
          <w:lang w:val="es-DO"/>
        </w:rPr>
        <w:t xml:space="preserve"> (</w:t>
      </w:r>
      <w:r w:rsidRPr="001B14AD">
        <w:rPr>
          <w:rFonts w:eastAsia="MS Mincho"/>
          <w:sz w:val="22"/>
          <w:szCs w:val="22"/>
          <w:lang w:val="es-DO"/>
        </w:rPr>
        <w:t>caracterizada por una presencia cotidiana de lo digital sin precedentes</w:t>
      </w:r>
      <w:r>
        <w:rPr>
          <w:rFonts w:eastAsia="MS Mincho"/>
          <w:sz w:val="22"/>
          <w:szCs w:val="22"/>
          <w:lang w:val="es-DO"/>
        </w:rPr>
        <w:t xml:space="preserve"> y</w:t>
      </w:r>
      <w:r w:rsidRPr="001B14AD">
        <w:rPr>
          <w:rFonts w:eastAsia="MS Mincho"/>
          <w:sz w:val="22"/>
          <w:szCs w:val="22"/>
          <w:lang w:val="es-DO"/>
        </w:rPr>
        <w:t xml:space="preserve"> por su ubicuidad </w:t>
      </w:r>
      <w:r>
        <w:rPr>
          <w:rFonts w:eastAsia="MS Mincho"/>
          <w:sz w:val="22"/>
          <w:szCs w:val="22"/>
          <w:lang w:val="es-DO"/>
        </w:rPr>
        <w:t xml:space="preserve">); </w:t>
      </w:r>
      <w:r w:rsidRPr="00FB38EC">
        <w:rPr>
          <w:rFonts w:eastAsia="MS Mincho"/>
          <w:sz w:val="22"/>
          <w:szCs w:val="22"/>
          <w:lang w:val="es-DO"/>
        </w:rPr>
        <w:t xml:space="preserve">aprendizaje </w:t>
      </w:r>
      <w:r>
        <w:rPr>
          <w:rFonts w:eastAsia="MS Mincho"/>
          <w:sz w:val="22"/>
          <w:szCs w:val="22"/>
          <w:lang w:val="es-DO"/>
        </w:rPr>
        <w:t>a lo largo de toda la vida, que consideren el</w:t>
      </w:r>
      <w:r w:rsidRPr="00FB38EC">
        <w:rPr>
          <w:rFonts w:eastAsia="MS Mincho"/>
          <w:sz w:val="22"/>
          <w:szCs w:val="22"/>
          <w:lang w:val="es-DO"/>
        </w:rPr>
        <w:t xml:space="preserve"> uso de tecnologías disruptivas y </w:t>
      </w:r>
      <w:r>
        <w:rPr>
          <w:rFonts w:eastAsia="MS Mincho"/>
          <w:sz w:val="22"/>
          <w:szCs w:val="22"/>
          <w:lang w:val="es-DO"/>
        </w:rPr>
        <w:t xml:space="preserve">la implementación </w:t>
      </w:r>
      <w:r w:rsidRPr="00FB38EC">
        <w:rPr>
          <w:rFonts w:eastAsia="MS Mincho"/>
          <w:sz w:val="22"/>
          <w:szCs w:val="22"/>
          <w:lang w:val="es-DO"/>
        </w:rPr>
        <w:t xml:space="preserve"> de recursos educativos en abierto que puedan beneficiar a toda la sociedad </w:t>
      </w:r>
      <w:r>
        <w:rPr>
          <w:rFonts w:eastAsia="MS Mincho"/>
          <w:sz w:val="22"/>
          <w:szCs w:val="22"/>
          <w:lang w:val="es-DO"/>
        </w:rPr>
        <w:t>cerrando</w:t>
      </w:r>
      <w:r w:rsidRPr="00FB38EC">
        <w:rPr>
          <w:rFonts w:eastAsia="MS Mincho"/>
          <w:sz w:val="22"/>
          <w:szCs w:val="22"/>
          <w:lang w:val="es-DO"/>
        </w:rPr>
        <w:t xml:space="preserve"> brechas culturales y económicas.</w:t>
      </w:r>
    </w:p>
    <w:p w14:paraId="0447D8F7" w14:textId="77777777" w:rsidR="006E776C" w:rsidRPr="001C1FE6" w:rsidRDefault="006E776C" w:rsidP="000E3478">
      <w:pPr>
        <w:ind w:firstLine="720"/>
        <w:jc w:val="both"/>
        <w:rPr>
          <w:rFonts w:eastAsia="MS Mincho"/>
          <w:sz w:val="22"/>
          <w:szCs w:val="22"/>
          <w:lang w:val="es-DO"/>
        </w:rPr>
      </w:pPr>
    </w:p>
    <w:p w14:paraId="2878BC9F" w14:textId="77777777" w:rsidR="000E3478" w:rsidRPr="001C1FE6" w:rsidRDefault="000E3478" w:rsidP="000E3478">
      <w:pPr>
        <w:ind w:firstLine="720"/>
        <w:jc w:val="both"/>
        <w:rPr>
          <w:rFonts w:eastAsia="MS Mincho"/>
          <w:sz w:val="22"/>
          <w:szCs w:val="22"/>
          <w:lang w:val="es-DO"/>
        </w:rPr>
      </w:pPr>
      <w:r w:rsidRPr="2B67556C">
        <w:rPr>
          <w:rFonts w:eastAsia="MS Mincho"/>
          <w:sz w:val="22"/>
          <w:szCs w:val="22"/>
          <w:lang w:val="es-DO"/>
        </w:rPr>
        <w:t>Para que ello suceda, por sobre todas las cosas se necesita del compromiso ineludible e inquebrantable de los Estados Miembros de liderar una agenda educativa que garantice el derecho a la educación para todas y todos los estudiantes de la región.</w:t>
      </w:r>
    </w:p>
    <w:p w14:paraId="3AE8DF60" w14:textId="77777777" w:rsidR="000E3478" w:rsidRPr="001C1FE6" w:rsidRDefault="000E3478" w:rsidP="000E3478">
      <w:pPr>
        <w:jc w:val="both"/>
        <w:rPr>
          <w:rFonts w:eastAsia="MS Mincho"/>
          <w:sz w:val="22"/>
          <w:szCs w:val="22"/>
          <w:lang w:val="es-DO"/>
        </w:rPr>
      </w:pPr>
    </w:p>
    <w:p w14:paraId="12CE47E2" w14:textId="20A7296C" w:rsidR="000E3478" w:rsidRDefault="000E3478" w:rsidP="000E3478">
      <w:pPr>
        <w:ind w:firstLine="720"/>
        <w:jc w:val="both"/>
        <w:rPr>
          <w:rFonts w:eastAsia="MS Mincho"/>
          <w:sz w:val="22"/>
          <w:szCs w:val="22"/>
          <w:lang w:val="es-DO"/>
        </w:rPr>
      </w:pPr>
      <w:r w:rsidRPr="002C5466">
        <w:rPr>
          <w:rFonts w:eastAsia="MS Mincho"/>
          <w:sz w:val="22"/>
          <w:szCs w:val="22"/>
          <w:lang w:val="es-DO"/>
        </w:rPr>
        <w:t>A partir de la Novena Reunión Ordinaria, las autoridades de la C</w:t>
      </w:r>
      <w:r w:rsidR="006E776C">
        <w:rPr>
          <w:rFonts w:eastAsia="MS Mincho"/>
          <w:sz w:val="22"/>
          <w:szCs w:val="22"/>
          <w:lang w:val="es-DO"/>
        </w:rPr>
        <w:t>omisión Interamericana de Educación (C</w:t>
      </w:r>
      <w:r w:rsidRPr="002C5466">
        <w:rPr>
          <w:rFonts w:eastAsia="MS Mincho"/>
          <w:sz w:val="22"/>
          <w:szCs w:val="22"/>
          <w:lang w:val="es-DO"/>
        </w:rPr>
        <w:t>IE</w:t>
      </w:r>
      <w:r w:rsidR="006E776C">
        <w:rPr>
          <w:rFonts w:eastAsia="MS Mincho"/>
          <w:sz w:val="22"/>
          <w:szCs w:val="22"/>
          <w:lang w:val="es-DO"/>
        </w:rPr>
        <w:t>)</w:t>
      </w:r>
      <w:r w:rsidRPr="002C5466">
        <w:rPr>
          <w:rFonts w:eastAsia="MS Mincho"/>
          <w:sz w:val="22"/>
          <w:szCs w:val="22"/>
          <w:lang w:val="es-DO"/>
        </w:rPr>
        <w:t xml:space="preserve"> definieron como ejes esenciales que deben guiar la AEI: la recuperación y reparación educativa postpandemia; la movilidad de estudiantes y reconocimiento de sus estudios entre los distintos países de la región; el desarrollo profesional y la formación docente articulada entre los países de la región; el uso de nuevas tecnologías en la educación; la relación entre la educación, el empleo y el desarrollo de los países, el desarrollo de ambientes escolares saludables y, finalmente, la investigación vinculada a las problemáticas contextuales de los sistemas educativos. También expresaron su intención de desarrollar  </w:t>
      </w:r>
      <w:r w:rsidRPr="06557BF8">
        <w:rPr>
          <w:rFonts w:eastAsia="MS Mincho"/>
          <w:sz w:val="22"/>
          <w:szCs w:val="22"/>
          <w:lang w:val="es-DO"/>
        </w:rPr>
        <w:t>un</w:t>
      </w:r>
      <w:r w:rsidRPr="002C5466">
        <w:rPr>
          <w:rFonts w:eastAsia="MS Mincho"/>
          <w:sz w:val="22"/>
          <w:szCs w:val="22"/>
          <w:lang w:val="es-DO"/>
        </w:rPr>
        <w:t xml:space="preserve"> plan de trabajo centrado en promover espacios de discusión y acompañamiento en temas como la reactivación del sector educativo postpandemia, el retorno seguro a clases presenciales, la recuperación de aprendizajes, la innovación y la agenda educativa digital, la inclusión educativa para la niñez y adolescencia en situación de vulnerabilidad, incluidas las personas con discapacidad, los pueblos indígenas, y aquellos en situación de movilidad humana, entre otros. Se espera así que estas temáticas encuentren la forma de transformarse en acciones concretas a partir de la definición de este Programa.</w:t>
      </w:r>
    </w:p>
    <w:p w14:paraId="6F52C4A3" w14:textId="77777777" w:rsidR="000E3478" w:rsidRPr="002C5466" w:rsidRDefault="000E3478" w:rsidP="000E3478">
      <w:pPr>
        <w:widowControl w:val="0"/>
        <w:tabs>
          <w:tab w:val="left" w:pos="2610"/>
          <w:tab w:val="left" w:pos="8370"/>
        </w:tabs>
        <w:autoSpaceDE w:val="0"/>
        <w:autoSpaceDN w:val="0"/>
        <w:adjustRightInd w:val="0"/>
        <w:jc w:val="both"/>
        <w:rPr>
          <w:rFonts w:eastAsia="MS Mincho"/>
          <w:sz w:val="22"/>
          <w:szCs w:val="22"/>
          <w:lang w:val="es-DO"/>
        </w:rPr>
      </w:pPr>
    </w:p>
    <w:p w14:paraId="554E9846" w14:textId="77777777" w:rsidR="000E3478" w:rsidRPr="001C1FE6" w:rsidRDefault="000E3478" w:rsidP="000E3478">
      <w:pPr>
        <w:widowControl w:val="0"/>
        <w:tabs>
          <w:tab w:val="left" w:pos="2610"/>
          <w:tab w:val="left" w:pos="8370"/>
        </w:tabs>
        <w:autoSpaceDE w:val="0"/>
        <w:autoSpaceDN w:val="0"/>
        <w:adjustRightInd w:val="0"/>
        <w:jc w:val="both"/>
        <w:rPr>
          <w:rFonts w:eastAsia="MS Mincho"/>
          <w:b/>
          <w:bCs/>
          <w:sz w:val="22"/>
          <w:szCs w:val="22"/>
          <w:lang w:val="es-DO"/>
        </w:rPr>
      </w:pPr>
      <w:r w:rsidRPr="2B67556C">
        <w:rPr>
          <w:rFonts w:eastAsia="MS Mincho"/>
          <w:b/>
          <w:bCs/>
          <w:sz w:val="22"/>
          <w:szCs w:val="22"/>
          <w:lang w:val="es-DO"/>
        </w:rPr>
        <w:t xml:space="preserve">El Programa Hemisférico de </w:t>
      </w:r>
      <w:r w:rsidRPr="00856204">
        <w:rPr>
          <w:rFonts w:eastAsia="MS Mincho"/>
          <w:b/>
          <w:bCs/>
          <w:sz w:val="22"/>
          <w:szCs w:val="22"/>
          <w:lang w:val="es-DO"/>
        </w:rPr>
        <w:t>Literacidad crítica</w:t>
      </w:r>
      <w:r w:rsidRPr="2B67556C">
        <w:rPr>
          <w:rFonts w:eastAsia="MS Mincho"/>
          <w:b/>
          <w:bCs/>
          <w:sz w:val="22"/>
          <w:szCs w:val="22"/>
          <w:lang w:val="es-DO"/>
        </w:rPr>
        <w:t xml:space="preserve"> y educación digital en contextos de cambio (LICED). Metas y objetivos</w:t>
      </w:r>
    </w:p>
    <w:p w14:paraId="4334A765" w14:textId="77777777" w:rsidR="000E3478" w:rsidRPr="003D3BD9" w:rsidRDefault="000E3478" w:rsidP="000E3478">
      <w:pPr>
        <w:tabs>
          <w:tab w:val="left" w:pos="1440"/>
        </w:tabs>
        <w:contextualSpacing/>
        <w:jc w:val="both"/>
        <w:rPr>
          <w:rFonts w:eastAsia="MS Mincho"/>
          <w:sz w:val="22"/>
          <w:szCs w:val="22"/>
          <w:lang w:val="es-DO"/>
        </w:rPr>
      </w:pPr>
    </w:p>
    <w:p w14:paraId="5606B218" w14:textId="71CD96AF" w:rsidR="000E3478" w:rsidRDefault="000E3478" w:rsidP="000E3478">
      <w:pPr>
        <w:tabs>
          <w:tab w:val="left" w:pos="1440"/>
        </w:tabs>
        <w:ind w:firstLine="720"/>
        <w:contextualSpacing/>
        <w:jc w:val="both"/>
        <w:rPr>
          <w:rFonts w:eastAsia="MS Mincho"/>
          <w:sz w:val="22"/>
          <w:szCs w:val="22"/>
          <w:lang w:val="es-DO"/>
        </w:rPr>
      </w:pPr>
      <w:r w:rsidRPr="2B67556C">
        <w:rPr>
          <w:rFonts w:eastAsia="MS Mincho"/>
          <w:sz w:val="22"/>
          <w:szCs w:val="22"/>
          <w:lang w:val="es-DO"/>
        </w:rPr>
        <w:t>Si algo ha demostrado como realidad concreta la pandemia de</w:t>
      </w:r>
      <w:r w:rsidR="006E776C">
        <w:rPr>
          <w:rFonts w:eastAsia="MS Mincho"/>
          <w:sz w:val="22"/>
          <w:szCs w:val="22"/>
          <w:lang w:val="es-DO"/>
        </w:rPr>
        <w:t xml:space="preserve"> </w:t>
      </w:r>
      <w:r w:rsidRPr="2B67556C">
        <w:rPr>
          <w:rFonts w:eastAsia="MS Mincho"/>
          <w:sz w:val="22"/>
          <w:szCs w:val="22"/>
          <w:lang w:val="es-DO"/>
        </w:rPr>
        <w:t>l</w:t>
      </w:r>
      <w:r w:rsidR="006E776C">
        <w:rPr>
          <w:rFonts w:eastAsia="MS Mincho"/>
          <w:sz w:val="22"/>
          <w:szCs w:val="22"/>
          <w:lang w:val="es-DO"/>
        </w:rPr>
        <w:t>a COVID</w:t>
      </w:r>
      <w:r w:rsidRPr="2B67556C">
        <w:rPr>
          <w:rFonts w:eastAsia="MS Mincho"/>
          <w:sz w:val="22"/>
          <w:szCs w:val="22"/>
          <w:lang w:val="es-DO"/>
        </w:rPr>
        <w:t xml:space="preserve">-19 es que la brecha digital es una realidad tangible, real y muy marcada. Entre los varios desafíos que enfrentan nuestros sistemas educativos, un elemento básico lo constituye la brecha digital no solo en términos de conectividad y acceso a dispositivos sino también en un alto porcentaje en relación con los pocos contenidos educativos accesibles.  Por ejemplo, según un reciente </w:t>
      </w:r>
      <w:hyperlink r:id="rId14" w:history="1">
        <w:r w:rsidRPr="2B67556C">
          <w:rPr>
            <w:rStyle w:val="Hyperlink"/>
            <w:rFonts w:eastAsia="MS Mincho"/>
            <w:sz w:val="22"/>
            <w:szCs w:val="22"/>
            <w:lang w:val="es-DO"/>
          </w:rPr>
          <w:t>informe de UNICEF</w:t>
        </w:r>
      </w:hyperlink>
      <w:r w:rsidRPr="2B67556C">
        <w:rPr>
          <w:rFonts w:eastAsia="MS Mincho"/>
          <w:sz w:val="22"/>
          <w:szCs w:val="22"/>
          <w:lang w:val="es-DO"/>
        </w:rPr>
        <w:t xml:space="preserve"> (2021) en América Latina y el Caribe alrededor de 19 millones de </w:t>
      </w:r>
      <w:proofErr w:type="gramStart"/>
      <w:r w:rsidRPr="2B67556C">
        <w:rPr>
          <w:rFonts w:eastAsia="MS Mincho"/>
          <w:sz w:val="22"/>
          <w:szCs w:val="22"/>
          <w:lang w:val="es-DO"/>
        </w:rPr>
        <w:t>niños y niñas</w:t>
      </w:r>
      <w:proofErr w:type="gramEnd"/>
      <w:r w:rsidRPr="2B67556C">
        <w:rPr>
          <w:rFonts w:eastAsia="MS Mincho"/>
          <w:sz w:val="22"/>
          <w:szCs w:val="22"/>
          <w:lang w:val="es-DO"/>
        </w:rPr>
        <w:t xml:space="preserve"> se encuentran en condición de discapacidad. Con la actual pandemia de </w:t>
      </w:r>
      <w:r w:rsidR="006E776C">
        <w:rPr>
          <w:rFonts w:eastAsia="MS Mincho"/>
          <w:sz w:val="22"/>
          <w:szCs w:val="22"/>
          <w:lang w:val="es-DO"/>
        </w:rPr>
        <w:t>la COVID</w:t>
      </w:r>
      <w:r w:rsidRPr="2B67556C">
        <w:rPr>
          <w:rFonts w:eastAsia="MS Mincho"/>
          <w:sz w:val="22"/>
          <w:szCs w:val="22"/>
          <w:lang w:val="es-DO"/>
        </w:rPr>
        <w:t>-19, los desafíos y las desigualdades existentes se han acentuado. Si bien en las Américas el uso de tecnología se transformó en una de las estrategias para enfrentar el cierre de escuelas, la brecha digital dejó al descubierto las limitaciones de un abordaje tradicional focalizado exclusivamente en infraestructura y dispositivos.</w:t>
      </w:r>
    </w:p>
    <w:p w14:paraId="59EB2BD8" w14:textId="77777777" w:rsidR="000E3478" w:rsidRDefault="000E3478" w:rsidP="000E3478">
      <w:pPr>
        <w:tabs>
          <w:tab w:val="left" w:pos="1440"/>
        </w:tabs>
        <w:ind w:firstLine="720"/>
        <w:contextualSpacing/>
        <w:jc w:val="both"/>
        <w:rPr>
          <w:rFonts w:eastAsia="MS Mincho"/>
          <w:sz w:val="22"/>
          <w:szCs w:val="22"/>
          <w:lang w:val="es-DO"/>
        </w:rPr>
      </w:pPr>
    </w:p>
    <w:p w14:paraId="2DFDD13D" w14:textId="16B05639" w:rsidR="000E3478" w:rsidRPr="009C106F" w:rsidRDefault="000E3478" w:rsidP="000E3478">
      <w:pPr>
        <w:tabs>
          <w:tab w:val="left" w:pos="1440"/>
        </w:tabs>
        <w:ind w:firstLine="720"/>
        <w:contextualSpacing/>
        <w:jc w:val="both"/>
        <w:rPr>
          <w:rFonts w:eastAsia="MS Mincho"/>
          <w:sz w:val="22"/>
          <w:szCs w:val="22"/>
          <w:lang w:val="es-US"/>
        </w:rPr>
      </w:pPr>
      <w:r w:rsidRPr="2B67556C">
        <w:rPr>
          <w:rFonts w:eastAsia="MS Mincho"/>
          <w:sz w:val="22"/>
          <w:szCs w:val="22"/>
          <w:lang w:val="es-US"/>
        </w:rPr>
        <w:t xml:space="preserve">Por su parte, un reporte de </w:t>
      </w:r>
      <w:r w:rsidR="00C25543">
        <w:fldChar w:fldCharType="begin"/>
      </w:r>
      <w:r w:rsidR="00C25543" w:rsidRPr="00C25543">
        <w:rPr>
          <w:lang w:val="es-US"/>
        </w:rPr>
        <w:instrText>HYPERLINK "https://www.cepal.org/sites/default/files/publication/files/45938/S2</w:instrText>
      </w:r>
      <w:r w:rsidR="00C25543" w:rsidRPr="00C25543">
        <w:rPr>
          <w:lang w:val="es-US"/>
        </w:rPr>
        <w:instrText>000550_es.pdf" \h</w:instrText>
      </w:r>
      <w:r w:rsidR="00C25543">
        <w:fldChar w:fldCharType="separate"/>
      </w:r>
      <w:r w:rsidRPr="2B67556C">
        <w:rPr>
          <w:rStyle w:val="Hyperlink"/>
          <w:rFonts w:eastAsia="MS Mincho"/>
          <w:sz w:val="22"/>
          <w:szCs w:val="22"/>
          <w:lang w:val="es-US"/>
        </w:rPr>
        <w:t>la Comisión Económica para América Latina y el Caribe (C</w:t>
      </w:r>
      <w:r w:rsidR="006E776C">
        <w:rPr>
          <w:rStyle w:val="Hyperlink"/>
          <w:rFonts w:eastAsia="MS Mincho"/>
          <w:sz w:val="22"/>
          <w:szCs w:val="22"/>
          <w:lang w:val="es-US"/>
        </w:rPr>
        <w:t>EPAL</w:t>
      </w:r>
      <w:r w:rsidRPr="2B67556C">
        <w:rPr>
          <w:rStyle w:val="Hyperlink"/>
          <w:rFonts w:eastAsia="MS Mincho"/>
          <w:sz w:val="22"/>
          <w:szCs w:val="22"/>
          <w:lang w:val="es-US"/>
        </w:rPr>
        <w:t>)</w:t>
      </w:r>
      <w:r w:rsidR="00C25543">
        <w:rPr>
          <w:rStyle w:val="Hyperlink"/>
          <w:rFonts w:eastAsia="MS Mincho"/>
          <w:sz w:val="22"/>
          <w:szCs w:val="22"/>
          <w:lang w:val="es-US"/>
        </w:rPr>
        <w:fldChar w:fldCharType="end"/>
      </w:r>
      <w:r w:rsidRPr="2B67556C">
        <w:rPr>
          <w:rFonts w:eastAsia="MS Mincho"/>
          <w:sz w:val="22"/>
          <w:szCs w:val="22"/>
          <w:lang w:val="es-US"/>
        </w:rPr>
        <w:t xml:space="preserve"> en 12 países de la región, presenta los siguientes datos: un 81% de los hogares del quintil de ingresos más alto (quintil V) tiene conexión a internet; para los hogares del primer y segundo quintil el porcentaje es del 38% y el 53% respectivamente.</w:t>
      </w:r>
    </w:p>
    <w:p w14:paraId="24C16BC2" w14:textId="77777777" w:rsidR="000E3478" w:rsidRDefault="000E3478" w:rsidP="000E3478">
      <w:pPr>
        <w:tabs>
          <w:tab w:val="left" w:pos="1440"/>
        </w:tabs>
        <w:ind w:firstLine="720"/>
        <w:contextualSpacing/>
        <w:jc w:val="both"/>
        <w:rPr>
          <w:rFonts w:eastAsia="MS Mincho"/>
          <w:sz w:val="22"/>
          <w:szCs w:val="22"/>
          <w:lang w:val="es-DO"/>
        </w:rPr>
      </w:pPr>
      <w:r w:rsidRPr="003D3BD9">
        <w:rPr>
          <w:rFonts w:eastAsia="MS Mincho"/>
          <w:sz w:val="22"/>
          <w:szCs w:val="22"/>
          <w:lang w:val="es-DO"/>
        </w:rPr>
        <w:t xml:space="preserve">La promoción de una cultura de Accesibilidad Digital es un proceso de construcción constante que debe basarse sobre datos concretos acerca de la normativa, legislación, programas, iniciativas, elementos comunes y diferenciadores, elementos constructivos y desafíos de </w:t>
      </w:r>
      <w:r>
        <w:rPr>
          <w:rFonts w:eastAsia="MS Mincho"/>
          <w:sz w:val="22"/>
          <w:szCs w:val="22"/>
          <w:lang w:val="es-DO"/>
        </w:rPr>
        <w:t xml:space="preserve">las políticas públicas y </w:t>
      </w:r>
      <w:r w:rsidRPr="003D3BD9">
        <w:rPr>
          <w:rFonts w:eastAsia="MS Mincho"/>
          <w:sz w:val="22"/>
          <w:szCs w:val="22"/>
          <w:lang w:val="es-DO"/>
        </w:rPr>
        <w:t>los programas que ese están poniendo en práctica</w:t>
      </w:r>
      <w:r>
        <w:rPr>
          <w:rFonts w:eastAsia="MS Mincho"/>
          <w:sz w:val="22"/>
          <w:szCs w:val="22"/>
          <w:lang w:val="es-DO"/>
        </w:rPr>
        <w:t xml:space="preserve"> en la región</w:t>
      </w:r>
      <w:r w:rsidRPr="003D3BD9">
        <w:rPr>
          <w:rFonts w:eastAsia="MS Mincho"/>
          <w:sz w:val="22"/>
          <w:szCs w:val="22"/>
          <w:lang w:val="es-DO"/>
        </w:rPr>
        <w:t>.</w:t>
      </w:r>
    </w:p>
    <w:p w14:paraId="2B4FC7B8" w14:textId="77777777" w:rsidR="000E3478" w:rsidRDefault="000E3478" w:rsidP="000E3478">
      <w:pPr>
        <w:tabs>
          <w:tab w:val="left" w:pos="1440"/>
        </w:tabs>
        <w:ind w:firstLine="720"/>
        <w:contextualSpacing/>
        <w:jc w:val="both"/>
        <w:rPr>
          <w:rFonts w:eastAsia="MS Mincho"/>
          <w:sz w:val="22"/>
          <w:szCs w:val="22"/>
          <w:lang w:val="es-DO"/>
        </w:rPr>
      </w:pPr>
    </w:p>
    <w:p w14:paraId="2EADBA4F" w14:textId="6FBD40AF" w:rsidR="000E3478" w:rsidRDefault="00D73255" w:rsidP="000E3478">
      <w:pPr>
        <w:ind w:firstLine="720"/>
        <w:jc w:val="both"/>
        <w:rPr>
          <w:rFonts w:eastAsia="MS Mincho"/>
          <w:sz w:val="22"/>
          <w:szCs w:val="22"/>
          <w:lang w:val="es-US"/>
        </w:rPr>
      </w:pPr>
      <w:r>
        <w:rPr>
          <w:rFonts w:eastAsia="MS Mincho"/>
          <w:sz w:val="22"/>
          <w:szCs w:val="22"/>
          <w:lang w:val="es-US"/>
        </w:rPr>
        <w:t xml:space="preserve">La </w:t>
      </w:r>
      <w:r w:rsidR="000E3478">
        <w:rPr>
          <w:rFonts w:eastAsia="MS Mincho"/>
          <w:sz w:val="22"/>
          <w:szCs w:val="22"/>
          <w:lang w:val="es-US"/>
        </w:rPr>
        <w:t>UNICEF y el Instituto Internacional de Planeación de la Educación IIPE-UNESCO, (</w:t>
      </w:r>
      <w:proofErr w:type="spellStart"/>
      <w:r w:rsidR="000E3478">
        <w:rPr>
          <w:rFonts w:eastAsia="MS Mincho"/>
          <w:sz w:val="22"/>
          <w:szCs w:val="22"/>
          <w:lang w:val="es-US"/>
        </w:rPr>
        <w:t>Soletic</w:t>
      </w:r>
      <w:proofErr w:type="spellEnd"/>
      <w:r w:rsidR="000E3478">
        <w:rPr>
          <w:rFonts w:eastAsia="MS Mincho"/>
          <w:sz w:val="22"/>
          <w:szCs w:val="22"/>
          <w:lang w:val="es-US"/>
        </w:rPr>
        <w:t xml:space="preserve">, Kelly,) en su </w:t>
      </w:r>
      <w:r w:rsidR="00C25543">
        <w:fldChar w:fldCharType="begin"/>
      </w:r>
      <w:r w:rsidR="00C25543" w:rsidRPr="00C25543">
        <w:rPr>
          <w:lang w:val="es-US"/>
        </w:rPr>
        <w:instrText>HYPERLINK "http://ceppe.uc.cl/images/contenido/public</w:instrText>
      </w:r>
      <w:r w:rsidR="00C25543" w:rsidRPr="00C25543">
        <w:rPr>
          <w:lang w:val="es-US"/>
        </w:rPr>
        <w:instrText>aciones/Unicef-Unesco.pdf"</w:instrText>
      </w:r>
      <w:r w:rsidR="00C25543">
        <w:fldChar w:fldCharType="separate"/>
      </w:r>
      <w:r w:rsidR="000E3478" w:rsidRPr="00217A56">
        <w:rPr>
          <w:rStyle w:val="Hyperlink"/>
          <w:rFonts w:eastAsia="MS Mincho"/>
          <w:sz w:val="22"/>
          <w:szCs w:val="22"/>
          <w:lang w:val="es-US"/>
        </w:rPr>
        <w:t>estudio de políticas digitales en educación en América Latina</w:t>
      </w:r>
      <w:r w:rsidR="00C25543">
        <w:rPr>
          <w:rStyle w:val="Hyperlink"/>
          <w:rFonts w:eastAsia="MS Mincho"/>
          <w:sz w:val="22"/>
          <w:szCs w:val="22"/>
          <w:lang w:val="es-US"/>
        </w:rPr>
        <w:fldChar w:fldCharType="end"/>
      </w:r>
      <w:r w:rsidR="000E3478">
        <w:rPr>
          <w:rFonts w:eastAsia="MS Mincho"/>
          <w:sz w:val="22"/>
          <w:szCs w:val="22"/>
          <w:lang w:val="es-US"/>
        </w:rPr>
        <w:t xml:space="preserve"> (2022) ofrecen una mirada pedagógica en sus análisis acerca de los avances y discontinuidades de las políticas TIC en los sistemas educativos de la región, el lugar que ocuparon las tecnologías y los abordajes pedagógicos, para finalmente mencionar algunos aprendizajes y cambios necesarios para gestionar una sustantiva integración de tecnologías en los sistemas educativos.</w:t>
      </w:r>
    </w:p>
    <w:p w14:paraId="59D121B8" w14:textId="77777777" w:rsidR="000E3478" w:rsidRDefault="000E3478" w:rsidP="000E3478">
      <w:pPr>
        <w:ind w:firstLine="720"/>
        <w:jc w:val="both"/>
        <w:rPr>
          <w:rFonts w:eastAsia="MS Mincho"/>
          <w:sz w:val="22"/>
          <w:szCs w:val="22"/>
          <w:lang w:val="es-US"/>
        </w:rPr>
      </w:pPr>
    </w:p>
    <w:p w14:paraId="47077273" w14:textId="4A676120" w:rsidR="000E3478" w:rsidRPr="00A47894" w:rsidRDefault="000E3478" w:rsidP="000E3478">
      <w:pPr>
        <w:ind w:firstLine="720"/>
        <w:jc w:val="both"/>
        <w:rPr>
          <w:rFonts w:eastAsia="MS Mincho"/>
          <w:sz w:val="22"/>
          <w:szCs w:val="22"/>
          <w:lang w:val="es-US"/>
        </w:rPr>
      </w:pPr>
      <w:r>
        <w:rPr>
          <w:rFonts w:eastAsia="MS Mincho"/>
          <w:sz w:val="22"/>
          <w:szCs w:val="22"/>
          <w:lang w:val="es-US"/>
        </w:rPr>
        <w:t xml:space="preserve">En el documento </w:t>
      </w:r>
      <w:r w:rsidR="00C25543">
        <w:fldChar w:fldCharType="begin"/>
      </w:r>
      <w:r w:rsidR="00C25543" w:rsidRPr="00C25543">
        <w:rPr>
          <w:lang w:val="es-US"/>
        </w:rPr>
        <w:instrText>HYPERLINK "https://unesdoc.unesco.org/ark:/48223/pf0000375589.locale=en"</w:instrText>
      </w:r>
      <w:r w:rsidR="00C25543">
        <w:fldChar w:fldCharType="separate"/>
      </w:r>
      <w:r w:rsidRPr="00CC2634">
        <w:rPr>
          <w:rStyle w:val="Hyperlink"/>
          <w:rFonts w:eastAsia="MS Mincho"/>
          <w:sz w:val="22"/>
          <w:szCs w:val="22"/>
          <w:lang w:val="es-US"/>
        </w:rPr>
        <w:t>Los desafíos y oportunidades de incluir tecnologías en las prácticas educativas. Análisis de casos inspiradores</w:t>
      </w:r>
      <w:r w:rsidR="00C25543">
        <w:rPr>
          <w:rStyle w:val="Hyperlink"/>
          <w:rFonts w:eastAsia="MS Mincho"/>
          <w:sz w:val="22"/>
          <w:szCs w:val="22"/>
          <w:lang w:val="es-US"/>
        </w:rPr>
        <w:fldChar w:fldCharType="end"/>
      </w:r>
      <w:r w:rsidRPr="00CC2634">
        <w:rPr>
          <w:rFonts w:eastAsia="MS Mincho"/>
          <w:sz w:val="22"/>
          <w:szCs w:val="22"/>
          <w:lang w:val="es-US"/>
        </w:rPr>
        <w:t xml:space="preserve"> (Carina Lion, 2019, UNESCO-IIPE)</w:t>
      </w:r>
      <w:r>
        <w:rPr>
          <w:rFonts w:eastAsia="MS Mincho"/>
          <w:sz w:val="22"/>
          <w:szCs w:val="22"/>
          <w:lang w:val="es-US"/>
        </w:rPr>
        <w:t xml:space="preserve"> se </w:t>
      </w:r>
      <w:r w:rsidRPr="00A47894">
        <w:rPr>
          <w:rFonts w:eastAsia="MS Mincho"/>
          <w:sz w:val="22"/>
          <w:szCs w:val="22"/>
          <w:lang w:val="es-US"/>
        </w:rPr>
        <w:t>explora</w:t>
      </w:r>
      <w:r>
        <w:rPr>
          <w:rFonts w:eastAsia="MS Mincho"/>
          <w:sz w:val="22"/>
          <w:szCs w:val="22"/>
          <w:lang w:val="es-US"/>
        </w:rPr>
        <w:t>n</w:t>
      </w:r>
      <w:r w:rsidRPr="00A47894">
        <w:rPr>
          <w:rFonts w:eastAsia="MS Mincho"/>
          <w:sz w:val="22"/>
          <w:szCs w:val="22"/>
          <w:lang w:val="es-US"/>
        </w:rPr>
        <w:t xml:space="preserve"> las estrategias orientadas a la inclusión de las TIC en las escuelas en 6 países de la región</w:t>
      </w:r>
      <w:r>
        <w:rPr>
          <w:rFonts w:eastAsia="MS Mincho"/>
          <w:sz w:val="22"/>
          <w:szCs w:val="22"/>
          <w:lang w:val="es-US"/>
        </w:rPr>
        <w:t xml:space="preserve"> en donde se r</w:t>
      </w:r>
      <w:r w:rsidRPr="00A47894">
        <w:rPr>
          <w:rFonts w:eastAsia="MS Mincho"/>
          <w:sz w:val="22"/>
          <w:szCs w:val="22"/>
          <w:lang w:val="es-US"/>
        </w:rPr>
        <w:t>ecomienda</w:t>
      </w:r>
      <w:r>
        <w:rPr>
          <w:rFonts w:eastAsia="MS Mincho"/>
          <w:sz w:val="22"/>
          <w:szCs w:val="22"/>
          <w:lang w:val="es-US"/>
        </w:rPr>
        <w:t>n</w:t>
      </w:r>
      <w:r w:rsidRPr="00A47894">
        <w:rPr>
          <w:rFonts w:eastAsia="MS Mincho"/>
          <w:sz w:val="22"/>
          <w:szCs w:val="22"/>
          <w:lang w:val="es-US"/>
        </w:rPr>
        <w:t xml:space="preserve"> acciones públicas para la toma de decisiones políticas sobre la inclusión social y digital en educación.</w:t>
      </w:r>
      <w:r>
        <w:rPr>
          <w:rFonts w:eastAsia="MS Mincho"/>
          <w:sz w:val="22"/>
          <w:szCs w:val="22"/>
          <w:lang w:val="es-US"/>
        </w:rPr>
        <w:t xml:space="preserve"> </w:t>
      </w:r>
      <w:r w:rsidRPr="00A47894">
        <w:rPr>
          <w:rFonts w:eastAsia="MS Mincho"/>
          <w:sz w:val="22"/>
          <w:szCs w:val="22"/>
          <w:lang w:val="es-US"/>
        </w:rPr>
        <w:t>Este documento pertenece a la serie dentro del proyecto Sistema de Información de Tendencias Educativas en América Latina (SITEAL).</w:t>
      </w:r>
    </w:p>
    <w:p w14:paraId="03BE811E" w14:textId="77777777" w:rsidR="000E3478" w:rsidRPr="00A47894" w:rsidRDefault="000E3478" w:rsidP="000E3478">
      <w:pPr>
        <w:ind w:firstLine="720"/>
        <w:jc w:val="both"/>
        <w:rPr>
          <w:rFonts w:eastAsia="MS Mincho"/>
          <w:sz w:val="22"/>
          <w:szCs w:val="22"/>
          <w:lang w:val="es-US"/>
        </w:rPr>
      </w:pPr>
    </w:p>
    <w:p w14:paraId="3E6C1F7C" w14:textId="45028FD3" w:rsidR="000E3478" w:rsidRPr="00A47894" w:rsidRDefault="000E3478" w:rsidP="000E3478">
      <w:pPr>
        <w:ind w:firstLine="720"/>
        <w:jc w:val="both"/>
        <w:rPr>
          <w:sz w:val="22"/>
          <w:szCs w:val="22"/>
          <w:lang w:val="es-US"/>
        </w:rPr>
      </w:pPr>
      <w:r w:rsidRPr="5F29D4FC">
        <w:rPr>
          <w:rFonts w:eastAsia="MS Mincho"/>
          <w:sz w:val="22"/>
          <w:szCs w:val="22"/>
          <w:lang w:val="es-US"/>
        </w:rPr>
        <w:t>Es de destacar la mirada que cruza el análisis entre educación y tecnologías desde múltiples dimensiones. La necesidad de comprender como los posicionamientos políticos y de políticas públicas expresan el lugar y el rol que se le da a la tecnología</w:t>
      </w:r>
      <w:r w:rsidR="00D73255">
        <w:rPr>
          <w:rFonts w:eastAsia="MS Mincho"/>
          <w:sz w:val="22"/>
          <w:szCs w:val="22"/>
          <w:lang w:val="es-US"/>
        </w:rPr>
        <w:t xml:space="preserve"> y,</w:t>
      </w:r>
      <w:r w:rsidRPr="5F29D4FC">
        <w:rPr>
          <w:rFonts w:eastAsia="MS Mincho"/>
          <w:sz w:val="22"/>
          <w:szCs w:val="22"/>
          <w:lang w:val="es-US"/>
        </w:rPr>
        <w:t xml:space="preserve"> por lo tanto, a su integración en el aula. </w:t>
      </w:r>
      <w:proofErr w:type="gramStart"/>
      <w:r w:rsidRPr="5F29D4FC">
        <w:rPr>
          <w:rFonts w:eastAsia="MS Mincho"/>
          <w:sz w:val="22"/>
          <w:szCs w:val="22"/>
          <w:lang w:val="es-US"/>
        </w:rPr>
        <w:t>Y</w:t>
      </w:r>
      <w:proofErr w:type="gramEnd"/>
      <w:r w:rsidRPr="5F29D4FC">
        <w:rPr>
          <w:rFonts w:eastAsia="MS Mincho"/>
          <w:sz w:val="22"/>
          <w:szCs w:val="22"/>
          <w:lang w:val="es-US"/>
        </w:rPr>
        <w:t xml:space="preserve"> por ende, los supuestos pedagógicos cuyo posicionamiento define de una u otra forma las concepciones de enseñanza, aprendizaje y de sistemas educativos. Finalmente </w:t>
      </w:r>
      <w:proofErr w:type="gramStart"/>
      <w:r w:rsidRPr="5F29D4FC">
        <w:rPr>
          <w:rFonts w:eastAsia="MS Mincho"/>
          <w:sz w:val="22"/>
          <w:szCs w:val="22"/>
          <w:lang w:val="es-US"/>
        </w:rPr>
        <w:t>destacar</w:t>
      </w:r>
      <w:proofErr w:type="gramEnd"/>
      <w:r w:rsidRPr="5F29D4FC">
        <w:rPr>
          <w:rFonts w:eastAsia="MS Mincho"/>
          <w:sz w:val="22"/>
          <w:szCs w:val="22"/>
          <w:lang w:val="es-US"/>
        </w:rPr>
        <w:t xml:space="preserve"> dos tipos de elementos en las recomendaciones realizadas: 1. De inclusión social: sobre brechas y accesibilidad y 2. De Inclusión digital: sobre ciudadanía, prácticas, </w:t>
      </w:r>
      <w:proofErr w:type="spellStart"/>
      <w:r w:rsidRPr="5F29D4FC">
        <w:rPr>
          <w:rFonts w:eastAsia="MS Mincho"/>
          <w:sz w:val="22"/>
          <w:szCs w:val="22"/>
          <w:lang w:val="es-US"/>
        </w:rPr>
        <w:t>curriculum</w:t>
      </w:r>
      <w:proofErr w:type="spellEnd"/>
      <w:r w:rsidRPr="5F29D4FC">
        <w:rPr>
          <w:rFonts w:eastAsia="MS Mincho"/>
          <w:sz w:val="22"/>
          <w:szCs w:val="22"/>
          <w:lang w:val="es-US"/>
        </w:rPr>
        <w:t xml:space="preserve"> y competencia. </w:t>
      </w:r>
      <w:r w:rsidRPr="00856204">
        <w:rPr>
          <w:color w:val="000000" w:themeColor="text1"/>
          <w:sz w:val="22"/>
          <w:szCs w:val="22"/>
          <w:lang w:val="es-US"/>
        </w:rPr>
        <w:t>De esta manera, es fundamental garantizar los apoyos y ajustes que requieran los estudiantes en su proceso educativo, de manera que respondan a sus particularidades y a la diversidad del contexto en el que se desenvuelven.</w:t>
      </w:r>
      <w:r w:rsidRPr="5F29D4FC">
        <w:rPr>
          <w:color w:val="000000" w:themeColor="text1"/>
          <w:sz w:val="22"/>
          <w:szCs w:val="22"/>
          <w:lang w:val="es-US"/>
        </w:rPr>
        <w:t xml:space="preserve">  </w:t>
      </w:r>
      <w:r w:rsidRPr="5F29D4FC">
        <w:rPr>
          <w:sz w:val="22"/>
          <w:szCs w:val="22"/>
          <w:lang w:val="es-US"/>
        </w:rPr>
        <w:t xml:space="preserve">  </w:t>
      </w:r>
    </w:p>
    <w:p w14:paraId="5500ABBE" w14:textId="77777777" w:rsidR="000E3478" w:rsidRDefault="000E3478" w:rsidP="000E3478">
      <w:pPr>
        <w:jc w:val="both"/>
        <w:rPr>
          <w:rFonts w:eastAsia="MS Mincho"/>
          <w:sz w:val="22"/>
          <w:szCs w:val="22"/>
          <w:lang w:val="es-US"/>
        </w:rPr>
      </w:pPr>
    </w:p>
    <w:p w14:paraId="15C96DBF" w14:textId="6D331EF5" w:rsidR="000E3478" w:rsidRDefault="000E3478" w:rsidP="000E3478">
      <w:pPr>
        <w:ind w:firstLine="720"/>
        <w:jc w:val="both"/>
        <w:rPr>
          <w:rFonts w:eastAsia="MS Mincho"/>
          <w:sz w:val="22"/>
          <w:szCs w:val="22"/>
          <w:lang w:val="es-US"/>
        </w:rPr>
      </w:pPr>
      <w:r w:rsidRPr="2B67556C">
        <w:rPr>
          <w:rFonts w:eastAsia="MS Mincho"/>
          <w:sz w:val="22"/>
          <w:szCs w:val="22"/>
          <w:lang w:val="es-US"/>
        </w:rPr>
        <w:t xml:space="preserve">La inversión en tecnología en el marco de los sistemas educativos ha aumentado de forma sostenida en la región en los últimos 20 años. Dicha inversión no necesariamente refleja el mismo nivel de impacto significativo en los procesos de enseñanza de los profesores ni en los resultados de aprendizaje de los alumnos. </w:t>
      </w:r>
      <w:r w:rsidRPr="00FE10B6">
        <w:rPr>
          <w:rFonts w:eastAsia="MS Mincho"/>
          <w:sz w:val="22"/>
          <w:szCs w:val="22"/>
          <w:lang w:val="es-US"/>
        </w:rPr>
        <w:t xml:space="preserve">La evidencia incrementada por las brechas aún más profundas generadas en </w:t>
      </w:r>
      <w:r w:rsidR="00D73255" w:rsidRPr="00FE10B6">
        <w:rPr>
          <w:rFonts w:eastAsia="MS Mincho"/>
          <w:sz w:val="22"/>
          <w:szCs w:val="22"/>
          <w:lang w:val="es-US"/>
        </w:rPr>
        <w:t>postpandemia</w:t>
      </w:r>
      <w:r w:rsidRPr="00FE10B6">
        <w:rPr>
          <w:rFonts w:eastAsia="MS Mincho"/>
          <w:sz w:val="22"/>
          <w:szCs w:val="22"/>
          <w:lang w:val="es-US"/>
        </w:rPr>
        <w:t xml:space="preserve"> parece demostrar que los programas y proyectos centrados en la provisión de equipos o </w:t>
      </w:r>
      <w:r w:rsidRPr="00D73255">
        <w:rPr>
          <w:rFonts w:eastAsia="MS Mincho"/>
          <w:i/>
          <w:iCs/>
          <w:sz w:val="22"/>
          <w:szCs w:val="22"/>
          <w:lang w:val="es-US"/>
        </w:rPr>
        <w:t>software</w:t>
      </w:r>
      <w:r w:rsidRPr="00FE10B6">
        <w:rPr>
          <w:rFonts w:eastAsia="MS Mincho"/>
          <w:sz w:val="22"/>
          <w:szCs w:val="22"/>
          <w:lang w:val="es-US"/>
        </w:rPr>
        <w:t xml:space="preserve"> no resuelven por sí mismos la brecha digital.</w:t>
      </w:r>
      <w:r w:rsidRPr="2B67556C">
        <w:rPr>
          <w:rFonts w:eastAsia="MS Mincho"/>
          <w:sz w:val="22"/>
          <w:szCs w:val="22"/>
          <w:lang w:val="es-US"/>
        </w:rPr>
        <w:t xml:space="preserve"> </w:t>
      </w:r>
    </w:p>
    <w:p w14:paraId="6B83E411" w14:textId="77777777" w:rsidR="000E3478" w:rsidRPr="00964201" w:rsidRDefault="000E3478" w:rsidP="000E3478">
      <w:pPr>
        <w:tabs>
          <w:tab w:val="left" w:pos="1440"/>
        </w:tabs>
        <w:contextualSpacing/>
        <w:jc w:val="both"/>
        <w:rPr>
          <w:rFonts w:eastAsia="MS Mincho"/>
          <w:sz w:val="22"/>
          <w:szCs w:val="22"/>
          <w:lang w:val="es-US"/>
        </w:rPr>
      </w:pPr>
    </w:p>
    <w:p w14:paraId="3DD15C68" w14:textId="493D76B5" w:rsidR="000E3478" w:rsidRPr="00480BAB" w:rsidRDefault="000E3478" w:rsidP="000E3478">
      <w:pPr>
        <w:tabs>
          <w:tab w:val="left" w:pos="720"/>
          <w:tab w:val="left" w:pos="1530"/>
        </w:tabs>
        <w:jc w:val="both"/>
        <w:rPr>
          <w:rFonts w:eastAsia="MS Mincho"/>
          <w:sz w:val="22"/>
          <w:szCs w:val="22"/>
          <w:lang w:val="es-US"/>
        </w:rPr>
      </w:pPr>
      <w:r w:rsidRPr="00480BAB">
        <w:rPr>
          <w:rFonts w:eastAsia="MS Mincho"/>
          <w:sz w:val="22"/>
          <w:szCs w:val="22"/>
          <w:lang w:val="es-US"/>
        </w:rPr>
        <w:tab/>
      </w:r>
      <w:r>
        <w:rPr>
          <w:rFonts w:eastAsia="MS Mincho"/>
          <w:sz w:val="22"/>
          <w:szCs w:val="22"/>
          <w:lang w:val="es-US"/>
        </w:rPr>
        <w:t xml:space="preserve">Este programa </w:t>
      </w:r>
      <w:r w:rsidR="00D73255">
        <w:rPr>
          <w:rFonts w:eastAsia="MS Mincho"/>
          <w:sz w:val="22"/>
          <w:szCs w:val="22"/>
          <w:lang w:val="es-US"/>
        </w:rPr>
        <w:t>h</w:t>
      </w:r>
      <w:r>
        <w:rPr>
          <w:rFonts w:eastAsia="MS Mincho"/>
          <w:sz w:val="22"/>
          <w:szCs w:val="22"/>
          <w:lang w:val="es-US"/>
        </w:rPr>
        <w:t>emisférico propone d</w:t>
      </w:r>
      <w:r w:rsidRPr="00480BAB">
        <w:rPr>
          <w:rFonts w:eastAsia="MS Mincho"/>
          <w:sz w:val="22"/>
          <w:szCs w:val="22"/>
          <w:lang w:val="es-US"/>
        </w:rPr>
        <w:t>esde un marco de literacidad critica, analizar y reflexionar sobre el impacto de las tecnologías digitales en la transformación pedagógica y educativa de los sistemas educativos que incluyen a todos los sectores y actores de la comunidad educativa. Acelerar los procesos de accesibilidad digital para</w:t>
      </w:r>
      <w:r w:rsidRPr="5F29D4FC">
        <w:rPr>
          <w:sz w:val="22"/>
          <w:szCs w:val="22"/>
          <w:lang w:val="es-US"/>
        </w:rPr>
        <w:t xml:space="preserve"> </w:t>
      </w:r>
      <w:r w:rsidRPr="00856204">
        <w:rPr>
          <w:sz w:val="22"/>
          <w:szCs w:val="22"/>
          <w:lang w:val="es-US"/>
        </w:rPr>
        <w:t>todas las personas las personas sin excepción, desde la diversidad que presenten, entre ellas las</w:t>
      </w:r>
      <w:r w:rsidR="00D73255">
        <w:rPr>
          <w:sz w:val="22"/>
          <w:szCs w:val="22"/>
          <w:lang w:val="es-US"/>
        </w:rPr>
        <w:t xml:space="preserve"> </w:t>
      </w:r>
      <w:r w:rsidRPr="00480BAB">
        <w:rPr>
          <w:rFonts w:eastAsia="MS Mincho"/>
          <w:sz w:val="22"/>
          <w:szCs w:val="22"/>
          <w:lang w:val="es-US"/>
        </w:rPr>
        <w:t>más desfavorecidas, con el fin de reducir la brecha digital y educativa en temáticas claves</w:t>
      </w:r>
      <w:r>
        <w:rPr>
          <w:rFonts w:eastAsia="MS Mincho"/>
          <w:sz w:val="22"/>
          <w:szCs w:val="22"/>
          <w:lang w:val="es-US"/>
        </w:rPr>
        <w:t>.</w:t>
      </w:r>
    </w:p>
    <w:p w14:paraId="23D2E1EB" w14:textId="77777777" w:rsidR="000E3478" w:rsidRPr="001C1FE6" w:rsidRDefault="000E3478" w:rsidP="000E3478">
      <w:pPr>
        <w:jc w:val="both"/>
        <w:rPr>
          <w:rFonts w:eastAsia="MS Mincho"/>
          <w:sz w:val="22"/>
          <w:szCs w:val="22"/>
          <w:u w:val="single"/>
          <w:lang w:val="es-DO"/>
        </w:rPr>
      </w:pPr>
    </w:p>
    <w:p w14:paraId="6C31A991" w14:textId="77777777" w:rsidR="000E3478" w:rsidRPr="001C1FE6" w:rsidRDefault="000E3478" w:rsidP="000E3478">
      <w:pPr>
        <w:ind w:firstLine="720"/>
        <w:jc w:val="both"/>
        <w:rPr>
          <w:rFonts w:eastAsia="MS Mincho"/>
          <w:sz w:val="22"/>
          <w:szCs w:val="22"/>
          <w:lang w:val="es-DO"/>
        </w:rPr>
      </w:pPr>
      <w:r w:rsidRPr="002C5466">
        <w:rPr>
          <w:rFonts w:eastAsia="MS Mincho"/>
          <w:sz w:val="22"/>
          <w:szCs w:val="22"/>
          <w:lang w:val="es-DO"/>
        </w:rPr>
        <w:t>Siguiendo la línea de trabajo establecida en su metodología por las autoridades de la CIE y construyendo sobre la base de los contextos actuales, los resultados logrados y las lecciones aprendidas que se proponen son:</w:t>
      </w:r>
    </w:p>
    <w:p w14:paraId="48431E87" w14:textId="77777777" w:rsidR="000E3478" w:rsidRPr="002C5466" w:rsidRDefault="000E3478" w:rsidP="000E3478">
      <w:pPr>
        <w:ind w:firstLine="720"/>
        <w:jc w:val="both"/>
        <w:rPr>
          <w:rFonts w:eastAsia="MS Mincho"/>
          <w:sz w:val="22"/>
          <w:szCs w:val="22"/>
          <w:lang w:val="es-DO"/>
        </w:rPr>
      </w:pPr>
    </w:p>
    <w:p w14:paraId="51F70ED0" w14:textId="77777777" w:rsidR="000E3478" w:rsidRPr="002C5466" w:rsidRDefault="000E3478" w:rsidP="00D73255">
      <w:pPr>
        <w:numPr>
          <w:ilvl w:val="0"/>
          <w:numId w:val="12"/>
        </w:numPr>
        <w:tabs>
          <w:tab w:val="left" w:pos="2610"/>
          <w:tab w:val="left" w:pos="8370"/>
        </w:tabs>
        <w:autoSpaceDE w:val="0"/>
        <w:autoSpaceDN w:val="0"/>
        <w:adjustRightInd w:val="0"/>
        <w:jc w:val="both"/>
        <w:rPr>
          <w:rFonts w:eastAsia="MS Mincho"/>
          <w:sz w:val="22"/>
          <w:szCs w:val="22"/>
          <w:lang w:val="es-DO"/>
        </w:rPr>
      </w:pPr>
      <w:r w:rsidRPr="002C5466">
        <w:rPr>
          <w:rFonts w:eastAsia="MS Mincho"/>
          <w:sz w:val="22"/>
          <w:szCs w:val="22"/>
          <w:lang w:val="es-DO"/>
        </w:rPr>
        <w:t>Crear un espacio donde los países puedan intercambiar iniciativas exitosas para ayudar a avanzar en el marco de acción y las políticas públicas fomentando y dando apoyo en el diseño e implementación de políticas públicas postpandemia.</w:t>
      </w:r>
    </w:p>
    <w:p w14:paraId="0E001F60" w14:textId="77777777" w:rsidR="000E3478" w:rsidRPr="002C5466" w:rsidRDefault="000E3478" w:rsidP="00D73255">
      <w:pPr>
        <w:tabs>
          <w:tab w:val="left" w:pos="2610"/>
          <w:tab w:val="left" w:pos="8370"/>
        </w:tabs>
        <w:autoSpaceDE w:val="0"/>
        <w:autoSpaceDN w:val="0"/>
        <w:adjustRightInd w:val="0"/>
        <w:jc w:val="both"/>
        <w:rPr>
          <w:rFonts w:eastAsia="MS Mincho"/>
          <w:sz w:val="22"/>
          <w:szCs w:val="22"/>
          <w:lang w:val="es-DO"/>
        </w:rPr>
      </w:pPr>
    </w:p>
    <w:p w14:paraId="35C0693D" w14:textId="77777777" w:rsidR="000E3478" w:rsidRPr="002C5466" w:rsidRDefault="000E3478" w:rsidP="00D73255">
      <w:pPr>
        <w:numPr>
          <w:ilvl w:val="0"/>
          <w:numId w:val="12"/>
        </w:numPr>
        <w:tabs>
          <w:tab w:val="left" w:pos="2610"/>
          <w:tab w:val="left" w:pos="8370"/>
        </w:tabs>
        <w:autoSpaceDE w:val="0"/>
        <w:autoSpaceDN w:val="0"/>
        <w:adjustRightInd w:val="0"/>
        <w:jc w:val="both"/>
        <w:rPr>
          <w:rFonts w:eastAsia="MS Mincho"/>
          <w:sz w:val="22"/>
          <w:szCs w:val="22"/>
          <w:lang w:val="es-DO"/>
        </w:rPr>
      </w:pPr>
      <w:r w:rsidRPr="002C5466">
        <w:rPr>
          <w:rFonts w:eastAsia="MS Mincho"/>
          <w:sz w:val="22"/>
          <w:szCs w:val="22"/>
          <w:lang w:val="es-DO"/>
        </w:rPr>
        <w:t xml:space="preserve">Apoyar los mecanismos de transformación que los sistemas educativos necesitan para afrontar las brechas de desigualdad que se han acrecentado en los últimos años a través de cooperación técnica y desarrollo de capacidades. </w:t>
      </w:r>
    </w:p>
    <w:p w14:paraId="319207F4" w14:textId="77777777" w:rsidR="000E3478" w:rsidRPr="002C5466" w:rsidRDefault="000E3478" w:rsidP="000E3478">
      <w:pPr>
        <w:widowControl w:val="0"/>
        <w:tabs>
          <w:tab w:val="left" w:pos="2610"/>
          <w:tab w:val="left" w:pos="8370"/>
        </w:tabs>
        <w:autoSpaceDE w:val="0"/>
        <w:autoSpaceDN w:val="0"/>
        <w:adjustRightInd w:val="0"/>
        <w:jc w:val="both"/>
        <w:rPr>
          <w:rFonts w:eastAsia="MS Mincho"/>
          <w:sz w:val="22"/>
          <w:szCs w:val="22"/>
          <w:lang w:val="es-DO"/>
        </w:rPr>
      </w:pPr>
    </w:p>
    <w:p w14:paraId="4A47D75C" w14:textId="77777777" w:rsidR="000E3478" w:rsidRPr="00480BAB" w:rsidRDefault="000E3478" w:rsidP="000E3478">
      <w:pPr>
        <w:widowControl w:val="0"/>
        <w:numPr>
          <w:ilvl w:val="0"/>
          <w:numId w:val="12"/>
        </w:numPr>
        <w:tabs>
          <w:tab w:val="left" w:pos="2610"/>
          <w:tab w:val="left" w:pos="8370"/>
        </w:tabs>
        <w:autoSpaceDE w:val="0"/>
        <w:autoSpaceDN w:val="0"/>
        <w:adjustRightInd w:val="0"/>
        <w:jc w:val="both"/>
        <w:rPr>
          <w:rFonts w:eastAsia="MS Mincho"/>
          <w:sz w:val="22"/>
          <w:szCs w:val="22"/>
          <w:lang w:val="es-DO"/>
        </w:rPr>
      </w:pPr>
      <w:r w:rsidRPr="002C5466">
        <w:rPr>
          <w:rFonts w:eastAsia="MS Mincho"/>
          <w:sz w:val="22"/>
          <w:szCs w:val="22"/>
          <w:lang w:val="es-DO"/>
        </w:rPr>
        <w:t xml:space="preserve">Generar los insumos necesarios para la toma de decisiones de política pública y acción programática a través de una línea de investigación sobre temáticas claves. </w:t>
      </w:r>
    </w:p>
    <w:p w14:paraId="411DB558" w14:textId="77777777" w:rsidR="000E3478" w:rsidRDefault="000E3478" w:rsidP="000E3478">
      <w:pPr>
        <w:widowControl w:val="0"/>
        <w:tabs>
          <w:tab w:val="left" w:pos="2610"/>
          <w:tab w:val="left" w:pos="8370"/>
        </w:tabs>
        <w:autoSpaceDE w:val="0"/>
        <w:autoSpaceDN w:val="0"/>
        <w:adjustRightInd w:val="0"/>
        <w:jc w:val="both"/>
        <w:rPr>
          <w:rFonts w:eastAsia="MS Mincho"/>
          <w:b/>
          <w:bCs/>
          <w:sz w:val="22"/>
          <w:szCs w:val="22"/>
          <w:lang w:val="es-DO"/>
        </w:rPr>
      </w:pPr>
    </w:p>
    <w:p w14:paraId="6BE82D7D" w14:textId="77777777" w:rsidR="000E3478" w:rsidRPr="00480BAB" w:rsidRDefault="000E3478" w:rsidP="000E3478">
      <w:pPr>
        <w:widowControl w:val="0"/>
        <w:tabs>
          <w:tab w:val="left" w:pos="2610"/>
          <w:tab w:val="left" w:pos="8370"/>
        </w:tabs>
        <w:autoSpaceDE w:val="0"/>
        <w:autoSpaceDN w:val="0"/>
        <w:adjustRightInd w:val="0"/>
        <w:jc w:val="both"/>
        <w:rPr>
          <w:rFonts w:eastAsia="MS Mincho"/>
          <w:b/>
          <w:bCs/>
          <w:sz w:val="22"/>
          <w:szCs w:val="22"/>
          <w:lang w:val="es-CO"/>
        </w:rPr>
      </w:pPr>
      <w:r w:rsidRPr="002C5466">
        <w:rPr>
          <w:rFonts w:eastAsia="MS Mincho"/>
          <w:b/>
          <w:bCs/>
          <w:sz w:val="22"/>
          <w:szCs w:val="22"/>
          <w:lang w:val="es-DO"/>
        </w:rPr>
        <w:t>Resultado esperado</w:t>
      </w:r>
      <w:r w:rsidRPr="002C5466">
        <w:rPr>
          <w:rFonts w:eastAsia="MS Mincho"/>
          <w:sz w:val="22"/>
          <w:szCs w:val="22"/>
          <w:lang w:val="es-DO"/>
        </w:rPr>
        <w:t xml:space="preserve">: </w:t>
      </w:r>
      <w:r w:rsidRPr="00480BAB">
        <w:rPr>
          <w:rFonts w:eastAsia="MS Mincho"/>
          <w:b/>
          <w:bCs/>
          <w:sz w:val="22"/>
          <w:szCs w:val="22"/>
          <w:lang w:val="es-CO"/>
        </w:rPr>
        <w:t>Lineamiento Regionales y Protocolo Hemisférico sobre educación en entornos digitales. (PH-EED)</w:t>
      </w:r>
    </w:p>
    <w:p w14:paraId="5E457B8F" w14:textId="77777777" w:rsidR="000E3478" w:rsidRPr="002C5466" w:rsidRDefault="000E3478" w:rsidP="000E3478">
      <w:pPr>
        <w:widowControl w:val="0"/>
        <w:tabs>
          <w:tab w:val="left" w:pos="2610"/>
          <w:tab w:val="left" w:pos="8370"/>
        </w:tabs>
        <w:autoSpaceDE w:val="0"/>
        <w:autoSpaceDN w:val="0"/>
        <w:adjustRightInd w:val="0"/>
        <w:jc w:val="both"/>
        <w:rPr>
          <w:rFonts w:eastAsia="MS Mincho"/>
          <w:b/>
          <w:bCs/>
          <w:sz w:val="22"/>
          <w:szCs w:val="22"/>
          <w:lang w:val="es-DO"/>
        </w:rPr>
      </w:pPr>
    </w:p>
    <w:p w14:paraId="2AA2130A" w14:textId="77777777" w:rsidR="000E3478" w:rsidRDefault="000E3478" w:rsidP="000E3478">
      <w:pPr>
        <w:widowControl w:val="0"/>
        <w:tabs>
          <w:tab w:val="left" w:pos="2610"/>
          <w:tab w:val="left" w:pos="8370"/>
        </w:tabs>
        <w:autoSpaceDE w:val="0"/>
        <w:autoSpaceDN w:val="0"/>
        <w:adjustRightInd w:val="0"/>
        <w:jc w:val="both"/>
        <w:rPr>
          <w:rFonts w:eastAsia="MS Mincho"/>
          <w:b/>
          <w:bCs/>
          <w:sz w:val="22"/>
          <w:szCs w:val="22"/>
          <w:lang w:val="es-DO"/>
        </w:rPr>
      </w:pPr>
      <w:r w:rsidRPr="002C5466">
        <w:rPr>
          <w:rFonts w:eastAsia="MS Mincho"/>
          <w:b/>
          <w:bCs/>
          <w:sz w:val="22"/>
          <w:szCs w:val="22"/>
          <w:lang w:val="es-DO"/>
        </w:rPr>
        <w:t>Temas y áreas de acción</w:t>
      </w:r>
    </w:p>
    <w:p w14:paraId="26C1244D" w14:textId="77777777" w:rsidR="000E3478" w:rsidRPr="002C5466" w:rsidRDefault="000E3478" w:rsidP="000E3478">
      <w:pPr>
        <w:widowControl w:val="0"/>
        <w:tabs>
          <w:tab w:val="left" w:pos="2610"/>
          <w:tab w:val="left" w:pos="8370"/>
        </w:tabs>
        <w:autoSpaceDE w:val="0"/>
        <w:autoSpaceDN w:val="0"/>
        <w:adjustRightInd w:val="0"/>
        <w:jc w:val="both"/>
        <w:rPr>
          <w:rFonts w:eastAsia="MS Mincho"/>
          <w:b/>
          <w:bCs/>
          <w:sz w:val="22"/>
          <w:szCs w:val="22"/>
          <w:lang w:val="es-DO"/>
        </w:rPr>
      </w:pPr>
    </w:p>
    <w:p w14:paraId="5A9A6441" w14:textId="77777777" w:rsidR="000E3478" w:rsidRPr="00FD3A80" w:rsidRDefault="000E3478" w:rsidP="000E3478">
      <w:pPr>
        <w:pStyle w:val="ListParagraph"/>
        <w:numPr>
          <w:ilvl w:val="1"/>
          <w:numId w:val="10"/>
        </w:numPr>
        <w:ind w:hanging="720"/>
        <w:jc w:val="both"/>
        <w:rPr>
          <w:rFonts w:eastAsia="MS Mincho"/>
          <w:b/>
          <w:bCs/>
          <w:sz w:val="22"/>
          <w:szCs w:val="22"/>
          <w:lang w:val="es-US"/>
        </w:rPr>
      </w:pPr>
      <w:r w:rsidRPr="00FD3A80">
        <w:rPr>
          <w:rFonts w:eastAsia="MS Mincho"/>
          <w:b/>
          <w:bCs/>
          <w:sz w:val="22"/>
          <w:szCs w:val="22"/>
          <w:lang w:val="es-US"/>
        </w:rPr>
        <w:t>Integración de las tecnologías en los procesos de enseñanza y aprendizaje</w:t>
      </w:r>
      <w:r>
        <w:rPr>
          <w:rFonts w:eastAsia="MS Mincho"/>
          <w:b/>
          <w:bCs/>
          <w:sz w:val="22"/>
          <w:szCs w:val="22"/>
          <w:lang w:val="es-US"/>
        </w:rPr>
        <w:t xml:space="preserve"> y sistemas educativos de la región</w:t>
      </w:r>
      <w:r w:rsidRPr="00FD3A80">
        <w:rPr>
          <w:rFonts w:eastAsia="MS Mincho"/>
          <w:b/>
          <w:bCs/>
          <w:sz w:val="22"/>
          <w:szCs w:val="22"/>
          <w:lang w:val="es-US"/>
        </w:rPr>
        <w:t xml:space="preserve">, generación de un repositorio de las Américas. </w:t>
      </w:r>
    </w:p>
    <w:p w14:paraId="7004F9FC" w14:textId="77777777" w:rsidR="000E3478" w:rsidRPr="00480BAB" w:rsidRDefault="000E3478" w:rsidP="000E3478">
      <w:pPr>
        <w:pStyle w:val="ListParagraph"/>
        <w:ind w:left="1440"/>
        <w:jc w:val="both"/>
        <w:rPr>
          <w:rFonts w:eastAsia="MS Mincho"/>
          <w:sz w:val="22"/>
          <w:szCs w:val="22"/>
          <w:lang w:val="es-DO"/>
        </w:rPr>
      </w:pPr>
    </w:p>
    <w:p w14:paraId="09F739BA" w14:textId="77777777" w:rsidR="000E3478" w:rsidRPr="002C5466" w:rsidRDefault="000E3478" w:rsidP="000E3478">
      <w:pPr>
        <w:widowControl w:val="0"/>
        <w:tabs>
          <w:tab w:val="left" w:pos="2610"/>
          <w:tab w:val="left" w:pos="8370"/>
        </w:tabs>
        <w:autoSpaceDE w:val="0"/>
        <w:autoSpaceDN w:val="0"/>
        <w:adjustRightInd w:val="0"/>
        <w:ind w:left="720"/>
        <w:jc w:val="both"/>
        <w:rPr>
          <w:rFonts w:eastAsia="MS Mincho"/>
          <w:sz w:val="22"/>
          <w:szCs w:val="22"/>
          <w:lang w:val="es-DO"/>
        </w:rPr>
      </w:pPr>
      <w:r w:rsidRPr="2B67556C">
        <w:rPr>
          <w:rFonts w:eastAsia="MS Mincho"/>
          <w:sz w:val="22"/>
          <w:szCs w:val="22"/>
          <w:lang w:val="es-DO"/>
        </w:rPr>
        <w:t xml:space="preserve">Esto tema abarca políticas de inclusión tanto de acceso, acompañamiento de trayectorias educativas y procesos de formación de docentes como así también propuestas de introducción en el </w:t>
      </w:r>
      <w:proofErr w:type="spellStart"/>
      <w:r w:rsidRPr="2B67556C">
        <w:rPr>
          <w:rFonts w:eastAsia="MS Mincho"/>
          <w:sz w:val="22"/>
          <w:szCs w:val="22"/>
          <w:lang w:val="es-DO"/>
        </w:rPr>
        <w:t>curriculo</w:t>
      </w:r>
      <w:proofErr w:type="spellEnd"/>
      <w:r w:rsidRPr="2B67556C">
        <w:rPr>
          <w:rFonts w:eastAsia="MS Mincho"/>
          <w:sz w:val="22"/>
          <w:szCs w:val="22"/>
          <w:lang w:val="es-DO"/>
        </w:rPr>
        <w:t xml:space="preserve"> de las competencias relacionadas con la integración de tecnologías.  </w:t>
      </w:r>
    </w:p>
    <w:p w14:paraId="6C6E4DBD" w14:textId="77777777" w:rsidR="000E3478" w:rsidRPr="002C5466" w:rsidRDefault="000E3478" w:rsidP="000E3478">
      <w:pPr>
        <w:widowControl w:val="0"/>
        <w:tabs>
          <w:tab w:val="left" w:pos="2610"/>
          <w:tab w:val="left" w:pos="8370"/>
        </w:tabs>
        <w:autoSpaceDE w:val="0"/>
        <w:autoSpaceDN w:val="0"/>
        <w:adjustRightInd w:val="0"/>
        <w:jc w:val="both"/>
        <w:rPr>
          <w:rFonts w:eastAsia="MS Mincho"/>
          <w:sz w:val="22"/>
          <w:szCs w:val="22"/>
          <w:lang w:val="es-DO"/>
        </w:rPr>
      </w:pPr>
    </w:p>
    <w:p w14:paraId="1D776A23" w14:textId="04622EBD" w:rsidR="000E3478" w:rsidRPr="00FD3A80" w:rsidRDefault="000E3478" w:rsidP="000E3478">
      <w:pPr>
        <w:pStyle w:val="ListParagraph"/>
        <w:numPr>
          <w:ilvl w:val="1"/>
          <w:numId w:val="10"/>
        </w:numPr>
        <w:ind w:hanging="720"/>
        <w:jc w:val="both"/>
        <w:rPr>
          <w:rFonts w:eastAsia="MS Mincho"/>
          <w:b/>
          <w:bCs/>
          <w:sz w:val="22"/>
          <w:szCs w:val="22"/>
          <w:lang w:val="es-US"/>
        </w:rPr>
      </w:pPr>
      <w:r w:rsidRPr="2B67556C">
        <w:rPr>
          <w:rFonts w:eastAsia="MS Mincho"/>
          <w:b/>
          <w:bCs/>
          <w:sz w:val="22"/>
          <w:szCs w:val="22"/>
          <w:lang w:val="es-US"/>
        </w:rPr>
        <w:t>Buen uso de</w:t>
      </w:r>
      <w:r w:rsidR="00D73255">
        <w:rPr>
          <w:rFonts w:eastAsia="MS Mincho"/>
          <w:b/>
          <w:bCs/>
          <w:sz w:val="22"/>
          <w:szCs w:val="22"/>
          <w:lang w:val="es-US"/>
        </w:rPr>
        <w:t xml:space="preserve"> </w:t>
      </w:r>
      <w:r w:rsidRPr="2B67556C">
        <w:rPr>
          <w:rFonts w:eastAsia="MS Mincho"/>
          <w:b/>
          <w:bCs/>
          <w:sz w:val="22"/>
          <w:szCs w:val="22"/>
          <w:lang w:val="es-US"/>
        </w:rPr>
        <w:t>l</w:t>
      </w:r>
      <w:r w:rsidR="00D73255">
        <w:rPr>
          <w:rFonts w:eastAsia="MS Mincho"/>
          <w:b/>
          <w:bCs/>
          <w:sz w:val="22"/>
          <w:szCs w:val="22"/>
          <w:lang w:val="es-US"/>
        </w:rPr>
        <w:t>a</w:t>
      </w:r>
      <w:r w:rsidRPr="2B67556C">
        <w:rPr>
          <w:rFonts w:eastAsia="MS Mincho"/>
          <w:b/>
          <w:bCs/>
          <w:sz w:val="22"/>
          <w:szCs w:val="22"/>
          <w:lang w:val="es-US"/>
        </w:rPr>
        <w:t xml:space="preserve"> </w:t>
      </w:r>
      <w:r w:rsidR="00D73255">
        <w:rPr>
          <w:rFonts w:eastAsia="MS Mincho"/>
          <w:b/>
          <w:bCs/>
          <w:sz w:val="22"/>
          <w:szCs w:val="22"/>
          <w:lang w:val="es-US"/>
        </w:rPr>
        <w:t>I</w:t>
      </w:r>
      <w:r w:rsidRPr="2B67556C">
        <w:rPr>
          <w:rFonts w:eastAsia="MS Mincho"/>
          <w:b/>
          <w:bCs/>
          <w:sz w:val="22"/>
          <w:szCs w:val="22"/>
          <w:lang w:val="es-US"/>
        </w:rPr>
        <w:t xml:space="preserve">nternet, convivencia y prevención de violencia y prevención de posibles delitos digitales y discurso de odio en medios digitales. </w:t>
      </w:r>
    </w:p>
    <w:p w14:paraId="092F92FD" w14:textId="77777777" w:rsidR="000E3478" w:rsidRDefault="000E3478" w:rsidP="000E3478">
      <w:pPr>
        <w:widowControl w:val="0"/>
        <w:tabs>
          <w:tab w:val="left" w:pos="2610"/>
          <w:tab w:val="left" w:pos="8370"/>
        </w:tabs>
        <w:autoSpaceDE w:val="0"/>
        <w:autoSpaceDN w:val="0"/>
        <w:adjustRightInd w:val="0"/>
        <w:ind w:left="720"/>
        <w:jc w:val="both"/>
        <w:rPr>
          <w:rFonts w:eastAsia="MS Mincho"/>
          <w:sz w:val="22"/>
          <w:szCs w:val="22"/>
          <w:highlight w:val="yellow"/>
          <w:lang w:val="es-DO"/>
        </w:rPr>
      </w:pPr>
    </w:p>
    <w:p w14:paraId="0126B853" w14:textId="77777777" w:rsidR="000E3478" w:rsidRPr="002C5466" w:rsidRDefault="000E3478" w:rsidP="000E3478">
      <w:pPr>
        <w:widowControl w:val="0"/>
        <w:tabs>
          <w:tab w:val="left" w:pos="2610"/>
          <w:tab w:val="left" w:pos="8370"/>
        </w:tabs>
        <w:autoSpaceDE w:val="0"/>
        <w:autoSpaceDN w:val="0"/>
        <w:adjustRightInd w:val="0"/>
        <w:ind w:left="720"/>
        <w:jc w:val="both"/>
        <w:rPr>
          <w:rFonts w:eastAsia="MS Mincho"/>
          <w:sz w:val="22"/>
          <w:szCs w:val="22"/>
          <w:lang w:val="es-DO"/>
        </w:rPr>
      </w:pPr>
      <w:r w:rsidRPr="2B67556C">
        <w:rPr>
          <w:rFonts w:eastAsia="MS Mincho"/>
          <w:sz w:val="22"/>
          <w:szCs w:val="22"/>
          <w:lang w:val="es-DO"/>
        </w:rPr>
        <w:t>Este tema se relaciona con las políticas y programas para la prevención de la violencia y discurso de odio en medios digitales y los mecanismos que pueden ponerse en juego para reforzar los aprendizajes fundamentales aún no consolidados. Es fundamental que estas acciones se realicen sobre la base de evidencia y se fortalezcan en el análisis de ejecuciones previas que hayan sido exitosas y que a su vez hayan resaltado los desafíos encontrados en la ejecución.</w:t>
      </w:r>
    </w:p>
    <w:p w14:paraId="72C88BE4" w14:textId="77777777" w:rsidR="000E3478" w:rsidRPr="002C5466" w:rsidRDefault="000E3478" w:rsidP="000E3478">
      <w:pPr>
        <w:widowControl w:val="0"/>
        <w:tabs>
          <w:tab w:val="left" w:pos="2610"/>
          <w:tab w:val="left" w:pos="8370"/>
        </w:tabs>
        <w:autoSpaceDE w:val="0"/>
        <w:autoSpaceDN w:val="0"/>
        <w:adjustRightInd w:val="0"/>
        <w:jc w:val="both"/>
        <w:rPr>
          <w:rFonts w:eastAsia="MS Mincho"/>
          <w:sz w:val="22"/>
          <w:szCs w:val="22"/>
          <w:lang w:val="es-DO"/>
        </w:rPr>
      </w:pPr>
    </w:p>
    <w:p w14:paraId="12ABB1D3" w14:textId="77777777" w:rsidR="000E3478" w:rsidRDefault="000E3478" w:rsidP="000E3478">
      <w:pPr>
        <w:pStyle w:val="ListParagraph"/>
        <w:numPr>
          <w:ilvl w:val="1"/>
          <w:numId w:val="10"/>
        </w:numPr>
        <w:ind w:hanging="720"/>
        <w:jc w:val="both"/>
        <w:rPr>
          <w:rFonts w:eastAsia="MS Mincho"/>
          <w:sz w:val="22"/>
          <w:szCs w:val="22"/>
          <w:lang w:val="es-DO"/>
        </w:rPr>
      </w:pPr>
      <w:r w:rsidRPr="00FD3A80">
        <w:rPr>
          <w:rFonts w:eastAsia="MS Mincho"/>
          <w:b/>
          <w:bCs/>
          <w:sz w:val="22"/>
          <w:szCs w:val="22"/>
          <w:lang w:val="es-US"/>
        </w:rPr>
        <w:t>Formación docente en competencias digitales fomentando la evaluación e investigación en las prácticas educativas</w:t>
      </w:r>
      <w:r w:rsidRPr="00480BAB">
        <w:rPr>
          <w:rFonts w:eastAsia="MS Mincho"/>
          <w:sz w:val="22"/>
          <w:szCs w:val="22"/>
          <w:lang w:val="es-DO"/>
        </w:rPr>
        <w:t>.</w:t>
      </w:r>
    </w:p>
    <w:p w14:paraId="4D626DF9" w14:textId="77777777" w:rsidR="00D73255" w:rsidRPr="00480BAB" w:rsidRDefault="00D73255" w:rsidP="00D73255">
      <w:pPr>
        <w:pStyle w:val="ListParagraph"/>
        <w:ind w:left="1440"/>
        <w:jc w:val="both"/>
        <w:rPr>
          <w:rFonts w:eastAsia="MS Mincho"/>
          <w:sz w:val="22"/>
          <w:szCs w:val="22"/>
          <w:lang w:val="es-DO"/>
        </w:rPr>
      </w:pPr>
    </w:p>
    <w:p w14:paraId="5FD1B934" w14:textId="77777777" w:rsidR="000E3478" w:rsidRPr="001C1FE6" w:rsidRDefault="000E3478" w:rsidP="000E3478">
      <w:pPr>
        <w:widowControl w:val="0"/>
        <w:tabs>
          <w:tab w:val="left" w:pos="2610"/>
          <w:tab w:val="left" w:pos="8370"/>
        </w:tabs>
        <w:autoSpaceDE w:val="0"/>
        <w:autoSpaceDN w:val="0"/>
        <w:adjustRightInd w:val="0"/>
        <w:ind w:left="720"/>
        <w:jc w:val="both"/>
        <w:rPr>
          <w:rFonts w:eastAsia="MS Mincho"/>
          <w:sz w:val="22"/>
          <w:szCs w:val="22"/>
          <w:lang w:val="es-DO"/>
        </w:rPr>
      </w:pPr>
      <w:r w:rsidRPr="2B67556C">
        <w:rPr>
          <w:rFonts w:eastAsia="MS Mincho"/>
          <w:sz w:val="22"/>
          <w:szCs w:val="22"/>
          <w:lang w:val="es-DO"/>
        </w:rPr>
        <w:t xml:space="preserve">Este marco de acción proporciona una visión general de cómo </w:t>
      </w:r>
      <w:r>
        <w:rPr>
          <w:rFonts w:eastAsia="MS Mincho"/>
          <w:sz w:val="22"/>
          <w:szCs w:val="22"/>
          <w:lang w:val="es-DO"/>
        </w:rPr>
        <w:t xml:space="preserve">fomentar y fortalecer el </w:t>
      </w:r>
      <w:r w:rsidRPr="2B67556C">
        <w:rPr>
          <w:rFonts w:eastAsia="MS Mincho"/>
          <w:sz w:val="22"/>
          <w:szCs w:val="22"/>
          <w:lang w:val="es-DO"/>
        </w:rPr>
        <w:t>desarroll</w:t>
      </w:r>
      <w:r>
        <w:rPr>
          <w:rFonts w:eastAsia="MS Mincho"/>
          <w:sz w:val="22"/>
          <w:szCs w:val="22"/>
          <w:lang w:val="es-DO"/>
        </w:rPr>
        <w:t>o</w:t>
      </w:r>
      <w:r w:rsidRPr="2B67556C">
        <w:rPr>
          <w:rFonts w:eastAsia="MS Mincho"/>
          <w:sz w:val="22"/>
          <w:szCs w:val="22"/>
          <w:lang w:val="es-DO"/>
        </w:rPr>
        <w:t xml:space="preserve"> de políticas y programas que promueva la literacidad critica bajo un marco de acceso,</w:t>
      </w:r>
      <w:r>
        <w:rPr>
          <w:rFonts w:eastAsia="MS Mincho"/>
          <w:sz w:val="22"/>
          <w:szCs w:val="22"/>
          <w:lang w:val="es-DO"/>
        </w:rPr>
        <w:t xml:space="preserve"> </w:t>
      </w:r>
      <w:r w:rsidRPr="2B67556C">
        <w:rPr>
          <w:rFonts w:eastAsia="MS Mincho"/>
          <w:sz w:val="22"/>
          <w:szCs w:val="22"/>
          <w:lang w:val="es-DO"/>
        </w:rPr>
        <w:t xml:space="preserve">permanencia y logro educativo en el marco de una educación de calidad, inclusiva y con equidad. </w:t>
      </w:r>
    </w:p>
    <w:p w14:paraId="0BBAD9A9" w14:textId="77777777" w:rsidR="000E3478" w:rsidRDefault="000E3478" w:rsidP="000E3478">
      <w:pPr>
        <w:widowControl w:val="0"/>
        <w:tabs>
          <w:tab w:val="left" w:pos="2610"/>
          <w:tab w:val="left" w:pos="8370"/>
        </w:tabs>
        <w:autoSpaceDE w:val="0"/>
        <w:autoSpaceDN w:val="0"/>
        <w:adjustRightInd w:val="0"/>
        <w:ind w:left="720"/>
        <w:jc w:val="both"/>
        <w:rPr>
          <w:rFonts w:eastAsia="MS Mincho"/>
          <w:sz w:val="22"/>
          <w:szCs w:val="22"/>
          <w:lang w:val="es-DO"/>
        </w:rPr>
      </w:pPr>
    </w:p>
    <w:p w14:paraId="529C0065" w14:textId="77777777" w:rsidR="003564B2" w:rsidRDefault="003564B2" w:rsidP="000E3478">
      <w:pPr>
        <w:widowControl w:val="0"/>
        <w:tabs>
          <w:tab w:val="left" w:pos="2610"/>
          <w:tab w:val="left" w:pos="8370"/>
        </w:tabs>
        <w:autoSpaceDE w:val="0"/>
        <w:autoSpaceDN w:val="0"/>
        <w:adjustRightInd w:val="0"/>
        <w:ind w:left="720"/>
        <w:jc w:val="both"/>
        <w:rPr>
          <w:rFonts w:eastAsia="MS Mincho"/>
          <w:sz w:val="22"/>
          <w:szCs w:val="22"/>
          <w:lang w:val="es-DO"/>
        </w:rPr>
      </w:pPr>
    </w:p>
    <w:p w14:paraId="27491B63" w14:textId="77777777" w:rsidR="003564B2" w:rsidRDefault="003564B2" w:rsidP="000E3478">
      <w:pPr>
        <w:widowControl w:val="0"/>
        <w:tabs>
          <w:tab w:val="left" w:pos="2610"/>
          <w:tab w:val="left" w:pos="8370"/>
        </w:tabs>
        <w:autoSpaceDE w:val="0"/>
        <w:autoSpaceDN w:val="0"/>
        <w:adjustRightInd w:val="0"/>
        <w:ind w:left="720"/>
        <w:jc w:val="both"/>
        <w:rPr>
          <w:rFonts w:eastAsia="MS Mincho"/>
          <w:sz w:val="22"/>
          <w:szCs w:val="22"/>
          <w:lang w:val="es-DO"/>
        </w:rPr>
      </w:pPr>
    </w:p>
    <w:p w14:paraId="02BDE239" w14:textId="77777777" w:rsidR="003564B2" w:rsidRPr="002C5466" w:rsidRDefault="003564B2" w:rsidP="000E3478">
      <w:pPr>
        <w:widowControl w:val="0"/>
        <w:tabs>
          <w:tab w:val="left" w:pos="2610"/>
          <w:tab w:val="left" w:pos="8370"/>
        </w:tabs>
        <w:autoSpaceDE w:val="0"/>
        <w:autoSpaceDN w:val="0"/>
        <w:adjustRightInd w:val="0"/>
        <w:ind w:left="720"/>
        <w:jc w:val="both"/>
        <w:rPr>
          <w:rFonts w:eastAsia="MS Mincho"/>
          <w:sz w:val="22"/>
          <w:szCs w:val="22"/>
          <w:lang w:val="es-DO"/>
        </w:rPr>
      </w:pPr>
    </w:p>
    <w:p w14:paraId="298725CF" w14:textId="77777777" w:rsidR="000E3478" w:rsidRPr="002C5466" w:rsidRDefault="000E3478" w:rsidP="000E3478">
      <w:pPr>
        <w:widowControl w:val="0"/>
        <w:tabs>
          <w:tab w:val="left" w:pos="2610"/>
          <w:tab w:val="left" w:pos="8370"/>
        </w:tabs>
        <w:autoSpaceDE w:val="0"/>
        <w:autoSpaceDN w:val="0"/>
        <w:adjustRightInd w:val="0"/>
        <w:jc w:val="both"/>
        <w:rPr>
          <w:rFonts w:eastAsia="MS Mincho"/>
          <w:sz w:val="22"/>
          <w:szCs w:val="22"/>
          <w:lang w:val="es-DO"/>
        </w:rPr>
      </w:pPr>
      <w:r w:rsidRPr="002C5466">
        <w:rPr>
          <w:rFonts w:eastAsia="MS Mincho"/>
          <w:sz w:val="22"/>
          <w:szCs w:val="22"/>
          <w:lang w:val="es-DO"/>
        </w:rPr>
        <w:t>Las principales áreas de acción se enmarcarán en los siguientes componentes:</w:t>
      </w:r>
    </w:p>
    <w:tbl>
      <w:tblPr>
        <w:tblW w:w="5130" w:type="pct"/>
        <w:tblCellMar>
          <w:left w:w="0" w:type="dxa"/>
          <w:right w:w="0" w:type="dxa"/>
        </w:tblCellMar>
        <w:tblLook w:val="0420" w:firstRow="1" w:lastRow="0" w:firstColumn="0" w:lastColumn="0" w:noHBand="0" w:noVBand="1"/>
      </w:tblPr>
      <w:tblGrid>
        <w:gridCol w:w="3225"/>
        <w:gridCol w:w="2991"/>
        <w:gridCol w:w="2982"/>
        <w:gridCol w:w="6"/>
      </w:tblGrid>
      <w:tr w:rsidR="000E3478" w:rsidRPr="002C5466" w14:paraId="490C7B6D" w14:textId="77777777" w:rsidTr="003564B2">
        <w:trPr>
          <w:trHeight w:val="457"/>
        </w:trPr>
        <w:tc>
          <w:tcPr>
            <w:tcW w:w="1752" w:type="pct"/>
            <w:tcBorders>
              <w:top w:val="single" w:sz="8" w:space="0" w:color="4472C4" w:themeColor="accent1"/>
              <w:left w:val="nil"/>
              <w:bottom w:val="single" w:sz="8" w:space="0" w:color="4472C4" w:themeColor="accent1"/>
              <w:right w:val="nil"/>
            </w:tcBorders>
            <w:shd w:val="clear" w:color="auto" w:fill="auto"/>
            <w:tcMar>
              <w:top w:w="72" w:type="dxa"/>
              <w:left w:w="144" w:type="dxa"/>
              <w:bottom w:w="72" w:type="dxa"/>
              <w:right w:w="144" w:type="dxa"/>
            </w:tcMar>
            <w:hideMark/>
          </w:tcPr>
          <w:p w14:paraId="40C2440D" w14:textId="77777777" w:rsidR="000E3478" w:rsidRPr="002C5466" w:rsidRDefault="000E3478" w:rsidP="008234C2">
            <w:pPr>
              <w:jc w:val="both"/>
              <w:rPr>
                <w:rFonts w:eastAsia="MS Mincho"/>
                <w:b/>
                <w:bCs/>
                <w:sz w:val="22"/>
                <w:szCs w:val="22"/>
                <w:lang w:val="es-DO"/>
              </w:rPr>
            </w:pPr>
            <w:r w:rsidRPr="002C5466">
              <w:rPr>
                <w:rFonts w:eastAsia="MS Mincho"/>
                <w:b/>
                <w:bCs/>
                <w:sz w:val="22"/>
                <w:szCs w:val="22"/>
                <w:lang w:val="es-DO"/>
              </w:rPr>
              <w:t xml:space="preserve">Componente de investigación:  </w:t>
            </w:r>
          </w:p>
        </w:tc>
        <w:tc>
          <w:tcPr>
            <w:tcW w:w="1625" w:type="pct"/>
            <w:tcBorders>
              <w:top w:val="single" w:sz="8" w:space="0" w:color="4472C4" w:themeColor="accent1"/>
              <w:left w:val="nil"/>
              <w:bottom w:val="single" w:sz="8" w:space="0" w:color="4472C4" w:themeColor="accent1"/>
              <w:right w:val="nil"/>
            </w:tcBorders>
            <w:shd w:val="clear" w:color="auto" w:fill="auto"/>
            <w:tcMar>
              <w:top w:w="72" w:type="dxa"/>
              <w:left w:w="144" w:type="dxa"/>
              <w:bottom w:w="72" w:type="dxa"/>
              <w:right w:w="144" w:type="dxa"/>
            </w:tcMar>
            <w:hideMark/>
          </w:tcPr>
          <w:p w14:paraId="77B975FE" w14:textId="77777777" w:rsidR="000E3478" w:rsidRPr="002C5466" w:rsidRDefault="000E3478" w:rsidP="008234C2">
            <w:pPr>
              <w:widowControl w:val="0"/>
              <w:tabs>
                <w:tab w:val="left" w:pos="2610"/>
                <w:tab w:val="left" w:pos="8370"/>
              </w:tabs>
              <w:autoSpaceDE w:val="0"/>
              <w:autoSpaceDN w:val="0"/>
              <w:adjustRightInd w:val="0"/>
              <w:jc w:val="both"/>
              <w:rPr>
                <w:rFonts w:eastAsia="MS Mincho"/>
                <w:b/>
                <w:sz w:val="22"/>
                <w:szCs w:val="22"/>
                <w:lang w:val="es-DO"/>
              </w:rPr>
            </w:pPr>
          </w:p>
        </w:tc>
        <w:tc>
          <w:tcPr>
            <w:tcW w:w="1624" w:type="pct"/>
            <w:gridSpan w:val="2"/>
            <w:tcBorders>
              <w:top w:val="single" w:sz="8" w:space="0" w:color="4472C4" w:themeColor="accent1"/>
              <w:left w:val="nil"/>
              <w:bottom w:val="single" w:sz="8" w:space="0" w:color="4472C4" w:themeColor="accent1"/>
              <w:right w:val="nil"/>
            </w:tcBorders>
            <w:shd w:val="clear" w:color="auto" w:fill="auto"/>
            <w:tcMar>
              <w:top w:w="72" w:type="dxa"/>
              <w:left w:w="144" w:type="dxa"/>
              <w:bottom w:w="72" w:type="dxa"/>
              <w:right w:w="144" w:type="dxa"/>
            </w:tcMar>
            <w:hideMark/>
          </w:tcPr>
          <w:p w14:paraId="20F09839" w14:textId="77777777" w:rsidR="000E3478" w:rsidRPr="002C5466" w:rsidRDefault="000E3478" w:rsidP="008234C2">
            <w:pPr>
              <w:widowControl w:val="0"/>
              <w:tabs>
                <w:tab w:val="left" w:pos="2610"/>
                <w:tab w:val="left" w:pos="8370"/>
              </w:tabs>
              <w:autoSpaceDE w:val="0"/>
              <w:autoSpaceDN w:val="0"/>
              <w:adjustRightInd w:val="0"/>
              <w:jc w:val="both"/>
              <w:rPr>
                <w:rFonts w:eastAsia="MS Mincho"/>
                <w:b/>
                <w:sz w:val="22"/>
                <w:szCs w:val="22"/>
                <w:lang w:val="es-DO"/>
              </w:rPr>
            </w:pPr>
          </w:p>
        </w:tc>
      </w:tr>
      <w:tr w:rsidR="000E3478" w:rsidRPr="00C25543" w14:paraId="21DE97DC" w14:textId="77777777" w:rsidTr="008234C2">
        <w:trPr>
          <w:gridAfter w:val="1"/>
          <w:wAfter w:w="3" w:type="pct"/>
          <w:trHeight w:val="584"/>
        </w:trPr>
        <w:tc>
          <w:tcPr>
            <w:tcW w:w="4997" w:type="pct"/>
            <w:gridSpan w:val="3"/>
            <w:tcBorders>
              <w:top w:val="single" w:sz="8" w:space="0" w:color="4472C4" w:themeColor="accent1"/>
              <w:left w:val="nil"/>
              <w:bottom w:val="nil"/>
              <w:right w:val="nil"/>
            </w:tcBorders>
            <w:shd w:val="clear" w:color="auto" w:fill="DEEAF6" w:themeFill="accent5" w:themeFillTint="33"/>
            <w:tcMar>
              <w:top w:w="72" w:type="dxa"/>
              <w:left w:w="144" w:type="dxa"/>
              <w:bottom w:w="72" w:type="dxa"/>
              <w:right w:w="144" w:type="dxa"/>
            </w:tcMar>
            <w:hideMark/>
          </w:tcPr>
          <w:p w14:paraId="7EE7F1B1" w14:textId="77777777" w:rsidR="000E3478" w:rsidRPr="002C5466" w:rsidRDefault="000E3478" w:rsidP="008234C2">
            <w:pPr>
              <w:widowControl w:val="0"/>
              <w:tabs>
                <w:tab w:val="left" w:pos="2610"/>
                <w:tab w:val="left" w:pos="8370"/>
              </w:tabs>
              <w:autoSpaceDE w:val="0"/>
              <w:autoSpaceDN w:val="0"/>
              <w:adjustRightInd w:val="0"/>
              <w:jc w:val="both"/>
              <w:rPr>
                <w:rFonts w:eastAsia="MS Mincho"/>
                <w:sz w:val="22"/>
                <w:szCs w:val="22"/>
                <w:lang w:val="es-DO"/>
              </w:rPr>
            </w:pPr>
            <w:r w:rsidRPr="2B67556C">
              <w:rPr>
                <w:rFonts w:eastAsia="MS Mincho"/>
                <w:sz w:val="22"/>
                <w:szCs w:val="22"/>
                <w:lang w:val="es-DO"/>
              </w:rPr>
              <w:t xml:space="preserve">1. Inventario de las investigaciones e instituciones de investigación existentes en áreas relacionadas dentro de la región. </w:t>
            </w:r>
          </w:p>
          <w:p w14:paraId="232FFF20" w14:textId="77777777" w:rsidR="000E3478" w:rsidRDefault="000E3478" w:rsidP="008234C2">
            <w:pPr>
              <w:widowControl w:val="0"/>
              <w:tabs>
                <w:tab w:val="left" w:pos="2610"/>
                <w:tab w:val="left" w:pos="8370"/>
              </w:tabs>
              <w:jc w:val="both"/>
              <w:rPr>
                <w:rFonts w:eastAsia="MS Mincho"/>
                <w:sz w:val="22"/>
                <w:szCs w:val="22"/>
                <w:lang w:val="es-DO"/>
              </w:rPr>
            </w:pPr>
            <w:r>
              <w:rPr>
                <w:rFonts w:eastAsia="MS Mincho"/>
                <w:sz w:val="22"/>
                <w:szCs w:val="22"/>
                <w:lang w:val="es-DO"/>
              </w:rPr>
              <w:t>2. Identificación de buenas prácticas en los p</w:t>
            </w:r>
            <w:r w:rsidRPr="2B67556C">
              <w:rPr>
                <w:rFonts w:eastAsia="MS Mincho"/>
                <w:sz w:val="22"/>
                <w:szCs w:val="22"/>
                <w:lang w:val="es-DO"/>
              </w:rPr>
              <w:t>aíses de la región que cuentan con una educación virtual formalmente establecida o aprobada para los niveles de educación básica y media.</w:t>
            </w:r>
          </w:p>
          <w:p w14:paraId="035B30CA" w14:textId="77777777" w:rsidR="000E3478" w:rsidRPr="002C5466" w:rsidRDefault="000E3478" w:rsidP="008234C2">
            <w:pPr>
              <w:widowControl w:val="0"/>
              <w:tabs>
                <w:tab w:val="left" w:pos="2610"/>
                <w:tab w:val="left" w:pos="8370"/>
              </w:tabs>
              <w:autoSpaceDE w:val="0"/>
              <w:autoSpaceDN w:val="0"/>
              <w:adjustRightInd w:val="0"/>
              <w:jc w:val="both"/>
              <w:rPr>
                <w:rFonts w:eastAsia="MS Mincho"/>
                <w:bCs/>
                <w:sz w:val="22"/>
                <w:szCs w:val="22"/>
                <w:lang w:val="es-DO"/>
              </w:rPr>
            </w:pPr>
            <w:r>
              <w:rPr>
                <w:rFonts w:eastAsia="MS Mincho"/>
                <w:bCs/>
                <w:sz w:val="22"/>
                <w:szCs w:val="22"/>
                <w:lang w:val="es-DO"/>
              </w:rPr>
              <w:t>3</w:t>
            </w:r>
            <w:r w:rsidRPr="002C5466">
              <w:rPr>
                <w:rFonts w:eastAsia="MS Mincho"/>
                <w:bCs/>
                <w:sz w:val="22"/>
                <w:szCs w:val="22"/>
                <w:lang w:val="es-DO"/>
              </w:rPr>
              <w:t xml:space="preserve">. Implementación </w:t>
            </w:r>
            <w:r w:rsidRPr="06557BF8">
              <w:rPr>
                <w:rFonts w:eastAsia="MS Mincho"/>
                <w:sz w:val="22"/>
                <w:szCs w:val="22"/>
                <w:lang w:val="es-DO"/>
              </w:rPr>
              <w:t xml:space="preserve">y fortalecimiento </w:t>
            </w:r>
            <w:r w:rsidRPr="002C5466">
              <w:rPr>
                <w:rFonts w:eastAsia="MS Mincho"/>
                <w:bCs/>
                <w:sz w:val="22"/>
                <w:szCs w:val="22"/>
                <w:lang w:val="es-DO"/>
              </w:rPr>
              <w:t xml:space="preserve">de programas </w:t>
            </w:r>
            <w:r>
              <w:rPr>
                <w:rFonts w:eastAsia="MS Mincho"/>
                <w:bCs/>
                <w:sz w:val="22"/>
                <w:szCs w:val="22"/>
                <w:lang w:val="es-DO"/>
              </w:rPr>
              <w:t xml:space="preserve">existentes </w:t>
            </w:r>
            <w:r w:rsidRPr="002C5466">
              <w:rPr>
                <w:rFonts w:eastAsia="MS Mincho"/>
                <w:bCs/>
                <w:sz w:val="22"/>
                <w:szCs w:val="22"/>
                <w:lang w:val="es-DO"/>
              </w:rPr>
              <w:t xml:space="preserve">de monitoreo y evaluación.  </w:t>
            </w:r>
          </w:p>
          <w:p w14:paraId="5C6B77C5" w14:textId="77777777" w:rsidR="000E3478" w:rsidRPr="002C5466" w:rsidRDefault="000E3478" w:rsidP="008234C2">
            <w:pPr>
              <w:widowControl w:val="0"/>
              <w:tabs>
                <w:tab w:val="left" w:pos="2610"/>
                <w:tab w:val="left" w:pos="8370"/>
              </w:tabs>
              <w:autoSpaceDE w:val="0"/>
              <w:autoSpaceDN w:val="0"/>
              <w:adjustRightInd w:val="0"/>
              <w:jc w:val="both"/>
              <w:rPr>
                <w:rFonts w:eastAsia="MS Mincho"/>
                <w:b/>
                <w:sz w:val="22"/>
                <w:szCs w:val="22"/>
                <w:lang w:val="es-DO"/>
              </w:rPr>
            </w:pPr>
            <w:r>
              <w:rPr>
                <w:rFonts w:eastAsia="MS Mincho"/>
                <w:bCs/>
                <w:sz w:val="22"/>
                <w:szCs w:val="22"/>
                <w:lang w:val="es-DO"/>
              </w:rPr>
              <w:t>4</w:t>
            </w:r>
            <w:r w:rsidRPr="002C5466">
              <w:rPr>
                <w:rFonts w:eastAsia="MS Mincho"/>
                <w:bCs/>
                <w:sz w:val="22"/>
                <w:szCs w:val="22"/>
                <w:lang w:val="es-DO"/>
              </w:rPr>
              <w:t xml:space="preserve">. Publicación sobre temas prioritarios identificados con la implementación del Programa </w:t>
            </w:r>
            <w:r w:rsidRPr="00480BAB">
              <w:rPr>
                <w:rFonts w:eastAsia="MS Mincho"/>
                <w:sz w:val="22"/>
                <w:szCs w:val="22"/>
                <w:lang w:val="es-DO"/>
              </w:rPr>
              <w:t>de Literacidad crítica y educación digital en contextos de cambio (LICED</w:t>
            </w:r>
            <w:r w:rsidRPr="06557BF8">
              <w:rPr>
                <w:sz w:val="22"/>
                <w:szCs w:val="22"/>
                <w:lang w:val="es-DO"/>
              </w:rPr>
              <w:t>)</w:t>
            </w:r>
            <w:r w:rsidRPr="06557BF8">
              <w:rPr>
                <w:rFonts w:eastAsia="MS Mincho"/>
                <w:sz w:val="22"/>
                <w:szCs w:val="22"/>
                <w:lang w:val="es-DO"/>
              </w:rPr>
              <w:t xml:space="preserve">. </w:t>
            </w:r>
          </w:p>
        </w:tc>
      </w:tr>
      <w:tr w:rsidR="000E3478" w:rsidRPr="00C25543" w14:paraId="5D36CE5B" w14:textId="77777777" w:rsidTr="008234C2">
        <w:trPr>
          <w:gridAfter w:val="1"/>
          <w:wAfter w:w="3" w:type="pct"/>
          <w:trHeight w:val="584"/>
        </w:trPr>
        <w:tc>
          <w:tcPr>
            <w:tcW w:w="4997" w:type="pct"/>
            <w:gridSpan w:val="3"/>
            <w:tcBorders>
              <w:top w:val="nil"/>
              <w:left w:val="nil"/>
              <w:bottom w:val="nil"/>
              <w:right w:val="nil"/>
            </w:tcBorders>
            <w:shd w:val="clear" w:color="auto" w:fill="auto"/>
            <w:tcMar>
              <w:top w:w="72" w:type="dxa"/>
              <w:left w:w="144" w:type="dxa"/>
              <w:bottom w:w="72" w:type="dxa"/>
              <w:right w:w="144" w:type="dxa"/>
            </w:tcMar>
            <w:hideMark/>
          </w:tcPr>
          <w:p w14:paraId="0FA4C118" w14:textId="77777777" w:rsidR="003564B2" w:rsidRDefault="003564B2" w:rsidP="008234C2">
            <w:pPr>
              <w:widowControl w:val="0"/>
              <w:tabs>
                <w:tab w:val="left" w:pos="2610"/>
                <w:tab w:val="left" w:pos="8370"/>
              </w:tabs>
              <w:autoSpaceDE w:val="0"/>
              <w:autoSpaceDN w:val="0"/>
              <w:adjustRightInd w:val="0"/>
              <w:jc w:val="both"/>
              <w:rPr>
                <w:rFonts w:eastAsia="MS Mincho"/>
                <w:b/>
                <w:bCs/>
                <w:sz w:val="22"/>
                <w:szCs w:val="22"/>
                <w:lang w:val="es-DO"/>
              </w:rPr>
            </w:pPr>
          </w:p>
          <w:p w14:paraId="36D67AEE" w14:textId="499C6392" w:rsidR="000E3478" w:rsidRPr="002C5466" w:rsidRDefault="000E3478" w:rsidP="008234C2">
            <w:pPr>
              <w:widowControl w:val="0"/>
              <w:tabs>
                <w:tab w:val="left" w:pos="2610"/>
                <w:tab w:val="left" w:pos="8370"/>
              </w:tabs>
              <w:autoSpaceDE w:val="0"/>
              <w:autoSpaceDN w:val="0"/>
              <w:adjustRightInd w:val="0"/>
              <w:jc w:val="both"/>
              <w:rPr>
                <w:rFonts w:eastAsia="MS Mincho"/>
                <w:b/>
                <w:sz w:val="22"/>
                <w:szCs w:val="22"/>
                <w:lang w:val="es-DO"/>
              </w:rPr>
            </w:pPr>
            <w:r w:rsidRPr="002C5466">
              <w:rPr>
                <w:rFonts w:eastAsia="MS Mincho"/>
                <w:b/>
                <w:bCs/>
                <w:sz w:val="22"/>
                <w:szCs w:val="22"/>
                <w:lang w:val="es-DO"/>
              </w:rPr>
              <w:t>Componente de Desarrollo Profesional y Recursos Educativos:</w:t>
            </w:r>
          </w:p>
        </w:tc>
      </w:tr>
      <w:tr w:rsidR="000E3478" w:rsidRPr="00C25543" w14:paraId="33D91173" w14:textId="77777777" w:rsidTr="008234C2">
        <w:trPr>
          <w:gridAfter w:val="1"/>
          <w:wAfter w:w="3" w:type="pct"/>
          <w:trHeight w:val="584"/>
        </w:trPr>
        <w:tc>
          <w:tcPr>
            <w:tcW w:w="4997" w:type="pct"/>
            <w:gridSpan w:val="3"/>
            <w:tcBorders>
              <w:top w:val="nil"/>
              <w:left w:val="nil"/>
              <w:bottom w:val="nil"/>
              <w:right w:val="nil"/>
            </w:tcBorders>
            <w:shd w:val="clear" w:color="auto" w:fill="FFEFEA"/>
            <w:tcMar>
              <w:top w:w="72" w:type="dxa"/>
              <w:left w:w="144" w:type="dxa"/>
              <w:bottom w:w="72" w:type="dxa"/>
              <w:right w:w="144" w:type="dxa"/>
            </w:tcMar>
            <w:hideMark/>
          </w:tcPr>
          <w:p w14:paraId="1A97675B" w14:textId="77777777" w:rsidR="000E3478" w:rsidRPr="002C5466" w:rsidRDefault="000E3478" w:rsidP="008234C2">
            <w:pPr>
              <w:widowControl w:val="0"/>
              <w:tabs>
                <w:tab w:val="left" w:pos="2610"/>
                <w:tab w:val="left" w:pos="8370"/>
              </w:tabs>
              <w:autoSpaceDE w:val="0"/>
              <w:autoSpaceDN w:val="0"/>
              <w:adjustRightInd w:val="0"/>
              <w:jc w:val="both"/>
              <w:rPr>
                <w:rFonts w:eastAsia="MS Mincho"/>
                <w:sz w:val="22"/>
                <w:szCs w:val="22"/>
                <w:lang w:val="es-DO"/>
              </w:rPr>
            </w:pPr>
            <w:r w:rsidRPr="002C5466">
              <w:rPr>
                <w:rFonts w:eastAsia="MS Mincho"/>
                <w:sz w:val="22"/>
                <w:szCs w:val="22"/>
                <w:lang w:val="es-DO"/>
              </w:rPr>
              <w:t xml:space="preserve">1. Curso regional a distancia para maestros y administradores escolares: El Programa </w:t>
            </w:r>
            <w:r w:rsidRPr="00480BAB">
              <w:rPr>
                <w:rFonts w:eastAsia="MS Mincho"/>
                <w:sz w:val="22"/>
                <w:szCs w:val="22"/>
                <w:lang w:val="es-DO"/>
              </w:rPr>
              <w:t>de Literacidad crítica y educación digital en contextos de cambio (LICED)</w:t>
            </w:r>
            <w:r w:rsidRPr="002C5466">
              <w:rPr>
                <w:rFonts w:eastAsia="MS Mincho"/>
                <w:sz w:val="22"/>
                <w:szCs w:val="22"/>
                <w:lang w:val="es-DO"/>
              </w:rPr>
              <w:t>.</w:t>
            </w:r>
          </w:p>
          <w:p w14:paraId="3D64CFEC" w14:textId="77777777" w:rsidR="000E3478" w:rsidRPr="002C5466" w:rsidRDefault="000E3478" w:rsidP="008234C2">
            <w:pPr>
              <w:widowControl w:val="0"/>
              <w:tabs>
                <w:tab w:val="left" w:pos="2610"/>
                <w:tab w:val="left" w:pos="8370"/>
              </w:tabs>
              <w:autoSpaceDE w:val="0"/>
              <w:autoSpaceDN w:val="0"/>
              <w:adjustRightInd w:val="0"/>
              <w:jc w:val="both"/>
              <w:rPr>
                <w:rFonts w:eastAsia="MS Mincho"/>
                <w:sz w:val="22"/>
                <w:szCs w:val="22"/>
                <w:lang w:val="es-DO"/>
              </w:rPr>
            </w:pPr>
            <w:r w:rsidRPr="002C5466">
              <w:rPr>
                <w:rFonts w:eastAsia="MS Mincho"/>
                <w:sz w:val="22"/>
                <w:szCs w:val="22"/>
                <w:lang w:val="es-DO"/>
              </w:rPr>
              <w:t xml:space="preserve">2. Repositorio virtual de políticas, programas, directrices y herramientas sobre </w:t>
            </w:r>
            <w:r>
              <w:rPr>
                <w:rFonts w:eastAsia="MS Mincho"/>
                <w:sz w:val="22"/>
                <w:szCs w:val="22"/>
                <w:lang w:val="es-DO"/>
              </w:rPr>
              <w:t>educación digital en el</w:t>
            </w:r>
            <w:r w:rsidRPr="002C5466">
              <w:rPr>
                <w:rFonts w:eastAsia="MS Mincho"/>
                <w:sz w:val="22"/>
                <w:szCs w:val="22"/>
                <w:lang w:val="es-DO"/>
              </w:rPr>
              <w:t xml:space="preserve"> sector educativo.</w:t>
            </w:r>
          </w:p>
          <w:p w14:paraId="5F895D9C" w14:textId="77777777" w:rsidR="000E3478" w:rsidRPr="002C5466" w:rsidRDefault="000E3478" w:rsidP="008234C2">
            <w:pPr>
              <w:widowControl w:val="0"/>
              <w:tabs>
                <w:tab w:val="left" w:pos="2610"/>
                <w:tab w:val="left" w:pos="8370"/>
              </w:tabs>
              <w:autoSpaceDE w:val="0"/>
              <w:autoSpaceDN w:val="0"/>
              <w:adjustRightInd w:val="0"/>
              <w:jc w:val="both"/>
              <w:rPr>
                <w:rFonts w:eastAsia="MS Mincho"/>
                <w:sz w:val="22"/>
                <w:szCs w:val="22"/>
                <w:lang w:val="es-DO"/>
              </w:rPr>
            </w:pPr>
            <w:r w:rsidRPr="002C5466">
              <w:rPr>
                <w:rFonts w:eastAsia="MS Mincho"/>
                <w:sz w:val="22"/>
                <w:szCs w:val="22"/>
                <w:lang w:val="es-DO"/>
              </w:rPr>
              <w:t xml:space="preserve">3. Recursos educativos sobre políticas de </w:t>
            </w:r>
            <w:r>
              <w:rPr>
                <w:rFonts w:eastAsia="MS Mincho"/>
                <w:sz w:val="22"/>
                <w:szCs w:val="22"/>
                <w:lang w:val="es-DO"/>
              </w:rPr>
              <w:t>educación digital en e</w:t>
            </w:r>
            <w:r w:rsidRPr="002C5466">
              <w:rPr>
                <w:rFonts w:eastAsia="MS Mincho"/>
                <w:sz w:val="22"/>
                <w:szCs w:val="22"/>
                <w:lang w:val="es-DO"/>
              </w:rPr>
              <w:t>l sector educativo</w:t>
            </w:r>
          </w:p>
        </w:tc>
      </w:tr>
      <w:tr w:rsidR="000E3478" w:rsidRPr="007C2AC2" w14:paraId="0FB5F565" w14:textId="77777777" w:rsidTr="003564B2">
        <w:trPr>
          <w:gridAfter w:val="1"/>
          <w:wAfter w:w="3" w:type="pct"/>
          <w:trHeight w:val="414"/>
        </w:trPr>
        <w:tc>
          <w:tcPr>
            <w:tcW w:w="4997" w:type="pct"/>
            <w:gridSpan w:val="3"/>
            <w:tcBorders>
              <w:top w:val="nil"/>
              <w:left w:val="nil"/>
              <w:bottom w:val="nil"/>
              <w:right w:val="nil"/>
            </w:tcBorders>
            <w:shd w:val="clear" w:color="auto" w:fill="auto"/>
            <w:tcMar>
              <w:top w:w="72" w:type="dxa"/>
              <w:left w:w="144" w:type="dxa"/>
              <w:bottom w:w="72" w:type="dxa"/>
              <w:right w:w="144" w:type="dxa"/>
            </w:tcMar>
            <w:hideMark/>
          </w:tcPr>
          <w:p w14:paraId="297F3235" w14:textId="77777777" w:rsidR="000E3478" w:rsidRPr="002C5466" w:rsidRDefault="000E3478" w:rsidP="008234C2">
            <w:pPr>
              <w:widowControl w:val="0"/>
              <w:tabs>
                <w:tab w:val="left" w:pos="2610"/>
                <w:tab w:val="left" w:pos="8370"/>
              </w:tabs>
              <w:autoSpaceDE w:val="0"/>
              <w:autoSpaceDN w:val="0"/>
              <w:adjustRightInd w:val="0"/>
              <w:jc w:val="both"/>
              <w:rPr>
                <w:rFonts w:eastAsia="MS Mincho"/>
                <w:b/>
                <w:sz w:val="22"/>
                <w:szCs w:val="22"/>
                <w:lang w:val="es-DO"/>
              </w:rPr>
            </w:pPr>
            <w:r w:rsidRPr="002C5466">
              <w:rPr>
                <w:rFonts w:eastAsia="MS Mincho"/>
                <w:b/>
                <w:bCs/>
                <w:sz w:val="22"/>
                <w:szCs w:val="22"/>
                <w:lang w:val="es-DO"/>
              </w:rPr>
              <w:t>Programa de Asistencia Técnica e Intercambio:</w:t>
            </w:r>
          </w:p>
        </w:tc>
      </w:tr>
      <w:tr w:rsidR="000E3478" w:rsidRPr="00C25543" w14:paraId="33016CC5" w14:textId="77777777" w:rsidTr="008234C2">
        <w:trPr>
          <w:gridAfter w:val="1"/>
          <w:wAfter w:w="3" w:type="pct"/>
          <w:trHeight w:val="584"/>
        </w:trPr>
        <w:tc>
          <w:tcPr>
            <w:tcW w:w="4997" w:type="pct"/>
            <w:gridSpan w:val="3"/>
            <w:tcBorders>
              <w:top w:val="nil"/>
              <w:left w:val="nil"/>
              <w:bottom w:val="single" w:sz="8" w:space="0" w:color="4472C4" w:themeColor="accent1"/>
              <w:right w:val="nil"/>
            </w:tcBorders>
            <w:shd w:val="clear" w:color="auto" w:fill="C5E0B3" w:themeFill="accent6" w:themeFillTint="66"/>
            <w:tcMar>
              <w:top w:w="72" w:type="dxa"/>
              <w:left w:w="144" w:type="dxa"/>
              <w:bottom w:w="72" w:type="dxa"/>
              <w:right w:w="144" w:type="dxa"/>
            </w:tcMar>
            <w:hideMark/>
          </w:tcPr>
          <w:p w14:paraId="5293EADF" w14:textId="77777777" w:rsidR="000E3478" w:rsidRPr="002C5466" w:rsidRDefault="000E3478" w:rsidP="008234C2">
            <w:pPr>
              <w:widowControl w:val="0"/>
              <w:tabs>
                <w:tab w:val="left" w:pos="2610"/>
                <w:tab w:val="left" w:pos="8370"/>
              </w:tabs>
              <w:autoSpaceDE w:val="0"/>
              <w:autoSpaceDN w:val="0"/>
              <w:adjustRightInd w:val="0"/>
              <w:jc w:val="both"/>
              <w:rPr>
                <w:rFonts w:eastAsia="MS Mincho"/>
                <w:bCs/>
                <w:sz w:val="22"/>
                <w:szCs w:val="22"/>
                <w:lang w:val="es-DO"/>
              </w:rPr>
            </w:pPr>
            <w:r w:rsidRPr="002C5466">
              <w:rPr>
                <w:rFonts w:eastAsia="MS Mincho"/>
                <w:bCs/>
                <w:sz w:val="22"/>
                <w:szCs w:val="22"/>
                <w:lang w:val="es-DO"/>
              </w:rPr>
              <w:t>1. Cartera de iniciativas prometedoras y series de informes de políticas.</w:t>
            </w:r>
          </w:p>
          <w:p w14:paraId="0FA65C49" w14:textId="77777777" w:rsidR="000E3478" w:rsidRPr="002C5466" w:rsidRDefault="000E3478" w:rsidP="008234C2">
            <w:pPr>
              <w:widowControl w:val="0"/>
              <w:tabs>
                <w:tab w:val="left" w:pos="2610"/>
                <w:tab w:val="left" w:pos="8370"/>
              </w:tabs>
              <w:autoSpaceDE w:val="0"/>
              <w:autoSpaceDN w:val="0"/>
              <w:adjustRightInd w:val="0"/>
              <w:jc w:val="both"/>
              <w:rPr>
                <w:rFonts w:eastAsia="MS Mincho"/>
                <w:sz w:val="22"/>
                <w:szCs w:val="22"/>
                <w:lang w:val="es-DO"/>
              </w:rPr>
            </w:pPr>
            <w:r w:rsidRPr="2B67556C">
              <w:rPr>
                <w:rFonts w:eastAsia="MS Mincho"/>
                <w:sz w:val="22"/>
                <w:szCs w:val="22"/>
                <w:lang w:val="es-DO"/>
              </w:rPr>
              <w:t xml:space="preserve">2. Misiones de Asistencia Técnica y documentación de las experiencias de los países. </w:t>
            </w:r>
          </w:p>
          <w:p w14:paraId="7C2F05E0" w14:textId="77777777" w:rsidR="000E3478" w:rsidRPr="002C5466" w:rsidRDefault="000E3478" w:rsidP="008234C2">
            <w:pPr>
              <w:widowControl w:val="0"/>
              <w:tabs>
                <w:tab w:val="left" w:pos="2610"/>
                <w:tab w:val="left" w:pos="8370"/>
              </w:tabs>
              <w:autoSpaceDE w:val="0"/>
              <w:autoSpaceDN w:val="0"/>
              <w:adjustRightInd w:val="0"/>
              <w:jc w:val="both"/>
              <w:rPr>
                <w:rFonts w:eastAsia="MS Mincho"/>
                <w:bCs/>
                <w:sz w:val="22"/>
                <w:szCs w:val="22"/>
                <w:lang w:val="es-DO"/>
              </w:rPr>
            </w:pPr>
            <w:r w:rsidRPr="002C5466">
              <w:rPr>
                <w:rFonts w:eastAsia="MS Mincho"/>
                <w:bCs/>
                <w:sz w:val="22"/>
                <w:szCs w:val="22"/>
                <w:lang w:val="es-DO"/>
              </w:rPr>
              <w:t xml:space="preserve">3. Talleres de intercambio de conocimientos sobre políticas y prácticas.  </w:t>
            </w:r>
          </w:p>
        </w:tc>
      </w:tr>
    </w:tbl>
    <w:p w14:paraId="58B687EC" w14:textId="77777777" w:rsidR="000E3478" w:rsidRPr="002C5466" w:rsidRDefault="000E3478" w:rsidP="000E3478">
      <w:pPr>
        <w:widowControl w:val="0"/>
        <w:tabs>
          <w:tab w:val="left" w:pos="2610"/>
          <w:tab w:val="left" w:pos="8370"/>
        </w:tabs>
        <w:autoSpaceDE w:val="0"/>
        <w:autoSpaceDN w:val="0"/>
        <w:adjustRightInd w:val="0"/>
        <w:jc w:val="both"/>
        <w:rPr>
          <w:rFonts w:eastAsia="MS Mincho"/>
          <w:b/>
          <w:bCs/>
          <w:sz w:val="22"/>
          <w:szCs w:val="22"/>
          <w:lang w:val="es-DO"/>
        </w:rPr>
      </w:pPr>
    </w:p>
    <w:p w14:paraId="585E0FFC" w14:textId="77777777" w:rsidR="000E3478" w:rsidRPr="002C5466" w:rsidRDefault="000E3478" w:rsidP="000E3478">
      <w:pPr>
        <w:widowControl w:val="0"/>
        <w:tabs>
          <w:tab w:val="left" w:pos="2610"/>
          <w:tab w:val="left" w:pos="8370"/>
        </w:tabs>
        <w:autoSpaceDE w:val="0"/>
        <w:autoSpaceDN w:val="0"/>
        <w:adjustRightInd w:val="0"/>
        <w:jc w:val="both"/>
        <w:rPr>
          <w:rFonts w:eastAsia="MS Mincho"/>
          <w:b/>
          <w:bCs/>
          <w:sz w:val="22"/>
          <w:szCs w:val="22"/>
          <w:lang w:val="es-DO"/>
        </w:rPr>
      </w:pPr>
      <w:r w:rsidRPr="002C5466">
        <w:rPr>
          <w:rFonts w:eastAsia="MS Mincho"/>
          <w:b/>
          <w:bCs/>
          <w:sz w:val="22"/>
          <w:szCs w:val="22"/>
          <w:lang w:val="es-DO"/>
        </w:rPr>
        <w:t>Resultados esperados</w:t>
      </w:r>
    </w:p>
    <w:p w14:paraId="2B982A8A" w14:textId="4DDBF37B" w:rsidR="000E3478" w:rsidRPr="001C1FE6" w:rsidRDefault="000E3478" w:rsidP="00D73255">
      <w:pPr>
        <w:widowControl w:val="0"/>
        <w:tabs>
          <w:tab w:val="left" w:pos="2610"/>
          <w:tab w:val="left" w:pos="8971"/>
        </w:tabs>
        <w:autoSpaceDE w:val="0"/>
        <w:autoSpaceDN w:val="0"/>
        <w:adjustRightInd w:val="0"/>
        <w:jc w:val="both"/>
        <w:rPr>
          <w:rFonts w:eastAsia="MS Mincho"/>
          <w:sz w:val="22"/>
          <w:szCs w:val="22"/>
          <w:lang w:val="es-DO"/>
        </w:rPr>
      </w:pPr>
      <w:r w:rsidRPr="2B67556C">
        <w:rPr>
          <w:rFonts w:eastAsia="MS Mincho"/>
          <w:sz w:val="22"/>
          <w:szCs w:val="22"/>
          <w:lang w:val="es-DO"/>
        </w:rPr>
        <w:t xml:space="preserve">Se espera que a finales de 2025 se hayan </w:t>
      </w:r>
      <w:r>
        <w:rPr>
          <w:rFonts w:eastAsia="MS Mincho"/>
          <w:sz w:val="22"/>
          <w:szCs w:val="22"/>
          <w:lang w:val="es-DO"/>
        </w:rPr>
        <w:t>analizado y/o fortalecido</w:t>
      </w:r>
      <w:r w:rsidRPr="2B67556C">
        <w:rPr>
          <w:rFonts w:eastAsia="MS Mincho"/>
          <w:sz w:val="22"/>
          <w:szCs w:val="22"/>
          <w:lang w:val="es-DO"/>
        </w:rPr>
        <w:t xml:space="preserve"> </w:t>
      </w:r>
      <w:r w:rsidR="00CD4AB6">
        <w:rPr>
          <w:rFonts w:eastAsia="MS Mincho"/>
          <w:sz w:val="22"/>
          <w:szCs w:val="22"/>
          <w:lang w:val="es-DO"/>
        </w:rPr>
        <w:t xml:space="preserve">las </w:t>
      </w:r>
      <w:r w:rsidRPr="2B67556C">
        <w:rPr>
          <w:rFonts w:eastAsia="MS Mincho"/>
          <w:sz w:val="22"/>
          <w:szCs w:val="22"/>
          <w:lang w:val="es-DO"/>
        </w:rPr>
        <w:t>políticas para promover sistemas educativos resilientes en temas de recuperación, reparación y reactivación del sector educativo que apuesten a la superación de las brechas generadas en la educación a través del uso de las tecnologías y las redes.</w:t>
      </w:r>
    </w:p>
    <w:p w14:paraId="07A4AA81" w14:textId="77777777" w:rsidR="000E3478" w:rsidRPr="002C5466" w:rsidRDefault="000E3478" w:rsidP="000E3478">
      <w:pPr>
        <w:widowControl w:val="0"/>
        <w:tabs>
          <w:tab w:val="left" w:pos="2610"/>
          <w:tab w:val="left" w:pos="8370"/>
        </w:tabs>
        <w:autoSpaceDE w:val="0"/>
        <w:autoSpaceDN w:val="0"/>
        <w:adjustRightInd w:val="0"/>
        <w:jc w:val="both"/>
        <w:rPr>
          <w:rFonts w:eastAsia="MS Mincho"/>
          <w:sz w:val="22"/>
          <w:szCs w:val="22"/>
          <w:lang w:val="es-DO"/>
        </w:rPr>
      </w:pPr>
    </w:p>
    <w:p w14:paraId="532DDD72" w14:textId="77777777" w:rsidR="000E3478" w:rsidRPr="002C5466" w:rsidRDefault="000E3478" w:rsidP="000E3478">
      <w:pPr>
        <w:widowControl w:val="0"/>
        <w:tabs>
          <w:tab w:val="left" w:pos="2610"/>
          <w:tab w:val="left" w:pos="8370"/>
        </w:tabs>
        <w:autoSpaceDE w:val="0"/>
        <w:autoSpaceDN w:val="0"/>
        <w:adjustRightInd w:val="0"/>
        <w:jc w:val="both"/>
        <w:rPr>
          <w:rFonts w:eastAsia="MS Mincho"/>
          <w:b/>
          <w:bCs/>
          <w:sz w:val="22"/>
          <w:szCs w:val="22"/>
          <w:lang w:val="es-DO"/>
        </w:rPr>
      </w:pPr>
      <w:r w:rsidRPr="002C5466">
        <w:rPr>
          <w:rFonts w:eastAsia="MS Mincho"/>
          <w:b/>
          <w:bCs/>
          <w:sz w:val="22"/>
          <w:szCs w:val="22"/>
          <w:lang w:val="es-DO"/>
        </w:rPr>
        <w:t>Recursos humanos y financieros</w:t>
      </w:r>
    </w:p>
    <w:p w14:paraId="21953C4D" w14:textId="77777777" w:rsidR="000E3478" w:rsidRPr="001C1FE6" w:rsidRDefault="000E3478" w:rsidP="000E3478">
      <w:pPr>
        <w:widowControl w:val="0"/>
        <w:tabs>
          <w:tab w:val="left" w:pos="2610"/>
          <w:tab w:val="left" w:pos="8370"/>
        </w:tabs>
        <w:autoSpaceDE w:val="0"/>
        <w:autoSpaceDN w:val="0"/>
        <w:adjustRightInd w:val="0"/>
        <w:jc w:val="both"/>
        <w:rPr>
          <w:rFonts w:eastAsia="MS Mincho"/>
          <w:sz w:val="22"/>
          <w:szCs w:val="22"/>
          <w:lang w:val="es-DO"/>
        </w:rPr>
      </w:pPr>
      <w:r w:rsidRPr="2B67556C">
        <w:rPr>
          <w:rFonts w:eastAsia="MS Mincho"/>
          <w:sz w:val="22"/>
          <w:szCs w:val="22"/>
          <w:lang w:val="es-DO"/>
        </w:rPr>
        <w:t>La OEA y las Autoridades de la CIE y sus grupos de Trabajo aunarán sus esfuerzos para movilizar recursos para la implementación de este Programa Hemisférico, incluyendo contactos con los posibles donantes. También tratarán de establecer alianzas oportunas y esfuerzos de recaudación de fondos con diversas organizaciones de desarrollo y organismos pertinentes del Sistema Interamericano, salvaguardando tales compromisos de conflictos de interés.</w:t>
      </w:r>
    </w:p>
    <w:p w14:paraId="7537204C" w14:textId="77777777" w:rsidR="000E3478" w:rsidRPr="002C5466" w:rsidRDefault="000E3478" w:rsidP="000E3478">
      <w:pPr>
        <w:widowControl w:val="0"/>
        <w:tabs>
          <w:tab w:val="left" w:pos="2610"/>
          <w:tab w:val="left" w:pos="8370"/>
        </w:tabs>
        <w:autoSpaceDE w:val="0"/>
        <w:autoSpaceDN w:val="0"/>
        <w:adjustRightInd w:val="0"/>
        <w:jc w:val="both"/>
        <w:rPr>
          <w:rFonts w:eastAsia="MS Mincho"/>
          <w:sz w:val="22"/>
          <w:szCs w:val="22"/>
          <w:lang w:val="es-DO"/>
        </w:rPr>
      </w:pPr>
    </w:p>
    <w:p w14:paraId="5EDF0B01" w14:textId="77777777" w:rsidR="000E3478" w:rsidRPr="002C5466" w:rsidRDefault="000E3478" w:rsidP="000E3478">
      <w:pPr>
        <w:widowControl w:val="0"/>
        <w:tabs>
          <w:tab w:val="left" w:pos="2610"/>
          <w:tab w:val="left" w:pos="8370"/>
        </w:tabs>
        <w:autoSpaceDE w:val="0"/>
        <w:autoSpaceDN w:val="0"/>
        <w:adjustRightInd w:val="0"/>
        <w:jc w:val="both"/>
        <w:rPr>
          <w:rFonts w:eastAsia="MS Mincho"/>
          <w:b/>
          <w:bCs/>
          <w:sz w:val="22"/>
          <w:szCs w:val="22"/>
          <w:lang w:val="es-DO"/>
        </w:rPr>
      </w:pPr>
      <w:r w:rsidRPr="002C5466">
        <w:rPr>
          <w:rFonts w:eastAsia="MS Mincho"/>
          <w:b/>
          <w:bCs/>
          <w:sz w:val="22"/>
          <w:szCs w:val="22"/>
          <w:lang w:val="es-DO"/>
        </w:rPr>
        <w:t>Designación de funcionarios</w:t>
      </w:r>
    </w:p>
    <w:p w14:paraId="2DB607E5" w14:textId="77777777" w:rsidR="000E3478" w:rsidRPr="001C1FE6" w:rsidRDefault="000E3478" w:rsidP="000E3478">
      <w:pPr>
        <w:widowControl w:val="0"/>
        <w:tabs>
          <w:tab w:val="left" w:pos="2610"/>
          <w:tab w:val="left" w:pos="8370"/>
        </w:tabs>
        <w:autoSpaceDE w:val="0"/>
        <w:autoSpaceDN w:val="0"/>
        <w:adjustRightInd w:val="0"/>
        <w:jc w:val="both"/>
        <w:rPr>
          <w:rFonts w:eastAsia="MS Mincho"/>
          <w:sz w:val="22"/>
          <w:szCs w:val="22"/>
          <w:lang w:val="es-DO"/>
        </w:rPr>
      </w:pPr>
      <w:r w:rsidRPr="002C5466">
        <w:rPr>
          <w:rFonts w:eastAsia="MS Mincho"/>
          <w:sz w:val="22"/>
          <w:szCs w:val="22"/>
          <w:lang w:val="es-DO"/>
        </w:rPr>
        <w:t>Se recomienda que los equipos estén conformados por hasta tres funcionarios responsables de las políticas públicas y programas sobre el tema y/o encargados de asesorar sobre temas relacionados con el acceso, acompañamiento de trayectorias educativas como de prevención del abandono escolar.</w:t>
      </w:r>
    </w:p>
    <w:p w14:paraId="3B59B090" w14:textId="77777777" w:rsidR="000E3478" w:rsidRPr="002C5466" w:rsidRDefault="000E3478" w:rsidP="000E3478">
      <w:pPr>
        <w:widowControl w:val="0"/>
        <w:tabs>
          <w:tab w:val="left" w:pos="2610"/>
          <w:tab w:val="left" w:pos="8370"/>
        </w:tabs>
        <w:autoSpaceDE w:val="0"/>
        <w:autoSpaceDN w:val="0"/>
        <w:adjustRightInd w:val="0"/>
        <w:jc w:val="both"/>
        <w:rPr>
          <w:rFonts w:eastAsia="MS Mincho"/>
          <w:sz w:val="22"/>
          <w:szCs w:val="22"/>
          <w:lang w:val="es-DO"/>
        </w:rPr>
      </w:pPr>
    </w:p>
    <w:p w14:paraId="7AD74C04" w14:textId="77777777" w:rsidR="000E3478" w:rsidRPr="002C5466" w:rsidRDefault="000E3478" w:rsidP="000E3478">
      <w:pPr>
        <w:widowControl w:val="0"/>
        <w:tabs>
          <w:tab w:val="left" w:pos="2610"/>
          <w:tab w:val="left" w:pos="8370"/>
        </w:tabs>
        <w:autoSpaceDE w:val="0"/>
        <w:autoSpaceDN w:val="0"/>
        <w:adjustRightInd w:val="0"/>
        <w:jc w:val="both"/>
        <w:rPr>
          <w:rFonts w:eastAsia="MS Mincho"/>
          <w:b/>
          <w:bCs/>
          <w:sz w:val="22"/>
          <w:szCs w:val="22"/>
          <w:lang w:val="es-DO"/>
        </w:rPr>
      </w:pPr>
      <w:r w:rsidRPr="002C5466">
        <w:rPr>
          <w:rFonts w:eastAsia="MS Mincho"/>
          <w:b/>
          <w:bCs/>
          <w:sz w:val="22"/>
          <w:szCs w:val="22"/>
          <w:lang w:val="es-DO"/>
        </w:rPr>
        <w:t>Oficial de contacto</w:t>
      </w:r>
    </w:p>
    <w:p w14:paraId="46EF3E07" w14:textId="12005750" w:rsidR="00F92FCC" w:rsidRPr="00317802" w:rsidRDefault="000E3478" w:rsidP="003564B2">
      <w:pPr>
        <w:widowControl w:val="0"/>
        <w:tabs>
          <w:tab w:val="left" w:pos="2610"/>
          <w:tab w:val="left" w:pos="8370"/>
        </w:tabs>
        <w:autoSpaceDE w:val="0"/>
        <w:autoSpaceDN w:val="0"/>
        <w:adjustRightInd w:val="0"/>
        <w:jc w:val="both"/>
        <w:rPr>
          <w:rFonts w:eastAsia="Calibri"/>
          <w:b/>
          <w:bCs/>
          <w:sz w:val="22"/>
          <w:szCs w:val="22"/>
          <w:lang w:val="es-US"/>
        </w:rPr>
      </w:pPr>
      <w:r w:rsidRPr="002C5466">
        <w:rPr>
          <w:rFonts w:eastAsia="MS Mincho"/>
          <w:sz w:val="22"/>
          <w:szCs w:val="22"/>
          <w:lang w:val="es-DO"/>
        </w:rPr>
        <w:t>Se solicita a cada Ministerio que envíe la información de los funcionarios designados a</w:t>
      </w:r>
      <w:r w:rsidR="00317802">
        <w:rPr>
          <w:rFonts w:eastAsia="MS Mincho"/>
          <w:sz w:val="22"/>
          <w:szCs w:val="22"/>
          <w:lang w:val="es-DO"/>
        </w:rPr>
        <w:t xml:space="preserve"> </w:t>
      </w:r>
      <w:r w:rsidRPr="002C5466">
        <w:rPr>
          <w:rFonts w:eastAsia="MS Mincho"/>
          <w:sz w:val="22"/>
          <w:szCs w:val="22"/>
          <w:lang w:val="es-DO"/>
        </w:rPr>
        <w:t xml:space="preserve">Cecilia Martins: </w:t>
      </w:r>
      <w:hyperlink r:id="rId15" w:history="1">
        <w:r w:rsidRPr="002C5466">
          <w:rPr>
            <w:rStyle w:val="Hyperlink"/>
            <w:rFonts w:eastAsia="MS Mincho"/>
            <w:sz w:val="22"/>
            <w:szCs w:val="22"/>
            <w:lang w:val="es-DO"/>
          </w:rPr>
          <w:t>education@oas.org</w:t>
        </w:r>
      </w:hyperlink>
      <w:r w:rsidRPr="002C5466">
        <w:rPr>
          <w:rFonts w:eastAsia="MS Mincho"/>
          <w:sz w:val="22"/>
          <w:szCs w:val="22"/>
          <w:lang w:val="es-DO"/>
        </w:rPr>
        <w:t xml:space="preserve"> y </w:t>
      </w:r>
      <w:hyperlink r:id="rId16" w:history="1">
        <w:r w:rsidRPr="002C5466">
          <w:rPr>
            <w:rStyle w:val="Hyperlink"/>
            <w:rFonts w:eastAsia="MS Mincho"/>
            <w:sz w:val="22"/>
            <w:szCs w:val="22"/>
            <w:lang w:val="es-DO"/>
          </w:rPr>
          <w:t>cmartins@oas.org</w:t>
        </w:r>
      </w:hyperlink>
      <w:r w:rsidR="00C25543">
        <w:rPr>
          <w:rFonts w:eastAsia="Calibri"/>
          <w:b/>
          <w:bCs/>
          <w:noProof/>
          <w:sz w:val="22"/>
          <w:szCs w:val="22"/>
          <w:lang w:val="es-US"/>
        </w:rPr>
        <mc:AlternateContent>
          <mc:Choice Requires="wps">
            <w:drawing>
              <wp:anchor distT="0" distB="0" distL="114300" distR="114300" simplePos="0" relativeHeight="251659264" behindDoc="0" locked="1" layoutInCell="1" allowOverlap="1" wp14:anchorId="32225CC6" wp14:editId="0FD969E6">
                <wp:simplePos x="0" y="0"/>
                <wp:positionH relativeFrom="column">
                  <wp:posOffset>-91440</wp:posOffset>
                </wp:positionH>
                <wp:positionV relativeFrom="page">
                  <wp:posOffset>9144000</wp:posOffset>
                </wp:positionV>
                <wp:extent cx="3383280" cy="228600"/>
                <wp:effectExtent l="0" t="0" r="0" b="0"/>
                <wp:wrapNone/>
                <wp:docPr id="20070457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57CDF19" w14:textId="64A90E24" w:rsidR="00C25543" w:rsidRPr="00C25543" w:rsidRDefault="00C25543">
                            <w:pPr>
                              <w:rPr>
                                <w:sz w:val="18"/>
                              </w:rPr>
                            </w:pPr>
                            <w:r>
                              <w:rPr>
                                <w:sz w:val="18"/>
                              </w:rPr>
                              <w:fldChar w:fldCharType="begin"/>
                            </w:r>
                            <w:r>
                              <w:rPr>
                                <w:sz w:val="18"/>
                              </w:rPr>
                              <w:instrText xml:space="preserve"> FILENAME  \* MERGEFORMAT </w:instrText>
                            </w:r>
                            <w:r>
                              <w:rPr>
                                <w:sz w:val="18"/>
                              </w:rPr>
                              <w:fldChar w:fldCharType="separate"/>
                            </w:r>
                            <w:r>
                              <w:rPr>
                                <w:noProof/>
                                <w:sz w:val="18"/>
                              </w:rPr>
                              <w:t>CIDED00320S01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225CC6"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757CDF19" w14:textId="64A90E24" w:rsidR="00C25543" w:rsidRPr="00C25543" w:rsidRDefault="00C25543">
                      <w:pPr>
                        <w:rPr>
                          <w:sz w:val="18"/>
                        </w:rPr>
                      </w:pPr>
                      <w:r>
                        <w:rPr>
                          <w:sz w:val="18"/>
                        </w:rPr>
                        <w:fldChar w:fldCharType="begin"/>
                      </w:r>
                      <w:r>
                        <w:rPr>
                          <w:sz w:val="18"/>
                        </w:rPr>
                        <w:instrText xml:space="preserve"> FILENAME  \* MERGEFORMAT </w:instrText>
                      </w:r>
                      <w:r>
                        <w:rPr>
                          <w:sz w:val="18"/>
                        </w:rPr>
                        <w:fldChar w:fldCharType="separate"/>
                      </w:r>
                      <w:r>
                        <w:rPr>
                          <w:noProof/>
                          <w:sz w:val="18"/>
                        </w:rPr>
                        <w:t>CIDED00320S01</w:t>
                      </w:r>
                      <w:r>
                        <w:rPr>
                          <w:sz w:val="18"/>
                        </w:rPr>
                        <w:fldChar w:fldCharType="end"/>
                      </w:r>
                    </w:p>
                  </w:txbxContent>
                </v:textbox>
                <w10:wrap anchory="page"/>
                <w10:anchorlock/>
              </v:shape>
            </w:pict>
          </mc:Fallback>
        </mc:AlternateContent>
      </w:r>
    </w:p>
    <w:sectPr w:rsidR="00F92FCC" w:rsidRPr="00317802" w:rsidSect="006E776C">
      <w:headerReference w:type="first" r:id="rId17"/>
      <w:type w:val="oddPage"/>
      <w:pgSz w:w="12240" w:h="15840" w:code="1"/>
      <w:pgMar w:top="2160" w:right="1570" w:bottom="1296" w:left="1699"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1838" w14:textId="77777777" w:rsidR="006C763F" w:rsidRDefault="006C763F">
      <w:r>
        <w:separator/>
      </w:r>
    </w:p>
  </w:endnote>
  <w:endnote w:type="continuationSeparator" w:id="0">
    <w:p w14:paraId="15C8EBE5" w14:textId="77777777" w:rsidR="006C763F" w:rsidRDefault="006C763F">
      <w:r>
        <w:continuationSeparator/>
      </w:r>
    </w:p>
  </w:endnote>
  <w:endnote w:type="continuationNotice" w:id="1">
    <w:p w14:paraId="39F8B578" w14:textId="77777777" w:rsidR="006C763F" w:rsidRDefault="006C7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28E7" w14:textId="77777777" w:rsidR="006C763F" w:rsidRDefault="006C763F">
      <w:r>
        <w:separator/>
      </w:r>
    </w:p>
  </w:footnote>
  <w:footnote w:type="continuationSeparator" w:id="0">
    <w:p w14:paraId="0344AE78" w14:textId="77777777" w:rsidR="006C763F" w:rsidRDefault="006C763F">
      <w:r>
        <w:continuationSeparator/>
      </w:r>
    </w:p>
  </w:footnote>
  <w:footnote w:type="continuationNotice" w:id="1">
    <w:p w14:paraId="18868CC1" w14:textId="77777777" w:rsidR="006C763F" w:rsidRDefault="006C7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2521BCD"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separate"/>
    </w:r>
    <w:r w:rsidR="00ED2C31">
      <w:rPr>
        <w:rStyle w:val="PageNumber"/>
        <w:noProof/>
      </w:rPr>
      <w:t>1</w: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C14B" w14:textId="77777777" w:rsidR="006E776C" w:rsidRDefault="006E776C" w:rsidP="005A1046">
    <w:pPr>
      <w:pStyle w:val="Header"/>
      <w:jc w:val="center"/>
    </w:pPr>
  </w:p>
  <w:p w14:paraId="544DA020" w14:textId="34AEC405" w:rsidR="005A1046" w:rsidRPr="005A1046" w:rsidRDefault="005A1046" w:rsidP="006E776C">
    <w:pPr>
      <w:pStyle w:val="Header"/>
      <w:tabs>
        <w:tab w:val="clear" w:pos="8640"/>
        <w:tab w:val="right" w:pos="8910"/>
      </w:tabs>
      <w:jc w:val="center"/>
    </w:pPr>
    <w: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0D83CB78" w:rsidR="005A1046" w:rsidRPr="00647FFD" w:rsidRDefault="005A1046" w:rsidP="005A1046">
                          <w:pPr>
                            <w:pStyle w:val="Header"/>
                            <w:tabs>
                              <w:tab w:val="left" w:pos="900"/>
                            </w:tabs>
                            <w:spacing w:line="0" w:lineRule="atLeast"/>
                            <w:jc w:val="center"/>
                            <w:rPr>
                              <w:rFonts w:ascii="Garamond" w:hAnsi="Garamond"/>
                              <w:b/>
                              <w:sz w:val="28"/>
                              <w:szCs w:val="28"/>
                              <w:lang w:val="es-US"/>
                            </w:rPr>
                          </w:pPr>
                          <w:r w:rsidRPr="00647FFD">
                            <w:rPr>
                              <w:rFonts w:ascii="Garamond" w:hAnsi="Garamond"/>
                              <w:b/>
                              <w:sz w:val="28"/>
                              <w:lang w:val="es-US"/>
                            </w:rPr>
                            <w:t>ORGANIZA</w:t>
                          </w:r>
                          <w:r w:rsidR="00B21451" w:rsidRPr="00647FFD">
                            <w:rPr>
                              <w:rFonts w:ascii="Garamond" w:hAnsi="Garamond"/>
                              <w:b/>
                              <w:sz w:val="28"/>
                              <w:lang w:val="es-US"/>
                            </w:rPr>
                            <w:t>CIÓN DE LOS ESTADOS AMERICANOS</w:t>
                          </w:r>
                        </w:p>
                        <w:p w14:paraId="0AF61122" w14:textId="2BAE7D90" w:rsidR="005A1046" w:rsidRPr="00647FFD" w:rsidRDefault="00647FFD" w:rsidP="005A1046">
                          <w:pPr>
                            <w:pStyle w:val="Header"/>
                            <w:tabs>
                              <w:tab w:val="left" w:pos="900"/>
                            </w:tabs>
                            <w:spacing w:line="0" w:lineRule="atLeast"/>
                            <w:jc w:val="center"/>
                            <w:rPr>
                              <w:rFonts w:ascii="Garamond" w:hAnsi="Garamond"/>
                              <w:sz w:val="28"/>
                              <w:szCs w:val="28"/>
                              <w:lang w:val="es-US"/>
                            </w:rPr>
                          </w:pPr>
                          <w:r w:rsidRPr="00647FFD">
                            <w:rPr>
                              <w:rFonts w:ascii="Garamond" w:hAnsi="Garamond"/>
                              <w:sz w:val="28"/>
                              <w:lang w:val="es-US"/>
                            </w:rPr>
                            <w:t>Consejo Interamericano para el Desarrollo</w:t>
                          </w:r>
                          <w:r>
                            <w:rPr>
                              <w:rFonts w:ascii="Garamond" w:hAnsi="Garamond"/>
                              <w:sz w:val="28"/>
                              <w:lang w:val="es-US"/>
                            </w:rPr>
                            <w:t xml:space="preserve"> Integral</w:t>
                          </w:r>
                        </w:p>
                        <w:p w14:paraId="1CFC0904" w14:textId="77777777" w:rsidR="005A1046" w:rsidRPr="00647FFD" w:rsidRDefault="005A1046" w:rsidP="005A1046">
                          <w:pPr>
                            <w:pStyle w:val="Header"/>
                            <w:tabs>
                              <w:tab w:val="left" w:pos="900"/>
                            </w:tabs>
                            <w:spacing w:line="0" w:lineRule="atLeast"/>
                            <w:jc w:val="center"/>
                            <w:rPr>
                              <w:rFonts w:ascii="Garamond" w:hAnsi="Garamond"/>
                              <w:sz w:val="28"/>
                              <w:szCs w:val="28"/>
                              <w:lang w:val="es-US"/>
                            </w:rPr>
                          </w:pPr>
                          <w:r w:rsidRPr="00647FFD">
                            <w:rPr>
                              <w:rFonts w:ascii="Garamond" w:hAnsi="Garamond"/>
                              <w:sz w:val="28"/>
                              <w:lang w:val="es-US"/>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49DEB6D" id="_x0000_t202" coordsize="21600,21600" o:spt="202" path="m,l,21600r21600,l21600,xe">
              <v:stroke joinstyle="miter"/>
              <v:path gradientshapeok="t" o:connecttype="rect"/>
            </v:shapetype>
            <v:shape id="Text Box 3" o:spid="_x0000_s1026"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0D83CB78" w:rsidR="005A1046" w:rsidRPr="00647FFD" w:rsidRDefault="005A1046" w:rsidP="005A1046">
                    <w:pPr>
                      <w:pStyle w:val="Header"/>
                      <w:tabs>
                        <w:tab w:val="left" w:pos="900"/>
                      </w:tabs>
                      <w:spacing w:line="0" w:lineRule="atLeast"/>
                      <w:jc w:val="center"/>
                      <w:rPr>
                        <w:rFonts w:ascii="Garamond" w:hAnsi="Garamond"/>
                        <w:b/>
                        <w:sz w:val="28"/>
                        <w:szCs w:val="28"/>
                        <w:lang w:val="es-US"/>
                      </w:rPr>
                    </w:pPr>
                    <w:r w:rsidRPr="00647FFD">
                      <w:rPr>
                        <w:rFonts w:ascii="Garamond" w:hAnsi="Garamond"/>
                        <w:b/>
                        <w:sz w:val="28"/>
                        <w:lang w:val="es-US"/>
                      </w:rPr>
                      <w:t>ORGANIZA</w:t>
                    </w:r>
                    <w:r w:rsidR="00B21451" w:rsidRPr="00647FFD">
                      <w:rPr>
                        <w:rFonts w:ascii="Garamond" w:hAnsi="Garamond"/>
                        <w:b/>
                        <w:sz w:val="28"/>
                        <w:lang w:val="es-US"/>
                      </w:rPr>
                      <w:t>CIÓN DE LOS ESTADOS AMERICANOS</w:t>
                    </w:r>
                  </w:p>
                  <w:p w14:paraId="0AF61122" w14:textId="2BAE7D90" w:rsidR="005A1046" w:rsidRPr="00647FFD" w:rsidRDefault="00647FFD" w:rsidP="005A1046">
                    <w:pPr>
                      <w:pStyle w:val="Header"/>
                      <w:tabs>
                        <w:tab w:val="left" w:pos="900"/>
                      </w:tabs>
                      <w:spacing w:line="0" w:lineRule="atLeast"/>
                      <w:jc w:val="center"/>
                      <w:rPr>
                        <w:rFonts w:ascii="Garamond" w:hAnsi="Garamond"/>
                        <w:sz w:val="28"/>
                        <w:szCs w:val="28"/>
                        <w:lang w:val="es-US"/>
                      </w:rPr>
                    </w:pPr>
                    <w:r w:rsidRPr="00647FFD">
                      <w:rPr>
                        <w:rFonts w:ascii="Garamond" w:hAnsi="Garamond"/>
                        <w:sz w:val="28"/>
                        <w:lang w:val="es-US"/>
                      </w:rPr>
                      <w:t>Consejo Interamericano para el Desarrollo</w:t>
                    </w:r>
                    <w:r>
                      <w:rPr>
                        <w:rFonts w:ascii="Garamond" w:hAnsi="Garamond"/>
                        <w:sz w:val="28"/>
                        <w:lang w:val="es-US"/>
                      </w:rPr>
                      <w:t xml:space="preserve"> Integral</w:t>
                    </w:r>
                  </w:p>
                  <w:p w14:paraId="1CFC0904" w14:textId="77777777" w:rsidR="005A1046" w:rsidRPr="00647FFD" w:rsidRDefault="005A1046" w:rsidP="005A1046">
                    <w:pPr>
                      <w:pStyle w:val="Header"/>
                      <w:tabs>
                        <w:tab w:val="left" w:pos="900"/>
                      </w:tabs>
                      <w:spacing w:line="0" w:lineRule="atLeast"/>
                      <w:jc w:val="center"/>
                      <w:rPr>
                        <w:rFonts w:ascii="Garamond" w:hAnsi="Garamond"/>
                        <w:sz w:val="28"/>
                        <w:szCs w:val="28"/>
                        <w:lang w:val="es-US"/>
                      </w:rPr>
                    </w:pPr>
                    <w:r w:rsidRPr="00647FFD">
                      <w:rPr>
                        <w:rFonts w:ascii="Garamond" w:hAnsi="Garamond"/>
                        <w:sz w:val="28"/>
                        <w:lang w:val="es-US"/>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Pr>
                              <w:rFonts w:ascii="News Gothic MT" w:hAnsi="News Gothic MT"/>
                              <w:noProof/>
                              <w:color w:val="000000"/>
                            </w:rPr>
                            <w:drawing>
                              <wp:inline distT="0" distB="0" distL="0" distR="0" wp14:anchorId="6400A9FF" wp14:editId="3F9FD13D">
                                <wp:extent cx="1105535" cy="771525"/>
                                <wp:effectExtent l="0" t="0" r="0" b="0"/>
                                <wp:docPr id="4" name="Picture 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5D6394" id="Text Box 2" o:spid="_x0000_s1027" type="#_x0000_t202" style="position:absolute;margin-left:400pt;margin-top:-2.8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Pr>
                        <w:rFonts w:ascii="News Gothic MT" w:hAnsi="News Gothic MT"/>
                        <w:noProof/>
                        <w:color w:val="000000"/>
                      </w:rPr>
                      <w:drawing>
                        <wp:inline distT="0" distB="0" distL="0" distR="0" wp14:anchorId="6400A9FF" wp14:editId="3F9FD13D">
                          <wp:extent cx="1105535" cy="771525"/>
                          <wp:effectExtent l="0" t="0" r="0" b="0"/>
                          <wp:docPr id="4" name="Picture 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2"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1"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C5A7" w14:textId="77777777" w:rsidR="00AA7434" w:rsidRPr="00AA7434" w:rsidRDefault="00AA7434" w:rsidP="00AA743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0C7654"/>
    <w:multiLevelType w:val="hybridMultilevel"/>
    <w:tmpl w:val="47001A3E"/>
    <w:lvl w:ilvl="0" w:tplc="FFFFFFFF">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F36DC"/>
    <w:multiLevelType w:val="hybridMultilevel"/>
    <w:tmpl w:val="B16884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AE16ECA"/>
    <w:multiLevelType w:val="hybridMultilevel"/>
    <w:tmpl w:val="DF706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21BCD"/>
    <w:multiLevelType w:val="hybridMultilevel"/>
    <w:tmpl w:val="A90CAE7E"/>
    <w:lvl w:ilvl="0" w:tplc="04090017">
      <w:start w:val="1"/>
      <w:numFmt w:val="lowerLetter"/>
      <w:lvlText w:val="%1)"/>
      <w:lvlJc w:val="left"/>
      <w:pPr>
        <w:ind w:left="720" w:hanging="360"/>
      </w:pPr>
      <w:rPr>
        <w:rFonts w:hint="default"/>
      </w:rPr>
    </w:lvl>
    <w:lvl w:ilvl="1" w:tplc="C1EE5D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8"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6"/>
  </w:num>
  <w:num w:numId="3" w16cid:durableId="313222694">
    <w:abstractNumId w:val="0"/>
  </w:num>
  <w:num w:numId="4" w16cid:durableId="1224829501">
    <w:abstractNumId w:val="11"/>
  </w:num>
  <w:num w:numId="5" w16cid:durableId="979951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10"/>
  </w:num>
  <w:num w:numId="7" w16cid:durableId="849369625">
    <w:abstractNumId w:val="9"/>
  </w:num>
  <w:num w:numId="8" w16cid:durableId="1465192515">
    <w:abstractNumId w:val="8"/>
  </w:num>
  <w:num w:numId="9" w16cid:durableId="716199066">
    <w:abstractNumId w:val="7"/>
  </w:num>
  <w:num w:numId="10" w16cid:durableId="1399205">
    <w:abstractNumId w:val="2"/>
  </w:num>
  <w:num w:numId="11" w16cid:durableId="1209874980">
    <w:abstractNumId w:val="3"/>
  </w:num>
  <w:num w:numId="12" w16cid:durableId="716977480">
    <w:abstractNumId w:val="5"/>
  </w:num>
  <w:num w:numId="13" w16cid:durableId="193963216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FFC464-2559-4FE4-A6C4-43F435D2A31C}"/>
    <w:docVar w:name="dgnword-eventsink" w:val="2189868813072"/>
  </w:docVars>
  <w:rsids>
    <w:rsidRoot w:val="007F2774"/>
    <w:rsid w:val="00001035"/>
    <w:rsid w:val="00004C52"/>
    <w:rsid w:val="00012B1D"/>
    <w:rsid w:val="000167CB"/>
    <w:rsid w:val="00017CBF"/>
    <w:rsid w:val="00021044"/>
    <w:rsid w:val="00021789"/>
    <w:rsid w:val="00025985"/>
    <w:rsid w:val="000274E0"/>
    <w:rsid w:val="00030603"/>
    <w:rsid w:val="000312AC"/>
    <w:rsid w:val="00032463"/>
    <w:rsid w:val="0003461C"/>
    <w:rsid w:val="00036DB6"/>
    <w:rsid w:val="000375A9"/>
    <w:rsid w:val="00043C97"/>
    <w:rsid w:val="0004463E"/>
    <w:rsid w:val="00045896"/>
    <w:rsid w:val="00045DFF"/>
    <w:rsid w:val="00046E08"/>
    <w:rsid w:val="00050309"/>
    <w:rsid w:val="00051559"/>
    <w:rsid w:val="00053CC6"/>
    <w:rsid w:val="00054134"/>
    <w:rsid w:val="0005588A"/>
    <w:rsid w:val="00060F1F"/>
    <w:rsid w:val="00061942"/>
    <w:rsid w:val="00066EF4"/>
    <w:rsid w:val="000677A6"/>
    <w:rsid w:val="0006783C"/>
    <w:rsid w:val="00070CC1"/>
    <w:rsid w:val="00071A7E"/>
    <w:rsid w:val="000728AA"/>
    <w:rsid w:val="00074AE1"/>
    <w:rsid w:val="00075D5D"/>
    <w:rsid w:val="000763A8"/>
    <w:rsid w:val="00077427"/>
    <w:rsid w:val="00077820"/>
    <w:rsid w:val="000809CE"/>
    <w:rsid w:val="00081459"/>
    <w:rsid w:val="0008182E"/>
    <w:rsid w:val="00081985"/>
    <w:rsid w:val="000829AA"/>
    <w:rsid w:val="0008433E"/>
    <w:rsid w:val="000848C2"/>
    <w:rsid w:val="00085364"/>
    <w:rsid w:val="00085EFA"/>
    <w:rsid w:val="0008751A"/>
    <w:rsid w:val="00091848"/>
    <w:rsid w:val="0009486D"/>
    <w:rsid w:val="0009528C"/>
    <w:rsid w:val="000A0311"/>
    <w:rsid w:val="000A1044"/>
    <w:rsid w:val="000A25D0"/>
    <w:rsid w:val="000A2E89"/>
    <w:rsid w:val="000A3F61"/>
    <w:rsid w:val="000A458D"/>
    <w:rsid w:val="000A7094"/>
    <w:rsid w:val="000A76B9"/>
    <w:rsid w:val="000B3378"/>
    <w:rsid w:val="000B3562"/>
    <w:rsid w:val="000B7CAD"/>
    <w:rsid w:val="000B7DB2"/>
    <w:rsid w:val="000C17CF"/>
    <w:rsid w:val="000C3787"/>
    <w:rsid w:val="000C3C64"/>
    <w:rsid w:val="000C41E3"/>
    <w:rsid w:val="000C4BB6"/>
    <w:rsid w:val="000C4F67"/>
    <w:rsid w:val="000C7854"/>
    <w:rsid w:val="000D2A6C"/>
    <w:rsid w:val="000D4657"/>
    <w:rsid w:val="000D5FBE"/>
    <w:rsid w:val="000D6FDD"/>
    <w:rsid w:val="000E3478"/>
    <w:rsid w:val="000E493E"/>
    <w:rsid w:val="000E4D54"/>
    <w:rsid w:val="000E6DB8"/>
    <w:rsid w:val="000E6E90"/>
    <w:rsid w:val="000F2E0B"/>
    <w:rsid w:val="00100E27"/>
    <w:rsid w:val="00103845"/>
    <w:rsid w:val="00104E30"/>
    <w:rsid w:val="00106475"/>
    <w:rsid w:val="001117C5"/>
    <w:rsid w:val="00112AD1"/>
    <w:rsid w:val="00122AB6"/>
    <w:rsid w:val="00126625"/>
    <w:rsid w:val="00131225"/>
    <w:rsid w:val="00131611"/>
    <w:rsid w:val="00132665"/>
    <w:rsid w:val="001369DE"/>
    <w:rsid w:val="001373E0"/>
    <w:rsid w:val="00142F02"/>
    <w:rsid w:val="00143839"/>
    <w:rsid w:val="00150CC0"/>
    <w:rsid w:val="00151700"/>
    <w:rsid w:val="00152D2A"/>
    <w:rsid w:val="00157A84"/>
    <w:rsid w:val="001602D1"/>
    <w:rsid w:val="00160379"/>
    <w:rsid w:val="00162B6E"/>
    <w:rsid w:val="00163A32"/>
    <w:rsid w:val="00164BC8"/>
    <w:rsid w:val="001657F2"/>
    <w:rsid w:val="00171221"/>
    <w:rsid w:val="00171545"/>
    <w:rsid w:val="0017174E"/>
    <w:rsid w:val="0017652F"/>
    <w:rsid w:val="00177787"/>
    <w:rsid w:val="00180F45"/>
    <w:rsid w:val="00181A34"/>
    <w:rsid w:val="001828D7"/>
    <w:rsid w:val="00184FD9"/>
    <w:rsid w:val="00185845"/>
    <w:rsid w:val="0018588B"/>
    <w:rsid w:val="00190211"/>
    <w:rsid w:val="0019145F"/>
    <w:rsid w:val="00192535"/>
    <w:rsid w:val="00192C3C"/>
    <w:rsid w:val="00193D26"/>
    <w:rsid w:val="00194712"/>
    <w:rsid w:val="001950D8"/>
    <w:rsid w:val="001A1B19"/>
    <w:rsid w:val="001A2EBF"/>
    <w:rsid w:val="001A36AC"/>
    <w:rsid w:val="001A63E3"/>
    <w:rsid w:val="001B2B35"/>
    <w:rsid w:val="001B2C37"/>
    <w:rsid w:val="001B326C"/>
    <w:rsid w:val="001C06AA"/>
    <w:rsid w:val="001C1A5C"/>
    <w:rsid w:val="001C2391"/>
    <w:rsid w:val="001C2A94"/>
    <w:rsid w:val="001C32FB"/>
    <w:rsid w:val="001C7B32"/>
    <w:rsid w:val="001D0220"/>
    <w:rsid w:val="001D0993"/>
    <w:rsid w:val="001D16EA"/>
    <w:rsid w:val="001D1D02"/>
    <w:rsid w:val="001D1F13"/>
    <w:rsid w:val="001D31B7"/>
    <w:rsid w:val="001D51A4"/>
    <w:rsid w:val="001D5FE9"/>
    <w:rsid w:val="001D6139"/>
    <w:rsid w:val="001D6EDD"/>
    <w:rsid w:val="001E40E7"/>
    <w:rsid w:val="001F1359"/>
    <w:rsid w:val="001F2F0F"/>
    <w:rsid w:val="001F441A"/>
    <w:rsid w:val="001F6478"/>
    <w:rsid w:val="001F7E7F"/>
    <w:rsid w:val="00202B4B"/>
    <w:rsid w:val="00203B71"/>
    <w:rsid w:val="00203BC1"/>
    <w:rsid w:val="002044F4"/>
    <w:rsid w:val="0020588E"/>
    <w:rsid w:val="0021019B"/>
    <w:rsid w:val="00210F3C"/>
    <w:rsid w:val="00214E3D"/>
    <w:rsid w:val="002150B3"/>
    <w:rsid w:val="00215F64"/>
    <w:rsid w:val="0021615C"/>
    <w:rsid w:val="0021637D"/>
    <w:rsid w:val="0021649B"/>
    <w:rsid w:val="0021760C"/>
    <w:rsid w:val="00220440"/>
    <w:rsid w:val="002215FA"/>
    <w:rsid w:val="002223FA"/>
    <w:rsid w:val="00223D25"/>
    <w:rsid w:val="002244A7"/>
    <w:rsid w:val="00224AC7"/>
    <w:rsid w:val="002272B3"/>
    <w:rsid w:val="0023084B"/>
    <w:rsid w:val="00230EA7"/>
    <w:rsid w:val="0023137B"/>
    <w:rsid w:val="00231FAB"/>
    <w:rsid w:val="00232952"/>
    <w:rsid w:val="00232BF0"/>
    <w:rsid w:val="00233BB6"/>
    <w:rsid w:val="00236034"/>
    <w:rsid w:val="00236B16"/>
    <w:rsid w:val="002374CB"/>
    <w:rsid w:val="00246EAD"/>
    <w:rsid w:val="0024784D"/>
    <w:rsid w:val="00247E92"/>
    <w:rsid w:val="00252A8A"/>
    <w:rsid w:val="00254D7F"/>
    <w:rsid w:val="0025559D"/>
    <w:rsid w:val="00256627"/>
    <w:rsid w:val="002570EA"/>
    <w:rsid w:val="0025725B"/>
    <w:rsid w:val="00263F9A"/>
    <w:rsid w:val="00264DBA"/>
    <w:rsid w:val="00265E60"/>
    <w:rsid w:val="00267653"/>
    <w:rsid w:val="0026766E"/>
    <w:rsid w:val="002679E3"/>
    <w:rsid w:val="00270B10"/>
    <w:rsid w:val="00271160"/>
    <w:rsid w:val="00273308"/>
    <w:rsid w:val="0027425E"/>
    <w:rsid w:val="002764E5"/>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09DA"/>
    <w:rsid w:val="002C190E"/>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3644"/>
    <w:rsid w:val="00314282"/>
    <w:rsid w:val="003167C5"/>
    <w:rsid w:val="00317802"/>
    <w:rsid w:val="00333B68"/>
    <w:rsid w:val="00337463"/>
    <w:rsid w:val="0034060E"/>
    <w:rsid w:val="00342BBF"/>
    <w:rsid w:val="003456A4"/>
    <w:rsid w:val="00346558"/>
    <w:rsid w:val="0034729D"/>
    <w:rsid w:val="00347DDE"/>
    <w:rsid w:val="00350D52"/>
    <w:rsid w:val="0035316E"/>
    <w:rsid w:val="00355CE6"/>
    <w:rsid w:val="003564B2"/>
    <w:rsid w:val="003573B6"/>
    <w:rsid w:val="0035C409"/>
    <w:rsid w:val="00364A17"/>
    <w:rsid w:val="00364C68"/>
    <w:rsid w:val="00370594"/>
    <w:rsid w:val="00370818"/>
    <w:rsid w:val="0037120D"/>
    <w:rsid w:val="00372F24"/>
    <w:rsid w:val="00373395"/>
    <w:rsid w:val="00374AF8"/>
    <w:rsid w:val="003818FF"/>
    <w:rsid w:val="00385ADC"/>
    <w:rsid w:val="0038620F"/>
    <w:rsid w:val="0038632B"/>
    <w:rsid w:val="003868ED"/>
    <w:rsid w:val="00390D60"/>
    <w:rsid w:val="00392E4A"/>
    <w:rsid w:val="00397905"/>
    <w:rsid w:val="003A062C"/>
    <w:rsid w:val="003A0748"/>
    <w:rsid w:val="003A2174"/>
    <w:rsid w:val="003A37A8"/>
    <w:rsid w:val="003A3C00"/>
    <w:rsid w:val="003A730F"/>
    <w:rsid w:val="003B13DB"/>
    <w:rsid w:val="003B1F5F"/>
    <w:rsid w:val="003B2849"/>
    <w:rsid w:val="003B3CBF"/>
    <w:rsid w:val="003B60C5"/>
    <w:rsid w:val="003C1B35"/>
    <w:rsid w:val="003C33CE"/>
    <w:rsid w:val="003C3A8D"/>
    <w:rsid w:val="003C55BF"/>
    <w:rsid w:val="003C6CCB"/>
    <w:rsid w:val="003D0723"/>
    <w:rsid w:val="003D0834"/>
    <w:rsid w:val="003E6635"/>
    <w:rsid w:val="003F452D"/>
    <w:rsid w:val="00400B8F"/>
    <w:rsid w:val="00401E10"/>
    <w:rsid w:val="00402A08"/>
    <w:rsid w:val="00404772"/>
    <w:rsid w:val="00404E49"/>
    <w:rsid w:val="00414B75"/>
    <w:rsid w:val="00423B74"/>
    <w:rsid w:val="004245AE"/>
    <w:rsid w:val="00424B5A"/>
    <w:rsid w:val="00425B17"/>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82BBE"/>
    <w:rsid w:val="00482F39"/>
    <w:rsid w:val="0048384F"/>
    <w:rsid w:val="004838AD"/>
    <w:rsid w:val="004841CA"/>
    <w:rsid w:val="00485C21"/>
    <w:rsid w:val="00490648"/>
    <w:rsid w:val="00490FA8"/>
    <w:rsid w:val="00491396"/>
    <w:rsid w:val="0049287D"/>
    <w:rsid w:val="00492E2E"/>
    <w:rsid w:val="004939AC"/>
    <w:rsid w:val="004A0D00"/>
    <w:rsid w:val="004A11F7"/>
    <w:rsid w:val="004A6CB5"/>
    <w:rsid w:val="004A7F34"/>
    <w:rsid w:val="004B1A2C"/>
    <w:rsid w:val="004B5025"/>
    <w:rsid w:val="004C0E8A"/>
    <w:rsid w:val="004C3136"/>
    <w:rsid w:val="004C700A"/>
    <w:rsid w:val="004C7235"/>
    <w:rsid w:val="004D3B86"/>
    <w:rsid w:val="004D5444"/>
    <w:rsid w:val="004D6858"/>
    <w:rsid w:val="004E0E58"/>
    <w:rsid w:val="004E0EA7"/>
    <w:rsid w:val="004E45B1"/>
    <w:rsid w:val="004F10DE"/>
    <w:rsid w:val="004F1602"/>
    <w:rsid w:val="004F25EF"/>
    <w:rsid w:val="004F43E1"/>
    <w:rsid w:val="004F6544"/>
    <w:rsid w:val="005030A7"/>
    <w:rsid w:val="00514F5D"/>
    <w:rsid w:val="00515C6F"/>
    <w:rsid w:val="005228AB"/>
    <w:rsid w:val="005232F9"/>
    <w:rsid w:val="00524807"/>
    <w:rsid w:val="00526554"/>
    <w:rsid w:val="0052682E"/>
    <w:rsid w:val="005322C5"/>
    <w:rsid w:val="00533A0C"/>
    <w:rsid w:val="0053672F"/>
    <w:rsid w:val="00542EFA"/>
    <w:rsid w:val="00544185"/>
    <w:rsid w:val="00545C97"/>
    <w:rsid w:val="00554D1A"/>
    <w:rsid w:val="00566D61"/>
    <w:rsid w:val="005811E5"/>
    <w:rsid w:val="00591C0B"/>
    <w:rsid w:val="005952DF"/>
    <w:rsid w:val="00596EB7"/>
    <w:rsid w:val="005A089F"/>
    <w:rsid w:val="005A1046"/>
    <w:rsid w:val="005A1E1A"/>
    <w:rsid w:val="005A5A9F"/>
    <w:rsid w:val="005A7631"/>
    <w:rsid w:val="005B11F3"/>
    <w:rsid w:val="005B1F49"/>
    <w:rsid w:val="005B526D"/>
    <w:rsid w:val="005B6465"/>
    <w:rsid w:val="005B7F70"/>
    <w:rsid w:val="005C100F"/>
    <w:rsid w:val="005C167F"/>
    <w:rsid w:val="005C504E"/>
    <w:rsid w:val="005C63F5"/>
    <w:rsid w:val="005C761C"/>
    <w:rsid w:val="005D0256"/>
    <w:rsid w:val="005D1B79"/>
    <w:rsid w:val="005D1F9F"/>
    <w:rsid w:val="005D244D"/>
    <w:rsid w:val="005D3434"/>
    <w:rsid w:val="005D4631"/>
    <w:rsid w:val="005D4A08"/>
    <w:rsid w:val="005D6FEF"/>
    <w:rsid w:val="005E17CD"/>
    <w:rsid w:val="005E5C78"/>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3CEF"/>
    <w:rsid w:val="00634653"/>
    <w:rsid w:val="006444E5"/>
    <w:rsid w:val="00647FFD"/>
    <w:rsid w:val="00650F0A"/>
    <w:rsid w:val="0065254E"/>
    <w:rsid w:val="006528AB"/>
    <w:rsid w:val="00653821"/>
    <w:rsid w:val="00657754"/>
    <w:rsid w:val="00657B97"/>
    <w:rsid w:val="00657D81"/>
    <w:rsid w:val="006629E0"/>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23AD"/>
    <w:rsid w:val="006A45FC"/>
    <w:rsid w:val="006A5F42"/>
    <w:rsid w:val="006A6CE1"/>
    <w:rsid w:val="006B0BB8"/>
    <w:rsid w:val="006C5A7E"/>
    <w:rsid w:val="006C6676"/>
    <w:rsid w:val="006C6724"/>
    <w:rsid w:val="006C7070"/>
    <w:rsid w:val="006C763F"/>
    <w:rsid w:val="006D4F95"/>
    <w:rsid w:val="006E0C7B"/>
    <w:rsid w:val="006E177E"/>
    <w:rsid w:val="006E3DCF"/>
    <w:rsid w:val="006E776C"/>
    <w:rsid w:val="006E7A3D"/>
    <w:rsid w:val="006F1098"/>
    <w:rsid w:val="006F12F2"/>
    <w:rsid w:val="006F473B"/>
    <w:rsid w:val="006F6387"/>
    <w:rsid w:val="006F64B5"/>
    <w:rsid w:val="006F7C9D"/>
    <w:rsid w:val="00700CAB"/>
    <w:rsid w:val="00703A9F"/>
    <w:rsid w:val="00704241"/>
    <w:rsid w:val="00705956"/>
    <w:rsid w:val="00705F9E"/>
    <w:rsid w:val="007100E8"/>
    <w:rsid w:val="00717A7A"/>
    <w:rsid w:val="00722A08"/>
    <w:rsid w:val="00722A28"/>
    <w:rsid w:val="00723DBC"/>
    <w:rsid w:val="00724786"/>
    <w:rsid w:val="00724A7E"/>
    <w:rsid w:val="0072574C"/>
    <w:rsid w:val="0072779B"/>
    <w:rsid w:val="0073025D"/>
    <w:rsid w:val="007319FE"/>
    <w:rsid w:val="00735A80"/>
    <w:rsid w:val="00735B59"/>
    <w:rsid w:val="00736C49"/>
    <w:rsid w:val="0073799B"/>
    <w:rsid w:val="00740679"/>
    <w:rsid w:val="00740F69"/>
    <w:rsid w:val="00741C11"/>
    <w:rsid w:val="00743652"/>
    <w:rsid w:val="007437F5"/>
    <w:rsid w:val="00744228"/>
    <w:rsid w:val="007532CE"/>
    <w:rsid w:val="007563E2"/>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1E09"/>
    <w:rsid w:val="007C3758"/>
    <w:rsid w:val="007C487B"/>
    <w:rsid w:val="007C722D"/>
    <w:rsid w:val="007D30C5"/>
    <w:rsid w:val="007D70D3"/>
    <w:rsid w:val="007D7EBC"/>
    <w:rsid w:val="007E14EE"/>
    <w:rsid w:val="007E33EB"/>
    <w:rsid w:val="007E3626"/>
    <w:rsid w:val="007E3A41"/>
    <w:rsid w:val="007E66F0"/>
    <w:rsid w:val="007F027A"/>
    <w:rsid w:val="007F0555"/>
    <w:rsid w:val="007F2232"/>
    <w:rsid w:val="007F2774"/>
    <w:rsid w:val="007F2964"/>
    <w:rsid w:val="007F6992"/>
    <w:rsid w:val="00801BBE"/>
    <w:rsid w:val="00806875"/>
    <w:rsid w:val="00807636"/>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6DD4"/>
    <w:rsid w:val="008471BD"/>
    <w:rsid w:val="0085046B"/>
    <w:rsid w:val="008535F8"/>
    <w:rsid w:val="0085480A"/>
    <w:rsid w:val="0085501E"/>
    <w:rsid w:val="00855B35"/>
    <w:rsid w:val="00855CF0"/>
    <w:rsid w:val="00860701"/>
    <w:rsid w:val="00864A78"/>
    <w:rsid w:val="00871717"/>
    <w:rsid w:val="00874472"/>
    <w:rsid w:val="00874E94"/>
    <w:rsid w:val="0087673A"/>
    <w:rsid w:val="00877904"/>
    <w:rsid w:val="008844A0"/>
    <w:rsid w:val="0088452B"/>
    <w:rsid w:val="00885891"/>
    <w:rsid w:val="00886499"/>
    <w:rsid w:val="00886F6A"/>
    <w:rsid w:val="0088766D"/>
    <w:rsid w:val="00887D91"/>
    <w:rsid w:val="008902E8"/>
    <w:rsid w:val="00891377"/>
    <w:rsid w:val="0089272D"/>
    <w:rsid w:val="008A0A73"/>
    <w:rsid w:val="008A1F33"/>
    <w:rsid w:val="008A4976"/>
    <w:rsid w:val="008A59AE"/>
    <w:rsid w:val="008A5C5E"/>
    <w:rsid w:val="008A7477"/>
    <w:rsid w:val="008B0CB4"/>
    <w:rsid w:val="008B2593"/>
    <w:rsid w:val="008B4471"/>
    <w:rsid w:val="008C0366"/>
    <w:rsid w:val="008C4E42"/>
    <w:rsid w:val="008C5713"/>
    <w:rsid w:val="008C6A1A"/>
    <w:rsid w:val="008C72AD"/>
    <w:rsid w:val="008D000F"/>
    <w:rsid w:val="008D226E"/>
    <w:rsid w:val="008D5951"/>
    <w:rsid w:val="008D70E7"/>
    <w:rsid w:val="008F1669"/>
    <w:rsid w:val="008F4927"/>
    <w:rsid w:val="0090111F"/>
    <w:rsid w:val="00903461"/>
    <w:rsid w:val="0090399F"/>
    <w:rsid w:val="009046D2"/>
    <w:rsid w:val="00905B3E"/>
    <w:rsid w:val="0090696E"/>
    <w:rsid w:val="009077C1"/>
    <w:rsid w:val="00907C39"/>
    <w:rsid w:val="00915F8B"/>
    <w:rsid w:val="009217A7"/>
    <w:rsid w:val="009231E4"/>
    <w:rsid w:val="00923359"/>
    <w:rsid w:val="00923F4F"/>
    <w:rsid w:val="00924F41"/>
    <w:rsid w:val="009258EA"/>
    <w:rsid w:val="00925C66"/>
    <w:rsid w:val="00925CDF"/>
    <w:rsid w:val="00927491"/>
    <w:rsid w:val="00927732"/>
    <w:rsid w:val="00930589"/>
    <w:rsid w:val="00934604"/>
    <w:rsid w:val="00936668"/>
    <w:rsid w:val="009411D9"/>
    <w:rsid w:val="00941951"/>
    <w:rsid w:val="009522A3"/>
    <w:rsid w:val="00954933"/>
    <w:rsid w:val="00962438"/>
    <w:rsid w:val="009644C2"/>
    <w:rsid w:val="00964A6E"/>
    <w:rsid w:val="00964C0D"/>
    <w:rsid w:val="00966296"/>
    <w:rsid w:val="00970BF9"/>
    <w:rsid w:val="00971A48"/>
    <w:rsid w:val="009761A3"/>
    <w:rsid w:val="00976CA1"/>
    <w:rsid w:val="009836BB"/>
    <w:rsid w:val="009855A4"/>
    <w:rsid w:val="00986A86"/>
    <w:rsid w:val="009900F5"/>
    <w:rsid w:val="00992043"/>
    <w:rsid w:val="0099570A"/>
    <w:rsid w:val="009A1BD4"/>
    <w:rsid w:val="009A2564"/>
    <w:rsid w:val="009A42DD"/>
    <w:rsid w:val="009A51DF"/>
    <w:rsid w:val="009A7AF0"/>
    <w:rsid w:val="009B0DC5"/>
    <w:rsid w:val="009B25B5"/>
    <w:rsid w:val="009B29A7"/>
    <w:rsid w:val="009B3593"/>
    <w:rsid w:val="009C0BA3"/>
    <w:rsid w:val="009C413E"/>
    <w:rsid w:val="009C4E0B"/>
    <w:rsid w:val="009D0832"/>
    <w:rsid w:val="009D12C8"/>
    <w:rsid w:val="009D16DF"/>
    <w:rsid w:val="009D2FA7"/>
    <w:rsid w:val="009D3A97"/>
    <w:rsid w:val="009D7E18"/>
    <w:rsid w:val="009E3409"/>
    <w:rsid w:val="009E37A5"/>
    <w:rsid w:val="009E3D3C"/>
    <w:rsid w:val="009E5B27"/>
    <w:rsid w:val="009F028C"/>
    <w:rsid w:val="009F4248"/>
    <w:rsid w:val="009F4AA0"/>
    <w:rsid w:val="009F7FBA"/>
    <w:rsid w:val="00A027C9"/>
    <w:rsid w:val="00A031D0"/>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359D"/>
    <w:rsid w:val="00A9444B"/>
    <w:rsid w:val="00A94A80"/>
    <w:rsid w:val="00A97703"/>
    <w:rsid w:val="00AA3AB9"/>
    <w:rsid w:val="00AA7434"/>
    <w:rsid w:val="00AB0584"/>
    <w:rsid w:val="00AB105C"/>
    <w:rsid w:val="00AB1961"/>
    <w:rsid w:val="00AB2733"/>
    <w:rsid w:val="00AB29C6"/>
    <w:rsid w:val="00AB2BF0"/>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1451"/>
    <w:rsid w:val="00B22CBB"/>
    <w:rsid w:val="00B23125"/>
    <w:rsid w:val="00B250CB"/>
    <w:rsid w:val="00B306E8"/>
    <w:rsid w:val="00B32F37"/>
    <w:rsid w:val="00B355E1"/>
    <w:rsid w:val="00B359E6"/>
    <w:rsid w:val="00B41C46"/>
    <w:rsid w:val="00B428E5"/>
    <w:rsid w:val="00B44997"/>
    <w:rsid w:val="00B526E3"/>
    <w:rsid w:val="00B53808"/>
    <w:rsid w:val="00B54CE9"/>
    <w:rsid w:val="00B55584"/>
    <w:rsid w:val="00B55FC5"/>
    <w:rsid w:val="00B60DA5"/>
    <w:rsid w:val="00B6212E"/>
    <w:rsid w:val="00B624F0"/>
    <w:rsid w:val="00B627B6"/>
    <w:rsid w:val="00B672CE"/>
    <w:rsid w:val="00B67CA5"/>
    <w:rsid w:val="00B71D1A"/>
    <w:rsid w:val="00B727D6"/>
    <w:rsid w:val="00B7402B"/>
    <w:rsid w:val="00B824D3"/>
    <w:rsid w:val="00B93188"/>
    <w:rsid w:val="00B93F2D"/>
    <w:rsid w:val="00B94018"/>
    <w:rsid w:val="00B94BCA"/>
    <w:rsid w:val="00B96307"/>
    <w:rsid w:val="00BA16A5"/>
    <w:rsid w:val="00BA1783"/>
    <w:rsid w:val="00BA1F21"/>
    <w:rsid w:val="00BA4579"/>
    <w:rsid w:val="00BA7B0F"/>
    <w:rsid w:val="00BB2ACF"/>
    <w:rsid w:val="00BB34E6"/>
    <w:rsid w:val="00BB52FB"/>
    <w:rsid w:val="00BB751D"/>
    <w:rsid w:val="00BC5E78"/>
    <w:rsid w:val="00BD4068"/>
    <w:rsid w:val="00BD7DDA"/>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0973"/>
    <w:rsid w:val="00C226CF"/>
    <w:rsid w:val="00C246C6"/>
    <w:rsid w:val="00C25543"/>
    <w:rsid w:val="00C26F37"/>
    <w:rsid w:val="00C33824"/>
    <w:rsid w:val="00C35712"/>
    <w:rsid w:val="00C41BF5"/>
    <w:rsid w:val="00C44410"/>
    <w:rsid w:val="00C4442A"/>
    <w:rsid w:val="00C4670D"/>
    <w:rsid w:val="00C46A08"/>
    <w:rsid w:val="00C52C49"/>
    <w:rsid w:val="00C539FD"/>
    <w:rsid w:val="00C54A64"/>
    <w:rsid w:val="00C55B82"/>
    <w:rsid w:val="00C570FF"/>
    <w:rsid w:val="00C57E90"/>
    <w:rsid w:val="00C624AD"/>
    <w:rsid w:val="00C63EA8"/>
    <w:rsid w:val="00C66445"/>
    <w:rsid w:val="00C66B12"/>
    <w:rsid w:val="00C70A11"/>
    <w:rsid w:val="00C719E2"/>
    <w:rsid w:val="00C71C2A"/>
    <w:rsid w:val="00C73488"/>
    <w:rsid w:val="00C75026"/>
    <w:rsid w:val="00C77276"/>
    <w:rsid w:val="00C77722"/>
    <w:rsid w:val="00C8080E"/>
    <w:rsid w:val="00C823BC"/>
    <w:rsid w:val="00C87AEF"/>
    <w:rsid w:val="00C92134"/>
    <w:rsid w:val="00C95220"/>
    <w:rsid w:val="00CA1D3E"/>
    <w:rsid w:val="00CA1DF8"/>
    <w:rsid w:val="00CA319B"/>
    <w:rsid w:val="00CA3725"/>
    <w:rsid w:val="00CA4787"/>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4AB6"/>
    <w:rsid w:val="00CD72D7"/>
    <w:rsid w:val="00CE47B3"/>
    <w:rsid w:val="00CE5033"/>
    <w:rsid w:val="00CE7602"/>
    <w:rsid w:val="00CE7CA6"/>
    <w:rsid w:val="00CF0950"/>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255"/>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1753"/>
    <w:rsid w:val="00DB535B"/>
    <w:rsid w:val="00DB6CD7"/>
    <w:rsid w:val="00DC4DF4"/>
    <w:rsid w:val="00DC670C"/>
    <w:rsid w:val="00DC74C8"/>
    <w:rsid w:val="00DD24D8"/>
    <w:rsid w:val="00DD44C4"/>
    <w:rsid w:val="00DD5ACE"/>
    <w:rsid w:val="00DD5E65"/>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2C77"/>
    <w:rsid w:val="00E15D9C"/>
    <w:rsid w:val="00E21C64"/>
    <w:rsid w:val="00E24CFD"/>
    <w:rsid w:val="00E25454"/>
    <w:rsid w:val="00E25DFB"/>
    <w:rsid w:val="00E2617F"/>
    <w:rsid w:val="00E268BC"/>
    <w:rsid w:val="00E27B43"/>
    <w:rsid w:val="00E30682"/>
    <w:rsid w:val="00E3078B"/>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3805"/>
    <w:rsid w:val="00E54302"/>
    <w:rsid w:val="00E56DEE"/>
    <w:rsid w:val="00E57272"/>
    <w:rsid w:val="00E62E14"/>
    <w:rsid w:val="00E64B2C"/>
    <w:rsid w:val="00E67DC2"/>
    <w:rsid w:val="00E72007"/>
    <w:rsid w:val="00E76941"/>
    <w:rsid w:val="00E769DC"/>
    <w:rsid w:val="00E774F3"/>
    <w:rsid w:val="00E83747"/>
    <w:rsid w:val="00E85F2C"/>
    <w:rsid w:val="00E874C2"/>
    <w:rsid w:val="00E87889"/>
    <w:rsid w:val="00E95549"/>
    <w:rsid w:val="00E95C73"/>
    <w:rsid w:val="00E96817"/>
    <w:rsid w:val="00EA06B8"/>
    <w:rsid w:val="00EA2C2B"/>
    <w:rsid w:val="00EA5032"/>
    <w:rsid w:val="00EB5A91"/>
    <w:rsid w:val="00EB64C5"/>
    <w:rsid w:val="00EB7E9D"/>
    <w:rsid w:val="00ED0914"/>
    <w:rsid w:val="00ED0DB6"/>
    <w:rsid w:val="00ED264D"/>
    <w:rsid w:val="00ED2C31"/>
    <w:rsid w:val="00ED5B3B"/>
    <w:rsid w:val="00ED63A3"/>
    <w:rsid w:val="00EE10F4"/>
    <w:rsid w:val="00EE2426"/>
    <w:rsid w:val="00EE27E0"/>
    <w:rsid w:val="00EE6B28"/>
    <w:rsid w:val="00EE72E8"/>
    <w:rsid w:val="00EF0160"/>
    <w:rsid w:val="00EF0410"/>
    <w:rsid w:val="00EF1B78"/>
    <w:rsid w:val="00EF24EB"/>
    <w:rsid w:val="00EF4CD3"/>
    <w:rsid w:val="00EF6D3A"/>
    <w:rsid w:val="00F013D0"/>
    <w:rsid w:val="00F017A4"/>
    <w:rsid w:val="00F04793"/>
    <w:rsid w:val="00F0507F"/>
    <w:rsid w:val="00F05E0F"/>
    <w:rsid w:val="00F05F8D"/>
    <w:rsid w:val="00F12526"/>
    <w:rsid w:val="00F14344"/>
    <w:rsid w:val="00F14BD1"/>
    <w:rsid w:val="00F16456"/>
    <w:rsid w:val="00F16B99"/>
    <w:rsid w:val="00F16F15"/>
    <w:rsid w:val="00F21734"/>
    <w:rsid w:val="00F263F8"/>
    <w:rsid w:val="00F264CF"/>
    <w:rsid w:val="00F30993"/>
    <w:rsid w:val="00F30A6C"/>
    <w:rsid w:val="00F31382"/>
    <w:rsid w:val="00F31860"/>
    <w:rsid w:val="00F31C49"/>
    <w:rsid w:val="00F33290"/>
    <w:rsid w:val="00F33553"/>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0A6D"/>
    <w:rsid w:val="00F92FCC"/>
    <w:rsid w:val="00F94126"/>
    <w:rsid w:val="00F958B1"/>
    <w:rsid w:val="00F972CF"/>
    <w:rsid w:val="00F97656"/>
    <w:rsid w:val="00FB20FC"/>
    <w:rsid w:val="00FB2D1C"/>
    <w:rsid w:val="00FB3344"/>
    <w:rsid w:val="00FB3715"/>
    <w:rsid w:val="00FB3E42"/>
    <w:rsid w:val="00FB5862"/>
    <w:rsid w:val="00FC02C4"/>
    <w:rsid w:val="00FC0A19"/>
    <w:rsid w:val="00FC3956"/>
    <w:rsid w:val="00FC6572"/>
    <w:rsid w:val="00FC697A"/>
    <w:rsid w:val="00FC79A7"/>
    <w:rsid w:val="00FD035F"/>
    <w:rsid w:val="00FD33AB"/>
    <w:rsid w:val="00FD6878"/>
    <w:rsid w:val="00FD7040"/>
    <w:rsid w:val="00FE16DE"/>
    <w:rsid w:val="00FE1829"/>
    <w:rsid w:val="00FE3DDD"/>
    <w:rsid w:val="00FE5615"/>
    <w:rsid w:val="00FE77E1"/>
    <w:rsid w:val="00FF15EC"/>
    <w:rsid w:val="00FF1A1D"/>
    <w:rsid w:val="00FF53E3"/>
    <w:rsid w:val="00FF7111"/>
    <w:rsid w:val="01E794C0"/>
    <w:rsid w:val="035C473A"/>
    <w:rsid w:val="035FDAA7"/>
    <w:rsid w:val="036A81BD"/>
    <w:rsid w:val="03833AC9"/>
    <w:rsid w:val="03B76E8A"/>
    <w:rsid w:val="04000E18"/>
    <w:rsid w:val="04099A71"/>
    <w:rsid w:val="0484A445"/>
    <w:rsid w:val="04C99B34"/>
    <w:rsid w:val="051E078D"/>
    <w:rsid w:val="059671ED"/>
    <w:rsid w:val="062F9CA2"/>
    <w:rsid w:val="06898D04"/>
    <w:rsid w:val="0761E55C"/>
    <w:rsid w:val="07DCA614"/>
    <w:rsid w:val="08C6FC9C"/>
    <w:rsid w:val="08D478CD"/>
    <w:rsid w:val="08F0B4A1"/>
    <w:rsid w:val="09047F2E"/>
    <w:rsid w:val="09848705"/>
    <w:rsid w:val="09A25FDB"/>
    <w:rsid w:val="09DFF90A"/>
    <w:rsid w:val="0B35AAF2"/>
    <w:rsid w:val="0BFF9E11"/>
    <w:rsid w:val="0C41AF53"/>
    <w:rsid w:val="0C55D3EF"/>
    <w:rsid w:val="0D2A38B2"/>
    <w:rsid w:val="0E5A2337"/>
    <w:rsid w:val="0E8E3863"/>
    <w:rsid w:val="0ED69A0A"/>
    <w:rsid w:val="0F59B9F2"/>
    <w:rsid w:val="0F6E363B"/>
    <w:rsid w:val="0FA4A3D5"/>
    <w:rsid w:val="11D34DA5"/>
    <w:rsid w:val="12FC9AC9"/>
    <w:rsid w:val="1388F479"/>
    <w:rsid w:val="13A67937"/>
    <w:rsid w:val="13E1637A"/>
    <w:rsid w:val="13EA0F60"/>
    <w:rsid w:val="141F18FA"/>
    <w:rsid w:val="144AD900"/>
    <w:rsid w:val="14796E0B"/>
    <w:rsid w:val="15B1C125"/>
    <w:rsid w:val="15CDBF7A"/>
    <w:rsid w:val="15CF693C"/>
    <w:rsid w:val="1654A526"/>
    <w:rsid w:val="16B2C714"/>
    <w:rsid w:val="186AAC3A"/>
    <w:rsid w:val="187128EE"/>
    <w:rsid w:val="18DDE58F"/>
    <w:rsid w:val="18E35398"/>
    <w:rsid w:val="1908F7A4"/>
    <w:rsid w:val="19330FD6"/>
    <w:rsid w:val="193A7D43"/>
    <w:rsid w:val="1AE6C4A5"/>
    <w:rsid w:val="1B451E85"/>
    <w:rsid w:val="1B7481B3"/>
    <w:rsid w:val="1B7909A7"/>
    <w:rsid w:val="1BC7DFA3"/>
    <w:rsid w:val="1C970795"/>
    <w:rsid w:val="1CA724F1"/>
    <w:rsid w:val="1DF55E53"/>
    <w:rsid w:val="1EE9F66A"/>
    <w:rsid w:val="1F637D57"/>
    <w:rsid w:val="1F6D7F7E"/>
    <w:rsid w:val="1FDCBC00"/>
    <w:rsid w:val="2024380D"/>
    <w:rsid w:val="2044F2E6"/>
    <w:rsid w:val="21589BD1"/>
    <w:rsid w:val="215D2E5D"/>
    <w:rsid w:val="227AEFDD"/>
    <w:rsid w:val="22BCBEA3"/>
    <w:rsid w:val="232E1104"/>
    <w:rsid w:val="2424A116"/>
    <w:rsid w:val="2539AAC7"/>
    <w:rsid w:val="25765084"/>
    <w:rsid w:val="25865097"/>
    <w:rsid w:val="25959DAD"/>
    <w:rsid w:val="268C9B11"/>
    <w:rsid w:val="26D94FF9"/>
    <w:rsid w:val="272B7B18"/>
    <w:rsid w:val="273088B9"/>
    <w:rsid w:val="27D526B5"/>
    <w:rsid w:val="281A1DA4"/>
    <w:rsid w:val="285BE2CD"/>
    <w:rsid w:val="293999C3"/>
    <w:rsid w:val="2A94BDFB"/>
    <w:rsid w:val="2AB20CA8"/>
    <w:rsid w:val="2B1049E1"/>
    <w:rsid w:val="2B25676D"/>
    <w:rsid w:val="2B9A2B02"/>
    <w:rsid w:val="2CDAA659"/>
    <w:rsid w:val="2D178D54"/>
    <w:rsid w:val="2E151D85"/>
    <w:rsid w:val="2E4730D6"/>
    <w:rsid w:val="2ED492C1"/>
    <w:rsid w:val="2F2D1679"/>
    <w:rsid w:val="2F411FAC"/>
    <w:rsid w:val="2F76C927"/>
    <w:rsid w:val="2FB3A908"/>
    <w:rsid w:val="2FE9223F"/>
    <w:rsid w:val="30511EC1"/>
    <w:rsid w:val="30528A01"/>
    <w:rsid w:val="3130E33D"/>
    <w:rsid w:val="3139B1CE"/>
    <w:rsid w:val="317EA8BD"/>
    <w:rsid w:val="32706366"/>
    <w:rsid w:val="32DB349A"/>
    <w:rsid w:val="32E36307"/>
    <w:rsid w:val="32F65FC0"/>
    <w:rsid w:val="330F0D42"/>
    <w:rsid w:val="33326E12"/>
    <w:rsid w:val="33385FE0"/>
    <w:rsid w:val="3346D017"/>
    <w:rsid w:val="334C3784"/>
    <w:rsid w:val="335C9E75"/>
    <w:rsid w:val="338A2AC3"/>
    <w:rsid w:val="351EAEBE"/>
    <w:rsid w:val="353154F2"/>
    <w:rsid w:val="3589BE91"/>
    <w:rsid w:val="35D88B39"/>
    <w:rsid w:val="36CD2553"/>
    <w:rsid w:val="37330934"/>
    <w:rsid w:val="3741CDB1"/>
    <w:rsid w:val="3760547B"/>
    <w:rsid w:val="37E09CB4"/>
    <w:rsid w:val="388BF682"/>
    <w:rsid w:val="388EE3E9"/>
    <w:rsid w:val="38CA789C"/>
    <w:rsid w:val="38D3D1C3"/>
    <w:rsid w:val="38F4E668"/>
    <w:rsid w:val="3930AB53"/>
    <w:rsid w:val="39E96811"/>
    <w:rsid w:val="39F37FAB"/>
    <w:rsid w:val="3AB5DD88"/>
    <w:rsid w:val="3AFEA20E"/>
    <w:rsid w:val="3B2AA55D"/>
    <w:rsid w:val="3B4368B1"/>
    <w:rsid w:val="3B9535DF"/>
    <w:rsid w:val="3B9E2974"/>
    <w:rsid w:val="3BC33EF5"/>
    <w:rsid w:val="3CB10DAA"/>
    <w:rsid w:val="3CD37048"/>
    <w:rsid w:val="3D79FD20"/>
    <w:rsid w:val="3E5A4AAD"/>
    <w:rsid w:val="3E895A38"/>
    <w:rsid w:val="3EADC96C"/>
    <w:rsid w:val="3EF6EE40"/>
    <w:rsid w:val="3F3A057A"/>
    <w:rsid w:val="3FDEC899"/>
    <w:rsid w:val="4070CEB0"/>
    <w:rsid w:val="419577B6"/>
    <w:rsid w:val="41ED9422"/>
    <w:rsid w:val="429678AE"/>
    <w:rsid w:val="44AF4464"/>
    <w:rsid w:val="45B1A7E0"/>
    <w:rsid w:val="46695882"/>
    <w:rsid w:val="46A85544"/>
    <w:rsid w:val="46C9E357"/>
    <w:rsid w:val="46FE78C9"/>
    <w:rsid w:val="479AB9CB"/>
    <w:rsid w:val="47AC4435"/>
    <w:rsid w:val="47D36775"/>
    <w:rsid w:val="4878C85A"/>
    <w:rsid w:val="487A2150"/>
    <w:rsid w:val="497C9F66"/>
    <w:rsid w:val="49C28E56"/>
    <w:rsid w:val="4B03275F"/>
    <w:rsid w:val="4B71F16C"/>
    <w:rsid w:val="4B95CC96"/>
    <w:rsid w:val="4BADF8D4"/>
    <w:rsid w:val="4BED64DD"/>
    <w:rsid w:val="4C202AAE"/>
    <w:rsid w:val="4DAF6396"/>
    <w:rsid w:val="4DBB7B25"/>
    <w:rsid w:val="4E1157F4"/>
    <w:rsid w:val="4E2B9134"/>
    <w:rsid w:val="4F457C19"/>
    <w:rsid w:val="4FD1E0DE"/>
    <w:rsid w:val="51CCFCDF"/>
    <w:rsid w:val="52405216"/>
    <w:rsid w:val="52D869E7"/>
    <w:rsid w:val="531D26CC"/>
    <w:rsid w:val="53E4B250"/>
    <w:rsid w:val="542DF2ED"/>
    <w:rsid w:val="543321E3"/>
    <w:rsid w:val="548BC7D5"/>
    <w:rsid w:val="54B98602"/>
    <w:rsid w:val="553230CD"/>
    <w:rsid w:val="559642B4"/>
    <w:rsid w:val="55C40D04"/>
    <w:rsid w:val="55FB1E03"/>
    <w:rsid w:val="564DC811"/>
    <w:rsid w:val="56AEB47C"/>
    <w:rsid w:val="585B0141"/>
    <w:rsid w:val="58C2DD1D"/>
    <w:rsid w:val="5950A848"/>
    <w:rsid w:val="5BF51BDE"/>
    <w:rsid w:val="5BFF4C8C"/>
    <w:rsid w:val="5C71EB88"/>
    <w:rsid w:val="5CB0D00C"/>
    <w:rsid w:val="5D069EA3"/>
    <w:rsid w:val="5D4D6F4D"/>
    <w:rsid w:val="5D6EB6EA"/>
    <w:rsid w:val="5E7142A2"/>
    <w:rsid w:val="5E8FECC3"/>
    <w:rsid w:val="5F8CFD85"/>
    <w:rsid w:val="5FC8DBC5"/>
    <w:rsid w:val="6064A043"/>
    <w:rsid w:val="60CCF2E3"/>
    <w:rsid w:val="6107F933"/>
    <w:rsid w:val="611DBCF9"/>
    <w:rsid w:val="61328E3D"/>
    <w:rsid w:val="61548A5C"/>
    <w:rsid w:val="61BC494A"/>
    <w:rsid w:val="61E45A31"/>
    <w:rsid w:val="620B346C"/>
    <w:rsid w:val="6309EA03"/>
    <w:rsid w:val="63507564"/>
    <w:rsid w:val="638E3E3B"/>
    <w:rsid w:val="650686A4"/>
    <w:rsid w:val="6619628A"/>
    <w:rsid w:val="664AEE9E"/>
    <w:rsid w:val="668EAF6C"/>
    <w:rsid w:val="67454507"/>
    <w:rsid w:val="67C81D7C"/>
    <w:rsid w:val="67CD96A2"/>
    <w:rsid w:val="67E6BEFF"/>
    <w:rsid w:val="68015A6B"/>
    <w:rsid w:val="684196D8"/>
    <w:rsid w:val="694F21A2"/>
    <w:rsid w:val="696573A0"/>
    <w:rsid w:val="6994A0B2"/>
    <w:rsid w:val="6AF5CAA6"/>
    <w:rsid w:val="6B209D5C"/>
    <w:rsid w:val="6BCC3757"/>
    <w:rsid w:val="6C46CDE3"/>
    <w:rsid w:val="6C64EBDF"/>
    <w:rsid w:val="6C822728"/>
    <w:rsid w:val="6CDF8885"/>
    <w:rsid w:val="6D8F78AB"/>
    <w:rsid w:val="6D920289"/>
    <w:rsid w:val="6E3CD826"/>
    <w:rsid w:val="6E715BA0"/>
    <w:rsid w:val="6E9F05AA"/>
    <w:rsid w:val="6EAE743F"/>
    <w:rsid w:val="6FE78E2A"/>
    <w:rsid w:val="700F7BD9"/>
    <w:rsid w:val="71067D9F"/>
    <w:rsid w:val="717B3A4A"/>
    <w:rsid w:val="735BDC34"/>
    <w:rsid w:val="735FE08F"/>
    <w:rsid w:val="7378C54E"/>
    <w:rsid w:val="7387012B"/>
    <w:rsid w:val="745135CB"/>
    <w:rsid w:val="749E2F6A"/>
    <w:rsid w:val="758EA977"/>
    <w:rsid w:val="75A2A6D5"/>
    <w:rsid w:val="75AC4EFD"/>
    <w:rsid w:val="76639B4A"/>
    <w:rsid w:val="766CDB75"/>
    <w:rsid w:val="76791386"/>
    <w:rsid w:val="76D9E5DA"/>
    <w:rsid w:val="77207DC5"/>
    <w:rsid w:val="7732B9AD"/>
    <w:rsid w:val="774AEF97"/>
    <w:rsid w:val="780D0DA2"/>
    <w:rsid w:val="7826F39F"/>
    <w:rsid w:val="7981AD15"/>
    <w:rsid w:val="79E47F71"/>
    <w:rsid w:val="7A8555EC"/>
    <w:rsid w:val="7D9C4361"/>
    <w:rsid w:val="7E0685C9"/>
    <w:rsid w:val="7E4ED5BC"/>
    <w:rsid w:val="7E63AF06"/>
    <w:rsid w:val="7E9AD8F0"/>
    <w:rsid w:val="7F26F424"/>
    <w:rsid w:val="7F3D510A"/>
    <w:rsid w:val="7FB7FC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EEA30"/>
  <w15:chartTrackingRefBased/>
  <w15:docId w15:val="{1BCD8D65-BFD6-4DDB-8EE0-E0D0E23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aliases w:val="Fundamentacion,Bulleted List,SubPárrafo de lista"/>
    <w:basedOn w:val="Normal"/>
    <w:link w:val="ListParagraphChar"/>
    <w:uiPriority w:val="99"/>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ListParagraphChar">
    <w:name w:val="List Paragraph Char"/>
    <w:aliases w:val="Fundamentacion Char,Bulleted List Char,SubPárrafo de lista Char"/>
    <w:link w:val="ListParagraph"/>
    <w:uiPriority w:val="99"/>
    <w:locked/>
    <w:rsid w:val="000B7DB2"/>
  </w:style>
  <w:style w:type="paragraph" w:styleId="Revision">
    <w:name w:val="Revision"/>
    <w:hidden/>
    <w:uiPriority w:val="99"/>
    <w:semiHidden/>
    <w:rsid w:val="002C09DA"/>
  </w:style>
  <w:style w:type="paragraph" w:styleId="NormalWeb">
    <w:name w:val="Normal (Web)"/>
    <w:basedOn w:val="Normal"/>
    <w:uiPriority w:val="99"/>
    <w:unhideWhenUsed/>
    <w:rsid w:val="000E34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51003371">
      <w:bodyDiv w:val="1"/>
      <w:marLeft w:val="0"/>
      <w:marRight w:val="0"/>
      <w:marTop w:val="0"/>
      <w:marBottom w:val="0"/>
      <w:divBdr>
        <w:top w:val="none" w:sz="0" w:space="0" w:color="auto"/>
        <w:left w:val="none" w:sz="0" w:space="0" w:color="auto"/>
        <w:bottom w:val="none" w:sz="0" w:space="0" w:color="auto"/>
        <w:right w:val="none" w:sz="0" w:space="0" w:color="auto"/>
      </w:divBdr>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818764416">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cmartins@oas.org"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ducation@oa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lac/media/29431/file/Children-with-disabilities-Report_Advance.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B7353BFE9827438EBF19872927A460" ma:contentTypeVersion="15" ma:contentTypeDescription="Create a new document." ma:contentTypeScope="" ma:versionID="70d16077252f8a889fbce4f98fba57fc">
  <xsd:schema xmlns:xsd="http://www.w3.org/2001/XMLSchema" xmlns:xs="http://www.w3.org/2001/XMLSchema" xmlns:p="http://schemas.microsoft.com/office/2006/metadata/properties" xmlns:ns3="d96ab0fc-bb98-41ac-b264-64d49f623ac2" xmlns:ns4="6691804d-c530-47b1-9b8c-031a554c30cd" targetNamespace="http://schemas.microsoft.com/office/2006/metadata/properties" ma:root="true" ma:fieldsID="c52774a30a1c1fd8430dd50987aba576" ns3:_="" ns4:_="">
    <xsd:import namespace="d96ab0fc-bb98-41ac-b264-64d49f623ac2"/>
    <xsd:import namespace="6691804d-c530-47b1-9b8c-031a554c30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b0fc-bb98-41ac-b264-64d49f62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1804d-c530-47b1-9b8c-031a554c30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691804d-c530-47b1-9b8c-031a554c30cd">
      <UserInfo>
        <DisplayName/>
        <AccountId xsi:nil="true"/>
        <AccountType/>
      </UserInfo>
    </SharedWithUsers>
    <MediaLengthInSeconds xmlns="d96ab0fc-bb98-41ac-b264-64d49f623ac2" xsi:nil="true"/>
    <_activity xmlns="d96ab0fc-bb98-41ac-b264-64d49f623ac2" xsi:nil="true"/>
  </documentManagement>
</p:properties>
</file>

<file path=customXml/itemProps1.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3C13D84E-D9AD-40C5-814E-9699EA24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b0fc-bb98-41ac-b264-64d49f623ac2"/>
    <ds:schemaRef ds:uri="6691804d-c530-47b1-9b8c-031a554c3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6691804d-c530-47b1-9b8c-031a554c30cd"/>
    <ds:schemaRef ds:uri="d96ab0fc-bb98-41ac-b264-64d49f623ac2"/>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3</TotalTime>
  <Pages>7</Pages>
  <Words>3300</Words>
  <Characters>18814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Organization of American States</Company>
  <LinksUpToDate>false</LinksUpToDate>
  <CharactersWithSpaces>22070</CharactersWithSpaces>
  <SharedDoc>false</SharedDoc>
  <HLinks>
    <vt:vector size="60" baseType="variant">
      <vt:variant>
        <vt:i4>458812</vt:i4>
      </vt:variant>
      <vt:variant>
        <vt:i4>27</vt:i4>
      </vt:variant>
      <vt:variant>
        <vt:i4>0</vt:i4>
      </vt:variant>
      <vt:variant>
        <vt:i4>5</vt:i4>
      </vt:variant>
      <vt:variant>
        <vt:lpwstr>mailto:cmartins@oas.org</vt:lpwstr>
      </vt:variant>
      <vt:variant>
        <vt:lpwstr/>
      </vt:variant>
      <vt:variant>
        <vt:i4>43</vt:i4>
      </vt:variant>
      <vt:variant>
        <vt:i4>24</vt:i4>
      </vt:variant>
      <vt:variant>
        <vt:i4>0</vt:i4>
      </vt:variant>
      <vt:variant>
        <vt:i4>5</vt:i4>
      </vt:variant>
      <vt:variant>
        <vt:lpwstr>mailto:education@oas.org</vt:lpwstr>
      </vt:variant>
      <vt:variant>
        <vt:lpwstr/>
      </vt:variant>
      <vt:variant>
        <vt:i4>6553707</vt:i4>
      </vt:variant>
      <vt:variant>
        <vt:i4>21</vt:i4>
      </vt:variant>
      <vt:variant>
        <vt:i4>0</vt:i4>
      </vt:variant>
      <vt:variant>
        <vt:i4>5</vt:i4>
      </vt:variant>
      <vt:variant>
        <vt:lpwstr>https://unesdoc.unesco.org/ark:/48223/pf0000374163</vt:lpwstr>
      </vt:variant>
      <vt:variant>
        <vt:lpwstr/>
      </vt:variant>
      <vt:variant>
        <vt:i4>4390943</vt:i4>
      </vt:variant>
      <vt:variant>
        <vt:i4>18</vt:i4>
      </vt:variant>
      <vt:variant>
        <vt:i4>0</vt:i4>
      </vt:variant>
      <vt:variant>
        <vt:i4>5</vt:i4>
      </vt:variant>
      <vt:variant>
        <vt:lpwstr>https://www.oecd.org/education/ten-principles-effective-equitable-covid-recovery.htm</vt:lpwstr>
      </vt:variant>
      <vt:variant>
        <vt:lpwstr/>
      </vt:variant>
      <vt:variant>
        <vt:i4>983109</vt:i4>
      </vt:variant>
      <vt:variant>
        <vt:i4>15</vt:i4>
      </vt:variant>
      <vt:variant>
        <vt:i4>0</vt:i4>
      </vt:variant>
      <vt:variant>
        <vt:i4>5</vt:i4>
      </vt:variant>
      <vt:variant>
        <vt:lpwstr>https://education4resilience.iiep.unesco.org/</vt:lpwstr>
      </vt:variant>
      <vt:variant>
        <vt:lpwstr/>
      </vt:variant>
      <vt:variant>
        <vt:i4>786457</vt:i4>
      </vt:variant>
      <vt:variant>
        <vt:i4>12</vt:i4>
      </vt:variant>
      <vt:variant>
        <vt:i4>0</vt:i4>
      </vt:variant>
      <vt:variant>
        <vt:i4>5</vt:i4>
      </vt:variant>
      <vt:variant>
        <vt:lpwstr>https://report.iiep.unesco.org/value-stream/building-resilient-education-systems</vt:lpwstr>
      </vt:variant>
      <vt:variant>
        <vt:lpwstr/>
      </vt:variant>
      <vt:variant>
        <vt:i4>131138</vt:i4>
      </vt:variant>
      <vt:variant>
        <vt:i4>9</vt:i4>
      </vt:variant>
      <vt:variant>
        <vt:i4>0</vt:i4>
      </vt:variant>
      <vt:variant>
        <vt:i4>5</vt:i4>
      </vt:variant>
      <vt:variant>
        <vt:lpwstr>C:\Users\jdkcp\Downloads\IDU00d6b64030a55e0423b0913f0f2ef3f764417 (3).pdf</vt:lpwstr>
      </vt:variant>
      <vt:variant>
        <vt:lpwstr/>
      </vt:variant>
      <vt:variant>
        <vt:i4>15204391</vt:i4>
      </vt:variant>
      <vt:variant>
        <vt:i4>6</vt:i4>
      </vt:variant>
      <vt:variant>
        <vt:i4>0</vt:i4>
      </vt:variant>
      <vt:variant>
        <vt:i4>5</vt:i4>
      </vt:variant>
      <vt:variant>
        <vt:lpwstr>https://www.unicef.org/mexico/comunicados-prensa/3-de-cada-5-niños-y-niñas-que-perdieron-un-año-escolar-en-el-mundo-durante-la</vt:lpwstr>
      </vt:variant>
      <vt:variant>
        <vt:lpwstr/>
      </vt:variant>
      <vt:variant>
        <vt:i4>1310789</vt:i4>
      </vt:variant>
      <vt:variant>
        <vt:i4>3</vt:i4>
      </vt:variant>
      <vt:variant>
        <vt:i4>0</vt:i4>
      </vt:variant>
      <vt:variant>
        <vt:i4>5</vt:i4>
      </vt:variant>
      <vt:variant>
        <vt:lpwstr>https://en.unesco.org/fieldoffice/santiago/covid-19-education-alc</vt:lpwstr>
      </vt:variant>
      <vt:variant>
        <vt:lpwstr/>
      </vt:variant>
      <vt:variant>
        <vt:i4>6815869</vt:i4>
      </vt:variant>
      <vt:variant>
        <vt:i4>0</vt:i4>
      </vt:variant>
      <vt:variant>
        <vt:i4>0</vt:i4>
      </vt:variant>
      <vt:variant>
        <vt:i4>5</vt:i4>
      </vt:variant>
      <vt:variant>
        <vt:lpwstr>https://sdgs.un.org/2030agenda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DCT</dc:creator>
  <cp:keywords/>
  <cp:lastModifiedBy>Diaz - Avalos,  Estela</cp:lastModifiedBy>
  <cp:revision>3</cp:revision>
  <cp:lastPrinted>2011-06-15T13:36:00Z</cp:lastPrinted>
  <dcterms:created xsi:type="dcterms:W3CDTF">2023-06-14T22:26:00Z</dcterms:created>
  <dcterms:modified xsi:type="dcterms:W3CDTF">2023-06-14T22:26:00Z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0x01010082B7353BFE9827438EBF19872927A460</vt:lpwstr>
  </property>
  <property fmtid="{D5CDD505-2E9C-101B-9397-08002B2CF9AE}" pid="3" name="MediaServiceImageTags">
    <vt:lpwstr/>
  </property>
  <property fmtid="{D5CDD505-2E9C-101B-9397-08002B2CF9AE}" pid="4" name="Order">
    <vt:r8>3730000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