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Look w:val="04A0" w:firstRow="1" w:lastRow="0" w:firstColumn="1" w:lastColumn="0" w:noHBand="0" w:noVBand="1"/>
      </w:tblPr>
      <w:tblGrid>
        <w:gridCol w:w="5598"/>
        <w:gridCol w:w="3960"/>
      </w:tblGrid>
      <w:tr w:rsidR="008328A8" w:rsidRPr="006101B3" w14:paraId="4DF8AA38" w14:textId="77777777" w:rsidTr="00F44977">
        <w:trPr>
          <w:trHeight w:val="80"/>
        </w:trPr>
        <w:tc>
          <w:tcPr>
            <w:tcW w:w="5598" w:type="dxa"/>
            <w:shd w:val="clear" w:color="auto" w:fill="auto"/>
          </w:tcPr>
          <w:p w14:paraId="3F961CB4" w14:textId="7AB61D99" w:rsidR="00FA1BA1" w:rsidRPr="00282A68" w:rsidRDefault="00FA1BA1" w:rsidP="003B5C52">
            <w:pPr>
              <w:tabs>
                <w:tab w:val="left" w:pos="6441"/>
              </w:tabs>
              <w:ind w:right="72"/>
              <w:jc w:val="both"/>
              <w:rPr>
                <w:sz w:val="22"/>
                <w:szCs w:val="22"/>
                <w:lang w:val="es-US"/>
              </w:rPr>
            </w:pPr>
          </w:p>
          <w:p w14:paraId="7CD7EC7F" w14:textId="49BAB03D" w:rsidR="00FA1BA1" w:rsidRPr="00282A68" w:rsidRDefault="00FA1BA1" w:rsidP="003B5C52">
            <w:pPr>
              <w:tabs>
                <w:tab w:val="left" w:pos="6441"/>
              </w:tabs>
              <w:ind w:right="72"/>
              <w:jc w:val="both"/>
              <w:rPr>
                <w:sz w:val="22"/>
                <w:szCs w:val="22"/>
                <w:lang w:val="es-US"/>
              </w:rPr>
            </w:pPr>
          </w:p>
          <w:p w14:paraId="72746536" w14:textId="77777777" w:rsidR="00F52700" w:rsidRPr="00282A68" w:rsidRDefault="00F52700" w:rsidP="00F52700">
            <w:pPr>
              <w:tabs>
                <w:tab w:val="left" w:pos="6441"/>
              </w:tabs>
              <w:ind w:right="72"/>
              <w:jc w:val="both"/>
              <w:rPr>
                <w:lang w:val="es-US" w:eastAsia="es-ES"/>
              </w:rPr>
            </w:pPr>
            <w:r w:rsidRPr="00282A68">
              <w:rPr>
                <w:sz w:val="22"/>
                <w:szCs w:val="22"/>
                <w:lang w:val="es-US"/>
              </w:rPr>
              <w:t>MECANISMO DE SEGUIMIENTO DE LA IMPLEMENTACIÓN DE LA CONVENCIÓN INTERAMERICANA CONTRA LA CORRUPCIÓN</w:t>
            </w:r>
            <w:r w:rsidRPr="00282A68">
              <w:rPr>
                <w:sz w:val="22"/>
                <w:szCs w:val="22"/>
                <w:u w:val="single"/>
                <w:lang w:val="es-US"/>
              </w:rPr>
              <w:t xml:space="preserve"> </w:t>
            </w:r>
            <w:r w:rsidRPr="00282A68">
              <w:rPr>
                <w:sz w:val="22"/>
                <w:szCs w:val="22"/>
                <w:u w:val="single"/>
                <w:lang w:val="es-US" w:eastAsia="es-ES"/>
              </w:rPr>
              <w:t>Cuadragésima Primera Reunión del Comité de Expertos</w:t>
            </w:r>
          </w:p>
          <w:p w14:paraId="765BCEA9" w14:textId="77777777" w:rsidR="00F52700" w:rsidRPr="00282A68" w:rsidRDefault="00F52700" w:rsidP="00F52700">
            <w:pPr>
              <w:suppressAutoHyphens/>
              <w:rPr>
                <w:lang w:val="es-US"/>
              </w:rPr>
            </w:pPr>
            <w:r w:rsidRPr="00282A68">
              <w:rPr>
                <w:sz w:val="22"/>
                <w:szCs w:val="22"/>
                <w:lang w:val="es-US"/>
              </w:rPr>
              <w:t>Del 11 al 14 de marzo de 2024</w:t>
            </w:r>
          </w:p>
          <w:p w14:paraId="6AF4C7C2" w14:textId="3B1427F3" w:rsidR="00FA1BA1" w:rsidRPr="00282A68" w:rsidRDefault="00F52700" w:rsidP="00F52700">
            <w:pPr>
              <w:tabs>
                <w:tab w:val="left" w:pos="6441"/>
              </w:tabs>
              <w:ind w:right="72"/>
              <w:jc w:val="both"/>
              <w:rPr>
                <w:sz w:val="22"/>
                <w:szCs w:val="22"/>
                <w:highlight w:val="cyan"/>
                <w:lang w:val="es-US"/>
              </w:rPr>
            </w:pPr>
            <w:r w:rsidRPr="00282A68">
              <w:rPr>
                <w:sz w:val="22"/>
                <w:szCs w:val="22"/>
                <w:lang w:val="es-US"/>
              </w:rPr>
              <w:t>Washington, D.C.</w:t>
            </w:r>
          </w:p>
        </w:tc>
        <w:tc>
          <w:tcPr>
            <w:tcW w:w="3960" w:type="dxa"/>
            <w:shd w:val="clear" w:color="auto" w:fill="auto"/>
          </w:tcPr>
          <w:p w14:paraId="4BA04ACC" w14:textId="77777777" w:rsidR="00FA1BA1" w:rsidRPr="00282A68" w:rsidRDefault="00FA1BA1" w:rsidP="003B5C52">
            <w:pPr>
              <w:tabs>
                <w:tab w:val="left" w:pos="6441"/>
              </w:tabs>
              <w:ind w:left="882" w:right="-389"/>
              <w:jc w:val="both"/>
              <w:rPr>
                <w:sz w:val="22"/>
                <w:szCs w:val="22"/>
                <w:highlight w:val="cyan"/>
                <w:lang w:val="es-US" w:eastAsia="es-ES"/>
              </w:rPr>
            </w:pPr>
          </w:p>
          <w:p w14:paraId="5F624E8C" w14:textId="77777777" w:rsidR="00FA1BA1" w:rsidRPr="00282A68" w:rsidRDefault="00FA1BA1" w:rsidP="003B5C52">
            <w:pPr>
              <w:tabs>
                <w:tab w:val="left" w:pos="6441"/>
              </w:tabs>
              <w:ind w:left="882" w:right="-389"/>
              <w:jc w:val="both"/>
              <w:rPr>
                <w:sz w:val="22"/>
                <w:szCs w:val="22"/>
                <w:highlight w:val="cyan"/>
                <w:lang w:val="es-US" w:eastAsia="es-ES"/>
              </w:rPr>
            </w:pPr>
          </w:p>
          <w:p w14:paraId="792787D8" w14:textId="77777777" w:rsidR="00B811CC" w:rsidRPr="00282A68" w:rsidRDefault="00B811CC" w:rsidP="00B811CC">
            <w:pPr>
              <w:tabs>
                <w:tab w:val="left" w:pos="6441"/>
              </w:tabs>
              <w:ind w:left="882" w:right="-389"/>
              <w:jc w:val="both"/>
              <w:rPr>
                <w:lang w:val="es-US" w:eastAsia="es-ES"/>
              </w:rPr>
            </w:pPr>
            <w:r w:rsidRPr="00282A68">
              <w:rPr>
                <w:sz w:val="22"/>
                <w:szCs w:val="22"/>
                <w:lang w:val="es-US" w:eastAsia="es-ES"/>
              </w:rPr>
              <w:t>OEA/</w:t>
            </w:r>
            <w:proofErr w:type="spellStart"/>
            <w:r w:rsidRPr="00282A68">
              <w:rPr>
                <w:sz w:val="22"/>
                <w:szCs w:val="22"/>
                <w:lang w:val="es-US" w:eastAsia="es-ES"/>
              </w:rPr>
              <w:t>Ser.L</w:t>
            </w:r>
            <w:proofErr w:type="spellEnd"/>
            <w:r w:rsidRPr="00282A68">
              <w:rPr>
                <w:sz w:val="22"/>
                <w:szCs w:val="22"/>
                <w:lang w:val="es-US" w:eastAsia="es-ES"/>
              </w:rPr>
              <w:t>.</w:t>
            </w:r>
          </w:p>
          <w:p w14:paraId="7C935477" w14:textId="5E5D7417" w:rsidR="00B811CC" w:rsidRPr="00282A68" w:rsidRDefault="00B811CC" w:rsidP="00B811CC">
            <w:pPr>
              <w:tabs>
                <w:tab w:val="left" w:pos="6441"/>
              </w:tabs>
              <w:ind w:left="882" w:right="-902"/>
              <w:jc w:val="both"/>
              <w:rPr>
                <w:lang w:val="es-US" w:eastAsia="es-ES"/>
              </w:rPr>
            </w:pPr>
            <w:r w:rsidRPr="00282A68">
              <w:rPr>
                <w:sz w:val="22"/>
                <w:szCs w:val="22"/>
                <w:lang w:val="es-US" w:eastAsia="es-ES"/>
              </w:rPr>
              <w:t>SG/MESICIC/doc.652/23</w:t>
            </w:r>
            <w:r w:rsidR="00B841C9">
              <w:rPr>
                <w:sz w:val="22"/>
                <w:szCs w:val="22"/>
                <w:lang w:val="es-US" w:eastAsia="es-ES"/>
              </w:rPr>
              <w:t xml:space="preserve"> rev.</w:t>
            </w:r>
            <w:r w:rsidR="00CA0B0C">
              <w:rPr>
                <w:sz w:val="22"/>
                <w:szCs w:val="22"/>
                <w:lang w:val="es-US" w:eastAsia="es-ES"/>
              </w:rPr>
              <w:t>3</w:t>
            </w:r>
          </w:p>
          <w:p w14:paraId="3B1C41C2" w14:textId="46BD1C7A" w:rsidR="00B811CC" w:rsidRPr="00282A68" w:rsidRDefault="005A62EF" w:rsidP="00B811CC">
            <w:pPr>
              <w:tabs>
                <w:tab w:val="left" w:pos="6441"/>
              </w:tabs>
              <w:ind w:left="882" w:right="-902"/>
              <w:jc w:val="both"/>
              <w:rPr>
                <w:lang w:val="es-US" w:eastAsia="es-ES"/>
              </w:rPr>
            </w:pPr>
            <w:r>
              <w:rPr>
                <w:sz w:val="22"/>
                <w:szCs w:val="22"/>
                <w:lang w:val="es-US" w:eastAsia="es-ES"/>
              </w:rPr>
              <w:t>11</w:t>
            </w:r>
            <w:r w:rsidR="00B811CC" w:rsidRPr="00282A68">
              <w:rPr>
                <w:sz w:val="22"/>
                <w:szCs w:val="22"/>
                <w:lang w:val="es-US" w:eastAsia="es-ES"/>
              </w:rPr>
              <w:t xml:space="preserve"> de </w:t>
            </w:r>
            <w:r>
              <w:rPr>
                <w:sz w:val="22"/>
                <w:szCs w:val="22"/>
                <w:lang w:val="es-US" w:eastAsia="es-ES"/>
              </w:rPr>
              <w:t>marzo</w:t>
            </w:r>
            <w:r w:rsidR="00B811CC" w:rsidRPr="00282A68">
              <w:rPr>
                <w:sz w:val="22"/>
                <w:szCs w:val="22"/>
                <w:lang w:val="es-US" w:eastAsia="es-ES"/>
              </w:rPr>
              <w:t xml:space="preserve"> de 202</w:t>
            </w:r>
            <w:r w:rsidR="00B841C9">
              <w:rPr>
                <w:sz w:val="22"/>
                <w:szCs w:val="22"/>
                <w:lang w:val="es-US" w:eastAsia="es-ES"/>
              </w:rPr>
              <w:t>4</w:t>
            </w:r>
          </w:p>
          <w:p w14:paraId="41D97209" w14:textId="461371F0" w:rsidR="00FA1BA1" w:rsidRPr="00282A68" w:rsidRDefault="00B811CC" w:rsidP="00B811CC">
            <w:pPr>
              <w:tabs>
                <w:tab w:val="left" w:pos="6441"/>
              </w:tabs>
              <w:ind w:left="882" w:right="-389"/>
              <w:jc w:val="both"/>
              <w:rPr>
                <w:sz w:val="22"/>
                <w:szCs w:val="22"/>
                <w:highlight w:val="cyan"/>
                <w:lang w:val="es-US" w:eastAsia="es-ES"/>
              </w:rPr>
            </w:pPr>
            <w:r w:rsidRPr="00282A68">
              <w:rPr>
                <w:sz w:val="22"/>
                <w:szCs w:val="22"/>
                <w:lang w:val="es-US" w:eastAsia="es-ES"/>
              </w:rPr>
              <w:t>Original: inglés</w:t>
            </w:r>
          </w:p>
        </w:tc>
      </w:tr>
    </w:tbl>
    <w:p w14:paraId="57A71636" w14:textId="1A52FB6C" w:rsidR="00FA1BA1" w:rsidRPr="00282A68" w:rsidRDefault="00531E94" w:rsidP="003B5C52">
      <w:pPr>
        <w:jc w:val="both"/>
        <w:rPr>
          <w:sz w:val="22"/>
          <w:szCs w:val="22"/>
          <w:highlight w:val="cyan"/>
          <w:u w:val="single"/>
          <w:lang w:val="es-US" w:eastAsia="es-ES"/>
        </w:rPr>
      </w:pPr>
      <w:r w:rsidRPr="00282A68">
        <w:rPr>
          <w:noProof/>
          <w:sz w:val="22"/>
          <w:szCs w:val="22"/>
          <w:highlight w:val="cyan"/>
          <w:lang w:val="es-US" w:eastAsia="es-US"/>
        </w:rPr>
        <w:drawing>
          <wp:anchor distT="0" distB="0" distL="114300" distR="114300" simplePos="0" relativeHeight="251658240" behindDoc="0" locked="0" layoutInCell="1" allowOverlap="1" wp14:anchorId="0A159664" wp14:editId="60AF9119">
            <wp:simplePos x="0" y="0"/>
            <wp:positionH relativeFrom="margin">
              <wp:posOffset>68580</wp:posOffset>
            </wp:positionH>
            <wp:positionV relativeFrom="margin">
              <wp:posOffset>-348893</wp:posOffset>
            </wp:positionV>
            <wp:extent cx="2628900" cy="629285"/>
            <wp:effectExtent l="0" t="0" r="0"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629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BF6B9" w14:textId="77777777" w:rsidR="00FA1BA1" w:rsidRPr="00282A68" w:rsidRDefault="00FA1BA1" w:rsidP="003B5C52">
      <w:pPr>
        <w:jc w:val="both"/>
        <w:rPr>
          <w:sz w:val="22"/>
          <w:szCs w:val="22"/>
          <w:highlight w:val="cyan"/>
          <w:u w:val="single"/>
          <w:lang w:val="es-US" w:eastAsia="es-ES"/>
        </w:rPr>
      </w:pPr>
    </w:p>
    <w:p w14:paraId="260500A2" w14:textId="77777777" w:rsidR="00FA1BA1" w:rsidRPr="00282A68" w:rsidRDefault="00FA1BA1" w:rsidP="003B5C52">
      <w:pPr>
        <w:jc w:val="both"/>
        <w:rPr>
          <w:sz w:val="22"/>
          <w:szCs w:val="22"/>
          <w:highlight w:val="cyan"/>
          <w:u w:val="single"/>
          <w:lang w:val="es-US" w:eastAsia="es-ES"/>
        </w:rPr>
      </w:pPr>
    </w:p>
    <w:p w14:paraId="28F61022" w14:textId="77777777" w:rsidR="00FA1BA1" w:rsidRPr="00282A68" w:rsidRDefault="00FA1BA1" w:rsidP="003B5C52">
      <w:pPr>
        <w:jc w:val="both"/>
        <w:rPr>
          <w:sz w:val="22"/>
          <w:szCs w:val="22"/>
          <w:highlight w:val="cyan"/>
          <w:u w:val="single"/>
          <w:lang w:val="es-US" w:eastAsia="es-ES"/>
        </w:rPr>
      </w:pPr>
    </w:p>
    <w:p w14:paraId="02D5B48F" w14:textId="77777777" w:rsidR="00FA1BA1" w:rsidRPr="00282A68" w:rsidRDefault="00FA1BA1" w:rsidP="003B5C52">
      <w:pPr>
        <w:jc w:val="both"/>
        <w:rPr>
          <w:sz w:val="22"/>
          <w:szCs w:val="22"/>
          <w:highlight w:val="cyan"/>
          <w:u w:val="single"/>
          <w:lang w:val="es-US" w:eastAsia="es-ES"/>
        </w:rPr>
      </w:pPr>
    </w:p>
    <w:p w14:paraId="5B7C7B02" w14:textId="77777777" w:rsidR="00FA1BA1" w:rsidRPr="00282A68" w:rsidRDefault="00FA1BA1" w:rsidP="003B5C52">
      <w:pPr>
        <w:jc w:val="both"/>
        <w:rPr>
          <w:sz w:val="22"/>
          <w:szCs w:val="22"/>
          <w:highlight w:val="cyan"/>
          <w:u w:val="single"/>
          <w:lang w:val="es-US" w:eastAsia="es-ES"/>
        </w:rPr>
      </w:pPr>
    </w:p>
    <w:p w14:paraId="5187EA3F" w14:textId="77777777" w:rsidR="00FA1BA1" w:rsidRPr="00282A68" w:rsidRDefault="00FA1BA1" w:rsidP="003B5C52">
      <w:pPr>
        <w:jc w:val="both"/>
        <w:rPr>
          <w:sz w:val="22"/>
          <w:szCs w:val="22"/>
          <w:highlight w:val="cyan"/>
          <w:u w:val="single"/>
          <w:lang w:val="es-US" w:eastAsia="es-ES"/>
        </w:rPr>
      </w:pPr>
    </w:p>
    <w:p w14:paraId="663260A8" w14:textId="77777777" w:rsidR="00FA1BA1" w:rsidRPr="00282A68" w:rsidRDefault="00FA1BA1" w:rsidP="003B5C52">
      <w:pPr>
        <w:jc w:val="both"/>
        <w:rPr>
          <w:sz w:val="22"/>
          <w:szCs w:val="22"/>
          <w:highlight w:val="cyan"/>
          <w:u w:val="single"/>
          <w:lang w:val="es-US" w:eastAsia="es-ES"/>
        </w:rPr>
      </w:pPr>
    </w:p>
    <w:p w14:paraId="35B2EAD8" w14:textId="77777777" w:rsidR="00FA1BA1" w:rsidRPr="00282A68" w:rsidRDefault="00FA1BA1" w:rsidP="003B5C52">
      <w:pPr>
        <w:jc w:val="both"/>
        <w:rPr>
          <w:sz w:val="22"/>
          <w:szCs w:val="22"/>
          <w:highlight w:val="cyan"/>
          <w:u w:val="single"/>
          <w:lang w:val="es-US" w:eastAsia="es-ES"/>
        </w:rPr>
      </w:pPr>
    </w:p>
    <w:p w14:paraId="2BE823D5" w14:textId="77777777" w:rsidR="00FA1BA1" w:rsidRPr="00282A68" w:rsidRDefault="00FA1BA1" w:rsidP="003B5C52">
      <w:pPr>
        <w:jc w:val="both"/>
        <w:rPr>
          <w:sz w:val="22"/>
          <w:szCs w:val="22"/>
          <w:highlight w:val="cyan"/>
          <w:u w:val="single"/>
          <w:lang w:val="es-US" w:eastAsia="es-ES"/>
        </w:rPr>
      </w:pPr>
    </w:p>
    <w:p w14:paraId="03B3612C" w14:textId="3AEF7F13" w:rsidR="00FA1BA1" w:rsidRPr="00282A68" w:rsidRDefault="00FA1BA1" w:rsidP="003B5C52">
      <w:pPr>
        <w:jc w:val="both"/>
        <w:rPr>
          <w:sz w:val="22"/>
          <w:szCs w:val="22"/>
          <w:highlight w:val="cyan"/>
          <w:u w:val="single"/>
          <w:lang w:val="es-US" w:eastAsia="es-ES"/>
        </w:rPr>
      </w:pPr>
    </w:p>
    <w:p w14:paraId="10EACA81" w14:textId="1A677F19" w:rsidR="00EC73F5" w:rsidRPr="00282A68" w:rsidRDefault="00EC73F5" w:rsidP="003B5C52">
      <w:pPr>
        <w:jc w:val="both"/>
        <w:rPr>
          <w:sz w:val="22"/>
          <w:szCs w:val="22"/>
          <w:highlight w:val="cyan"/>
          <w:u w:val="single"/>
          <w:lang w:val="es-US" w:eastAsia="es-ES"/>
        </w:rPr>
      </w:pPr>
    </w:p>
    <w:p w14:paraId="0F839975" w14:textId="46A2D9E5" w:rsidR="00EC73F5" w:rsidRPr="00282A68" w:rsidRDefault="00EC73F5" w:rsidP="003B5C52">
      <w:pPr>
        <w:jc w:val="both"/>
        <w:rPr>
          <w:sz w:val="22"/>
          <w:szCs w:val="22"/>
          <w:highlight w:val="cyan"/>
          <w:u w:val="single"/>
          <w:lang w:val="es-US" w:eastAsia="es-ES"/>
        </w:rPr>
      </w:pPr>
    </w:p>
    <w:p w14:paraId="708E0F77" w14:textId="77777777" w:rsidR="00EC73F5" w:rsidRPr="00282A68" w:rsidRDefault="00EC73F5" w:rsidP="003B5C52">
      <w:pPr>
        <w:jc w:val="both"/>
        <w:rPr>
          <w:sz w:val="22"/>
          <w:szCs w:val="22"/>
          <w:highlight w:val="cyan"/>
          <w:u w:val="single"/>
          <w:lang w:val="es-US" w:eastAsia="es-ES"/>
        </w:rPr>
      </w:pPr>
    </w:p>
    <w:p w14:paraId="13A390B5" w14:textId="77777777" w:rsidR="00FA1BA1" w:rsidRPr="00282A68" w:rsidRDefault="00FA1BA1" w:rsidP="003B5C52">
      <w:pPr>
        <w:jc w:val="both"/>
        <w:rPr>
          <w:sz w:val="22"/>
          <w:szCs w:val="22"/>
          <w:highlight w:val="cyan"/>
          <w:u w:val="single"/>
          <w:lang w:val="es-US" w:eastAsia="es-ES"/>
        </w:rPr>
      </w:pPr>
    </w:p>
    <w:p w14:paraId="310762BA" w14:textId="77777777" w:rsidR="00D133DA" w:rsidRPr="006101B3" w:rsidRDefault="00D133DA" w:rsidP="00D133DA">
      <w:pPr>
        <w:jc w:val="center"/>
        <w:rPr>
          <w:sz w:val="22"/>
          <w:szCs w:val="22"/>
          <w:highlight w:val="cyan"/>
          <w:u w:val="single"/>
          <w:lang w:val="es-US" w:eastAsia="es-ES"/>
        </w:rPr>
      </w:pPr>
      <w:r w:rsidRPr="006101B3">
        <w:rPr>
          <w:rFonts w:eastAsia="Calibri"/>
          <w:noProof/>
          <w:sz w:val="22"/>
          <w:szCs w:val="22"/>
          <w:u w:val="single"/>
          <w:lang w:val="es-US"/>
        </w:rPr>
        <w:t>ESTADOS UNIDOS DE AMÉRICA</w:t>
      </w:r>
      <w:r w:rsidRPr="006101B3">
        <w:rPr>
          <w:sz w:val="22"/>
          <w:szCs w:val="22"/>
          <w:highlight w:val="cyan"/>
          <w:u w:val="single"/>
          <w:lang w:val="es-US" w:eastAsia="es-ES"/>
        </w:rPr>
        <w:br/>
      </w:r>
    </w:p>
    <w:p w14:paraId="547EE7E8" w14:textId="70DB53E5" w:rsidR="00DD14A6" w:rsidRPr="006101B3" w:rsidRDefault="006101B3" w:rsidP="006101B3">
      <w:pPr>
        <w:jc w:val="center"/>
        <w:rPr>
          <w:color w:val="000000"/>
          <w:sz w:val="22"/>
          <w:szCs w:val="22"/>
          <w:lang w:val="es-UY"/>
        </w:rPr>
        <w:sectPr w:rsidR="00DD14A6" w:rsidRPr="006101B3">
          <w:headerReference w:type="first" r:id="rId9"/>
          <w:pgSz w:w="12240" w:h="15840"/>
          <w:pgMar w:top="2160" w:right="1570" w:bottom="1296" w:left="1699" w:header="720" w:footer="720" w:gutter="0"/>
          <w:pgNumType w:start="0"/>
          <w:cols w:space="720"/>
          <w:docGrid w:linePitch="360"/>
        </w:sectPr>
      </w:pPr>
      <w:bookmarkStart w:id="0" w:name="_Hlk54341521"/>
      <w:r w:rsidRPr="006101B3">
        <w:rPr>
          <w:sz w:val="22"/>
          <w:szCs w:val="22"/>
          <w:lang w:val="es-ES_tradnl"/>
        </w:rPr>
        <w:t>VERSIÓN DE LA SESIÓN PLENARIA</w:t>
      </w:r>
    </w:p>
    <w:p w14:paraId="49D2C7D1" w14:textId="77777777" w:rsidR="006D76BC" w:rsidRDefault="006D76BC" w:rsidP="009D726B">
      <w:pPr>
        <w:jc w:val="center"/>
        <w:rPr>
          <w:b/>
          <w:sz w:val="22"/>
          <w:szCs w:val="22"/>
          <w:lang w:val="es-US"/>
        </w:rPr>
        <w:sectPr w:rsidR="006D76BC" w:rsidSect="00BE6A2D">
          <w:headerReference w:type="even" r:id="rId10"/>
          <w:headerReference w:type="default" r:id="rId11"/>
          <w:footerReference w:type="even" r:id="rId12"/>
          <w:footerReference w:type="default" r:id="rId13"/>
          <w:pgSz w:w="12240" w:h="15840"/>
          <w:pgMar w:top="1440" w:right="1440" w:bottom="1440" w:left="1440" w:header="720" w:footer="720" w:gutter="0"/>
          <w:pgNumType w:fmt="numberInDash" w:start="1"/>
          <w:cols w:space="720"/>
          <w:titlePg/>
          <w:docGrid w:linePitch="360"/>
        </w:sectPr>
      </w:pPr>
    </w:p>
    <w:p w14:paraId="29C9B9AE" w14:textId="77777777" w:rsidR="009D726B" w:rsidRPr="00282A68" w:rsidRDefault="009D726B" w:rsidP="009D726B">
      <w:pPr>
        <w:jc w:val="center"/>
        <w:rPr>
          <w:bCs/>
          <w:color w:val="FF0000"/>
          <w:sz w:val="22"/>
          <w:szCs w:val="22"/>
          <w:lang w:val="es-US" w:eastAsia="es-ES"/>
        </w:rPr>
      </w:pPr>
      <w:r w:rsidRPr="00282A68">
        <w:rPr>
          <w:b/>
          <w:sz w:val="22"/>
          <w:szCs w:val="22"/>
          <w:lang w:val="es-US"/>
        </w:rPr>
        <w:t>COMITÉ DE EXPERTOS DEL MECANISMO DE SEGUIMIENTO</w:t>
      </w:r>
    </w:p>
    <w:p w14:paraId="3AE501AE" w14:textId="77777777" w:rsidR="009D726B" w:rsidRPr="00282A68" w:rsidRDefault="009D726B" w:rsidP="009D726B">
      <w:pPr>
        <w:keepNext/>
        <w:jc w:val="center"/>
        <w:outlineLvl w:val="0"/>
        <w:rPr>
          <w:b/>
          <w:sz w:val="22"/>
          <w:szCs w:val="22"/>
          <w:lang w:val="es-US"/>
        </w:rPr>
      </w:pPr>
      <w:r w:rsidRPr="00282A68">
        <w:rPr>
          <w:b/>
          <w:sz w:val="22"/>
          <w:szCs w:val="22"/>
          <w:lang w:val="es-US"/>
        </w:rPr>
        <w:t>DE LA IMPLEMENTACIÓN DE LA CONVENCIÓN INTERAMERICANA CONTRA LA CORRUPCIÓN (MESICIC)</w:t>
      </w:r>
    </w:p>
    <w:p w14:paraId="7E7E5643" w14:textId="77777777" w:rsidR="009D726B" w:rsidRPr="00282A68" w:rsidRDefault="009D726B" w:rsidP="009D726B">
      <w:pPr>
        <w:keepNext/>
        <w:jc w:val="center"/>
        <w:outlineLvl w:val="0"/>
        <w:rPr>
          <w:b/>
          <w:bCs/>
          <w:sz w:val="22"/>
          <w:szCs w:val="22"/>
          <w:lang w:val="es-US"/>
        </w:rPr>
      </w:pPr>
    </w:p>
    <w:p w14:paraId="0380DA5D" w14:textId="0D20F195" w:rsidR="00464BEE" w:rsidRDefault="009D726B" w:rsidP="006101B3">
      <w:pPr>
        <w:pStyle w:val="BodyText2"/>
        <w:spacing w:after="0" w:line="240" w:lineRule="auto"/>
        <w:jc w:val="center"/>
        <w:rPr>
          <w:b/>
          <w:sz w:val="22"/>
          <w:szCs w:val="22"/>
          <w:lang w:val="es-US"/>
        </w:rPr>
      </w:pPr>
      <w:r w:rsidRPr="00282A68">
        <w:rPr>
          <w:b/>
          <w:bCs/>
          <w:sz w:val="22"/>
          <w:szCs w:val="22"/>
          <w:lang w:val="es-US"/>
        </w:rPr>
        <w:t xml:space="preserve">PROYECTO DE INFORME RELATIVO AL SEGUIMIENTO DE LA IMPLEMENTACIÓN EN </w:t>
      </w:r>
      <w:r w:rsidRPr="00282A68">
        <w:rPr>
          <w:b/>
          <w:bCs/>
          <w:sz w:val="22"/>
          <w:szCs w:val="22"/>
          <w:u w:val="single"/>
          <w:lang w:val="es-US"/>
        </w:rPr>
        <w:t>ESTADOS UNIDOS</w:t>
      </w:r>
      <w:r w:rsidRPr="00282A68">
        <w:rPr>
          <w:b/>
          <w:bCs/>
          <w:sz w:val="22"/>
          <w:szCs w:val="22"/>
          <w:lang w:val="es-US"/>
        </w:rPr>
        <w:t xml:space="preserve"> DE LAS RECOMENDACIONES FORMULADAS Y LAS DISPOSICIONES ANALIZADAS EN LA TERCERA RONDA, ASÍ COMO CON RESPECTO A LA DISPOSICION DE LA CONVENCIÓN SELECCIONADA PARA LA SEXTA RONDA</w:t>
      </w:r>
      <w:r w:rsidR="00A20227" w:rsidRPr="00282A68">
        <w:rPr>
          <w:rStyle w:val="FootnoteReference"/>
          <w:b/>
          <w:bCs/>
          <w:sz w:val="22"/>
          <w:szCs w:val="22"/>
          <w:lang w:val="es-US"/>
        </w:rPr>
        <w:footnoteReference w:id="2"/>
      </w:r>
      <w:bookmarkEnd w:id="0"/>
    </w:p>
    <w:p w14:paraId="22967E93" w14:textId="77777777" w:rsidR="00350F3C" w:rsidRDefault="00350F3C" w:rsidP="003B5C52">
      <w:pPr>
        <w:jc w:val="both"/>
        <w:outlineLvl w:val="0"/>
        <w:rPr>
          <w:b/>
          <w:sz w:val="22"/>
          <w:szCs w:val="22"/>
          <w:lang w:val="es-US"/>
        </w:rPr>
      </w:pPr>
    </w:p>
    <w:p w14:paraId="68D84CE2" w14:textId="77777777" w:rsidR="00350F3C" w:rsidRPr="00282A68" w:rsidRDefault="00350F3C" w:rsidP="003B5C52">
      <w:pPr>
        <w:jc w:val="both"/>
        <w:outlineLvl w:val="0"/>
        <w:rPr>
          <w:b/>
          <w:sz w:val="22"/>
          <w:szCs w:val="22"/>
          <w:lang w:val="es-US"/>
        </w:rPr>
      </w:pPr>
    </w:p>
    <w:p w14:paraId="4114D24B" w14:textId="05D65A00" w:rsidR="00FA1BA1" w:rsidRPr="00282A68" w:rsidRDefault="00E04ADA" w:rsidP="003B5C52">
      <w:pPr>
        <w:jc w:val="both"/>
        <w:outlineLvl w:val="0"/>
        <w:rPr>
          <w:b/>
          <w:sz w:val="22"/>
          <w:szCs w:val="22"/>
          <w:lang w:val="es-US"/>
        </w:rPr>
      </w:pPr>
      <w:r w:rsidRPr="00282A68">
        <w:rPr>
          <w:b/>
          <w:sz w:val="22"/>
          <w:szCs w:val="22"/>
          <w:lang w:val="es-US"/>
        </w:rPr>
        <w:t>INTRODUCCI</w:t>
      </w:r>
      <w:r w:rsidRPr="00282A68">
        <w:rPr>
          <w:b/>
          <w:bCs/>
          <w:sz w:val="22"/>
          <w:szCs w:val="22"/>
          <w:lang w:val="es-US"/>
        </w:rPr>
        <w:t>Ó</w:t>
      </w:r>
      <w:r w:rsidRPr="00282A68">
        <w:rPr>
          <w:b/>
          <w:sz w:val="22"/>
          <w:szCs w:val="22"/>
          <w:lang w:val="es-US"/>
        </w:rPr>
        <w:t>N</w:t>
      </w:r>
    </w:p>
    <w:p w14:paraId="76F9866A" w14:textId="77777777" w:rsidR="000D5319" w:rsidRPr="00282A68" w:rsidRDefault="000D5319" w:rsidP="003B5C52">
      <w:pPr>
        <w:jc w:val="both"/>
        <w:outlineLvl w:val="0"/>
        <w:rPr>
          <w:b/>
          <w:sz w:val="22"/>
          <w:szCs w:val="22"/>
          <w:lang w:val="es-US" w:eastAsia="es-ES"/>
        </w:rPr>
      </w:pPr>
    </w:p>
    <w:p w14:paraId="56D4546C" w14:textId="7E693049" w:rsidR="00FA1BA1" w:rsidRPr="00282A68" w:rsidRDefault="00AC206F" w:rsidP="00113B65">
      <w:pPr>
        <w:numPr>
          <w:ilvl w:val="0"/>
          <w:numId w:val="2"/>
        </w:numPr>
        <w:suppressAutoHyphens/>
        <w:jc w:val="both"/>
        <w:rPr>
          <w:b/>
          <w:sz w:val="22"/>
          <w:szCs w:val="22"/>
          <w:lang w:val="es-US" w:eastAsia="es-ES"/>
        </w:rPr>
      </w:pPr>
      <w:r w:rsidRPr="00282A68">
        <w:rPr>
          <w:b/>
          <w:sz w:val="22"/>
          <w:szCs w:val="22"/>
          <w:lang w:val="es-US"/>
        </w:rPr>
        <w:t>Contenido del Informe</w:t>
      </w:r>
      <w:r w:rsidR="00E01232" w:rsidRPr="00282A68">
        <w:rPr>
          <w:b/>
          <w:sz w:val="22"/>
          <w:szCs w:val="22"/>
          <w:lang w:val="es-US"/>
        </w:rPr>
        <w:t>.</w:t>
      </w:r>
    </w:p>
    <w:p w14:paraId="2AB7A786" w14:textId="77777777" w:rsidR="00FA1BA1" w:rsidRDefault="00FA1BA1" w:rsidP="003B5C52">
      <w:pPr>
        <w:jc w:val="both"/>
        <w:rPr>
          <w:sz w:val="22"/>
          <w:szCs w:val="22"/>
          <w:lang w:val="es-US"/>
        </w:rPr>
      </w:pPr>
    </w:p>
    <w:p w14:paraId="7DB5CFE4" w14:textId="1C9D90C7" w:rsidR="0087093C" w:rsidRPr="00282A68" w:rsidRDefault="00F80A04" w:rsidP="0087093C">
      <w:pPr>
        <w:pStyle w:val="BodyTextIndent2"/>
        <w:numPr>
          <w:ilvl w:val="0"/>
          <w:numId w:val="1"/>
        </w:numPr>
        <w:tabs>
          <w:tab w:val="left" w:pos="540"/>
        </w:tabs>
        <w:rPr>
          <w:rFonts w:ascii="Times New Roman" w:hAnsi="Times New Roman"/>
          <w:spacing w:val="0"/>
          <w:lang w:val="es-US"/>
        </w:rPr>
      </w:pPr>
      <w:r w:rsidRPr="00104EB9">
        <w:rPr>
          <w:rFonts w:ascii="Times New Roman" w:hAnsi="Times New Roman"/>
          <w:lang w:val="es-ES"/>
        </w:rPr>
        <w:t>Como lo decidió</w:t>
      </w:r>
      <w:r w:rsidRPr="00104EB9">
        <w:rPr>
          <w:rFonts w:ascii="Times New Roman" w:hAnsi="Times New Roman"/>
          <w:lang w:val="es-US"/>
        </w:rPr>
        <w:t xml:space="preserve"> </w:t>
      </w:r>
      <w:r w:rsidR="0087093C" w:rsidRPr="00282A68">
        <w:rPr>
          <w:rFonts w:ascii="Times New Roman" w:hAnsi="Times New Roman"/>
          <w:lang w:val="es-US"/>
        </w:rPr>
        <w:t>el Comité de Expertos (en adelante “el Comité”) del Mecanismo de Seguimiento de la Convención Interamericana contra la Corrupción (en adelante “MESICIC”) en su Trigésima Cuarta Reunión,</w:t>
      </w:r>
      <w:r w:rsidR="0087093C" w:rsidRPr="00282A68">
        <w:rPr>
          <w:rFonts w:ascii="Times New Roman" w:hAnsi="Times New Roman"/>
          <w:vertAlign w:val="superscript"/>
          <w:lang w:val="es-US" w:eastAsia="es-ES"/>
        </w:rPr>
        <w:footnoteReference w:id="3"/>
      </w:r>
      <w:r w:rsidR="0087093C" w:rsidRPr="00282A68">
        <w:rPr>
          <w:rFonts w:ascii="Times New Roman" w:hAnsi="Times New Roman"/>
          <w:lang w:val="es-US" w:eastAsia="es-ES"/>
        </w:rPr>
        <w:t xml:space="preserve"> </w:t>
      </w:r>
      <w:r w:rsidR="0087093C" w:rsidRPr="00282A68">
        <w:rPr>
          <w:rFonts w:ascii="Times New Roman" w:hAnsi="Times New Roman"/>
          <w:lang w:val="es-US"/>
        </w:rPr>
        <w:t xml:space="preserve">el presente Informe se referirá, en primer lugar, al seguimiento de la implementación de las recomendaciones formuladas a </w:t>
      </w:r>
      <w:r w:rsidR="00AF303B" w:rsidRPr="00282A68">
        <w:rPr>
          <w:rFonts w:ascii="Times New Roman" w:hAnsi="Times New Roman"/>
          <w:lang w:val="es-US"/>
        </w:rPr>
        <w:t>Estados Unidos</w:t>
      </w:r>
      <w:r w:rsidR="0087093C" w:rsidRPr="00282A68">
        <w:rPr>
          <w:rFonts w:ascii="Times New Roman" w:hAnsi="Times New Roman"/>
          <w:lang w:val="es-US"/>
        </w:rPr>
        <w:t xml:space="preserve"> en el Informe de la Tercera Ronda</w:t>
      </w:r>
      <w:r w:rsidR="0087093C" w:rsidRPr="00282A68">
        <w:rPr>
          <w:rStyle w:val="FootnoteReference"/>
          <w:rFonts w:ascii="Times New Roman" w:hAnsi="Times New Roman"/>
          <w:lang w:val="es-US"/>
        </w:rPr>
        <w:footnoteReference w:id="4"/>
      </w:r>
      <w:r w:rsidR="0087093C" w:rsidRPr="00282A68">
        <w:rPr>
          <w:rFonts w:ascii="Times New Roman" w:hAnsi="Times New Roman"/>
          <w:lang w:val="es-US"/>
        </w:rPr>
        <w:t xml:space="preserve">. </w:t>
      </w:r>
      <w:r w:rsidR="0087093C" w:rsidRPr="00282A68">
        <w:rPr>
          <w:rFonts w:ascii="Times New Roman" w:hAnsi="Times New Roman"/>
          <w:spacing w:val="0"/>
          <w:vertAlign w:val="superscript"/>
          <w:lang w:val="es-US"/>
        </w:rPr>
        <w:t xml:space="preserve"> </w:t>
      </w:r>
    </w:p>
    <w:p w14:paraId="42F567B2" w14:textId="77777777" w:rsidR="0087093C" w:rsidRPr="00282A68" w:rsidRDefault="0087093C" w:rsidP="0087093C">
      <w:pPr>
        <w:pStyle w:val="BodyTextIndent2"/>
        <w:tabs>
          <w:tab w:val="left" w:pos="540"/>
        </w:tabs>
        <w:ind w:left="10"/>
        <w:rPr>
          <w:rFonts w:ascii="Times New Roman" w:hAnsi="Times New Roman"/>
          <w:spacing w:val="0"/>
          <w:lang w:val="es-US"/>
        </w:rPr>
      </w:pPr>
    </w:p>
    <w:p w14:paraId="5B97F9E5" w14:textId="7CF63E6B" w:rsidR="0087093C" w:rsidRPr="00282A68" w:rsidRDefault="0087093C" w:rsidP="0087093C">
      <w:pPr>
        <w:pStyle w:val="BodyTextIndent2"/>
        <w:numPr>
          <w:ilvl w:val="0"/>
          <w:numId w:val="1"/>
        </w:numPr>
        <w:tabs>
          <w:tab w:val="left" w:pos="540"/>
        </w:tabs>
        <w:rPr>
          <w:rFonts w:ascii="Times New Roman" w:hAnsi="Times New Roman"/>
          <w:spacing w:val="0"/>
          <w:lang w:val="es-US"/>
        </w:rPr>
      </w:pPr>
      <w:r w:rsidRPr="00282A68">
        <w:rPr>
          <w:rFonts w:ascii="Times New Roman" w:hAnsi="Times New Roman"/>
          <w:lang w:val="es-US"/>
        </w:rPr>
        <w:t xml:space="preserve">En segundo lugar, se referirá, cuando corresponda, a los desarrollos nuevos dados en </w:t>
      </w:r>
      <w:r w:rsidR="00AF303B" w:rsidRPr="00282A68">
        <w:rPr>
          <w:rFonts w:ascii="Times New Roman" w:hAnsi="Times New Roman"/>
          <w:lang w:val="es-US"/>
        </w:rPr>
        <w:t>Estados Unidos</w:t>
      </w:r>
      <w:r w:rsidRPr="00282A68">
        <w:rPr>
          <w:rFonts w:ascii="Times New Roman" w:hAnsi="Times New Roman"/>
          <w:lang w:val="es-US"/>
        </w:rPr>
        <w:t xml:space="preserve"> en relación con las disposiciones de la Convención Interamericana contra la Corrupción (en adelante “la Convención”) que fueron seleccionadas para la Tercera Ronda, en aspectos tales como el marco jurídico, los desarrollos tecnológicos y los resultados, y se procederá a formular las observaciones y recomendaciones a que haya lugar</w:t>
      </w:r>
      <w:r w:rsidRPr="00282A68">
        <w:rPr>
          <w:rFonts w:ascii="Times New Roman" w:hAnsi="Times New Roman"/>
          <w:spacing w:val="0"/>
          <w:lang w:val="es-US"/>
        </w:rPr>
        <w:t xml:space="preserve">. </w:t>
      </w:r>
    </w:p>
    <w:p w14:paraId="705AA50C" w14:textId="77777777" w:rsidR="0087093C" w:rsidRPr="00282A68" w:rsidRDefault="0087093C" w:rsidP="0087093C">
      <w:pPr>
        <w:pStyle w:val="ListParagraph"/>
        <w:jc w:val="both"/>
        <w:rPr>
          <w:lang w:val="es-US" w:eastAsia="es-ES"/>
        </w:rPr>
      </w:pPr>
    </w:p>
    <w:p w14:paraId="14A7EEB2" w14:textId="41ACCA7C" w:rsidR="00FA1BA1" w:rsidRPr="00282A68" w:rsidRDefault="0087093C" w:rsidP="0087093C">
      <w:pPr>
        <w:numPr>
          <w:ilvl w:val="0"/>
          <w:numId w:val="1"/>
        </w:numPr>
        <w:ind w:hanging="10"/>
        <w:jc w:val="both"/>
        <w:rPr>
          <w:rFonts w:eastAsia="Calibri"/>
          <w:sz w:val="22"/>
          <w:szCs w:val="22"/>
          <w:lang w:val="es-US" w:eastAsia="es-ES"/>
        </w:rPr>
      </w:pPr>
      <w:r w:rsidRPr="00282A68">
        <w:rPr>
          <w:sz w:val="22"/>
          <w:szCs w:val="22"/>
          <w:lang w:val="es-US" w:eastAsia="es-ES"/>
        </w:rPr>
        <w:t xml:space="preserve">En </w:t>
      </w:r>
      <w:r w:rsidRPr="00282A68">
        <w:rPr>
          <w:sz w:val="22"/>
          <w:szCs w:val="22"/>
          <w:lang w:val="es-US"/>
        </w:rPr>
        <w:t xml:space="preserve">tercer lugar, versará sobre la implementación en </w:t>
      </w:r>
      <w:r w:rsidR="00AF303B" w:rsidRPr="00282A68">
        <w:rPr>
          <w:sz w:val="22"/>
          <w:szCs w:val="22"/>
          <w:lang w:val="es-US"/>
        </w:rPr>
        <w:t>Estados Unidos</w:t>
      </w:r>
      <w:r w:rsidRPr="00282A68">
        <w:rPr>
          <w:sz w:val="22"/>
          <w:szCs w:val="22"/>
          <w:lang w:val="es-US"/>
        </w:rPr>
        <w:t xml:space="preserve"> de la disposición de la Convención seleccionada por el Comité para la Sexta Ronda de Análisis. Dicha disposición corresponde al artículo XVI de la Convención relativo al secreto bancario el cual lee: “</w:t>
      </w:r>
      <w:r w:rsidRPr="00282A68">
        <w:rPr>
          <w:i/>
          <w:iCs/>
          <w:sz w:val="22"/>
          <w:szCs w:val="22"/>
          <w:lang w:val="es-US"/>
        </w:rPr>
        <w:t>1.</w:t>
      </w:r>
      <w:r w:rsidRPr="00282A68">
        <w:rPr>
          <w:sz w:val="22"/>
          <w:szCs w:val="22"/>
          <w:lang w:val="es-US"/>
        </w:rPr>
        <w:t xml:space="preserve"> </w:t>
      </w:r>
      <w:r w:rsidRPr="00282A68">
        <w:rPr>
          <w:i/>
          <w:iCs/>
          <w:sz w:val="22"/>
          <w:szCs w:val="22"/>
          <w:lang w:val="es-US"/>
        </w:rPr>
        <w:t>El Estado Parte requerido no podrá negarse a proporcionar la asistencia solicitada por el Estado Parte requirente amparándose en el secreto bancario. Este artículo será aplicado por el Estado Parte requerido, de conformidad con su derecho interno, sus disposiciones de procedimiento o con los acuerdos bilaterales o multilaterales que lo vinculen con el Estado Parte requirente. 2. El Estado Parte requirente se obliga a no utilizar las informaciones protegidas por el secreto bancario que reciba, para ningún fin distinto del proceso para el cual hayan sido solicitadas, salvo autorización del Estado Parte requerido</w:t>
      </w:r>
      <w:r w:rsidRPr="00282A68">
        <w:rPr>
          <w:sz w:val="22"/>
          <w:szCs w:val="22"/>
          <w:lang w:val="es-US" w:eastAsia="es-ES"/>
        </w:rPr>
        <w:t>”.</w:t>
      </w:r>
    </w:p>
    <w:p w14:paraId="271426CA" w14:textId="77777777" w:rsidR="00A4625B" w:rsidRPr="00282A68" w:rsidRDefault="00A4625B" w:rsidP="00A4625B">
      <w:pPr>
        <w:pStyle w:val="ListParagraph"/>
        <w:rPr>
          <w:rFonts w:eastAsia="Calibri"/>
          <w:lang w:val="es-US" w:eastAsia="es-ES"/>
        </w:rPr>
      </w:pPr>
    </w:p>
    <w:p w14:paraId="32955CC1" w14:textId="457417D0" w:rsidR="00A4625B" w:rsidRPr="00282A68" w:rsidRDefault="00A4625B" w:rsidP="0087093C">
      <w:pPr>
        <w:numPr>
          <w:ilvl w:val="0"/>
          <w:numId w:val="1"/>
        </w:numPr>
        <w:ind w:hanging="10"/>
        <w:jc w:val="both"/>
        <w:rPr>
          <w:rFonts w:eastAsia="Calibri"/>
          <w:sz w:val="22"/>
          <w:szCs w:val="22"/>
          <w:lang w:val="es-US" w:eastAsia="es-ES"/>
        </w:rPr>
      </w:pPr>
      <w:r w:rsidRPr="00282A68">
        <w:rPr>
          <w:sz w:val="22"/>
          <w:szCs w:val="22"/>
          <w:lang w:val="es-US"/>
        </w:rPr>
        <w:t>En cuarto lugar, se hará referencia a las buenas prácticas, cuando corresponda, que el Estado analizado deseó voluntariamente dar a conocer respecto a las disposiciones de la Convención seleccionadas para la Tercera y la Sexta Rondas.</w:t>
      </w:r>
    </w:p>
    <w:p w14:paraId="097CCDE7" w14:textId="77777777" w:rsidR="00FA1BA1" w:rsidRPr="00282A68" w:rsidRDefault="00FA1BA1" w:rsidP="003B5C52">
      <w:pPr>
        <w:jc w:val="both"/>
        <w:rPr>
          <w:rFonts w:eastAsia="Calibri"/>
          <w:sz w:val="22"/>
          <w:szCs w:val="22"/>
          <w:highlight w:val="cyan"/>
          <w:lang w:val="es-US" w:eastAsia="es-ES"/>
        </w:rPr>
      </w:pPr>
    </w:p>
    <w:p w14:paraId="13F3C2FB" w14:textId="4B9C12BB" w:rsidR="00FA1BA1" w:rsidRPr="00282A68" w:rsidRDefault="003E75E5" w:rsidP="00113B65">
      <w:pPr>
        <w:numPr>
          <w:ilvl w:val="0"/>
          <w:numId w:val="2"/>
        </w:numPr>
        <w:jc w:val="both"/>
        <w:rPr>
          <w:b/>
          <w:bCs/>
          <w:sz w:val="22"/>
          <w:szCs w:val="22"/>
          <w:lang w:val="es-US"/>
        </w:rPr>
      </w:pPr>
      <w:r w:rsidRPr="00282A68">
        <w:rPr>
          <w:b/>
          <w:sz w:val="22"/>
          <w:szCs w:val="22"/>
          <w:lang w:val="es-US"/>
        </w:rPr>
        <w:t>Ratificación de la Convención y vinculación con el Mecanismo.</w:t>
      </w:r>
    </w:p>
    <w:p w14:paraId="098BC32C" w14:textId="77777777" w:rsidR="00FA1BA1" w:rsidRPr="00282A68" w:rsidRDefault="00FA1BA1" w:rsidP="003B5C52">
      <w:pPr>
        <w:ind w:left="720"/>
        <w:jc w:val="both"/>
        <w:rPr>
          <w:b/>
          <w:bCs/>
          <w:sz w:val="22"/>
          <w:szCs w:val="22"/>
          <w:lang w:val="es-US"/>
        </w:rPr>
      </w:pPr>
    </w:p>
    <w:p w14:paraId="52EFE8CF" w14:textId="6520D943" w:rsidR="00131367" w:rsidRDefault="00131367" w:rsidP="00131367">
      <w:pPr>
        <w:numPr>
          <w:ilvl w:val="0"/>
          <w:numId w:val="1"/>
        </w:numPr>
        <w:jc w:val="both"/>
        <w:rPr>
          <w:sz w:val="22"/>
          <w:szCs w:val="22"/>
          <w:lang w:val="es-US"/>
        </w:rPr>
      </w:pPr>
      <w:r w:rsidRPr="00282A68">
        <w:rPr>
          <w:sz w:val="22"/>
          <w:szCs w:val="22"/>
          <w:lang w:val="es-US"/>
        </w:rPr>
        <w:t xml:space="preserve">De acuerdo con el registro oficial de la Secretaría General de la OEA, Estados Unidos ratificó la Convención el 15 de septiembre de 2000 y depositó el instrumento respectivo de ratificación el 29 de septiembre de ese mismo año. </w:t>
      </w:r>
    </w:p>
    <w:p w14:paraId="73966BF8" w14:textId="77777777" w:rsidR="00596E74" w:rsidRDefault="00596E74" w:rsidP="00596E74">
      <w:pPr>
        <w:ind w:left="10"/>
        <w:jc w:val="both"/>
        <w:rPr>
          <w:sz w:val="22"/>
          <w:szCs w:val="22"/>
          <w:lang w:val="es-US"/>
        </w:rPr>
      </w:pPr>
    </w:p>
    <w:p w14:paraId="67B7E49F" w14:textId="515600F6" w:rsidR="00FA1BA1" w:rsidRPr="00282A68" w:rsidRDefault="00131367" w:rsidP="00131367">
      <w:pPr>
        <w:numPr>
          <w:ilvl w:val="0"/>
          <w:numId w:val="1"/>
        </w:numPr>
        <w:ind w:hanging="10"/>
        <w:jc w:val="both"/>
        <w:rPr>
          <w:sz w:val="22"/>
          <w:szCs w:val="22"/>
          <w:lang w:val="es-US"/>
        </w:rPr>
      </w:pPr>
      <w:r w:rsidRPr="00282A68">
        <w:rPr>
          <w:sz w:val="22"/>
          <w:szCs w:val="22"/>
          <w:lang w:val="es-US"/>
        </w:rPr>
        <w:t>Asimismo, suscribió la Declaración sobre el Mecanismo de Seguimiento de la Implementación de la Convención Interamericana contra la Corrupción el día 4 de junio de 2001</w:t>
      </w:r>
      <w:r w:rsidR="006E3111" w:rsidRPr="00282A68">
        <w:rPr>
          <w:sz w:val="22"/>
          <w:szCs w:val="22"/>
          <w:lang w:val="es-US"/>
        </w:rPr>
        <w:t>.</w:t>
      </w:r>
    </w:p>
    <w:p w14:paraId="14CAA0C6" w14:textId="77777777" w:rsidR="00FA1BA1" w:rsidRPr="00282A68" w:rsidRDefault="00FA1BA1" w:rsidP="003B5C52">
      <w:pPr>
        <w:jc w:val="both"/>
        <w:rPr>
          <w:b/>
          <w:bCs/>
          <w:sz w:val="22"/>
          <w:szCs w:val="22"/>
          <w:lang w:val="es-US"/>
        </w:rPr>
      </w:pPr>
    </w:p>
    <w:p w14:paraId="3C868CD1" w14:textId="7341C278" w:rsidR="00FA1BA1" w:rsidRPr="00282A68" w:rsidRDefault="008B1463" w:rsidP="00113B65">
      <w:pPr>
        <w:numPr>
          <w:ilvl w:val="0"/>
          <w:numId w:val="3"/>
        </w:numPr>
        <w:tabs>
          <w:tab w:val="clear" w:pos="1080"/>
          <w:tab w:val="num" w:pos="360"/>
        </w:tabs>
        <w:ind w:left="360" w:hanging="360"/>
        <w:jc w:val="both"/>
        <w:rPr>
          <w:b/>
          <w:bCs/>
          <w:sz w:val="22"/>
          <w:szCs w:val="22"/>
          <w:lang w:val="es-US"/>
        </w:rPr>
      </w:pPr>
      <w:r w:rsidRPr="00282A68">
        <w:rPr>
          <w:b/>
          <w:sz w:val="22"/>
          <w:szCs w:val="22"/>
          <w:lang w:val="es-US"/>
        </w:rPr>
        <w:t>SUMARIO DE LA INFORMACIÓN RECIBIDA</w:t>
      </w:r>
      <w:r w:rsidR="00E01232" w:rsidRPr="00282A68">
        <w:rPr>
          <w:b/>
          <w:sz w:val="22"/>
          <w:szCs w:val="22"/>
          <w:lang w:val="es-US"/>
        </w:rPr>
        <w:t>.</w:t>
      </w:r>
    </w:p>
    <w:p w14:paraId="10D5134F" w14:textId="77777777" w:rsidR="00FA1BA1" w:rsidRPr="00282A68" w:rsidRDefault="00FA1BA1" w:rsidP="003B5C52">
      <w:pPr>
        <w:ind w:left="360"/>
        <w:jc w:val="both"/>
        <w:rPr>
          <w:b/>
          <w:bCs/>
          <w:sz w:val="22"/>
          <w:szCs w:val="22"/>
          <w:highlight w:val="cyan"/>
          <w:lang w:val="es-US"/>
        </w:rPr>
      </w:pPr>
    </w:p>
    <w:p w14:paraId="595267F5" w14:textId="2BA0DC7C" w:rsidR="00FA1BA1" w:rsidRPr="00282A68" w:rsidRDefault="00062BB5" w:rsidP="00113B65">
      <w:pPr>
        <w:numPr>
          <w:ilvl w:val="3"/>
          <w:numId w:val="3"/>
        </w:numPr>
        <w:tabs>
          <w:tab w:val="clear" w:pos="2880"/>
          <w:tab w:val="num" w:pos="720"/>
        </w:tabs>
        <w:ind w:left="720"/>
        <w:jc w:val="both"/>
        <w:rPr>
          <w:b/>
          <w:bCs/>
          <w:sz w:val="22"/>
          <w:szCs w:val="22"/>
          <w:lang w:val="es-US"/>
        </w:rPr>
      </w:pPr>
      <w:r w:rsidRPr="00282A68">
        <w:rPr>
          <w:b/>
          <w:sz w:val="22"/>
          <w:szCs w:val="22"/>
          <w:lang w:val="es-US"/>
        </w:rPr>
        <w:t>Respuesta de Estados Unidos</w:t>
      </w:r>
      <w:r w:rsidR="00E01232" w:rsidRPr="00282A68">
        <w:rPr>
          <w:b/>
          <w:sz w:val="22"/>
          <w:szCs w:val="22"/>
          <w:lang w:val="es-US"/>
        </w:rPr>
        <w:t>.</w:t>
      </w:r>
      <w:r w:rsidR="00D93774" w:rsidRPr="00282A68">
        <w:rPr>
          <w:b/>
          <w:sz w:val="22"/>
          <w:szCs w:val="22"/>
          <w:lang w:val="es-US"/>
        </w:rPr>
        <w:t xml:space="preserve"> </w:t>
      </w:r>
    </w:p>
    <w:p w14:paraId="496B0CED" w14:textId="77777777" w:rsidR="00FA1BA1" w:rsidRPr="00282A68" w:rsidRDefault="00FA1BA1" w:rsidP="003B5C52">
      <w:pPr>
        <w:ind w:left="720"/>
        <w:jc w:val="both"/>
        <w:rPr>
          <w:b/>
          <w:bCs/>
          <w:sz w:val="22"/>
          <w:szCs w:val="22"/>
          <w:lang w:val="es-US"/>
        </w:rPr>
      </w:pPr>
    </w:p>
    <w:p w14:paraId="5FF04EA0" w14:textId="77777777" w:rsidR="00B521EB" w:rsidRPr="00282A68" w:rsidRDefault="00B521EB" w:rsidP="00B521EB">
      <w:pPr>
        <w:numPr>
          <w:ilvl w:val="0"/>
          <w:numId w:val="1"/>
        </w:numPr>
        <w:ind w:hanging="10"/>
        <w:jc w:val="both"/>
        <w:rPr>
          <w:sz w:val="22"/>
          <w:szCs w:val="22"/>
          <w:vertAlign w:val="superscript"/>
          <w:lang w:val="es-US" w:eastAsia="es-ES"/>
        </w:rPr>
      </w:pPr>
      <w:r w:rsidRPr="00282A68">
        <w:rPr>
          <w:rFonts w:eastAsia="Calibri"/>
          <w:noProof/>
          <w:sz w:val="22"/>
          <w:szCs w:val="22"/>
          <w:lang w:val="es-US"/>
        </w:rPr>
        <w:t xml:space="preserve">El Comité desea dejar constancia de la colaboración recibida </w:t>
      </w:r>
      <w:r w:rsidRPr="00282A68">
        <w:rPr>
          <w:rFonts w:eastAsia="Calibri"/>
          <w:sz w:val="22"/>
          <w:szCs w:val="22"/>
          <w:lang w:val="es-US"/>
        </w:rPr>
        <w:t>por parte de Estados Unidos</w:t>
      </w:r>
      <w:r w:rsidRPr="00282A68">
        <w:rPr>
          <w:rFonts w:eastAsia="Calibri"/>
          <w:noProof/>
          <w:sz w:val="22"/>
          <w:szCs w:val="22"/>
          <w:lang w:val="es-US"/>
        </w:rPr>
        <w:t xml:space="preserve"> en todo el proceso de análisis y, en especial, de la Oficina de Asuntos Internacionales sobre Narcóticos y Aplicación de la Ley del Departamento de Estado, el cual se hizo evidente, entre otros aspectos, en su Respuesta al Cuestionario y en la disponibilidad que siempre mostró para aclarar o completar el contenido de la misma, al igual que en el apoyo para la realización de la visita in situ a la que se hace referencia en el párrafo siguiente del presente informe. Estados Unidos envió junto con su respuesta las disposiciones y documentos que estimó pertinentes</w:t>
      </w:r>
      <w:r w:rsidRPr="00282A68">
        <w:rPr>
          <w:rFonts w:eastAsia="Calibri"/>
          <w:noProof/>
          <w:sz w:val="22"/>
          <w:szCs w:val="22"/>
          <w:vertAlign w:val="superscript"/>
          <w:lang w:val="es-US"/>
        </w:rPr>
        <w:footnoteReference w:id="5"/>
      </w:r>
      <w:r w:rsidRPr="00282A68">
        <w:rPr>
          <w:rFonts w:eastAsia="Calibri"/>
          <w:noProof/>
          <w:sz w:val="22"/>
          <w:szCs w:val="22"/>
          <w:lang w:val="es-US"/>
        </w:rPr>
        <w:t>.</w:t>
      </w:r>
    </w:p>
    <w:p w14:paraId="210535E1" w14:textId="77777777" w:rsidR="00B521EB" w:rsidRPr="00282A68" w:rsidRDefault="00B521EB" w:rsidP="00B521EB">
      <w:pPr>
        <w:ind w:left="10"/>
        <w:jc w:val="both"/>
        <w:rPr>
          <w:rFonts w:eastAsia="Calibri"/>
          <w:noProof/>
          <w:sz w:val="22"/>
          <w:szCs w:val="22"/>
          <w:lang w:val="es-US"/>
        </w:rPr>
      </w:pPr>
    </w:p>
    <w:p w14:paraId="5FF0C5D6" w14:textId="72AAFAF4" w:rsidR="00B521EB" w:rsidRPr="00282A68" w:rsidRDefault="00B521EB" w:rsidP="00B521EB">
      <w:pPr>
        <w:numPr>
          <w:ilvl w:val="0"/>
          <w:numId w:val="1"/>
        </w:numPr>
        <w:ind w:hanging="10"/>
        <w:jc w:val="both"/>
        <w:rPr>
          <w:i/>
          <w:noProof/>
          <w:sz w:val="22"/>
          <w:szCs w:val="22"/>
          <w:lang w:val="es-US"/>
        </w:rPr>
      </w:pPr>
      <w:r w:rsidRPr="00282A68">
        <w:rPr>
          <w:rFonts w:eastAsia="Calibri"/>
          <w:noProof/>
          <w:sz w:val="22"/>
          <w:szCs w:val="22"/>
          <w:lang w:val="es-US"/>
        </w:rPr>
        <w:t>Asimismo</w:t>
      </w:r>
      <w:r w:rsidRPr="00282A68">
        <w:rPr>
          <w:noProof/>
          <w:sz w:val="22"/>
          <w:szCs w:val="22"/>
          <w:lang w:val="es-US"/>
        </w:rPr>
        <w:t xml:space="preserve">, el Comité deja constancia que Estados Unidos otorgó su anuencia para la práctica de la visita in situ de conformidad con lo previsto en la disposición 5 de la </w:t>
      </w:r>
      <w:r w:rsidRPr="00282A68">
        <w:rPr>
          <w:i/>
          <w:noProof/>
          <w:sz w:val="22"/>
          <w:szCs w:val="22"/>
          <w:lang w:val="es-US"/>
        </w:rPr>
        <w:t>Metodología para la Realización de las Visitas In Situ</w:t>
      </w:r>
      <w:r w:rsidRPr="00282A68">
        <w:rPr>
          <w:rStyle w:val="FootnoteReference"/>
          <w:i/>
          <w:noProof/>
          <w:sz w:val="22"/>
          <w:szCs w:val="22"/>
          <w:lang w:val="es-US"/>
        </w:rPr>
        <w:footnoteReference w:id="6"/>
      </w:r>
      <w:r w:rsidRPr="00282A68">
        <w:rPr>
          <w:noProof/>
          <w:sz w:val="22"/>
          <w:szCs w:val="22"/>
          <w:lang w:val="es-US"/>
        </w:rPr>
        <w:t xml:space="preserve">, la cual se realizó del 18 al 20 de octubre de 2023, por parte de los representantes de Las Bahamas y Santa </w:t>
      </w:r>
      <w:r w:rsidR="00215969">
        <w:rPr>
          <w:noProof/>
          <w:sz w:val="22"/>
          <w:szCs w:val="22"/>
          <w:lang w:val="es-US"/>
        </w:rPr>
        <w:t>Luc</w:t>
      </w:r>
      <w:r w:rsidR="00215969" w:rsidRPr="00215969">
        <w:rPr>
          <w:noProof/>
          <w:sz w:val="22"/>
          <w:szCs w:val="22"/>
          <w:lang w:val="es-US"/>
        </w:rPr>
        <w:t>í</w:t>
      </w:r>
      <w:r w:rsidR="00215969">
        <w:rPr>
          <w:noProof/>
          <w:sz w:val="22"/>
          <w:szCs w:val="22"/>
          <w:lang w:val="es-US"/>
        </w:rPr>
        <w:t>a</w:t>
      </w:r>
      <w:r w:rsidRPr="00282A68">
        <w:rPr>
          <w:noProof/>
          <w:sz w:val="22"/>
          <w:szCs w:val="22"/>
          <w:lang w:val="es-US"/>
        </w:rPr>
        <w:t xml:space="preserve">, en su calidad de integrantes del Subgrupo de Análisis, contando para ello con el apoyo de la Secretaría Técnica del MESICIC. La información obtenida en dicha visita se incluye en los apartados correspondientes del presente informe y su agenda se anexa al mismo, de conformidad con lo previsto en la disposición 34 de la citada </w:t>
      </w:r>
      <w:r w:rsidRPr="00282A68">
        <w:rPr>
          <w:i/>
          <w:noProof/>
          <w:sz w:val="22"/>
          <w:szCs w:val="22"/>
          <w:lang w:val="es-US"/>
        </w:rPr>
        <w:t>Metodología.</w:t>
      </w:r>
    </w:p>
    <w:p w14:paraId="32E29F6D" w14:textId="77777777" w:rsidR="00B521EB" w:rsidRPr="00282A68" w:rsidRDefault="00B521EB" w:rsidP="00B521EB">
      <w:pPr>
        <w:pStyle w:val="ListParagraph"/>
        <w:rPr>
          <w:i/>
          <w:noProof/>
          <w:lang w:val="es-US"/>
        </w:rPr>
      </w:pPr>
    </w:p>
    <w:p w14:paraId="599B236D" w14:textId="3B0AD5AA" w:rsidR="00FA1BA1" w:rsidRPr="00282A68" w:rsidRDefault="00B521EB" w:rsidP="00B521EB">
      <w:pPr>
        <w:numPr>
          <w:ilvl w:val="0"/>
          <w:numId w:val="1"/>
        </w:numPr>
        <w:ind w:hanging="10"/>
        <w:jc w:val="both"/>
        <w:rPr>
          <w:b/>
          <w:bCs/>
          <w:i/>
          <w:iCs/>
          <w:sz w:val="22"/>
          <w:szCs w:val="22"/>
          <w:lang w:val="es-US"/>
        </w:rPr>
      </w:pPr>
      <w:r w:rsidRPr="00282A68">
        <w:rPr>
          <w:sz w:val="22"/>
          <w:szCs w:val="22"/>
          <w:lang w:val="es-US"/>
        </w:rPr>
        <w:t xml:space="preserve">El Comité tuvo en cuenta para su análisis la información suministrada por Estados Unidos hasta el día 20 de octubre de 2023, y la que fue aportada y le fue solicitada por la Secretaría Técnica y por los integrantes del subgrupo de análisis para el cumplimiento de sus funciones, de acuerdo con el </w:t>
      </w:r>
      <w:r w:rsidRPr="00282A68">
        <w:rPr>
          <w:i/>
          <w:iCs/>
          <w:sz w:val="22"/>
          <w:szCs w:val="22"/>
          <w:lang w:val="es-US"/>
        </w:rPr>
        <w:t>Reglamento y las Normas de Procedimiento del Comité</w:t>
      </w:r>
      <w:r w:rsidRPr="00282A68">
        <w:rPr>
          <w:sz w:val="22"/>
          <w:szCs w:val="22"/>
          <w:lang w:val="es-US"/>
        </w:rPr>
        <w:t>;</w:t>
      </w:r>
      <w:bookmarkStart w:id="1" w:name="_Hlk87890693"/>
      <w:r w:rsidRPr="00282A68">
        <w:rPr>
          <w:sz w:val="22"/>
          <w:szCs w:val="22"/>
          <w:vertAlign w:val="superscript"/>
          <w:lang w:val="es-US"/>
        </w:rPr>
        <w:footnoteReference w:id="7"/>
      </w:r>
      <w:r w:rsidRPr="00282A68">
        <w:rPr>
          <w:sz w:val="22"/>
          <w:szCs w:val="22"/>
          <w:lang w:val="es-US"/>
        </w:rPr>
        <w:t xml:space="preserve"> </w:t>
      </w:r>
      <w:bookmarkEnd w:id="1"/>
      <w:r w:rsidRPr="00282A68">
        <w:rPr>
          <w:sz w:val="22"/>
          <w:szCs w:val="22"/>
          <w:lang w:val="es-US"/>
        </w:rPr>
        <w:t xml:space="preserve">la </w:t>
      </w:r>
      <w:r w:rsidRPr="00282A68">
        <w:rPr>
          <w:i/>
          <w:iCs/>
          <w:sz w:val="22"/>
          <w:szCs w:val="22"/>
          <w:lang w:val="es-US"/>
        </w:rPr>
        <w:t>Metodología para el Seguimiento de la Implementación de las Recomendaciones Formuladas y las Disposiciones Analizadas en la Tercera Ronda y para el Análisis de la Disposición de la Convención seleccionada para la Sexta Ronda</w:t>
      </w:r>
      <w:r w:rsidRPr="00282A68">
        <w:rPr>
          <w:sz w:val="22"/>
          <w:szCs w:val="22"/>
          <w:lang w:val="es-US"/>
        </w:rPr>
        <w:t>;</w:t>
      </w:r>
      <w:r w:rsidRPr="00282A68">
        <w:rPr>
          <w:sz w:val="22"/>
          <w:szCs w:val="22"/>
          <w:vertAlign w:val="superscript"/>
          <w:lang w:val="es-US"/>
        </w:rPr>
        <w:footnoteReference w:id="8"/>
      </w:r>
      <w:r w:rsidRPr="00282A68">
        <w:rPr>
          <w:sz w:val="22"/>
          <w:szCs w:val="22"/>
          <w:lang w:val="es-US"/>
        </w:rPr>
        <w:t xml:space="preserve"> y la </w:t>
      </w:r>
      <w:r w:rsidRPr="00282A68">
        <w:rPr>
          <w:i/>
          <w:iCs/>
          <w:sz w:val="22"/>
          <w:szCs w:val="22"/>
          <w:lang w:val="es-US"/>
        </w:rPr>
        <w:t>Metodología para la Realización de las Visitas In Situ</w:t>
      </w:r>
      <w:r w:rsidR="00437D1D" w:rsidRPr="00282A68">
        <w:rPr>
          <w:sz w:val="22"/>
          <w:szCs w:val="22"/>
          <w:lang w:val="es-US"/>
        </w:rPr>
        <w:t>.</w:t>
      </w:r>
    </w:p>
    <w:p w14:paraId="601D1AB7" w14:textId="77777777" w:rsidR="00D61CFA" w:rsidRPr="00282A68" w:rsidRDefault="00D61CFA" w:rsidP="003B5C52">
      <w:pPr>
        <w:jc w:val="both"/>
        <w:rPr>
          <w:b/>
          <w:bCs/>
          <w:sz w:val="22"/>
          <w:szCs w:val="22"/>
          <w:lang w:val="es-US"/>
        </w:rPr>
      </w:pPr>
    </w:p>
    <w:p w14:paraId="2FAAEA7C" w14:textId="2CC3722B" w:rsidR="00FA1BA1" w:rsidRPr="00282A68" w:rsidRDefault="008508E6" w:rsidP="001F46A8">
      <w:pPr>
        <w:numPr>
          <w:ilvl w:val="3"/>
          <w:numId w:val="3"/>
        </w:numPr>
        <w:tabs>
          <w:tab w:val="clear" w:pos="2880"/>
          <w:tab w:val="num" w:pos="720"/>
        </w:tabs>
        <w:ind w:left="720"/>
        <w:jc w:val="both"/>
        <w:rPr>
          <w:b/>
          <w:sz w:val="22"/>
          <w:szCs w:val="22"/>
          <w:lang w:val="es-US"/>
        </w:rPr>
      </w:pPr>
      <w:r w:rsidRPr="00282A68">
        <w:rPr>
          <w:b/>
          <w:sz w:val="22"/>
          <w:szCs w:val="22"/>
          <w:lang w:val="es-US"/>
        </w:rPr>
        <w:t>Documentos e información recibidos de organizaciones de la sociedad civil y/o, entre otros, de organizaciones del sector privado, asociaciones profesionales, académicos e investigadores</w:t>
      </w:r>
      <w:r w:rsidR="00CB59E0" w:rsidRPr="00282A68">
        <w:rPr>
          <w:b/>
          <w:sz w:val="22"/>
          <w:szCs w:val="22"/>
          <w:lang w:val="es-US"/>
        </w:rPr>
        <w:t>.</w:t>
      </w:r>
    </w:p>
    <w:p w14:paraId="2EFB0671" w14:textId="77777777" w:rsidR="00CB59E0" w:rsidRPr="00282A68" w:rsidRDefault="00CB59E0" w:rsidP="00CB59E0">
      <w:pPr>
        <w:pStyle w:val="ListParagraph"/>
        <w:jc w:val="both"/>
        <w:rPr>
          <w:lang w:val="es-US"/>
        </w:rPr>
      </w:pPr>
    </w:p>
    <w:p w14:paraId="2402EA79" w14:textId="77777777" w:rsidR="00337C23" w:rsidRPr="00282A68" w:rsidRDefault="00337C23" w:rsidP="00337C23">
      <w:pPr>
        <w:numPr>
          <w:ilvl w:val="0"/>
          <w:numId w:val="1"/>
        </w:numPr>
        <w:ind w:hanging="10"/>
        <w:jc w:val="both"/>
        <w:rPr>
          <w:sz w:val="22"/>
          <w:szCs w:val="22"/>
          <w:lang w:val="es-US"/>
        </w:rPr>
      </w:pPr>
      <w:bookmarkStart w:id="2" w:name="_Hlk90303076"/>
      <w:r w:rsidRPr="00282A68">
        <w:rPr>
          <w:sz w:val="22"/>
          <w:szCs w:val="22"/>
          <w:lang w:val="es-US"/>
        </w:rPr>
        <w:t>El Comité no recibió, dentro del plazo fijado en el Calendario para la Sexta Ronda, documentos ni información de organizaciones de la sociedad civil de conformidad con lo previsto en el artículo 34, b), del Reglamento del Comité.</w:t>
      </w:r>
    </w:p>
    <w:bookmarkEnd w:id="2"/>
    <w:p w14:paraId="1EE9E333" w14:textId="77777777" w:rsidR="00337C23" w:rsidRPr="00282A68" w:rsidRDefault="00337C23" w:rsidP="00337C23">
      <w:pPr>
        <w:rPr>
          <w:lang w:val="es-US" w:eastAsia="es-ES"/>
        </w:rPr>
      </w:pPr>
    </w:p>
    <w:p w14:paraId="19234231" w14:textId="0DBDDAB2" w:rsidR="00CB59E0" w:rsidRPr="00282A68" w:rsidRDefault="00337C23" w:rsidP="00337C23">
      <w:pPr>
        <w:numPr>
          <w:ilvl w:val="0"/>
          <w:numId w:val="1"/>
        </w:numPr>
        <w:ind w:hanging="10"/>
        <w:jc w:val="both"/>
        <w:rPr>
          <w:sz w:val="22"/>
          <w:szCs w:val="22"/>
          <w:lang w:val="es-US" w:eastAsia="es-ES"/>
        </w:rPr>
      </w:pPr>
      <w:r w:rsidRPr="00282A68">
        <w:rPr>
          <w:sz w:val="22"/>
          <w:szCs w:val="22"/>
          <w:lang w:val="es-US"/>
        </w:rPr>
        <w:t xml:space="preserve">No obstante lo anterior, con ocasión de la práctica de la visita in situ se recabó información de organizaciones de la sociedad civil, del sector privado, asociaciones profesionales y académicos que fueron invitados a participar en reuniones con tal fin, de conformidad con lo previsto en la disposición 27 de la </w:t>
      </w:r>
      <w:r w:rsidRPr="009E1D1A">
        <w:rPr>
          <w:i/>
          <w:iCs/>
          <w:sz w:val="22"/>
          <w:szCs w:val="22"/>
          <w:lang w:val="es-US"/>
        </w:rPr>
        <w:lastRenderedPageBreak/>
        <w:t>Metodología para la Realización de las Visitas In Situ</w:t>
      </w:r>
      <w:r w:rsidRPr="00282A68">
        <w:rPr>
          <w:sz w:val="22"/>
          <w:szCs w:val="22"/>
          <w:lang w:val="es-US"/>
        </w:rPr>
        <w:t>, cuyo listado se incluye en la agenda de dicha visita que se anexa al presente informe. Esta información se refleja en los apartados correspondientes del mismo, en lo que resulta pertinente para sus propósitos</w:t>
      </w:r>
      <w:r w:rsidR="00CB59E0" w:rsidRPr="00282A68">
        <w:rPr>
          <w:sz w:val="22"/>
          <w:szCs w:val="22"/>
          <w:lang w:val="es-US" w:eastAsia="es-ES"/>
        </w:rPr>
        <w:t>.</w:t>
      </w:r>
    </w:p>
    <w:p w14:paraId="557FA7A4" w14:textId="77777777" w:rsidR="00FA1BA1" w:rsidRPr="00282A68" w:rsidRDefault="00FA1BA1" w:rsidP="003B5C52">
      <w:pPr>
        <w:jc w:val="both"/>
        <w:rPr>
          <w:b/>
          <w:bCs/>
          <w:sz w:val="22"/>
          <w:szCs w:val="22"/>
          <w:lang w:val="es-US"/>
        </w:rPr>
      </w:pPr>
    </w:p>
    <w:p w14:paraId="7D601E70" w14:textId="091B75A6" w:rsidR="00FA1BA1" w:rsidRPr="00282A68" w:rsidRDefault="001E090C" w:rsidP="00D15666">
      <w:pPr>
        <w:numPr>
          <w:ilvl w:val="0"/>
          <w:numId w:val="3"/>
        </w:numPr>
        <w:tabs>
          <w:tab w:val="clear" w:pos="1080"/>
          <w:tab w:val="num" w:pos="360"/>
        </w:tabs>
        <w:ind w:left="360" w:hanging="360"/>
        <w:jc w:val="both"/>
        <w:rPr>
          <w:b/>
          <w:bCs/>
          <w:sz w:val="22"/>
          <w:szCs w:val="22"/>
          <w:lang w:val="es-US"/>
        </w:rPr>
      </w:pPr>
      <w:r w:rsidRPr="00282A68">
        <w:rPr>
          <w:b/>
          <w:sz w:val="22"/>
          <w:szCs w:val="22"/>
          <w:lang w:val="es-US"/>
        </w:rPr>
        <w:t>SEGUIMIENTO DE LA IMPLEMENTACIÓN DE LAS RECOMENDACIONES FORMULADAS EN LA TERCERA RONDA Y DESARROLLOS NUEVOS EN RELACIÓN CON LAS DISPOSICIONES DE LA CONVENCIÓN SELECCIONADAS PARA SER ANALIZADAS EN DICHA RONDA</w:t>
      </w:r>
      <w:r w:rsidR="00E01232" w:rsidRPr="00282A68">
        <w:rPr>
          <w:b/>
          <w:sz w:val="22"/>
          <w:szCs w:val="22"/>
          <w:lang w:val="es-US"/>
        </w:rPr>
        <w:t>.</w:t>
      </w:r>
    </w:p>
    <w:p w14:paraId="6B7CA9F1" w14:textId="77777777" w:rsidR="00FA1BA1" w:rsidRPr="00282A68" w:rsidRDefault="00FA1BA1" w:rsidP="003B5C52">
      <w:pPr>
        <w:ind w:left="10"/>
        <w:jc w:val="both"/>
        <w:rPr>
          <w:b/>
          <w:bCs/>
          <w:sz w:val="22"/>
          <w:szCs w:val="22"/>
          <w:lang w:val="es-US"/>
        </w:rPr>
      </w:pPr>
    </w:p>
    <w:p w14:paraId="7C02D26E" w14:textId="6F5DF3B2" w:rsidR="00537156" w:rsidRPr="00282A68" w:rsidRDefault="00537156" w:rsidP="00537156">
      <w:pPr>
        <w:numPr>
          <w:ilvl w:val="0"/>
          <w:numId w:val="1"/>
        </w:numPr>
        <w:ind w:hanging="10"/>
        <w:jc w:val="both"/>
        <w:rPr>
          <w:sz w:val="22"/>
          <w:szCs w:val="22"/>
          <w:lang w:val="es-US"/>
        </w:rPr>
      </w:pPr>
      <w:r w:rsidRPr="00282A68">
        <w:rPr>
          <w:sz w:val="22"/>
          <w:szCs w:val="22"/>
          <w:lang w:val="es-US"/>
        </w:rPr>
        <w:t>En primer lugar, el Comité se referirá a continuación a los avances, información y desarrollos nuevos dados por Estados Unidos en relación con la implementación de las recomendaciones formuladas y las medidas sugeridas por el Comité para su implementación en el Informe de la Tercera Ronda,</w:t>
      </w:r>
      <w:r w:rsidR="00CA211E" w:rsidRPr="00282A68">
        <w:rPr>
          <w:sz w:val="22"/>
          <w:szCs w:val="22"/>
          <w:vertAlign w:val="superscript"/>
          <w:lang w:val="es-US" w:eastAsia="es-ES"/>
        </w:rPr>
        <w:footnoteReference w:id="9"/>
      </w:r>
      <w:r w:rsidRPr="00282A68">
        <w:rPr>
          <w:sz w:val="22"/>
          <w:szCs w:val="22"/>
          <w:lang w:val="es-US"/>
        </w:rPr>
        <w:t xml:space="preserve"> y se procederá a tomar nota de aquellas que han sido consideradas satisfactorias y de aquellas que necesiten atención adicional por parte el Estado analizado, y si es el caso, se referirá a la vigencia de tales recomendaciones y medidas y a su replanteamiento o reformulación, de acuerdo con lo previsto en el apartado V de la Metodología adoptada por el Comité para la Sexta Ronda.</w:t>
      </w:r>
    </w:p>
    <w:p w14:paraId="134FB04A" w14:textId="77777777" w:rsidR="00537156" w:rsidRPr="00282A68" w:rsidRDefault="00537156" w:rsidP="00537156">
      <w:pPr>
        <w:tabs>
          <w:tab w:val="left" w:pos="540"/>
        </w:tabs>
        <w:suppressAutoHyphens/>
        <w:ind w:left="10"/>
        <w:jc w:val="both"/>
        <w:rPr>
          <w:sz w:val="22"/>
          <w:szCs w:val="22"/>
          <w:lang w:val="es-US"/>
        </w:rPr>
      </w:pPr>
    </w:p>
    <w:p w14:paraId="732AB0C4" w14:textId="77777777" w:rsidR="00537156" w:rsidRPr="00282A68" w:rsidRDefault="00537156" w:rsidP="00537156">
      <w:pPr>
        <w:numPr>
          <w:ilvl w:val="0"/>
          <w:numId w:val="1"/>
        </w:numPr>
        <w:ind w:hanging="10"/>
        <w:jc w:val="both"/>
        <w:rPr>
          <w:sz w:val="22"/>
          <w:szCs w:val="22"/>
          <w:lang w:val="es-US"/>
        </w:rPr>
      </w:pPr>
      <w:r w:rsidRPr="00282A68">
        <w:rPr>
          <w:sz w:val="22"/>
          <w:szCs w:val="22"/>
          <w:lang w:val="es-US"/>
        </w:rPr>
        <w:t>En esta sección, el Comité, si corresponde, también tomará nota de las dificultades expresadas por el Estado analizado para la implementación de las recomendaciones y medidas aludidas en el párrafo anterior, así como de la cooperación técnica que haya sido requerida por el mismo con tal fin.</w:t>
      </w:r>
    </w:p>
    <w:p w14:paraId="47CC3DA6" w14:textId="77777777" w:rsidR="00537156" w:rsidRPr="00282A68" w:rsidRDefault="00537156" w:rsidP="00537156">
      <w:pPr>
        <w:tabs>
          <w:tab w:val="left" w:pos="540"/>
        </w:tabs>
        <w:suppressAutoHyphens/>
        <w:ind w:left="10"/>
        <w:jc w:val="both"/>
        <w:rPr>
          <w:sz w:val="22"/>
          <w:szCs w:val="22"/>
          <w:lang w:val="es-US"/>
        </w:rPr>
      </w:pPr>
    </w:p>
    <w:p w14:paraId="229AA1C5" w14:textId="0165D942" w:rsidR="00DC2290" w:rsidRPr="00282A68" w:rsidRDefault="00537156" w:rsidP="00537156">
      <w:pPr>
        <w:numPr>
          <w:ilvl w:val="0"/>
          <w:numId w:val="1"/>
        </w:numPr>
        <w:ind w:hanging="10"/>
        <w:jc w:val="both"/>
        <w:rPr>
          <w:sz w:val="22"/>
          <w:szCs w:val="22"/>
          <w:lang w:val="es-US" w:eastAsia="es-ES"/>
        </w:rPr>
      </w:pPr>
      <w:r w:rsidRPr="00282A68">
        <w:rPr>
          <w:sz w:val="22"/>
          <w:szCs w:val="22"/>
          <w:lang w:val="es-US"/>
        </w:rPr>
        <w:t>En segundo lugar, se hará referencia, cuando corresponda, a los desarrollos nuevos dados por Estados Unidos en relación con las disposiciones de la Convención que fueron seleccionadas para la Tercera Ronda, en aspectos tales como marco normativo, desarrollos tecnológicos y resultados, y se procederá a formular las observaciones y recomendaciones a que haya lugar</w:t>
      </w:r>
      <w:r w:rsidR="00300F74" w:rsidRPr="00282A68">
        <w:rPr>
          <w:sz w:val="22"/>
          <w:szCs w:val="22"/>
          <w:lang w:val="es-US" w:eastAsia="es-ES"/>
        </w:rPr>
        <w:t>.</w:t>
      </w:r>
    </w:p>
    <w:p w14:paraId="38941324" w14:textId="77777777" w:rsidR="002C1446" w:rsidRPr="00282A68" w:rsidRDefault="002C1446" w:rsidP="00DC2290">
      <w:pPr>
        <w:rPr>
          <w:sz w:val="22"/>
          <w:szCs w:val="22"/>
          <w:lang w:val="es-US"/>
        </w:rPr>
      </w:pPr>
    </w:p>
    <w:p w14:paraId="762A28BC" w14:textId="38FA5B20" w:rsidR="006E6920" w:rsidRPr="00282A68" w:rsidRDefault="00FD7543" w:rsidP="004F0439">
      <w:pPr>
        <w:pStyle w:val="ListParagraph"/>
        <w:numPr>
          <w:ilvl w:val="0"/>
          <w:numId w:val="6"/>
        </w:numPr>
        <w:jc w:val="both"/>
        <w:rPr>
          <w:rFonts w:eastAsia="Times New Roman"/>
          <w:b/>
          <w:lang w:val="es-US" w:eastAsia="es-ES"/>
        </w:rPr>
      </w:pPr>
      <w:r w:rsidRPr="00282A68">
        <w:rPr>
          <w:rFonts w:eastAsia="Times New Roman"/>
          <w:b/>
          <w:lang w:val="es-US" w:eastAsia="es-ES"/>
        </w:rPr>
        <w:t>NEGACIÓN O IMPEDIMENTO DE BENEFICIOS TRIBUTARIOS POR PAGOS QUE SE EFECTÚEN EN VIOLACIÓN DE LA LEGISLACIÓN CONTRA LA CORRUPCIÓN</w:t>
      </w:r>
      <w:r w:rsidRPr="00282A68">
        <w:rPr>
          <w:b/>
          <w:lang w:val="es-US"/>
        </w:rPr>
        <w:t xml:space="preserve"> (ARTÍCULO III, PÁRRAFO 7 DE LA CONVENCIÓN)</w:t>
      </w:r>
      <w:r w:rsidR="002E4097" w:rsidRPr="00282A68">
        <w:rPr>
          <w:rStyle w:val="FootnoteReference"/>
          <w:b/>
          <w:lang w:val="es-US"/>
        </w:rPr>
        <w:footnoteReference w:id="10"/>
      </w:r>
      <w:r w:rsidR="00E15D39" w:rsidRPr="00282A68">
        <w:rPr>
          <w:rStyle w:val="Hyperlink"/>
          <w:b/>
          <w:u w:val="none"/>
          <w:lang w:val="es-US"/>
        </w:rPr>
        <w:t>.</w:t>
      </w:r>
      <w:r w:rsidR="00B57583" w:rsidRPr="00282A68">
        <w:rPr>
          <w:rStyle w:val="FootnoteReference"/>
          <w:b/>
          <w:u w:color="000000"/>
          <w:lang w:val="es-US"/>
        </w:rPr>
        <w:t xml:space="preserve"> </w:t>
      </w:r>
    </w:p>
    <w:p w14:paraId="4A6999F9" w14:textId="77777777" w:rsidR="006E6920" w:rsidRPr="00282A68" w:rsidRDefault="006E6920" w:rsidP="006E6920">
      <w:pPr>
        <w:pStyle w:val="ListParagraph"/>
        <w:ind w:left="360"/>
        <w:jc w:val="both"/>
        <w:rPr>
          <w:rFonts w:eastAsia="Times New Roman"/>
          <w:b/>
          <w:lang w:val="es-US" w:eastAsia="es-ES"/>
        </w:rPr>
      </w:pPr>
    </w:p>
    <w:p w14:paraId="5044D207" w14:textId="72BA3462" w:rsidR="006E6920" w:rsidRPr="00282A68" w:rsidRDefault="0022171A" w:rsidP="004F0439">
      <w:pPr>
        <w:numPr>
          <w:ilvl w:val="1"/>
          <w:numId w:val="6"/>
        </w:numPr>
        <w:jc w:val="both"/>
        <w:rPr>
          <w:b/>
          <w:sz w:val="22"/>
          <w:szCs w:val="22"/>
          <w:lang w:val="es-US" w:eastAsia="es-ES"/>
        </w:rPr>
      </w:pPr>
      <w:r w:rsidRPr="00282A68">
        <w:rPr>
          <w:b/>
          <w:sz w:val="22"/>
          <w:szCs w:val="22"/>
          <w:lang w:val="es-US"/>
        </w:rPr>
        <w:t>Seguimiento de la implementación de la</w:t>
      </w:r>
      <w:r w:rsidR="00506BA0">
        <w:rPr>
          <w:b/>
          <w:sz w:val="22"/>
          <w:szCs w:val="22"/>
          <w:lang w:val="es-US"/>
        </w:rPr>
        <w:t>s</w:t>
      </w:r>
      <w:r w:rsidRPr="00282A68">
        <w:rPr>
          <w:b/>
          <w:sz w:val="22"/>
          <w:szCs w:val="22"/>
          <w:lang w:val="es-US"/>
        </w:rPr>
        <w:t xml:space="preserve"> </w:t>
      </w:r>
      <w:r w:rsidR="001D20DA" w:rsidRPr="00282A68">
        <w:rPr>
          <w:b/>
          <w:sz w:val="22"/>
          <w:szCs w:val="22"/>
          <w:lang w:val="es-US"/>
        </w:rPr>
        <w:t>recomendacion</w:t>
      </w:r>
      <w:r w:rsidR="001D20DA">
        <w:rPr>
          <w:b/>
          <w:sz w:val="22"/>
          <w:szCs w:val="22"/>
          <w:lang w:val="es-US"/>
        </w:rPr>
        <w:t>es</w:t>
      </w:r>
      <w:r w:rsidRPr="00282A68">
        <w:rPr>
          <w:b/>
          <w:sz w:val="22"/>
          <w:szCs w:val="22"/>
          <w:lang w:val="es-US"/>
        </w:rPr>
        <w:t xml:space="preserve"> formulada</w:t>
      </w:r>
      <w:r w:rsidR="00506BA0">
        <w:rPr>
          <w:b/>
          <w:sz w:val="22"/>
          <w:szCs w:val="22"/>
          <w:lang w:val="es-US"/>
        </w:rPr>
        <w:t>s</w:t>
      </w:r>
      <w:r w:rsidRPr="00282A68">
        <w:rPr>
          <w:b/>
          <w:sz w:val="22"/>
          <w:szCs w:val="22"/>
          <w:lang w:val="es-US"/>
        </w:rPr>
        <w:t xml:space="preserve"> en la Tercera Ronda</w:t>
      </w:r>
      <w:r w:rsidR="006E6920" w:rsidRPr="00282A68">
        <w:rPr>
          <w:b/>
          <w:sz w:val="22"/>
          <w:szCs w:val="22"/>
          <w:lang w:val="es-US"/>
        </w:rPr>
        <w:t>.</w:t>
      </w:r>
    </w:p>
    <w:p w14:paraId="1122AADB" w14:textId="77777777" w:rsidR="006E6920" w:rsidRPr="00282A68" w:rsidRDefault="006E6920" w:rsidP="006E6920">
      <w:pPr>
        <w:autoSpaceDE w:val="0"/>
        <w:autoSpaceDN w:val="0"/>
        <w:adjustRightInd w:val="0"/>
        <w:jc w:val="both"/>
        <w:rPr>
          <w:b/>
          <w:color w:val="2E74B5" w:themeColor="accent5" w:themeShade="BF"/>
          <w:sz w:val="22"/>
          <w:szCs w:val="22"/>
          <w:lang w:val="es-US"/>
        </w:rPr>
      </w:pPr>
    </w:p>
    <w:p w14:paraId="1F27E0EE" w14:textId="77777777" w:rsidR="000F642F" w:rsidRPr="00282A68" w:rsidRDefault="000F642F" w:rsidP="000F642F">
      <w:pPr>
        <w:autoSpaceDE w:val="0"/>
        <w:autoSpaceDN w:val="0"/>
        <w:adjustRightInd w:val="0"/>
        <w:jc w:val="both"/>
        <w:rPr>
          <w:bCs/>
          <w:sz w:val="22"/>
          <w:szCs w:val="22"/>
          <w:u w:val="single"/>
          <w:lang w:val="es-US"/>
        </w:rPr>
      </w:pPr>
      <w:r w:rsidRPr="00282A68">
        <w:rPr>
          <w:bCs/>
          <w:sz w:val="22"/>
          <w:szCs w:val="22"/>
          <w:u w:val="single"/>
          <w:lang w:val="es-US"/>
        </w:rPr>
        <w:t>Recomendación sugerida por el Comité:</w:t>
      </w:r>
    </w:p>
    <w:p w14:paraId="57ECD490" w14:textId="77777777" w:rsidR="000F642F" w:rsidRPr="00282A68" w:rsidRDefault="000F642F" w:rsidP="000F642F">
      <w:pPr>
        <w:jc w:val="both"/>
        <w:rPr>
          <w:i/>
          <w:iCs/>
          <w:sz w:val="22"/>
          <w:szCs w:val="22"/>
          <w:lang w:val="es-US"/>
        </w:rPr>
      </w:pPr>
    </w:p>
    <w:p w14:paraId="06036D90" w14:textId="33A38ACE" w:rsidR="006E6920" w:rsidRPr="00282A68" w:rsidRDefault="000F642F" w:rsidP="000F642F">
      <w:pPr>
        <w:jc w:val="both"/>
        <w:rPr>
          <w:i/>
          <w:iCs/>
          <w:sz w:val="22"/>
          <w:szCs w:val="22"/>
          <w:lang w:val="es-US"/>
        </w:rPr>
      </w:pPr>
      <w:r w:rsidRPr="00282A68">
        <w:rPr>
          <w:i/>
          <w:iCs/>
          <w:sz w:val="22"/>
          <w:szCs w:val="22"/>
          <w:lang w:val="es-US"/>
        </w:rPr>
        <w:t>Fortalecer las normas y medidas para la negación o impedimento de beneficios tributarios por pagos que se efectúen en violación de la legislación contra la corrupción. Para cumplir con esta recomendación, Estados Unidos podría tener en cuenta las siguientes medidas</w:t>
      </w:r>
      <w:r w:rsidR="0051506C" w:rsidRPr="00282A68">
        <w:rPr>
          <w:i/>
          <w:iCs/>
          <w:sz w:val="22"/>
          <w:szCs w:val="22"/>
          <w:lang w:val="es-US"/>
        </w:rPr>
        <w:t>.</w:t>
      </w:r>
    </w:p>
    <w:p w14:paraId="4C8EE8A8" w14:textId="77777777" w:rsidR="006E6920" w:rsidRPr="00282A68" w:rsidRDefault="006E6920" w:rsidP="006E6920">
      <w:pPr>
        <w:ind w:right="35"/>
        <w:jc w:val="both"/>
        <w:rPr>
          <w:b/>
          <w:bCs/>
          <w:i/>
          <w:iCs/>
          <w:sz w:val="22"/>
          <w:szCs w:val="22"/>
          <w:u w:val="single"/>
          <w:lang w:val="es-US"/>
        </w:rPr>
      </w:pPr>
    </w:p>
    <w:p w14:paraId="2180497A" w14:textId="20AA4C32" w:rsidR="006E6920" w:rsidRPr="00282A68" w:rsidRDefault="000F642F" w:rsidP="006E6920">
      <w:pPr>
        <w:ind w:right="35"/>
        <w:jc w:val="both"/>
        <w:rPr>
          <w:sz w:val="22"/>
          <w:szCs w:val="22"/>
          <w:u w:val="single"/>
          <w:lang w:val="es-US"/>
        </w:rPr>
      </w:pPr>
      <w:r w:rsidRPr="00282A68">
        <w:rPr>
          <w:sz w:val="22"/>
          <w:szCs w:val="22"/>
          <w:u w:val="single"/>
          <w:lang w:val="es-US"/>
        </w:rPr>
        <w:t>Medida</w:t>
      </w:r>
      <w:r w:rsidR="00D97F0E" w:rsidRPr="00282A68">
        <w:rPr>
          <w:sz w:val="22"/>
          <w:szCs w:val="22"/>
          <w:u w:val="single"/>
          <w:lang w:val="es-US"/>
        </w:rPr>
        <w:t xml:space="preserve"> (</w:t>
      </w:r>
      <w:r w:rsidR="006E6920" w:rsidRPr="00282A68">
        <w:rPr>
          <w:sz w:val="22"/>
          <w:szCs w:val="22"/>
          <w:u w:val="single"/>
          <w:lang w:val="es-US"/>
        </w:rPr>
        <w:t>a)</w:t>
      </w:r>
      <w:r w:rsidR="0051506C" w:rsidRPr="00282A68">
        <w:rPr>
          <w:sz w:val="22"/>
          <w:szCs w:val="22"/>
          <w:u w:val="single"/>
          <w:lang w:val="es-US"/>
        </w:rPr>
        <w:t>:</w:t>
      </w:r>
    </w:p>
    <w:p w14:paraId="7C17FD6B" w14:textId="77777777" w:rsidR="00A056BE" w:rsidRPr="00282A68" w:rsidRDefault="00A056BE" w:rsidP="002971ED">
      <w:pPr>
        <w:jc w:val="both"/>
        <w:rPr>
          <w:i/>
          <w:iCs/>
          <w:sz w:val="22"/>
          <w:szCs w:val="22"/>
          <w:lang w:val="es-US"/>
        </w:rPr>
      </w:pPr>
    </w:p>
    <w:p w14:paraId="0D3ED779" w14:textId="57A4C154" w:rsidR="009F3461" w:rsidRPr="00282A68" w:rsidRDefault="00101A5E" w:rsidP="009F3461">
      <w:pPr>
        <w:jc w:val="both"/>
        <w:rPr>
          <w:i/>
          <w:iCs/>
          <w:sz w:val="22"/>
          <w:szCs w:val="22"/>
          <w:lang w:val="es-US"/>
        </w:rPr>
      </w:pPr>
      <w:r w:rsidRPr="00282A68">
        <w:rPr>
          <w:i/>
          <w:iCs/>
          <w:sz w:val="22"/>
          <w:szCs w:val="22"/>
          <w:lang w:val="es-US"/>
        </w:rPr>
        <w:t>Continuar haciendo esfuerzos para asegurar que los pagos de facilitación no reciban beneficios tributarios, tomando en consideración que estos pagos no están tipificados como delito en el país analizado</w:t>
      </w:r>
      <w:r w:rsidR="0051506C" w:rsidRPr="00282A68">
        <w:rPr>
          <w:i/>
          <w:iCs/>
          <w:sz w:val="22"/>
          <w:szCs w:val="22"/>
          <w:lang w:val="es-US"/>
        </w:rPr>
        <w:t>.</w:t>
      </w:r>
    </w:p>
    <w:p w14:paraId="53AB269F" w14:textId="77777777" w:rsidR="0051506C" w:rsidRPr="00282A68" w:rsidRDefault="0051506C" w:rsidP="009F3461">
      <w:pPr>
        <w:jc w:val="both"/>
        <w:rPr>
          <w:sz w:val="22"/>
          <w:szCs w:val="22"/>
          <w:lang w:val="es-US"/>
        </w:rPr>
      </w:pPr>
    </w:p>
    <w:p w14:paraId="22FF68E4" w14:textId="18E894B7" w:rsidR="007044F1" w:rsidRPr="00282A68" w:rsidRDefault="00905500" w:rsidP="007044F1">
      <w:pPr>
        <w:pStyle w:val="ListParagraph"/>
        <w:numPr>
          <w:ilvl w:val="0"/>
          <w:numId w:val="1"/>
        </w:numPr>
        <w:jc w:val="both"/>
        <w:rPr>
          <w:lang w:val="es-US"/>
        </w:rPr>
      </w:pPr>
      <w:r w:rsidRPr="00282A68">
        <w:rPr>
          <w:rFonts w:eastAsia="Times New Roman"/>
          <w:lang w:val="es-US"/>
        </w:rPr>
        <w:lastRenderedPageBreak/>
        <w:t>El Estado analizado, en su Respuesta al Cuestionario, presentó información que estima pertinente en relación con la anterior medida</w:t>
      </w:r>
      <w:r w:rsidR="00841CBE" w:rsidRPr="00282A68">
        <w:rPr>
          <w:rStyle w:val="FootnoteReference"/>
          <w:lang w:val="es-US"/>
        </w:rPr>
        <w:footnoteReference w:id="11"/>
      </w:r>
      <w:r w:rsidR="007D75DE" w:rsidRPr="00282A68">
        <w:rPr>
          <w:rFonts w:eastAsia="Times New Roman"/>
          <w:lang w:val="es-US"/>
        </w:rPr>
        <w:t>:</w:t>
      </w:r>
    </w:p>
    <w:p w14:paraId="7FF5FBCC" w14:textId="77777777" w:rsidR="00823C32" w:rsidRPr="00282A68" w:rsidRDefault="00823C32" w:rsidP="00823C32">
      <w:pPr>
        <w:pStyle w:val="ListParagraph"/>
        <w:ind w:left="10"/>
        <w:jc w:val="both"/>
        <w:rPr>
          <w:lang w:val="es-US"/>
        </w:rPr>
      </w:pPr>
    </w:p>
    <w:p w14:paraId="27DABA1A" w14:textId="6729BFA1" w:rsidR="00823C32" w:rsidRPr="00A2057C" w:rsidRDefault="003A2C3D" w:rsidP="00823C32">
      <w:pPr>
        <w:pStyle w:val="ListParagraph"/>
        <w:numPr>
          <w:ilvl w:val="0"/>
          <w:numId w:val="1"/>
        </w:numPr>
        <w:jc w:val="both"/>
        <w:rPr>
          <w:lang w:val="es-US"/>
        </w:rPr>
      </w:pPr>
      <w:r w:rsidRPr="00A2057C">
        <w:rPr>
          <w:rFonts w:eastAsia="Times New Roman"/>
          <w:lang w:val="es-US"/>
        </w:rPr>
        <w:t>A este respecto, el Estado analizado señala que la Ley de Prácticas Corruptas en el Extranjero (FCPA) contiene una excepción relativa a los pagos de facilitación o agilización por acciones gubernamentales de rutina, como la tramitación de visas, la protección policial, el servicio de correos y el suministro de servicios públicos</w:t>
      </w:r>
      <w:r w:rsidR="00823C32" w:rsidRPr="00A2057C">
        <w:rPr>
          <w:rStyle w:val="FootnoteReference"/>
          <w:lang w:val="es-US"/>
        </w:rPr>
        <w:footnoteReference w:id="12"/>
      </w:r>
      <w:r w:rsidRPr="00A2057C">
        <w:rPr>
          <w:rFonts w:eastAsia="Times New Roman"/>
          <w:lang w:val="es-US"/>
        </w:rPr>
        <w:t>.</w:t>
      </w:r>
    </w:p>
    <w:p w14:paraId="61B87193" w14:textId="77777777" w:rsidR="00C224B4" w:rsidRPr="00C224B4" w:rsidRDefault="00C224B4" w:rsidP="00C224B4">
      <w:pPr>
        <w:pStyle w:val="ListParagraph"/>
        <w:ind w:left="10"/>
        <w:jc w:val="both"/>
        <w:rPr>
          <w:lang w:val="es-US"/>
        </w:rPr>
      </w:pPr>
    </w:p>
    <w:p w14:paraId="46483BAC" w14:textId="35CBACFF" w:rsidR="007558DF" w:rsidRPr="005832DE" w:rsidRDefault="00877BBA" w:rsidP="007558DF">
      <w:pPr>
        <w:pStyle w:val="ListParagraph"/>
        <w:numPr>
          <w:ilvl w:val="0"/>
          <w:numId w:val="1"/>
        </w:numPr>
        <w:jc w:val="both"/>
        <w:rPr>
          <w:lang w:val="es-US"/>
        </w:rPr>
      </w:pPr>
      <w:r w:rsidRPr="00A2057C">
        <w:rPr>
          <w:rFonts w:eastAsia="Times New Roman"/>
          <w:lang w:val="es-US"/>
        </w:rPr>
        <w:t xml:space="preserve">El Estado analizado indica además que la sección 162(c)(1) del Código Tributario deniega explícitamente la deducibilidad tributaria de los gastos que contravienen las leyes contra la corrupción de Estados Unidos para todos los fines tributarios, por lo que cualquier contribuyente estadounidense que realice un pago ilegal de acuerdo con la FCPA tiene prohibido deducirlo de </w:t>
      </w:r>
      <w:r w:rsidR="00257000" w:rsidRPr="00A2057C">
        <w:rPr>
          <w:rFonts w:eastAsia="Times New Roman"/>
          <w:lang w:val="es-US"/>
        </w:rPr>
        <w:t xml:space="preserve">conformidad </w:t>
      </w:r>
      <w:r w:rsidRPr="00A2057C">
        <w:rPr>
          <w:rFonts w:eastAsia="Times New Roman"/>
          <w:lang w:val="es-US"/>
        </w:rPr>
        <w:t>con esta disposición del Código</w:t>
      </w:r>
      <w:r w:rsidR="007558DF" w:rsidRPr="00A2057C">
        <w:rPr>
          <w:rStyle w:val="FootnoteReference"/>
          <w:lang w:val="es-US"/>
        </w:rPr>
        <w:footnoteReference w:id="13"/>
      </w:r>
      <w:r w:rsidRPr="00A2057C">
        <w:rPr>
          <w:rFonts w:eastAsia="Times New Roman"/>
          <w:lang w:val="es-US"/>
        </w:rPr>
        <w:t>.</w:t>
      </w:r>
    </w:p>
    <w:p w14:paraId="5D9E7729" w14:textId="77777777" w:rsidR="005832DE" w:rsidRDefault="005832DE" w:rsidP="005832DE">
      <w:pPr>
        <w:pStyle w:val="ListParagraph"/>
        <w:ind w:left="10"/>
        <w:jc w:val="both"/>
        <w:rPr>
          <w:rFonts w:eastAsia="Times New Roman"/>
          <w:lang w:val="es-US"/>
        </w:rPr>
      </w:pPr>
    </w:p>
    <w:p w14:paraId="0D6557D0" w14:textId="5BB86BEA" w:rsidR="005832DE" w:rsidRPr="00A2057C" w:rsidRDefault="00EA5EBD" w:rsidP="005832DE">
      <w:pPr>
        <w:pStyle w:val="ListParagraph"/>
        <w:numPr>
          <w:ilvl w:val="0"/>
          <w:numId w:val="1"/>
        </w:numPr>
        <w:jc w:val="both"/>
        <w:rPr>
          <w:lang w:val="es-US"/>
        </w:rPr>
      </w:pPr>
      <w:r>
        <w:rPr>
          <w:color w:val="000000"/>
          <w:lang w:val="es-ES_tradnl"/>
        </w:rPr>
        <w:t>Además</w:t>
      </w:r>
      <w:r w:rsidR="005832DE">
        <w:rPr>
          <w:color w:val="000000"/>
          <w:lang w:val="es-ES_tradnl"/>
        </w:rPr>
        <w:t>, e</w:t>
      </w:r>
      <w:r w:rsidR="005832DE" w:rsidRPr="005D75D4">
        <w:rPr>
          <w:color w:val="000000"/>
          <w:lang w:val="es-ES_tradnl"/>
        </w:rPr>
        <w:t>l Estado analizado señal</w:t>
      </w:r>
      <w:r w:rsidR="00C12C7C">
        <w:rPr>
          <w:color w:val="000000"/>
          <w:lang w:val="es-ES_tradnl"/>
        </w:rPr>
        <w:t>a</w:t>
      </w:r>
      <w:r w:rsidR="005832DE" w:rsidRPr="005D75D4">
        <w:rPr>
          <w:color w:val="000000"/>
          <w:lang w:val="es-ES_tradnl"/>
        </w:rPr>
        <w:t xml:space="preserve"> que la excepción de la FCPA que permite los pagos de facilitación a funcionarios de gobiernos extranjeros tiene un alcance muy limitado y, como cuestión práctica, se ha eliminado en gran medida por las prácticas empresariales, que evitan asumir riesgos. También observó, como se señala en la Respuesta, que, si se lleva a cabo un pago de facilitación, tendría que asentarse en los libros y registros de la empresa y estar bien justificado, debido al riesgo de violar el alcance limitado de la excepción de la FCPA</w:t>
      </w:r>
      <w:r w:rsidR="00875249">
        <w:rPr>
          <w:rStyle w:val="FootnoteReference"/>
          <w:color w:val="000000"/>
          <w:lang w:val="es-ES_tradnl"/>
        </w:rPr>
        <w:footnoteReference w:id="14"/>
      </w:r>
      <w:r w:rsidR="00C224B4">
        <w:rPr>
          <w:color w:val="000000"/>
          <w:lang w:val="es-ES_tradnl"/>
        </w:rPr>
        <w:t>.</w:t>
      </w:r>
    </w:p>
    <w:p w14:paraId="7D96D926" w14:textId="77777777" w:rsidR="00E75C7F" w:rsidRPr="00A2057C" w:rsidRDefault="00E75C7F" w:rsidP="00E75C7F">
      <w:pPr>
        <w:pStyle w:val="ListParagraph"/>
        <w:rPr>
          <w:lang w:val="es-US"/>
        </w:rPr>
      </w:pPr>
    </w:p>
    <w:p w14:paraId="3586C134" w14:textId="4D74B91C" w:rsidR="00C6770B" w:rsidRPr="00A2057C" w:rsidRDefault="00AC46C3" w:rsidP="00C6770B">
      <w:pPr>
        <w:pStyle w:val="ListParagraph"/>
        <w:numPr>
          <w:ilvl w:val="0"/>
          <w:numId w:val="1"/>
        </w:numPr>
        <w:jc w:val="both"/>
        <w:rPr>
          <w:lang w:val="es-US"/>
        </w:rPr>
      </w:pPr>
      <w:r w:rsidRPr="00A2057C">
        <w:rPr>
          <w:lang w:val="es-US"/>
        </w:rPr>
        <w:t>El Comité observa que</w:t>
      </w:r>
      <w:r w:rsidR="00257000" w:rsidRPr="00A2057C">
        <w:rPr>
          <w:lang w:val="es-US"/>
        </w:rPr>
        <w:t>,</w:t>
      </w:r>
      <w:r w:rsidRPr="00A2057C">
        <w:rPr>
          <w:lang w:val="es-US"/>
        </w:rPr>
        <w:t xml:space="preserve"> si bien no se le pueden proporcionar beneficios tributarios a ningún pago considerado ilegal en la FCPA, sigue siendo posible deducir los pagos de facilitación, dado que constituyen una excepción prevista en esta ley</w:t>
      </w:r>
      <w:r w:rsidR="00C6770B" w:rsidRPr="00A2057C">
        <w:rPr>
          <w:lang w:val="es-US"/>
        </w:rPr>
        <w:t>.</w:t>
      </w:r>
    </w:p>
    <w:p w14:paraId="7B723FA4" w14:textId="77777777" w:rsidR="00C6770B" w:rsidRPr="00A2057C" w:rsidRDefault="00C6770B" w:rsidP="00C6770B">
      <w:pPr>
        <w:jc w:val="both"/>
        <w:rPr>
          <w:lang w:val="es-US"/>
        </w:rPr>
      </w:pPr>
    </w:p>
    <w:p w14:paraId="1095B767" w14:textId="17DDC1BE" w:rsidR="00E322DE" w:rsidRPr="00A2057C" w:rsidRDefault="00460D4B" w:rsidP="00E322DE">
      <w:pPr>
        <w:pStyle w:val="ListParagraph"/>
        <w:numPr>
          <w:ilvl w:val="0"/>
          <w:numId w:val="1"/>
        </w:numPr>
        <w:jc w:val="both"/>
        <w:rPr>
          <w:lang w:val="es-US"/>
        </w:rPr>
      </w:pPr>
      <w:r w:rsidRPr="00A2057C">
        <w:rPr>
          <w:lang w:val="es-US"/>
        </w:rPr>
        <w:t>Al respecto, el Comité toma nota de la observación que se formuló sobre este tema en el Informe de la Tercera Ronda</w:t>
      </w:r>
      <w:r w:rsidR="00E322DE" w:rsidRPr="00A2057C">
        <w:rPr>
          <w:rStyle w:val="FootnoteReference"/>
          <w:lang w:val="es-US"/>
        </w:rPr>
        <w:footnoteReference w:id="15"/>
      </w:r>
      <w:r w:rsidRPr="00A2057C">
        <w:rPr>
          <w:lang w:val="es-US"/>
        </w:rPr>
        <w:t>:</w:t>
      </w:r>
    </w:p>
    <w:p w14:paraId="5AA99B32" w14:textId="77777777" w:rsidR="00E322DE" w:rsidRPr="00282A68" w:rsidRDefault="00E322DE" w:rsidP="00E322DE">
      <w:pPr>
        <w:pStyle w:val="ListParagraph"/>
        <w:rPr>
          <w:lang w:val="es-US"/>
        </w:rPr>
      </w:pPr>
    </w:p>
    <w:p w14:paraId="25EAB1BF" w14:textId="77777777" w:rsidR="002F4588" w:rsidRPr="00282A68" w:rsidRDefault="00C46054" w:rsidP="00E322DE">
      <w:pPr>
        <w:pStyle w:val="ListParagraph"/>
        <w:numPr>
          <w:ilvl w:val="0"/>
          <w:numId w:val="1"/>
        </w:numPr>
        <w:jc w:val="both"/>
        <w:rPr>
          <w:i/>
          <w:iCs/>
          <w:lang w:val="es-US"/>
        </w:rPr>
      </w:pPr>
      <w:bookmarkStart w:id="3" w:name="_Hlk156409376"/>
      <w:r w:rsidRPr="00282A68">
        <w:rPr>
          <w:lang w:val="es-US"/>
        </w:rPr>
        <w:t>“</w:t>
      </w:r>
      <w:r w:rsidR="002F4588" w:rsidRPr="00282A68">
        <w:rPr>
          <w:i/>
          <w:iCs/>
          <w:lang w:val="es-US"/>
        </w:rPr>
        <w:t xml:space="preserve">[E]l </w:t>
      </w:r>
      <w:r w:rsidRPr="00282A68">
        <w:rPr>
          <w:i/>
          <w:iCs/>
          <w:lang w:val="es-US"/>
        </w:rPr>
        <w:t>Comité toma nota de que los pagos para facilitación en general se consideran como un soborno ilegal en los países en que se efectúan. En forma similar toma nota de que la principal norma legal interna sobre soborno existente en el país analizado, la sección 201 del título 18 del USC, examinada en el Informe sobre Estados Unidos para la Segunda Ronda de Análisis, no contiene una excepción de ese tipo relativa a facilitación o agilización de pagos efectuados a funcionarios o empleados de gobiernos nacionales</w:t>
      </w:r>
      <w:bookmarkEnd w:id="3"/>
      <w:r w:rsidRPr="00282A68">
        <w:rPr>
          <w:i/>
          <w:iCs/>
          <w:lang w:val="es-US"/>
        </w:rPr>
        <w:t>.</w:t>
      </w:r>
    </w:p>
    <w:p w14:paraId="37B1BDFC" w14:textId="77777777" w:rsidR="002F4588" w:rsidRPr="00282A68" w:rsidRDefault="002F4588" w:rsidP="002F4588">
      <w:pPr>
        <w:pStyle w:val="ListParagraph"/>
        <w:rPr>
          <w:i/>
          <w:iCs/>
          <w:lang w:val="es-US"/>
        </w:rPr>
      </w:pPr>
    </w:p>
    <w:p w14:paraId="07DBF1C7" w14:textId="4170F819" w:rsidR="00E322DE" w:rsidRPr="00282A68" w:rsidRDefault="00C46054" w:rsidP="00E322DE">
      <w:pPr>
        <w:pStyle w:val="ListParagraph"/>
        <w:numPr>
          <w:ilvl w:val="0"/>
          <w:numId w:val="1"/>
        </w:numPr>
        <w:jc w:val="both"/>
        <w:rPr>
          <w:lang w:val="es-US"/>
        </w:rPr>
      </w:pPr>
      <w:r w:rsidRPr="00282A68">
        <w:rPr>
          <w:i/>
          <w:iCs/>
          <w:lang w:val="es-US"/>
        </w:rPr>
        <w:t>En vista de lo anterior, y tomando en consideración que los pagos de facilitación no están tipificados como delito en el país analizado, el Comité estima que Estados Unidos podría considerar continuar haciendo esfuerzos para asegurar que estos pagos no reciban beneficios tributarios</w:t>
      </w:r>
      <w:r w:rsidR="00E322DE" w:rsidRPr="00282A68">
        <w:rPr>
          <w:lang w:val="es-US"/>
        </w:rPr>
        <w:t>.”</w:t>
      </w:r>
    </w:p>
    <w:p w14:paraId="1F28CD0C" w14:textId="77777777" w:rsidR="00E322DE" w:rsidRPr="00282A68" w:rsidRDefault="00E322DE" w:rsidP="00E322DE">
      <w:pPr>
        <w:rPr>
          <w:lang w:val="es-US"/>
        </w:rPr>
      </w:pPr>
    </w:p>
    <w:p w14:paraId="5C261FCE" w14:textId="6C148B1C" w:rsidR="007558DF" w:rsidRPr="00282A68" w:rsidRDefault="00F561AC" w:rsidP="00883BF6">
      <w:pPr>
        <w:pStyle w:val="ListParagraph"/>
        <w:numPr>
          <w:ilvl w:val="0"/>
          <w:numId w:val="1"/>
        </w:numPr>
        <w:jc w:val="both"/>
        <w:rPr>
          <w:lang w:val="es-US"/>
        </w:rPr>
      </w:pPr>
      <w:bookmarkStart w:id="4" w:name="_Hlk156315660"/>
      <w:r w:rsidRPr="00282A68">
        <w:rPr>
          <w:lang w:val="es-US"/>
        </w:rPr>
        <w:lastRenderedPageBreak/>
        <w:t>En vista de lo anterior, el Comité toma nota de la necesidad de que el Estado analizado preste atención a la implementación de la medida (a).</w:t>
      </w:r>
      <w:r w:rsidR="00E322DE" w:rsidRPr="00282A68">
        <w:rPr>
          <w:lang w:val="es-US"/>
        </w:rPr>
        <w:t xml:space="preserve"> </w:t>
      </w:r>
      <w:bookmarkStart w:id="5" w:name="_Hlk156302370"/>
      <w:r w:rsidR="00E322DE" w:rsidRPr="00282A68">
        <w:rPr>
          <w:rFonts w:eastAsiaTheme="minorHAnsi"/>
          <w:bCs/>
          <w:iCs/>
          <w:lang w:val="es-US"/>
        </w:rPr>
        <w:t>(</w:t>
      </w:r>
      <w:r w:rsidR="006F0A7B" w:rsidRPr="00282A68">
        <w:rPr>
          <w:lang w:val="es-US"/>
        </w:rPr>
        <w:t xml:space="preserve">Véase la </w:t>
      </w:r>
      <w:r w:rsidR="00E42730" w:rsidRPr="00282A68">
        <w:rPr>
          <w:lang w:val="es-US"/>
        </w:rPr>
        <w:t>R</w:t>
      </w:r>
      <w:r w:rsidR="006F0A7B" w:rsidRPr="00282A68">
        <w:rPr>
          <w:lang w:val="es-US"/>
        </w:rPr>
        <w:t xml:space="preserve">ecomendación 1.4.1 en la sección 1.4 del </w:t>
      </w:r>
      <w:r w:rsidR="00E42730" w:rsidRPr="00282A68">
        <w:rPr>
          <w:lang w:val="es-US"/>
        </w:rPr>
        <w:t>C</w:t>
      </w:r>
      <w:r w:rsidR="006F0A7B" w:rsidRPr="00282A68">
        <w:rPr>
          <w:lang w:val="es-US"/>
        </w:rPr>
        <w:t>apítulo II del presente Informe)</w:t>
      </w:r>
      <w:bookmarkEnd w:id="4"/>
      <w:bookmarkEnd w:id="5"/>
    </w:p>
    <w:p w14:paraId="757B305C" w14:textId="77777777" w:rsidR="00CA1FBA" w:rsidRPr="00282A68" w:rsidRDefault="00CA1FBA" w:rsidP="00516C81">
      <w:pPr>
        <w:jc w:val="both"/>
        <w:rPr>
          <w:sz w:val="22"/>
          <w:szCs w:val="22"/>
          <w:lang w:val="es-US"/>
        </w:rPr>
      </w:pPr>
    </w:p>
    <w:p w14:paraId="11750CAA" w14:textId="1A90440E" w:rsidR="005E0324" w:rsidRPr="00282A68" w:rsidRDefault="006F0A7B" w:rsidP="005E0324">
      <w:pPr>
        <w:ind w:right="35"/>
        <w:jc w:val="both"/>
        <w:rPr>
          <w:sz w:val="22"/>
          <w:szCs w:val="22"/>
          <w:u w:val="single"/>
          <w:lang w:val="es-US"/>
        </w:rPr>
      </w:pPr>
      <w:r w:rsidRPr="00282A68">
        <w:rPr>
          <w:sz w:val="22"/>
          <w:szCs w:val="22"/>
          <w:u w:val="single"/>
          <w:lang w:val="es-US"/>
        </w:rPr>
        <w:t>Medida</w:t>
      </w:r>
      <w:r w:rsidR="005E0324" w:rsidRPr="00282A68">
        <w:rPr>
          <w:sz w:val="22"/>
          <w:szCs w:val="22"/>
          <w:u w:val="single"/>
          <w:lang w:val="es-US"/>
        </w:rPr>
        <w:t xml:space="preserve"> (b)</w:t>
      </w:r>
      <w:r w:rsidR="00F62A01" w:rsidRPr="00282A68">
        <w:rPr>
          <w:sz w:val="22"/>
          <w:szCs w:val="22"/>
          <w:u w:val="single"/>
          <w:lang w:val="es-US"/>
        </w:rPr>
        <w:t>:</w:t>
      </w:r>
    </w:p>
    <w:p w14:paraId="5273A149" w14:textId="77777777" w:rsidR="005E0324" w:rsidRPr="00282A68" w:rsidRDefault="005E0324" w:rsidP="005E0324">
      <w:pPr>
        <w:jc w:val="both"/>
        <w:rPr>
          <w:i/>
          <w:iCs/>
          <w:sz w:val="22"/>
          <w:szCs w:val="22"/>
          <w:lang w:val="es-US"/>
        </w:rPr>
      </w:pPr>
    </w:p>
    <w:p w14:paraId="169C9E63" w14:textId="53E6E13A" w:rsidR="005E0324" w:rsidRPr="00282A68" w:rsidRDefault="007448DC" w:rsidP="005E0324">
      <w:pPr>
        <w:jc w:val="both"/>
        <w:rPr>
          <w:i/>
          <w:iCs/>
          <w:sz w:val="22"/>
          <w:szCs w:val="22"/>
          <w:lang w:val="es-US"/>
        </w:rPr>
      </w:pPr>
      <w:bookmarkStart w:id="6" w:name="_Hlk155882629"/>
      <w:r w:rsidRPr="00282A68">
        <w:rPr>
          <w:i/>
          <w:iCs/>
          <w:sz w:val="22"/>
          <w:szCs w:val="22"/>
          <w:lang w:val="es-US"/>
        </w:rPr>
        <w:t>Continuar utilizando, y considerar la adopción de las medidas que estime apropiadas para facilitar a las autoridades competentes la detección de sumas pagadas por actos de corrupción, en caso de que éstas se pretendan utilizar para obtener beneficios tributarios, tales como las siguientes</w:t>
      </w:r>
      <w:bookmarkEnd w:id="6"/>
      <w:r w:rsidR="005E0324" w:rsidRPr="00282A68">
        <w:rPr>
          <w:i/>
          <w:iCs/>
          <w:sz w:val="22"/>
          <w:szCs w:val="22"/>
          <w:lang w:val="es-US"/>
        </w:rPr>
        <w:t>:</w:t>
      </w:r>
    </w:p>
    <w:p w14:paraId="28C5DAFD" w14:textId="77777777" w:rsidR="005E0324" w:rsidRPr="00282A68" w:rsidRDefault="005E0324" w:rsidP="005E0324">
      <w:pPr>
        <w:jc w:val="both"/>
        <w:rPr>
          <w:i/>
          <w:iCs/>
          <w:sz w:val="22"/>
          <w:szCs w:val="22"/>
          <w:lang w:val="es-US"/>
        </w:rPr>
      </w:pPr>
    </w:p>
    <w:p w14:paraId="3F3B966B" w14:textId="1DC6F91C" w:rsidR="005E0324" w:rsidRPr="00282A68" w:rsidRDefault="009A4E20" w:rsidP="008F5619">
      <w:pPr>
        <w:ind w:right="35"/>
        <w:jc w:val="both"/>
        <w:rPr>
          <w:sz w:val="22"/>
          <w:szCs w:val="22"/>
          <w:u w:val="single"/>
          <w:lang w:val="es-US"/>
        </w:rPr>
      </w:pPr>
      <w:r w:rsidRPr="00282A68">
        <w:rPr>
          <w:sz w:val="22"/>
          <w:szCs w:val="22"/>
          <w:u w:val="single"/>
          <w:lang w:val="es-US"/>
        </w:rPr>
        <w:t>Medida</w:t>
      </w:r>
      <w:r w:rsidR="008F5619" w:rsidRPr="00282A68">
        <w:rPr>
          <w:sz w:val="22"/>
          <w:szCs w:val="22"/>
          <w:u w:val="single"/>
          <w:lang w:val="es-US"/>
        </w:rPr>
        <w:t xml:space="preserve"> (b)</w:t>
      </w:r>
      <w:r w:rsidR="00353C9D" w:rsidRPr="00282A68">
        <w:rPr>
          <w:sz w:val="22"/>
          <w:szCs w:val="22"/>
          <w:u w:val="single"/>
          <w:lang w:val="es-US"/>
        </w:rPr>
        <w:t>(i)</w:t>
      </w:r>
      <w:r w:rsidR="008F5619" w:rsidRPr="00282A68">
        <w:rPr>
          <w:sz w:val="22"/>
          <w:szCs w:val="22"/>
          <w:u w:val="single"/>
          <w:lang w:val="es-US"/>
        </w:rPr>
        <w:t xml:space="preserve"> </w:t>
      </w:r>
      <w:r w:rsidR="00F62A01" w:rsidRPr="00282A68">
        <w:rPr>
          <w:sz w:val="22"/>
          <w:szCs w:val="22"/>
          <w:u w:val="single"/>
          <w:lang w:val="es-US"/>
        </w:rPr>
        <w:t>sugerida por el Comité</w:t>
      </w:r>
      <w:r w:rsidR="008F5619" w:rsidRPr="00282A68">
        <w:rPr>
          <w:sz w:val="22"/>
          <w:szCs w:val="22"/>
          <w:u w:val="single"/>
          <w:lang w:val="es-US"/>
        </w:rPr>
        <w:t>:</w:t>
      </w:r>
    </w:p>
    <w:p w14:paraId="3BF92DB2" w14:textId="77777777" w:rsidR="008F5619" w:rsidRPr="00282A68" w:rsidRDefault="008F5619" w:rsidP="008F5619">
      <w:pPr>
        <w:jc w:val="both"/>
        <w:rPr>
          <w:i/>
          <w:iCs/>
          <w:sz w:val="22"/>
          <w:szCs w:val="22"/>
          <w:lang w:val="es-US"/>
        </w:rPr>
      </w:pPr>
    </w:p>
    <w:p w14:paraId="67827F0F" w14:textId="70916ECA" w:rsidR="005E0324" w:rsidRPr="00282A68" w:rsidRDefault="00E26D86" w:rsidP="008F5619">
      <w:pPr>
        <w:jc w:val="both"/>
        <w:rPr>
          <w:i/>
          <w:iCs/>
          <w:sz w:val="22"/>
          <w:szCs w:val="22"/>
          <w:lang w:val="es-US"/>
        </w:rPr>
      </w:pPr>
      <w:r w:rsidRPr="00282A68">
        <w:rPr>
          <w:i/>
          <w:iCs/>
          <w:sz w:val="22"/>
          <w:szCs w:val="22"/>
          <w:lang w:val="es-US"/>
        </w:rPr>
        <w:t>Manuales, guías o lineamientos que las orienten acerca de la manera en que debe efectuarse la revisión de dichas solicitudes, para que puedan cerciorarse de que las mismas reúnan los requisitos establecidos, verificar la veracidad de la información en ellas suministrada, y constatar el origen del gasto o pago en el que se fundamenten</w:t>
      </w:r>
      <w:r w:rsidR="00110FD8" w:rsidRPr="00282A68">
        <w:rPr>
          <w:i/>
          <w:iCs/>
          <w:sz w:val="22"/>
          <w:szCs w:val="22"/>
          <w:lang w:val="es-US"/>
        </w:rPr>
        <w:t>.</w:t>
      </w:r>
    </w:p>
    <w:p w14:paraId="04EA9879" w14:textId="77777777" w:rsidR="00CA1FBA" w:rsidRPr="00282A68" w:rsidRDefault="00CA1FBA" w:rsidP="00CA1FBA">
      <w:pPr>
        <w:ind w:left="10"/>
        <w:jc w:val="both"/>
        <w:rPr>
          <w:rStyle w:val="FootnoteReference"/>
          <w:sz w:val="22"/>
          <w:szCs w:val="22"/>
          <w:vertAlign w:val="baseline"/>
          <w:lang w:val="es-US"/>
        </w:rPr>
      </w:pPr>
    </w:p>
    <w:p w14:paraId="18BB0653" w14:textId="68914E3D" w:rsidR="008F5619" w:rsidRPr="00282A68" w:rsidRDefault="00A93DBC" w:rsidP="008F5619">
      <w:pPr>
        <w:pStyle w:val="ListParagraph"/>
        <w:numPr>
          <w:ilvl w:val="0"/>
          <w:numId w:val="1"/>
        </w:numPr>
        <w:jc w:val="both"/>
        <w:rPr>
          <w:lang w:val="es-US"/>
        </w:rPr>
      </w:pPr>
      <w:bookmarkStart w:id="7" w:name="_Hlk155882895"/>
      <w:r w:rsidRPr="00282A68">
        <w:rPr>
          <w:rFonts w:eastAsia="Times New Roman"/>
          <w:iCs/>
          <w:lang w:val="es-US" w:eastAsia="zh-CN"/>
        </w:rPr>
        <w:t>Con respecto a la medida anterior, en su Respuesta, el Estado analizado presenta información y nuevos desarrollos. En este sentido, el Comité observa los siguientes como pasos que lo llevan a concluir que la medida se ha considerado satisfactoriamente</w:t>
      </w:r>
      <w:bookmarkEnd w:id="7"/>
      <w:r w:rsidR="008F5619" w:rsidRPr="00282A68">
        <w:rPr>
          <w:rStyle w:val="FootnoteReference"/>
          <w:lang w:val="es-US"/>
        </w:rPr>
        <w:footnoteReference w:id="16"/>
      </w:r>
      <w:r w:rsidRPr="00282A68">
        <w:rPr>
          <w:rFonts w:eastAsia="Times New Roman"/>
          <w:iCs/>
          <w:lang w:val="es-US" w:eastAsia="zh-CN"/>
        </w:rPr>
        <w:t>:</w:t>
      </w:r>
    </w:p>
    <w:p w14:paraId="2442B7EC" w14:textId="77777777" w:rsidR="006C520D" w:rsidRPr="00282A68" w:rsidRDefault="006C520D" w:rsidP="006C520D">
      <w:pPr>
        <w:pStyle w:val="ListParagraph"/>
        <w:ind w:left="10"/>
        <w:jc w:val="both"/>
        <w:rPr>
          <w:lang w:val="es-US"/>
        </w:rPr>
      </w:pPr>
    </w:p>
    <w:p w14:paraId="060A3E1E" w14:textId="1D572B39" w:rsidR="00A76245" w:rsidRPr="00A2057C" w:rsidRDefault="00A76245">
      <w:pPr>
        <w:pStyle w:val="ListParagraph"/>
        <w:numPr>
          <w:ilvl w:val="0"/>
          <w:numId w:val="1"/>
        </w:numPr>
        <w:jc w:val="both"/>
        <w:rPr>
          <w:rFonts w:eastAsia="Times New Roman"/>
          <w:iCs/>
          <w:lang w:val="es-US" w:eastAsia="zh-CN"/>
        </w:rPr>
      </w:pPr>
      <w:r w:rsidRPr="00A2057C">
        <w:rPr>
          <w:rFonts w:eastAsia="Times New Roman"/>
          <w:iCs/>
          <w:lang w:val="es-US" w:eastAsia="zh-CN"/>
        </w:rPr>
        <w:t xml:space="preserve">– </w:t>
      </w:r>
      <w:r w:rsidR="008F5004" w:rsidRPr="00A2057C">
        <w:rPr>
          <w:rFonts w:eastAsia="Times New Roman"/>
          <w:iCs/>
          <w:lang w:val="es-US" w:eastAsia="zh-CN"/>
        </w:rPr>
        <w:t>El Servicio de Administración Tributaria (IRS), que se encarga de auditar las declaraciones de impuestos de organizaciones y particulares para cerciorarse de que la información se ha declarado correctamente de acuerdo con las leyes fiscales y para verificar la cantidad de impuestos declarada, elaboró y publicó el Manual de Administración Tributaria (IRM). Este Manual es la principal compilación oficial de instrucciones para el personal relacionadas con la administración y el funcionamiento del IRS. Como señala el Estado analizado</w:t>
      </w:r>
      <w:r w:rsidR="006C520D" w:rsidRPr="00A2057C">
        <w:rPr>
          <w:rStyle w:val="FootnoteReference"/>
          <w:rFonts w:eastAsia="Times New Roman"/>
          <w:iCs/>
          <w:lang w:val="es-US" w:eastAsia="zh-CN"/>
        </w:rPr>
        <w:footnoteReference w:id="17"/>
      </w:r>
      <w:r w:rsidR="008F5004" w:rsidRPr="00A2057C">
        <w:rPr>
          <w:rFonts w:eastAsia="Times New Roman"/>
          <w:iCs/>
          <w:lang w:val="es-US" w:eastAsia="zh-CN"/>
        </w:rPr>
        <w:t>:</w:t>
      </w:r>
    </w:p>
    <w:p w14:paraId="0BC281A1" w14:textId="77777777" w:rsidR="00A76245" w:rsidRPr="00A2057C" w:rsidRDefault="00A76245" w:rsidP="00A76245">
      <w:pPr>
        <w:pStyle w:val="ListParagraph"/>
        <w:ind w:left="10"/>
        <w:jc w:val="both"/>
        <w:rPr>
          <w:rFonts w:eastAsiaTheme="minorHAnsi"/>
          <w:color w:val="2F5496" w:themeColor="accent1" w:themeShade="BF"/>
          <w:lang w:val="es-US"/>
        </w:rPr>
      </w:pPr>
    </w:p>
    <w:p w14:paraId="232C92F5" w14:textId="2C3A006B" w:rsidR="00502004" w:rsidRPr="00A2057C" w:rsidRDefault="006C520D" w:rsidP="006C520D">
      <w:pPr>
        <w:pStyle w:val="ListParagraph"/>
        <w:numPr>
          <w:ilvl w:val="0"/>
          <w:numId w:val="1"/>
        </w:numPr>
        <w:jc w:val="both"/>
        <w:rPr>
          <w:rFonts w:eastAsia="Times New Roman"/>
          <w:iCs/>
          <w:lang w:val="es-US" w:eastAsia="zh-CN"/>
        </w:rPr>
      </w:pPr>
      <w:r w:rsidRPr="00A2057C">
        <w:rPr>
          <w:rFonts w:eastAsia="Times New Roman"/>
          <w:iCs/>
          <w:lang w:val="es-US" w:eastAsia="zh-CN"/>
        </w:rPr>
        <w:t>“</w:t>
      </w:r>
      <w:r w:rsidR="001A07A1" w:rsidRPr="00A2057C">
        <w:rPr>
          <w:rFonts w:eastAsia="Times New Roman"/>
          <w:i/>
          <w:iCs/>
          <w:lang w:val="es-US" w:eastAsia="zh-CN"/>
        </w:rPr>
        <w:t>El IRM garantiza que los empleados dispongan de la política aprobada y la orientación que necesitan para llevar a cabo sus responsabilidades en la administración de las leyes tributarias u otras obligaciones de la agencia. Al evaluar una declaración fiscal los examinadores revisan, además de las deducciones por gastos operativos, las áreas susceptibles de ocultación, como las devoluciones y los viáticos. Se debe prestar atención especial al uso de cuentas bancarias en el extranjero, a otros indicadores de fondos ilícitos ocultos o a los pagos en efectivo. Entre las categorías de gastos que requieren un examen minucioso podrían figurar los servicios externos (por ejemplo, consultoría) o las partidas relacionadas con propiedades en el extranjero de uso cuestionable para el contribuyente o sus filiales. Además, se alienta a los examinadores a investigar fuentes como otras agencias federales, así como informes de auditoría internos y externos, en busca de indicios de pagos ilegales. Tras la evaluación de las declaraciones de impuestos, las sospechas de pagos ilegales se le transmiten al personal de cumplimiento de la ley del IRS y posteriormente se le remiten a la División de Investigación Penal del IRS (IRS-CI)</w:t>
      </w:r>
      <w:r w:rsidRPr="00A2057C">
        <w:rPr>
          <w:rFonts w:eastAsia="Times New Roman"/>
          <w:iCs/>
          <w:lang w:val="es-US" w:eastAsia="zh-CN"/>
        </w:rPr>
        <w:t>”</w:t>
      </w:r>
      <w:r w:rsidR="009048EA" w:rsidRPr="00A2057C">
        <w:rPr>
          <w:rFonts w:eastAsia="Times New Roman"/>
          <w:iCs/>
          <w:lang w:val="es-US" w:eastAsia="zh-CN"/>
        </w:rPr>
        <w:t>.</w:t>
      </w:r>
    </w:p>
    <w:p w14:paraId="55B7EB1B" w14:textId="77777777" w:rsidR="006C520D" w:rsidRPr="00A2057C" w:rsidRDefault="006C520D" w:rsidP="006C520D">
      <w:pPr>
        <w:pStyle w:val="ListParagraph"/>
        <w:rPr>
          <w:rFonts w:eastAsia="Times New Roman"/>
          <w:iCs/>
          <w:lang w:val="es-US" w:eastAsia="zh-CN"/>
        </w:rPr>
      </w:pPr>
    </w:p>
    <w:p w14:paraId="790FC98F" w14:textId="30DE207F" w:rsidR="007C66F6" w:rsidRPr="00A2057C" w:rsidRDefault="00111675" w:rsidP="007C66F6">
      <w:pPr>
        <w:pStyle w:val="ListParagraph"/>
        <w:numPr>
          <w:ilvl w:val="0"/>
          <w:numId w:val="1"/>
        </w:numPr>
        <w:jc w:val="both"/>
        <w:rPr>
          <w:rFonts w:eastAsia="Times New Roman"/>
          <w:iCs/>
          <w:lang w:val="es-US" w:eastAsia="zh-CN"/>
        </w:rPr>
      </w:pPr>
      <w:r w:rsidRPr="00A2057C">
        <w:rPr>
          <w:rFonts w:eastAsia="Times New Roman"/>
          <w:iCs/>
          <w:lang w:val="es-US" w:eastAsia="zh-CN"/>
        </w:rPr>
        <w:t>A este respecto, el Comité toma nota de que el Manual de Administración Tributaria contiene extensas secciones sobre temas como el Procesamiento de las Declaraciones, el Procesamiento de las Revisiones y el Procesamiento de los Cobros, además de incluir una Guía sobre Fraudes, cuyo objetivo es proporcionarles a los empleados del IRS orientación completa para reconocer y desarrollar posibles problemas de fraude, remisiones por fraude delictivo, deberes y responsabilidades en investigaciones conjuntas, casos de fraude civil y otros temas relacionados con el fraude</w:t>
      </w:r>
      <w:r w:rsidR="007C66F6" w:rsidRPr="00A2057C">
        <w:rPr>
          <w:rStyle w:val="FootnoteReference"/>
          <w:rFonts w:eastAsia="Times New Roman"/>
          <w:iCs/>
          <w:lang w:val="es-US" w:eastAsia="zh-CN"/>
        </w:rPr>
        <w:footnoteReference w:id="18"/>
      </w:r>
      <w:r w:rsidR="005F7DED" w:rsidRPr="00A2057C">
        <w:rPr>
          <w:rFonts w:eastAsia="Times New Roman"/>
          <w:iCs/>
          <w:lang w:val="es-US" w:eastAsia="zh-CN"/>
        </w:rPr>
        <w:t>.</w:t>
      </w:r>
    </w:p>
    <w:p w14:paraId="55594094" w14:textId="77777777" w:rsidR="00CD74CD" w:rsidRPr="00282A68" w:rsidRDefault="00CD74CD" w:rsidP="00CD74CD">
      <w:pPr>
        <w:pStyle w:val="ListParagraph"/>
        <w:rPr>
          <w:rFonts w:eastAsia="Times New Roman"/>
          <w:iCs/>
          <w:lang w:val="es-US" w:eastAsia="zh-CN"/>
        </w:rPr>
      </w:pPr>
    </w:p>
    <w:p w14:paraId="12334E8D" w14:textId="3461F2E7" w:rsidR="00CD74CD" w:rsidRPr="00282A68" w:rsidRDefault="00092684" w:rsidP="006C520D">
      <w:pPr>
        <w:pStyle w:val="ListParagraph"/>
        <w:numPr>
          <w:ilvl w:val="0"/>
          <w:numId w:val="1"/>
        </w:numPr>
        <w:jc w:val="both"/>
        <w:rPr>
          <w:rFonts w:eastAsia="Times New Roman"/>
          <w:iCs/>
          <w:lang w:val="es-US" w:eastAsia="zh-CN"/>
        </w:rPr>
      </w:pPr>
      <w:bookmarkStart w:id="8" w:name="_Hlk155883354"/>
      <w:r w:rsidRPr="00282A68">
        <w:rPr>
          <w:iCs/>
          <w:lang w:val="es-US" w:eastAsia="zh-CN"/>
        </w:rPr>
        <w:t>En vista de lo anterior, el Comité toma nota de la consideración satisfactoria por el Estado analizado de la medida (b)(i) de la anterior recomendación</w:t>
      </w:r>
      <w:bookmarkEnd w:id="8"/>
      <w:r w:rsidRPr="00282A68">
        <w:rPr>
          <w:iCs/>
          <w:lang w:val="es-US" w:eastAsia="zh-CN"/>
        </w:rPr>
        <w:t>.</w:t>
      </w:r>
    </w:p>
    <w:p w14:paraId="17AAB713" w14:textId="77777777" w:rsidR="00CD74CD" w:rsidRPr="00282A68" w:rsidRDefault="00CD74CD" w:rsidP="00CD74CD">
      <w:pPr>
        <w:pStyle w:val="ListParagraph"/>
        <w:rPr>
          <w:rFonts w:eastAsia="Times New Roman"/>
          <w:iCs/>
          <w:lang w:val="es-US" w:eastAsia="zh-CN"/>
        </w:rPr>
      </w:pPr>
    </w:p>
    <w:p w14:paraId="7BB3ADF7" w14:textId="34DE6E89" w:rsidR="00C6770B" w:rsidRPr="00282A68" w:rsidRDefault="009A4E20" w:rsidP="00C6770B">
      <w:pPr>
        <w:ind w:right="35"/>
        <w:jc w:val="both"/>
        <w:rPr>
          <w:sz w:val="22"/>
          <w:szCs w:val="22"/>
          <w:u w:val="single"/>
          <w:lang w:val="es-US"/>
        </w:rPr>
      </w:pPr>
      <w:r w:rsidRPr="00282A68">
        <w:rPr>
          <w:sz w:val="22"/>
          <w:szCs w:val="22"/>
          <w:u w:val="single"/>
          <w:lang w:val="es-US"/>
        </w:rPr>
        <w:t>Medida</w:t>
      </w:r>
      <w:r w:rsidR="00C6770B" w:rsidRPr="00282A68">
        <w:rPr>
          <w:sz w:val="22"/>
          <w:szCs w:val="22"/>
          <w:u w:val="single"/>
          <w:lang w:val="es-US"/>
        </w:rPr>
        <w:t xml:space="preserve"> (b)</w:t>
      </w:r>
    </w:p>
    <w:p w14:paraId="3725CC00" w14:textId="77777777" w:rsidR="00C6770B" w:rsidRPr="00282A68" w:rsidRDefault="00C6770B" w:rsidP="00C6770B">
      <w:pPr>
        <w:jc w:val="both"/>
        <w:rPr>
          <w:i/>
          <w:iCs/>
          <w:sz w:val="22"/>
          <w:szCs w:val="22"/>
          <w:lang w:val="es-US"/>
        </w:rPr>
      </w:pPr>
    </w:p>
    <w:p w14:paraId="307354E5" w14:textId="4AFA7B25" w:rsidR="00C6770B" w:rsidRPr="00282A68" w:rsidRDefault="00370E4E" w:rsidP="00C6770B">
      <w:pPr>
        <w:pStyle w:val="ListParagraph"/>
        <w:ind w:left="10"/>
        <w:jc w:val="both"/>
        <w:rPr>
          <w:i/>
          <w:iCs/>
          <w:lang w:val="es-US"/>
        </w:rPr>
      </w:pPr>
      <w:r w:rsidRPr="00282A68">
        <w:rPr>
          <w:i/>
          <w:iCs/>
          <w:lang w:val="es-US"/>
        </w:rPr>
        <w:t>Continuar utilizando, y considerar la adopción de las medidas que estime apropiadas para facilitar a las autoridades competentes la detección de sumas pagadas por actos de corrupción, en caso de que éstas se pretendan utilizar para obtener beneficios tributarios, tales como las siguientes</w:t>
      </w:r>
      <w:r w:rsidR="00C6770B" w:rsidRPr="00282A68">
        <w:rPr>
          <w:i/>
          <w:iCs/>
          <w:lang w:val="es-US"/>
        </w:rPr>
        <w:t>:</w:t>
      </w:r>
    </w:p>
    <w:p w14:paraId="559F8909" w14:textId="77777777" w:rsidR="00C6770B" w:rsidRPr="00282A68" w:rsidRDefault="00C6770B" w:rsidP="00C6770B">
      <w:pPr>
        <w:pStyle w:val="ListParagraph"/>
        <w:ind w:left="10"/>
        <w:jc w:val="both"/>
        <w:rPr>
          <w:i/>
          <w:iCs/>
          <w:lang w:val="es-US"/>
        </w:rPr>
      </w:pPr>
    </w:p>
    <w:p w14:paraId="4E185CBE" w14:textId="15D0FA99" w:rsidR="00CD74CD" w:rsidRPr="00282A68" w:rsidRDefault="009A4E20" w:rsidP="00C6770B">
      <w:pPr>
        <w:pStyle w:val="ListParagraph"/>
        <w:ind w:left="10"/>
        <w:jc w:val="both"/>
        <w:rPr>
          <w:rFonts w:eastAsia="Times New Roman"/>
          <w:iCs/>
          <w:u w:val="single"/>
          <w:lang w:val="es-US" w:eastAsia="zh-CN"/>
        </w:rPr>
      </w:pPr>
      <w:r w:rsidRPr="00282A68">
        <w:rPr>
          <w:rFonts w:eastAsia="Times New Roman"/>
          <w:iCs/>
          <w:u w:val="single"/>
          <w:lang w:val="es-US" w:eastAsia="zh-CN"/>
        </w:rPr>
        <w:t>Medida</w:t>
      </w:r>
      <w:r w:rsidR="00CD74CD" w:rsidRPr="00282A68">
        <w:rPr>
          <w:rFonts w:eastAsia="Times New Roman"/>
          <w:iCs/>
          <w:u w:val="single"/>
          <w:lang w:val="es-US" w:eastAsia="zh-CN"/>
        </w:rPr>
        <w:t xml:space="preserve"> b(</w:t>
      </w:r>
      <w:proofErr w:type="spellStart"/>
      <w:r w:rsidR="00CD74CD" w:rsidRPr="00282A68">
        <w:rPr>
          <w:rFonts w:eastAsia="Times New Roman"/>
          <w:iCs/>
          <w:u w:val="single"/>
          <w:lang w:val="es-US" w:eastAsia="zh-CN"/>
        </w:rPr>
        <w:t>ii</w:t>
      </w:r>
      <w:proofErr w:type="spellEnd"/>
      <w:r w:rsidR="00CD74CD" w:rsidRPr="00282A68">
        <w:rPr>
          <w:rFonts w:eastAsia="Times New Roman"/>
          <w:iCs/>
          <w:u w:val="single"/>
          <w:lang w:val="es-US" w:eastAsia="zh-CN"/>
        </w:rPr>
        <w:t xml:space="preserve">) </w:t>
      </w:r>
      <w:r w:rsidRPr="00282A68">
        <w:rPr>
          <w:rFonts w:eastAsia="Times New Roman"/>
          <w:iCs/>
          <w:u w:val="single"/>
          <w:lang w:val="es-US" w:eastAsia="zh-CN"/>
        </w:rPr>
        <w:t>sugerida</w:t>
      </w:r>
      <w:r w:rsidR="00CD74CD" w:rsidRPr="00282A68">
        <w:rPr>
          <w:rFonts w:eastAsia="Times New Roman"/>
          <w:iCs/>
          <w:u w:val="single"/>
          <w:lang w:val="es-US" w:eastAsia="zh-CN"/>
        </w:rPr>
        <w:t xml:space="preserve"> </w:t>
      </w:r>
      <w:r w:rsidRPr="00282A68">
        <w:rPr>
          <w:rFonts w:eastAsia="Times New Roman"/>
          <w:iCs/>
          <w:u w:val="single"/>
          <w:lang w:val="es-US" w:eastAsia="zh-CN"/>
        </w:rPr>
        <w:t>por el Comité</w:t>
      </w:r>
      <w:r w:rsidR="00CD74CD" w:rsidRPr="00282A68">
        <w:rPr>
          <w:rFonts w:eastAsia="Times New Roman"/>
          <w:iCs/>
          <w:u w:val="single"/>
          <w:lang w:val="es-US" w:eastAsia="zh-CN"/>
        </w:rPr>
        <w:t>:</w:t>
      </w:r>
    </w:p>
    <w:p w14:paraId="7173AE7F" w14:textId="77777777" w:rsidR="00CD74CD" w:rsidRPr="00282A68" w:rsidRDefault="00CD74CD" w:rsidP="00CD74CD">
      <w:pPr>
        <w:pStyle w:val="ListParagraph"/>
        <w:ind w:left="10"/>
        <w:jc w:val="both"/>
        <w:rPr>
          <w:rFonts w:eastAsia="Times New Roman"/>
          <w:iCs/>
          <w:lang w:val="es-US" w:eastAsia="zh-CN"/>
        </w:rPr>
      </w:pPr>
    </w:p>
    <w:p w14:paraId="043F00E5" w14:textId="5FF497F1" w:rsidR="00CD74CD" w:rsidRPr="00282A68" w:rsidRDefault="00817653" w:rsidP="00CD74CD">
      <w:pPr>
        <w:jc w:val="both"/>
        <w:rPr>
          <w:i/>
          <w:iCs/>
          <w:sz w:val="22"/>
          <w:szCs w:val="22"/>
          <w:lang w:val="es-US"/>
        </w:rPr>
      </w:pPr>
      <w:r w:rsidRPr="00282A68">
        <w:rPr>
          <w:i/>
          <w:iCs/>
          <w:sz w:val="22"/>
          <w:szCs w:val="22"/>
          <w:lang w:val="es-US"/>
        </w:rPr>
        <w:t>Posibilidad de acceder a las fuentes de información necesarias para llevar a cabo la verificación y constatación antes aludidas, en todos los casos en que ello sea necesario para el cumplimiento de esas funciones</w:t>
      </w:r>
      <w:r w:rsidR="00CD74CD" w:rsidRPr="00282A68">
        <w:rPr>
          <w:i/>
          <w:iCs/>
          <w:sz w:val="22"/>
          <w:szCs w:val="22"/>
          <w:lang w:val="es-US"/>
        </w:rPr>
        <w:t>.</w:t>
      </w:r>
    </w:p>
    <w:p w14:paraId="424522D7" w14:textId="77777777" w:rsidR="00CD74CD" w:rsidRPr="00282A68" w:rsidRDefault="00CD74CD" w:rsidP="00CD74CD">
      <w:pPr>
        <w:jc w:val="both"/>
        <w:rPr>
          <w:i/>
          <w:iCs/>
          <w:sz w:val="22"/>
          <w:szCs w:val="22"/>
          <w:lang w:val="es-US"/>
        </w:rPr>
      </w:pPr>
    </w:p>
    <w:p w14:paraId="19DFC6F4" w14:textId="2F5167D0" w:rsidR="00CD74CD" w:rsidRPr="00282A68" w:rsidRDefault="00817653" w:rsidP="00CD74CD">
      <w:pPr>
        <w:pStyle w:val="ListParagraph"/>
        <w:numPr>
          <w:ilvl w:val="0"/>
          <w:numId w:val="1"/>
        </w:numPr>
        <w:jc w:val="both"/>
        <w:rPr>
          <w:rFonts w:eastAsia="Times New Roman"/>
          <w:lang w:val="es-US"/>
        </w:rPr>
      </w:pPr>
      <w:r w:rsidRPr="00282A68">
        <w:rPr>
          <w:rFonts w:eastAsia="Times New Roman"/>
          <w:iCs/>
          <w:lang w:val="es-US" w:eastAsia="zh-CN"/>
        </w:rPr>
        <w:t>Con respecto a la medida anterior, en su Respuesta, el Estado analizado presenta información y nuevos desarrollos. En este sentido, el Comité observa los siguientes como pasos que lo llevan a concluir que la medida se ha considerado satisfactoriamente</w:t>
      </w:r>
      <w:r w:rsidR="00CD74CD" w:rsidRPr="00282A68">
        <w:rPr>
          <w:rStyle w:val="FootnoteReference"/>
          <w:lang w:val="es-US"/>
        </w:rPr>
        <w:footnoteReference w:id="19"/>
      </w:r>
      <w:r w:rsidR="000B7BB8" w:rsidRPr="00282A68">
        <w:rPr>
          <w:rFonts w:eastAsia="Times New Roman"/>
          <w:iCs/>
          <w:lang w:val="es-US" w:eastAsia="zh-CN"/>
        </w:rPr>
        <w:t>:</w:t>
      </w:r>
    </w:p>
    <w:p w14:paraId="2C709936" w14:textId="77777777" w:rsidR="00A07740" w:rsidRPr="00282A68" w:rsidRDefault="00A07740" w:rsidP="00A07740">
      <w:pPr>
        <w:pStyle w:val="ListParagraph"/>
        <w:ind w:left="10"/>
        <w:jc w:val="both"/>
        <w:rPr>
          <w:lang w:val="es-US"/>
        </w:rPr>
      </w:pPr>
    </w:p>
    <w:p w14:paraId="5FC866F1" w14:textId="2323EDF1" w:rsidR="00A07740" w:rsidRPr="00586BAE" w:rsidRDefault="00A07740" w:rsidP="00A07740">
      <w:pPr>
        <w:pStyle w:val="ListParagraph"/>
        <w:numPr>
          <w:ilvl w:val="0"/>
          <w:numId w:val="1"/>
        </w:numPr>
        <w:jc w:val="both"/>
        <w:rPr>
          <w:rFonts w:eastAsia="Times New Roman"/>
          <w:lang w:val="es-US"/>
        </w:rPr>
      </w:pPr>
      <w:r w:rsidRPr="00586BAE">
        <w:rPr>
          <w:rFonts w:eastAsia="Times New Roman"/>
          <w:iCs/>
          <w:lang w:val="es-US" w:eastAsia="zh-CN"/>
        </w:rPr>
        <w:t xml:space="preserve">– </w:t>
      </w:r>
      <w:r w:rsidR="009B2E65" w:rsidRPr="00586BAE">
        <w:rPr>
          <w:rFonts w:eastAsia="Times New Roman"/>
          <w:iCs/>
          <w:lang w:val="es-US" w:eastAsia="zh-CN"/>
        </w:rPr>
        <w:t xml:space="preserve">La Parte 9, Capítulo 4, Sección 4 del Manual </w:t>
      </w:r>
      <w:r w:rsidR="003D69C3" w:rsidRPr="00586BAE">
        <w:rPr>
          <w:rFonts w:eastAsia="Times New Roman"/>
          <w:iCs/>
          <w:lang w:val="es-US" w:eastAsia="zh-CN"/>
        </w:rPr>
        <w:t xml:space="preserve">de Administración Tributaria </w:t>
      </w:r>
      <w:r w:rsidR="009B2E65" w:rsidRPr="00586BAE">
        <w:rPr>
          <w:rFonts w:eastAsia="Times New Roman"/>
          <w:iCs/>
          <w:lang w:val="es-US" w:eastAsia="zh-CN"/>
        </w:rPr>
        <w:t>establece los procedimientos especiales que los agentes especiales deben seguir para solicitar información en las investigaciones administrativas y que deben seguirse siempre que sea posible en las investigaciones de gran jurado. En este sentido, establece los procedimientos para solicitar información a entidades gubernamentales, países extranjeros e instituciones financieras</w:t>
      </w:r>
      <w:r w:rsidR="006E2B73" w:rsidRPr="00586BAE">
        <w:rPr>
          <w:rStyle w:val="FootnoteReference"/>
          <w:lang w:val="es-US"/>
        </w:rPr>
        <w:footnoteReference w:id="20"/>
      </w:r>
      <w:r w:rsidR="00D843F9" w:rsidRPr="00586BAE">
        <w:rPr>
          <w:rFonts w:eastAsia="Times New Roman"/>
          <w:iCs/>
          <w:lang w:val="es-US" w:eastAsia="zh-CN"/>
        </w:rPr>
        <w:t>.</w:t>
      </w:r>
    </w:p>
    <w:p w14:paraId="365D8680" w14:textId="77777777" w:rsidR="006E2B73" w:rsidRPr="00586BAE" w:rsidRDefault="006E2B73" w:rsidP="006E2B73">
      <w:pPr>
        <w:pStyle w:val="ListParagraph"/>
        <w:rPr>
          <w:rFonts w:eastAsia="Times New Roman"/>
          <w:lang w:val="es-US"/>
        </w:rPr>
      </w:pPr>
    </w:p>
    <w:p w14:paraId="398F6BAB" w14:textId="42919195" w:rsidR="00A07740" w:rsidRPr="00586BAE" w:rsidRDefault="00D843F9" w:rsidP="006E2B73">
      <w:pPr>
        <w:pStyle w:val="ListParagraph"/>
        <w:numPr>
          <w:ilvl w:val="0"/>
          <w:numId w:val="1"/>
        </w:numPr>
        <w:jc w:val="both"/>
        <w:rPr>
          <w:rFonts w:eastAsia="Times New Roman"/>
          <w:lang w:val="es-US"/>
        </w:rPr>
      </w:pPr>
      <w:r w:rsidRPr="00586BAE">
        <w:rPr>
          <w:rFonts w:eastAsia="Times New Roman"/>
          <w:iCs/>
          <w:lang w:val="es-US" w:eastAsia="zh-CN"/>
        </w:rPr>
        <w:t>El Comité también toma nota de que la Parte 9, Capítulo 4, Sección 2 señala las fuentes disponibles para recopilar información durante el curso de una investigación, que incluyen (i) registros gubernamentales, (</w:t>
      </w:r>
      <w:proofErr w:type="spellStart"/>
      <w:r w:rsidRPr="00586BAE">
        <w:rPr>
          <w:rFonts w:eastAsia="Times New Roman"/>
          <w:iCs/>
          <w:lang w:val="es-US" w:eastAsia="zh-CN"/>
        </w:rPr>
        <w:t>ii</w:t>
      </w:r>
      <w:proofErr w:type="spellEnd"/>
      <w:r w:rsidRPr="00586BAE">
        <w:rPr>
          <w:rFonts w:eastAsia="Times New Roman"/>
          <w:iCs/>
          <w:lang w:val="es-US" w:eastAsia="zh-CN"/>
        </w:rPr>
        <w:t>) registros comerciales, financieros, profesionales y educativos, (</w:t>
      </w:r>
      <w:proofErr w:type="spellStart"/>
      <w:r w:rsidRPr="00586BAE">
        <w:rPr>
          <w:rFonts w:eastAsia="Times New Roman"/>
          <w:iCs/>
          <w:lang w:val="es-US" w:eastAsia="zh-CN"/>
        </w:rPr>
        <w:t>iii</w:t>
      </w:r>
      <w:proofErr w:type="spellEnd"/>
      <w:r w:rsidRPr="00586BAE">
        <w:rPr>
          <w:rFonts w:eastAsia="Times New Roman"/>
          <w:iCs/>
          <w:lang w:val="es-US" w:eastAsia="zh-CN"/>
        </w:rPr>
        <w:t>) bases de datos de investigación y (</w:t>
      </w:r>
      <w:proofErr w:type="spellStart"/>
      <w:r w:rsidRPr="00586BAE">
        <w:rPr>
          <w:rFonts w:eastAsia="Times New Roman"/>
          <w:iCs/>
          <w:lang w:val="es-US" w:eastAsia="zh-CN"/>
        </w:rPr>
        <w:t>iv</w:t>
      </w:r>
      <w:proofErr w:type="spellEnd"/>
      <w:r w:rsidRPr="00586BAE">
        <w:rPr>
          <w:rFonts w:eastAsia="Times New Roman"/>
          <w:iCs/>
          <w:lang w:val="es-US" w:eastAsia="zh-CN"/>
        </w:rPr>
        <w:t>) informantes</w:t>
      </w:r>
      <w:r w:rsidR="0020241F" w:rsidRPr="00586BAE">
        <w:rPr>
          <w:rStyle w:val="FootnoteReference"/>
          <w:lang w:val="es-US"/>
        </w:rPr>
        <w:footnoteReference w:id="21"/>
      </w:r>
      <w:r w:rsidRPr="00586BAE">
        <w:rPr>
          <w:rFonts w:eastAsia="Times New Roman"/>
          <w:iCs/>
          <w:lang w:val="es-US" w:eastAsia="zh-CN"/>
        </w:rPr>
        <w:t>.</w:t>
      </w:r>
      <w:r w:rsidR="005E0AAF" w:rsidRPr="00586BAE">
        <w:rPr>
          <w:lang w:val="es-US"/>
        </w:rPr>
        <w:t xml:space="preserve"> </w:t>
      </w:r>
    </w:p>
    <w:p w14:paraId="2ED95807" w14:textId="77777777" w:rsidR="006E2B73" w:rsidRPr="00586BAE" w:rsidRDefault="006E2B73" w:rsidP="006E2B73">
      <w:pPr>
        <w:pStyle w:val="ListParagraph"/>
        <w:rPr>
          <w:rFonts w:eastAsia="Times New Roman"/>
          <w:lang w:val="es-US"/>
        </w:rPr>
      </w:pPr>
    </w:p>
    <w:p w14:paraId="15A32544" w14:textId="2052289E" w:rsidR="006E2B73" w:rsidRPr="00586BAE" w:rsidRDefault="00E8065C" w:rsidP="006E2B73">
      <w:pPr>
        <w:pStyle w:val="ListParagraph"/>
        <w:numPr>
          <w:ilvl w:val="0"/>
          <w:numId w:val="1"/>
        </w:numPr>
        <w:jc w:val="both"/>
        <w:rPr>
          <w:rFonts w:eastAsia="Times New Roman"/>
          <w:lang w:val="es-US"/>
        </w:rPr>
      </w:pPr>
      <w:r w:rsidRPr="00586BAE">
        <w:rPr>
          <w:rFonts w:eastAsia="Times New Roman"/>
          <w:iCs/>
          <w:lang w:val="es-US" w:eastAsia="zh-CN"/>
        </w:rPr>
        <w:t xml:space="preserve">El Estado analizado también hace referencia al </w:t>
      </w:r>
      <w:proofErr w:type="spellStart"/>
      <w:r w:rsidRPr="00586BAE">
        <w:rPr>
          <w:rFonts w:eastAsia="Times New Roman"/>
          <w:iCs/>
          <w:lang w:val="es-US" w:eastAsia="zh-CN"/>
        </w:rPr>
        <w:t>Joint</w:t>
      </w:r>
      <w:proofErr w:type="spellEnd"/>
      <w:r w:rsidRPr="00586BAE">
        <w:rPr>
          <w:rFonts w:eastAsia="Times New Roman"/>
          <w:iCs/>
          <w:lang w:val="es-US" w:eastAsia="zh-CN"/>
        </w:rPr>
        <w:t xml:space="preserve"> </w:t>
      </w:r>
      <w:proofErr w:type="spellStart"/>
      <w:r w:rsidRPr="00586BAE">
        <w:rPr>
          <w:rFonts w:eastAsia="Times New Roman"/>
          <w:iCs/>
          <w:lang w:val="es-US" w:eastAsia="zh-CN"/>
        </w:rPr>
        <w:t>Chiefs</w:t>
      </w:r>
      <w:proofErr w:type="spellEnd"/>
      <w:r w:rsidRPr="00586BAE">
        <w:rPr>
          <w:rFonts w:eastAsia="Times New Roman"/>
          <w:iCs/>
          <w:lang w:val="es-US" w:eastAsia="zh-CN"/>
        </w:rPr>
        <w:t xml:space="preserve"> of Global </w:t>
      </w:r>
      <w:proofErr w:type="spellStart"/>
      <w:r w:rsidRPr="00586BAE">
        <w:rPr>
          <w:rFonts w:eastAsia="Times New Roman"/>
          <w:iCs/>
          <w:lang w:val="es-US" w:eastAsia="zh-CN"/>
        </w:rPr>
        <w:t>Tax</w:t>
      </w:r>
      <w:proofErr w:type="spellEnd"/>
      <w:r w:rsidRPr="00586BAE">
        <w:rPr>
          <w:rFonts w:eastAsia="Times New Roman"/>
          <w:iCs/>
          <w:lang w:val="es-US" w:eastAsia="zh-CN"/>
        </w:rPr>
        <w:t xml:space="preserve"> </w:t>
      </w:r>
      <w:proofErr w:type="spellStart"/>
      <w:r w:rsidRPr="00586BAE">
        <w:rPr>
          <w:rFonts w:eastAsia="Times New Roman"/>
          <w:iCs/>
          <w:lang w:val="es-US" w:eastAsia="zh-CN"/>
        </w:rPr>
        <w:t>Enforcement</w:t>
      </w:r>
      <w:proofErr w:type="spellEnd"/>
      <w:r w:rsidRPr="00586BAE">
        <w:rPr>
          <w:rFonts w:eastAsia="Times New Roman"/>
          <w:iCs/>
          <w:lang w:val="es-US" w:eastAsia="zh-CN"/>
        </w:rPr>
        <w:t xml:space="preserve"> (Jefes Conjuntos de Aplicación Tributaria Global), conocido como el J5), una alianza creada para combatir la delincuencia tributaria transnacional mediante una mayor colaboración en materia de cumplimiento de las leyes. La alianza está integrada por las agencias tributarias de Australia, Canadá, Estados Unidos, Países Bajos y Reino Unido y trabaja conjuntamente para recopilar información, compartir inteligencia, llevar a cabo operaciones y desarrollar la capacidad de los funcionarios encargados de la aplicación de las leyes tributarias</w:t>
      </w:r>
      <w:r w:rsidR="00B768D1" w:rsidRPr="00586BAE">
        <w:rPr>
          <w:rStyle w:val="FootnoteReference"/>
          <w:lang w:val="es-US"/>
        </w:rPr>
        <w:footnoteReference w:id="22"/>
      </w:r>
      <w:r w:rsidRPr="00586BAE">
        <w:rPr>
          <w:rFonts w:eastAsia="Times New Roman"/>
          <w:iCs/>
          <w:lang w:val="es-US" w:eastAsia="zh-CN"/>
        </w:rPr>
        <w:t>.</w:t>
      </w:r>
    </w:p>
    <w:p w14:paraId="6B933FFA" w14:textId="77777777" w:rsidR="00B768D1" w:rsidRPr="00282A68" w:rsidRDefault="00B768D1" w:rsidP="00B768D1">
      <w:pPr>
        <w:pStyle w:val="ListParagraph"/>
        <w:rPr>
          <w:rFonts w:eastAsia="Times New Roman"/>
          <w:lang w:val="es-US"/>
        </w:rPr>
      </w:pPr>
    </w:p>
    <w:p w14:paraId="6575999E" w14:textId="2DE41F86" w:rsidR="00B768D1" w:rsidRPr="00282A68" w:rsidRDefault="00E8065C" w:rsidP="006E2B73">
      <w:pPr>
        <w:pStyle w:val="ListParagraph"/>
        <w:numPr>
          <w:ilvl w:val="0"/>
          <w:numId w:val="1"/>
        </w:numPr>
        <w:jc w:val="both"/>
        <w:rPr>
          <w:rFonts w:eastAsia="Times New Roman"/>
          <w:lang w:val="es-US"/>
        </w:rPr>
      </w:pPr>
      <w:bookmarkStart w:id="9" w:name="_Hlk155884671"/>
      <w:r w:rsidRPr="00282A68">
        <w:rPr>
          <w:iCs/>
          <w:lang w:val="es-US" w:eastAsia="zh-CN"/>
        </w:rPr>
        <w:t>En vista de lo anterior, el Comité toma nota de la consideración satisfactoria por el Estado analizado de la medida (b)(</w:t>
      </w:r>
      <w:proofErr w:type="spellStart"/>
      <w:r w:rsidRPr="00282A68">
        <w:rPr>
          <w:iCs/>
          <w:lang w:val="es-US" w:eastAsia="zh-CN"/>
        </w:rPr>
        <w:t>ii</w:t>
      </w:r>
      <w:proofErr w:type="spellEnd"/>
      <w:r w:rsidRPr="00282A68">
        <w:rPr>
          <w:iCs/>
          <w:lang w:val="es-US" w:eastAsia="zh-CN"/>
        </w:rPr>
        <w:t>) de la anterior recomendación</w:t>
      </w:r>
      <w:bookmarkEnd w:id="9"/>
      <w:r w:rsidR="00B768D1" w:rsidRPr="00282A68">
        <w:rPr>
          <w:lang w:val="es-US"/>
        </w:rPr>
        <w:t>.</w:t>
      </w:r>
    </w:p>
    <w:p w14:paraId="45858210" w14:textId="2423FBF6" w:rsidR="00B768D1" w:rsidRPr="00282A68" w:rsidRDefault="00B768D1" w:rsidP="00B768D1">
      <w:pPr>
        <w:jc w:val="both"/>
        <w:rPr>
          <w:sz w:val="22"/>
          <w:szCs w:val="22"/>
          <w:lang w:val="es-US"/>
        </w:rPr>
      </w:pPr>
    </w:p>
    <w:p w14:paraId="64590AEA" w14:textId="36A0A3DE" w:rsidR="00C6770B" w:rsidRPr="00282A68" w:rsidRDefault="00DC3D05" w:rsidP="00C6770B">
      <w:pPr>
        <w:ind w:right="35"/>
        <w:jc w:val="both"/>
        <w:rPr>
          <w:sz w:val="22"/>
          <w:szCs w:val="22"/>
          <w:u w:val="single"/>
          <w:lang w:val="es-US"/>
        </w:rPr>
      </w:pPr>
      <w:r w:rsidRPr="00282A68">
        <w:rPr>
          <w:sz w:val="22"/>
          <w:szCs w:val="22"/>
          <w:u w:val="single"/>
          <w:lang w:val="es-US"/>
        </w:rPr>
        <w:t>Medida</w:t>
      </w:r>
      <w:r w:rsidR="00C6770B" w:rsidRPr="00282A68">
        <w:rPr>
          <w:sz w:val="22"/>
          <w:szCs w:val="22"/>
          <w:u w:val="single"/>
          <w:lang w:val="es-US"/>
        </w:rPr>
        <w:t xml:space="preserve"> (b)</w:t>
      </w:r>
    </w:p>
    <w:p w14:paraId="47049B62" w14:textId="77777777" w:rsidR="00C6770B" w:rsidRPr="00282A68" w:rsidRDefault="00C6770B" w:rsidP="00C6770B">
      <w:pPr>
        <w:jc w:val="both"/>
        <w:rPr>
          <w:i/>
          <w:iCs/>
          <w:sz w:val="22"/>
          <w:szCs w:val="22"/>
          <w:lang w:val="es-US"/>
        </w:rPr>
      </w:pPr>
    </w:p>
    <w:p w14:paraId="09FD4B2E" w14:textId="059758C9" w:rsidR="00C6770B" w:rsidRPr="00282A68" w:rsidRDefault="00370E4E" w:rsidP="00C6770B">
      <w:pPr>
        <w:jc w:val="both"/>
        <w:rPr>
          <w:i/>
          <w:iCs/>
          <w:sz w:val="22"/>
          <w:szCs w:val="22"/>
          <w:lang w:val="es-US"/>
        </w:rPr>
      </w:pPr>
      <w:r w:rsidRPr="00282A68">
        <w:rPr>
          <w:i/>
          <w:iCs/>
          <w:sz w:val="22"/>
          <w:szCs w:val="22"/>
          <w:lang w:val="es-US"/>
        </w:rPr>
        <w:lastRenderedPageBreak/>
        <w:t>Continuar utilizando, y considerar la adopción de las medidas que estime apropiadas para facilitar a las autoridades competentes la detección de sumas pagadas por actos de corrupción, en caso de que éstas se pretendan utilizar para obtener beneficios tributarios, tales como las siguientes</w:t>
      </w:r>
      <w:r w:rsidR="00C6770B" w:rsidRPr="00282A68">
        <w:rPr>
          <w:i/>
          <w:iCs/>
          <w:sz w:val="22"/>
          <w:szCs w:val="22"/>
          <w:lang w:val="es-US"/>
        </w:rPr>
        <w:t>:</w:t>
      </w:r>
    </w:p>
    <w:p w14:paraId="25FE69C0" w14:textId="77777777" w:rsidR="00C6770B" w:rsidRPr="00282A68" w:rsidRDefault="00C6770B" w:rsidP="00C6770B">
      <w:pPr>
        <w:jc w:val="both"/>
        <w:rPr>
          <w:i/>
          <w:iCs/>
          <w:sz w:val="22"/>
          <w:szCs w:val="22"/>
          <w:lang w:val="es-US"/>
        </w:rPr>
      </w:pPr>
    </w:p>
    <w:p w14:paraId="63CE3B5C" w14:textId="12859532" w:rsidR="00B768D1" w:rsidRPr="00282A68" w:rsidRDefault="00DC3D05" w:rsidP="00C6770B">
      <w:pPr>
        <w:jc w:val="both"/>
        <w:rPr>
          <w:sz w:val="22"/>
          <w:szCs w:val="22"/>
          <w:u w:val="single"/>
          <w:lang w:val="es-US"/>
        </w:rPr>
      </w:pPr>
      <w:r w:rsidRPr="00282A68">
        <w:rPr>
          <w:sz w:val="22"/>
          <w:szCs w:val="22"/>
          <w:u w:val="single"/>
          <w:lang w:val="es-US"/>
        </w:rPr>
        <w:t>Medida</w:t>
      </w:r>
      <w:r w:rsidR="00B768D1" w:rsidRPr="00282A68">
        <w:rPr>
          <w:sz w:val="22"/>
          <w:szCs w:val="22"/>
          <w:u w:val="single"/>
          <w:lang w:val="es-US"/>
        </w:rPr>
        <w:t xml:space="preserve"> b(</w:t>
      </w:r>
      <w:proofErr w:type="spellStart"/>
      <w:r w:rsidR="00B768D1" w:rsidRPr="00282A68">
        <w:rPr>
          <w:sz w:val="22"/>
          <w:szCs w:val="22"/>
          <w:u w:val="single"/>
          <w:lang w:val="es-US"/>
        </w:rPr>
        <w:t>iii</w:t>
      </w:r>
      <w:proofErr w:type="spellEnd"/>
      <w:r w:rsidR="00B768D1" w:rsidRPr="00282A68">
        <w:rPr>
          <w:sz w:val="22"/>
          <w:szCs w:val="22"/>
          <w:u w:val="single"/>
          <w:lang w:val="es-US"/>
        </w:rPr>
        <w:t xml:space="preserve">) </w:t>
      </w:r>
      <w:r w:rsidRPr="00282A68">
        <w:rPr>
          <w:sz w:val="22"/>
          <w:szCs w:val="22"/>
          <w:u w:val="single"/>
          <w:lang w:val="es-US"/>
        </w:rPr>
        <w:t xml:space="preserve">sugerida por el </w:t>
      </w:r>
      <w:r w:rsidR="007D20E8" w:rsidRPr="00282A68">
        <w:rPr>
          <w:sz w:val="22"/>
          <w:szCs w:val="22"/>
          <w:u w:val="single"/>
          <w:lang w:val="es-US"/>
        </w:rPr>
        <w:t>Comité</w:t>
      </w:r>
      <w:r w:rsidR="00B768D1" w:rsidRPr="00282A68">
        <w:rPr>
          <w:sz w:val="22"/>
          <w:szCs w:val="22"/>
          <w:u w:val="single"/>
          <w:lang w:val="es-US"/>
        </w:rPr>
        <w:t>:</w:t>
      </w:r>
    </w:p>
    <w:p w14:paraId="0B7B77E8" w14:textId="77777777" w:rsidR="00B768D1" w:rsidRPr="00282A68" w:rsidRDefault="00B768D1" w:rsidP="00B768D1">
      <w:pPr>
        <w:jc w:val="both"/>
        <w:rPr>
          <w:lang w:val="es-US"/>
        </w:rPr>
      </w:pPr>
    </w:p>
    <w:p w14:paraId="79CC7A6E" w14:textId="4964E920" w:rsidR="00B768D1" w:rsidRPr="00282A68" w:rsidRDefault="007D20E8" w:rsidP="00B768D1">
      <w:pPr>
        <w:jc w:val="both"/>
        <w:rPr>
          <w:i/>
          <w:iCs/>
          <w:sz w:val="22"/>
          <w:szCs w:val="22"/>
          <w:lang w:val="es-US"/>
        </w:rPr>
      </w:pPr>
      <w:r w:rsidRPr="00282A68">
        <w:rPr>
          <w:i/>
          <w:iCs/>
          <w:sz w:val="22"/>
          <w:szCs w:val="22"/>
          <w:lang w:val="es-US"/>
        </w:rPr>
        <w:t>Programas informáticos que faciliten la consulta de datos o el cruce de información cuando lo requiera el cumplimiento de su función</w:t>
      </w:r>
      <w:r w:rsidR="00B768D1" w:rsidRPr="00282A68">
        <w:rPr>
          <w:i/>
          <w:iCs/>
          <w:sz w:val="22"/>
          <w:szCs w:val="22"/>
          <w:lang w:val="es-US"/>
        </w:rPr>
        <w:t>.</w:t>
      </w:r>
    </w:p>
    <w:p w14:paraId="79B3498A" w14:textId="77777777" w:rsidR="00B768D1" w:rsidRPr="00282A68" w:rsidRDefault="00B768D1" w:rsidP="00B768D1">
      <w:pPr>
        <w:jc w:val="both"/>
        <w:rPr>
          <w:i/>
          <w:iCs/>
          <w:sz w:val="22"/>
          <w:szCs w:val="22"/>
          <w:lang w:val="es-US"/>
        </w:rPr>
      </w:pPr>
    </w:p>
    <w:p w14:paraId="574F01F0" w14:textId="6B02E647" w:rsidR="00B768D1" w:rsidRPr="00282A68" w:rsidRDefault="003C639D" w:rsidP="00635F9C">
      <w:pPr>
        <w:pStyle w:val="ListParagraph"/>
        <w:numPr>
          <w:ilvl w:val="0"/>
          <w:numId w:val="1"/>
        </w:numPr>
        <w:jc w:val="both"/>
        <w:rPr>
          <w:lang w:val="es-US"/>
        </w:rPr>
      </w:pPr>
      <w:r w:rsidRPr="00282A68">
        <w:rPr>
          <w:rFonts w:eastAsia="Times New Roman"/>
          <w:iCs/>
          <w:lang w:val="es-US" w:eastAsia="zh-CN"/>
        </w:rPr>
        <w:t>Con respecto a la medida anterior, en su Respuesta, el Estado analizado presenta información y nuevos desarrollos. En este sentido, el Comité observa los siguientes como pasos que lo llevan a concluir que la medida se ha considerado satisfactoriamente</w:t>
      </w:r>
      <w:r w:rsidR="00B768D1" w:rsidRPr="00282A68">
        <w:rPr>
          <w:rStyle w:val="FootnoteReference"/>
          <w:lang w:val="es-US"/>
        </w:rPr>
        <w:footnoteReference w:id="23"/>
      </w:r>
      <w:r w:rsidR="00861EF1" w:rsidRPr="00282A68">
        <w:rPr>
          <w:lang w:val="es-US"/>
        </w:rPr>
        <w:t>:</w:t>
      </w:r>
    </w:p>
    <w:p w14:paraId="5436B897" w14:textId="77777777" w:rsidR="00635F9C" w:rsidRPr="00282A68" w:rsidRDefault="00635F9C" w:rsidP="00B768D1">
      <w:pPr>
        <w:jc w:val="both"/>
        <w:rPr>
          <w:lang w:val="es-US"/>
        </w:rPr>
      </w:pPr>
    </w:p>
    <w:p w14:paraId="759AFC3C" w14:textId="4BBF2BBE" w:rsidR="00807A14" w:rsidRPr="00586BAE" w:rsidRDefault="008414DE" w:rsidP="00B768D1">
      <w:pPr>
        <w:pStyle w:val="ListParagraph"/>
        <w:numPr>
          <w:ilvl w:val="0"/>
          <w:numId w:val="1"/>
        </w:numPr>
        <w:jc w:val="both"/>
        <w:rPr>
          <w:lang w:val="es-US"/>
        </w:rPr>
      </w:pPr>
      <w:r w:rsidRPr="00586BAE">
        <w:rPr>
          <w:lang w:val="es-US"/>
        </w:rPr>
        <w:t xml:space="preserve">– </w:t>
      </w:r>
      <w:r w:rsidR="004C485B" w:rsidRPr="00586BAE">
        <w:rPr>
          <w:rFonts w:eastAsia="Times New Roman"/>
          <w:iCs/>
          <w:lang w:val="es-US" w:eastAsia="zh-CN"/>
        </w:rPr>
        <w:t>El gobierno de Estados Unidos usa una plataforma de recopilación y análisis de datos especialmente diseñada que se emplea para examinar información y patrones de actividades sospechosas y determinar si debe abrirse un caso para su posterior seguimiento. En sus análisis, los agentes utilizan información sensible pero no clasificada, así como datos de identificación personal. Al respecto, el número de la Seguridad Social de un contribuyente y su información de contacto (nombre, dirección, números de teléfono, fecha de nacimiento y direcciones IP) se emplean para identificar a personas directa e indirectamente relacionadas con una investigación. La consulta de números de cuentas financieras e información sobre cuentas fiscales y la consulta de números de pasaporte para recabar tendencias de viaje también ayuda a identificar fraudes, robos de identidad o evasión fiscal</w:t>
      </w:r>
      <w:r w:rsidR="003F78BD" w:rsidRPr="00586BAE">
        <w:rPr>
          <w:lang w:val="es-US"/>
        </w:rPr>
        <w:t xml:space="preserve">. </w:t>
      </w:r>
    </w:p>
    <w:p w14:paraId="70447F66" w14:textId="77777777" w:rsidR="00807A14" w:rsidRPr="00586BAE" w:rsidRDefault="00807A14" w:rsidP="00807A14">
      <w:pPr>
        <w:pStyle w:val="ListParagraph"/>
        <w:rPr>
          <w:lang w:val="es-US"/>
        </w:rPr>
      </w:pPr>
    </w:p>
    <w:p w14:paraId="5A2B3ECD" w14:textId="5F5627FB" w:rsidR="00166AD2" w:rsidRPr="00586BAE" w:rsidRDefault="00CB3C86" w:rsidP="00166AD2">
      <w:pPr>
        <w:pStyle w:val="ListParagraph"/>
        <w:numPr>
          <w:ilvl w:val="0"/>
          <w:numId w:val="1"/>
        </w:numPr>
        <w:jc w:val="both"/>
        <w:rPr>
          <w:lang w:val="es-US"/>
        </w:rPr>
      </w:pPr>
      <w:r w:rsidRPr="00586BAE">
        <w:rPr>
          <w:rFonts w:eastAsia="Times New Roman"/>
          <w:iCs/>
          <w:lang w:val="es-US" w:eastAsia="zh-CN"/>
        </w:rPr>
        <w:t xml:space="preserve">El Comité observa además que el IRS ha venido modernizando su sistema de procesamiento de impuestos. En este sentido, actualmente utiliza un sistema llamado Archivo Maestro de Contribuyentes (Individual </w:t>
      </w:r>
      <w:proofErr w:type="gramStart"/>
      <w:r w:rsidRPr="00586BAE">
        <w:rPr>
          <w:rFonts w:eastAsia="Times New Roman"/>
          <w:iCs/>
          <w:lang w:val="es-US" w:eastAsia="zh-CN"/>
        </w:rPr>
        <w:t>Master</w:t>
      </w:r>
      <w:proofErr w:type="gramEnd"/>
      <w:r w:rsidRPr="00586BAE">
        <w:rPr>
          <w:rFonts w:eastAsia="Times New Roman"/>
          <w:iCs/>
          <w:lang w:val="es-US" w:eastAsia="zh-CN"/>
        </w:rPr>
        <w:t xml:space="preserve"> File)</w:t>
      </w:r>
      <w:r w:rsidR="002A256C" w:rsidRPr="00586BAE">
        <w:rPr>
          <w:rStyle w:val="FootnoteReference"/>
          <w:lang w:val="es-US"/>
        </w:rPr>
        <w:footnoteReference w:id="24"/>
      </w:r>
      <w:r w:rsidRPr="00586BAE">
        <w:rPr>
          <w:rFonts w:eastAsia="Times New Roman"/>
          <w:iCs/>
          <w:lang w:val="es-US" w:eastAsia="zh-CN"/>
        </w:rPr>
        <w:t>,</w:t>
      </w:r>
      <w:r w:rsidR="005D4AB5" w:rsidRPr="00586BAE">
        <w:rPr>
          <w:lang w:val="es-US"/>
        </w:rPr>
        <w:t xml:space="preserve"> </w:t>
      </w:r>
      <w:r w:rsidR="006652FF" w:rsidRPr="00586BAE">
        <w:rPr>
          <w:rFonts w:eastAsia="Times New Roman"/>
          <w:iCs/>
          <w:lang w:val="es-US" w:eastAsia="zh-CN"/>
        </w:rPr>
        <w:t xml:space="preserve">para contribuyentes individuales </w:t>
      </w:r>
      <w:r w:rsidR="006E5826" w:rsidRPr="00586BAE">
        <w:rPr>
          <w:rFonts w:eastAsia="Times New Roman"/>
          <w:iCs/>
          <w:lang w:val="es-US" w:eastAsia="zh-CN"/>
        </w:rPr>
        <w:t xml:space="preserve">que se está sustituyendo el </w:t>
      </w:r>
      <w:proofErr w:type="spellStart"/>
      <w:r w:rsidR="006E5826" w:rsidRPr="00586BAE">
        <w:rPr>
          <w:rFonts w:eastAsia="Times New Roman"/>
          <w:iCs/>
          <w:lang w:val="es-US" w:eastAsia="zh-CN"/>
        </w:rPr>
        <w:t>Customer</w:t>
      </w:r>
      <w:proofErr w:type="spellEnd"/>
      <w:r w:rsidR="006E5826" w:rsidRPr="00586BAE">
        <w:rPr>
          <w:rFonts w:eastAsia="Times New Roman"/>
          <w:iCs/>
          <w:lang w:val="es-US" w:eastAsia="zh-CN"/>
        </w:rPr>
        <w:t xml:space="preserve"> </w:t>
      </w:r>
      <w:proofErr w:type="spellStart"/>
      <w:r w:rsidR="006E5826" w:rsidRPr="00586BAE">
        <w:rPr>
          <w:rFonts w:eastAsia="Times New Roman"/>
          <w:iCs/>
          <w:lang w:val="es-US" w:eastAsia="zh-CN"/>
        </w:rPr>
        <w:t>Account</w:t>
      </w:r>
      <w:proofErr w:type="spellEnd"/>
      <w:r w:rsidR="006E5826" w:rsidRPr="00586BAE">
        <w:rPr>
          <w:rFonts w:eastAsia="Times New Roman"/>
          <w:iCs/>
          <w:lang w:val="es-US" w:eastAsia="zh-CN"/>
        </w:rPr>
        <w:t xml:space="preserve"> Data </w:t>
      </w:r>
      <w:proofErr w:type="spellStart"/>
      <w:r w:rsidR="006E5826" w:rsidRPr="00586BAE">
        <w:rPr>
          <w:rFonts w:eastAsia="Times New Roman"/>
          <w:iCs/>
          <w:lang w:val="es-US" w:eastAsia="zh-CN"/>
        </w:rPr>
        <w:t>Engine</w:t>
      </w:r>
      <w:proofErr w:type="spellEnd"/>
      <w:r w:rsidR="006E5826" w:rsidRPr="00586BAE">
        <w:rPr>
          <w:rFonts w:eastAsia="Times New Roman"/>
          <w:iCs/>
          <w:lang w:val="es-US" w:eastAsia="zh-CN"/>
        </w:rPr>
        <w:t xml:space="preserve"> 2 (CADE 2) (sistema de datos de cuentas de clientes)</w:t>
      </w:r>
      <w:r w:rsidR="006652FF" w:rsidRPr="00586BAE">
        <w:rPr>
          <w:rFonts w:eastAsia="Times New Roman"/>
          <w:iCs/>
          <w:lang w:val="es-US" w:eastAsia="zh-CN"/>
        </w:rPr>
        <w:t>. El CADE 2 es el sistema central modernizado de procesamiento de impuestos del IRS que se encargará del procesamiento diario de las cuentas de los contribuyentes para permitir un procesamiento más rápido de las devoluciones de impuestos y una mayor eficiencia en las operaciones, además de una mejor detección del fraude. Aprovecha tecnología de bases de datos, lenguajes y principios de programación modernos para determinar devoluciones, calcular multas e intereses, supervisar el cumplimiento y dar seguimiento a los datos históricos de las cuentas individuales de los contribuyentes</w:t>
      </w:r>
      <w:r w:rsidR="00166AD2" w:rsidRPr="00586BAE">
        <w:rPr>
          <w:rStyle w:val="FootnoteReference"/>
          <w:lang w:val="es-US"/>
        </w:rPr>
        <w:footnoteReference w:id="25"/>
      </w:r>
      <w:r w:rsidR="006652FF" w:rsidRPr="00586BAE">
        <w:rPr>
          <w:rFonts w:eastAsia="Times New Roman"/>
          <w:iCs/>
          <w:lang w:val="es-US" w:eastAsia="zh-CN"/>
        </w:rPr>
        <w:t>.</w:t>
      </w:r>
      <w:r w:rsidR="00166AD2" w:rsidRPr="00586BAE">
        <w:rPr>
          <w:lang w:val="es-US"/>
        </w:rPr>
        <w:t xml:space="preserve"> </w:t>
      </w:r>
    </w:p>
    <w:p w14:paraId="0FEBFC9A" w14:textId="77777777" w:rsidR="00166AD2" w:rsidRPr="00586BAE" w:rsidRDefault="00166AD2" w:rsidP="00D6627D">
      <w:pPr>
        <w:pStyle w:val="ListParagraph"/>
        <w:ind w:left="10"/>
        <w:jc w:val="both"/>
        <w:rPr>
          <w:lang w:val="es-US"/>
        </w:rPr>
      </w:pPr>
    </w:p>
    <w:p w14:paraId="59C6340C" w14:textId="4D38B849" w:rsidR="00195575" w:rsidRPr="00586BAE" w:rsidRDefault="002D64E7" w:rsidP="001653C6">
      <w:pPr>
        <w:pStyle w:val="ListParagraph"/>
        <w:numPr>
          <w:ilvl w:val="0"/>
          <w:numId w:val="1"/>
        </w:numPr>
        <w:jc w:val="both"/>
        <w:rPr>
          <w:lang w:val="es-US"/>
        </w:rPr>
      </w:pPr>
      <w:r w:rsidRPr="00586BAE">
        <w:rPr>
          <w:rFonts w:eastAsia="Times New Roman"/>
          <w:iCs/>
          <w:lang w:val="es-US" w:eastAsia="zh-CN"/>
        </w:rPr>
        <w:t>Además, el Comité toma nota de que el Estado analizado está utilizando datos y análisis para abordar posibles fraudes y proteger los datos de los contribuyentes y los sistemas del IRS</w:t>
      </w:r>
      <w:r w:rsidR="00D6627D" w:rsidRPr="00586BAE">
        <w:rPr>
          <w:rStyle w:val="FootnoteReference"/>
          <w:lang w:val="es-US"/>
        </w:rPr>
        <w:footnoteReference w:id="26"/>
      </w:r>
      <w:r w:rsidRPr="00586BAE">
        <w:rPr>
          <w:rFonts w:eastAsia="Times New Roman"/>
          <w:iCs/>
          <w:lang w:val="es-US" w:eastAsia="zh-CN"/>
        </w:rPr>
        <w:t>.</w:t>
      </w:r>
      <w:r w:rsidR="00166AD2" w:rsidRPr="00586BAE">
        <w:rPr>
          <w:lang w:val="es-US"/>
        </w:rPr>
        <w:t xml:space="preserve"> </w:t>
      </w:r>
      <w:r w:rsidR="00053532" w:rsidRPr="00586BAE">
        <w:rPr>
          <w:rFonts w:eastAsia="Times New Roman"/>
          <w:iCs/>
          <w:lang w:val="es-US" w:eastAsia="zh-CN"/>
        </w:rPr>
        <w:t xml:space="preserve">Al respecto, el Programa de Revisión de Devoluciones para la Detección de Fraudes utiliza tecnologías de aprendizaje automático de última generación para detectar, resolver y prevenir el fraude fiscal penal y civil y el </w:t>
      </w:r>
      <w:r w:rsidR="00053532" w:rsidRPr="00586BAE">
        <w:rPr>
          <w:rFonts w:eastAsia="Times New Roman"/>
          <w:iCs/>
          <w:lang w:val="es-US" w:eastAsia="zh-CN"/>
        </w:rPr>
        <w:lastRenderedPageBreak/>
        <w:t>incumplimiento de las obligaciones tributarias. Como resultado, desde sus inicios en 2015, el Programa de Revisión de Devoluciones ha detectado sistemáticamente casi 13.000 millones de dólares de fraude previo a la devolución</w:t>
      </w:r>
      <w:r w:rsidR="00D6627D" w:rsidRPr="00586BAE">
        <w:rPr>
          <w:rStyle w:val="FootnoteReference"/>
          <w:lang w:val="es-US"/>
        </w:rPr>
        <w:footnoteReference w:id="27"/>
      </w:r>
      <w:r w:rsidR="00053532" w:rsidRPr="00586BAE">
        <w:rPr>
          <w:rFonts w:eastAsia="Times New Roman"/>
          <w:iCs/>
          <w:lang w:val="es-US" w:eastAsia="zh-CN"/>
        </w:rPr>
        <w:t>.</w:t>
      </w:r>
      <w:r w:rsidR="00195575" w:rsidRPr="00586BAE">
        <w:rPr>
          <w:lang w:val="es-US"/>
        </w:rPr>
        <w:t xml:space="preserve"> </w:t>
      </w:r>
    </w:p>
    <w:p w14:paraId="55CB7B63" w14:textId="77777777" w:rsidR="00807A14" w:rsidRPr="00586BAE" w:rsidRDefault="00807A14" w:rsidP="00807A14">
      <w:pPr>
        <w:pStyle w:val="ListParagraph"/>
        <w:rPr>
          <w:lang w:val="es-US"/>
        </w:rPr>
      </w:pPr>
    </w:p>
    <w:p w14:paraId="3EC822D0" w14:textId="6F7B7A9C" w:rsidR="003F78BD" w:rsidRPr="00586BAE" w:rsidRDefault="00791B4C" w:rsidP="00B768D1">
      <w:pPr>
        <w:pStyle w:val="ListParagraph"/>
        <w:numPr>
          <w:ilvl w:val="0"/>
          <w:numId w:val="1"/>
        </w:numPr>
        <w:jc w:val="both"/>
        <w:rPr>
          <w:lang w:val="es-US"/>
        </w:rPr>
      </w:pPr>
      <w:r w:rsidRPr="00586BAE">
        <w:rPr>
          <w:rFonts w:eastAsia="Times New Roman"/>
          <w:iCs/>
          <w:lang w:val="es-US" w:eastAsia="zh-CN"/>
        </w:rPr>
        <w:t>El Comité toma nota además de que la Parte 2 del Manual de Administración Tributaria aborda específicamente el uso de la tecnología informática</w:t>
      </w:r>
      <w:r w:rsidR="00D6627D" w:rsidRPr="00586BAE">
        <w:rPr>
          <w:rStyle w:val="FootnoteReference"/>
          <w:lang w:val="es-US"/>
        </w:rPr>
        <w:footnoteReference w:id="28"/>
      </w:r>
      <w:r w:rsidRPr="00586BAE">
        <w:rPr>
          <w:rFonts w:eastAsia="Times New Roman"/>
          <w:iCs/>
          <w:lang w:val="es-US" w:eastAsia="zh-CN"/>
        </w:rPr>
        <w:t>.</w:t>
      </w:r>
    </w:p>
    <w:p w14:paraId="79D85934" w14:textId="77777777" w:rsidR="00D6627D" w:rsidRPr="00282A68" w:rsidRDefault="00D6627D" w:rsidP="00D6627D">
      <w:pPr>
        <w:pStyle w:val="ListParagraph"/>
        <w:rPr>
          <w:lang w:val="es-US"/>
        </w:rPr>
      </w:pPr>
    </w:p>
    <w:p w14:paraId="4A0D4042" w14:textId="011ECF05" w:rsidR="00D6627D" w:rsidRPr="00282A68" w:rsidRDefault="000E51B0" w:rsidP="00D6627D">
      <w:pPr>
        <w:pStyle w:val="ListParagraph"/>
        <w:numPr>
          <w:ilvl w:val="0"/>
          <w:numId w:val="1"/>
        </w:numPr>
        <w:jc w:val="both"/>
        <w:rPr>
          <w:rFonts w:eastAsia="Times New Roman"/>
          <w:lang w:val="es-US"/>
        </w:rPr>
      </w:pPr>
      <w:r w:rsidRPr="00282A68">
        <w:rPr>
          <w:iCs/>
          <w:lang w:val="es-US" w:eastAsia="zh-CN"/>
        </w:rPr>
        <w:t>En vista de lo anterior, el Comité toma nota de la consideración satisfactoria por el Estado analizado de la medida (b)(</w:t>
      </w:r>
      <w:proofErr w:type="spellStart"/>
      <w:r w:rsidRPr="00282A68">
        <w:rPr>
          <w:iCs/>
          <w:lang w:val="es-US" w:eastAsia="zh-CN"/>
        </w:rPr>
        <w:t>iii</w:t>
      </w:r>
      <w:proofErr w:type="spellEnd"/>
      <w:r w:rsidRPr="00282A68">
        <w:rPr>
          <w:iCs/>
          <w:lang w:val="es-US" w:eastAsia="zh-CN"/>
        </w:rPr>
        <w:t>) de la anterior recomendación</w:t>
      </w:r>
      <w:r w:rsidR="00D6627D" w:rsidRPr="00282A68">
        <w:rPr>
          <w:lang w:val="es-US"/>
        </w:rPr>
        <w:t>.</w:t>
      </w:r>
    </w:p>
    <w:p w14:paraId="0C7E06E6" w14:textId="77777777" w:rsidR="00D6627D" w:rsidRPr="00282A68" w:rsidRDefault="00D6627D" w:rsidP="00D6627D">
      <w:pPr>
        <w:pStyle w:val="ListParagraph"/>
        <w:rPr>
          <w:rFonts w:eastAsia="Times New Roman"/>
          <w:lang w:val="es-US"/>
        </w:rPr>
      </w:pPr>
    </w:p>
    <w:p w14:paraId="2C2BB767" w14:textId="6FEF8D1D" w:rsidR="00C6770B" w:rsidRPr="00282A68" w:rsidRDefault="00DC3D05" w:rsidP="00C6770B">
      <w:pPr>
        <w:ind w:right="35"/>
        <w:jc w:val="both"/>
        <w:rPr>
          <w:sz w:val="22"/>
          <w:szCs w:val="22"/>
          <w:u w:val="single"/>
          <w:lang w:val="es-US"/>
        </w:rPr>
      </w:pPr>
      <w:r w:rsidRPr="00282A68">
        <w:rPr>
          <w:sz w:val="22"/>
          <w:szCs w:val="22"/>
          <w:u w:val="single"/>
          <w:lang w:val="es-US"/>
        </w:rPr>
        <w:t>Medida</w:t>
      </w:r>
      <w:r w:rsidR="00C6770B" w:rsidRPr="00282A68">
        <w:rPr>
          <w:sz w:val="22"/>
          <w:szCs w:val="22"/>
          <w:u w:val="single"/>
          <w:lang w:val="es-US"/>
        </w:rPr>
        <w:t xml:space="preserve"> (b)</w:t>
      </w:r>
    </w:p>
    <w:p w14:paraId="2427BD4A" w14:textId="77777777" w:rsidR="00C6770B" w:rsidRPr="00282A68" w:rsidRDefault="00C6770B" w:rsidP="00C6770B">
      <w:pPr>
        <w:jc w:val="both"/>
        <w:rPr>
          <w:i/>
          <w:iCs/>
          <w:sz w:val="22"/>
          <w:szCs w:val="22"/>
          <w:lang w:val="es-US"/>
        </w:rPr>
      </w:pPr>
    </w:p>
    <w:p w14:paraId="43F47E08" w14:textId="580EB65D" w:rsidR="00C6770B" w:rsidRPr="00282A68" w:rsidRDefault="00370E4E" w:rsidP="00C6770B">
      <w:pPr>
        <w:jc w:val="both"/>
        <w:rPr>
          <w:i/>
          <w:iCs/>
          <w:sz w:val="22"/>
          <w:szCs w:val="22"/>
          <w:lang w:val="es-US"/>
        </w:rPr>
      </w:pPr>
      <w:r w:rsidRPr="00282A68">
        <w:rPr>
          <w:i/>
          <w:iCs/>
          <w:sz w:val="22"/>
          <w:szCs w:val="22"/>
          <w:lang w:val="es-US"/>
        </w:rPr>
        <w:t>Continuar utilizando, y considerar la adopción de las medidas que estime apropiadas para facilitar a las autoridades competentes la detección de sumas pagadas por actos de corrupción, en caso de que éstas se pretendan utilizar para obtener beneficios tributarios, tales como las siguientes</w:t>
      </w:r>
      <w:r w:rsidR="00C6770B" w:rsidRPr="00282A68">
        <w:rPr>
          <w:i/>
          <w:iCs/>
          <w:sz w:val="22"/>
          <w:szCs w:val="22"/>
          <w:lang w:val="es-US"/>
        </w:rPr>
        <w:t>:</w:t>
      </w:r>
    </w:p>
    <w:p w14:paraId="6402CFCE" w14:textId="77777777" w:rsidR="00C6770B" w:rsidRPr="00282A68" w:rsidRDefault="00C6770B" w:rsidP="00C6770B">
      <w:pPr>
        <w:jc w:val="both"/>
        <w:rPr>
          <w:i/>
          <w:iCs/>
          <w:sz w:val="22"/>
          <w:szCs w:val="22"/>
          <w:lang w:val="es-US"/>
        </w:rPr>
      </w:pPr>
    </w:p>
    <w:p w14:paraId="33B9D219" w14:textId="7462397C" w:rsidR="00D6627D" w:rsidRPr="00282A68" w:rsidRDefault="00DC3D05" w:rsidP="00C6770B">
      <w:pPr>
        <w:jc w:val="both"/>
        <w:rPr>
          <w:sz w:val="22"/>
          <w:szCs w:val="22"/>
          <w:u w:val="single"/>
          <w:lang w:val="es-US"/>
        </w:rPr>
      </w:pPr>
      <w:r w:rsidRPr="00282A68">
        <w:rPr>
          <w:sz w:val="22"/>
          <w:szCs w:val="22"/>
          <w:u w:val="single"/>
          <w:lang w:val="es-US"/>
        </w:rPr>
        <w:t>Medida</w:t>
      </w:r>
      <w:r w:rsidR="00D6627D" w:rsidRPr="00282A68">
        <w:rPr>
          <w:sz w:val="22"/>
          <w:szCs w:val="22"/>
          <w:u w:val="single"/>
          <w:lang w:val="es-US"/>
        </w:rPr>
        <w:t xml:space="preserve"> b(</w:t>
      </w:r>
      <w:proofErr w:type="spellStart"/>
      <w:r w:rsidR="00D6627D" w:rsidRPr="00282A68">
        <w:rPr>
          <w:sz w:val="22"/>
          <w:szCs w:val="22"/>
          <w:u w:val="single"/>
          <w:lang w:val="es-US"/>
        </w:rPr>
        <w:t>iv</w:t>
      </w:r>
      <w:proofErr w:type="spellEnd"/>
      <w:r w:rsidR="00D6627D" w:rsidRPr="00282A68">
        <w:rPr>
          <w:sz w:val="22"/>
          <w:szCs w:val="22"/>
          <w:u w:val="single"/>
          <w:lang w:val="es-US"/>
        </w:rPr>
        <w:t xml:space="preserve">) </w:t>
      </w:r>
      <w:r w:rsidRPr="00282A68">
        <w:rPr>
          <w:sz w:val="22"/>
          <w:szCs w:val="22"/>
          <w:u w:val="single"/>
          <w:lang w:val="es-US"/>
        </w:rPr>
        <w:t xml:space="preserve">sugerida por el </w:t>
      </w:r>
      <w:r w:rsidR="00387174" w:rsidRPr="00282A68">
        <w:rPr>
          <w:sz w:val="22"/>
          <w:szCs w:val="22"/>
          <w:u w:val="single"/>
          <w:lang w:val="es-US"/>
        </w:rPr>
        <w:t>Comité</w:t>
      </w:r>
      <w:r w:rsidR="00D6627D" w:rsidRPr="00282A68">
        <w:rPr>
          <w:sz w:val="22"/>
          <w:szCs w:val="22"/>
          <w:u w:val="single"/>
          <w:lang w:val="es-US"/>
        </w:rPr>
        <w:t>:</w:t>
      </w:r>
    </w:p>
    <w:p w14:paraId="579BBBBC" w14:textId="77777777" w:rsidR="00D6627D" w:rsidRPr="00282A68" w:rsidRDefault="00D6627D" w:rsidP="00D6627D">
      <w:pPr>
        <w:jc w:val="both"/>
        <w:rPr>
          <w:lang w:val="es-US"/>
        </w:rPr>
      </w:pPr>
    </w:p>
    <w:p w14:paraId="3F36D9E2" w14:textId="45D1E202" w:rsidR="00D6627D" w:rsidRPr="00282A68" w:rsidRDefault="00387174" w:rsidP="00D6627D">
      <w:pPr>
        <w:jc w:val="both"/>
        <w:rPr>
          <w:i/>
          <w:iCs/>
          <w:sz w:val="22"/>
          <w:szCs w:val="22"/>
          <w:lang w:val="es-US"/>
        </w:rPr>
      </w:pPr>
      <w:r w:rsidRPr="00282A68">
        <w:rPr>
          <w:i/>
          <w:iCs/>
          <w:sz w:val="22"/>
          <w:szCs w:val="22"/>
          <w:lang w:val="es-US"/>
        </w:rPr>
        <w:t>Mecanismos de coordinación institucional que permitan obtener oportunamente la colaboración que necesiten de otras autoridades, en aspectos tales como dictámenes de autenticidad de los documentos que sustenten la aplicación de un beneficio tributario</w:t>
      </w:r>
      <w:r w:rsidR="00D6627D" w:rsidRPr="00282A68">
        <w:rPr>
          <w:i/>
          <w:iCs/>
          <w:sz w:val="22"/>
          <w:szCs w:val="22"/>
          <w:lang w:val="es-US"/>
        </w:rPr>
        <w:t>.</w:t>
      </w:r>
    </w:p>
    <w:p w14:paraId="49D5A3D5" w14:textId="77777777" w:rsidR="00D6627D" w:rsidRPr="00282A68" w:rsidRDefault="00D6627D" w:rsidP="00D6627D">
      <w:pPr>
        <w:jc w:val="both"/>
        <w:rPr>
          <w:i/>
          <w:iCs/>
          <w:sz w:val="22"/>
          <w:szCs w:val="22"/>
          <w:lang w:val="es-US"/>
        </w:rPr>
      </w:pPr>
    </w:p>
    <w:p w14:paraId="6C82DAD8" w14:textId="1448E340" w:rsidR="00D6627D" w:rsidRPr="00282A68" w:rsidRDefault="00387174" w:rsidP="00D6627D">
      <w:pPr>
        <w:pStyle w:val="ListParagraph"/>
        <w:numPr>
          <w:ilvl w:val="0"/>
          <w:numId w:val="1"/>
        </w:numPr>
        <w:jc w:val="both"/>
        <w:rPr>
          <w:rFonts w:eastAsia="Times New Roman"/>
          <w:lang w:val="es-US"/>
        </w:rPr>
      </w:pPr>
      <w:r w:rsidRPr="00282A68">
        <w:rPr>
          <w:rFonts w:eastAsia="Times New Roman"/>
          <w:iCs/>
          <w:lang w:val="es-US" w:eastAsia="zh-CN"/>
        </w:rPr>
        <w:t>Con respecto a la medida anterior, en su Respuesta, el Estado analizado presenta información y nuevos desarrollos. En este sentido, el Comité observa los siguientes como pasos que lo llevan a concluir que la medida se ha considerado satisfactoriamente</w:t>
      </w:r>
      <w:r w:rsidR="00D6627D" w:rsidRPr="00282A68">
        <w:rPr>
          <w:rStyle w:val="FootnoteReference"/>
          <w:lang w:val="es-US"/>
        </w:rPr>
        <w:footnoteReference w:id="29"/>
      </w:r>
      <w:r w:rsidRPr="00282A68">
        <w:rPr>
          <w:rFonts w:eastAsia="Times New Roman"/>
          <w:iCs/>
          <w:lang w:val="es-US" w:eastAsia="zh-CN"/>
        </w:rPr>
        <w:t>:</w:t>
      </w:r>
    </w:p>
    <w:p w14:paraId="413E2628" w14:textId="77777777" w:rsidR="00D6627D" w:rsidRPr="00282A68" w:rsidRDefault="00D6627D" w:rsidP="00D6627D">
      <w:pPr>
        <w:pStyle w:val="ListParagraph"/>
        <w:ind w:left="10"/>
        <w:jc w:val="both"/>
        <w:rPr>
          <w:lang w:val="es-US"/>
        </w:rPr>
      </w:pPr>
    </w:p>
    <w:p w14:paraId="2D35B41D" w14:textId="1063EF24" w:rsidR="005A46F6" w:rsidRPr="00586BAE" w:rsidRDefault="005A46F6" w:rsidP="005A46F6">
      <w:pPr>
        <w:pStyle w:val="ListParagraph"/>
        <w:numPr>
          <w:ilvl w:val="0"/>
          <w:numId w:val="1"/>
        </w:numPr>
        <w:jc w:val="both"/>
        <w:rPr>
          <w:rFonts w:eastAsia="Times New Roman"/>
          <w:lang w:val="es-US"/>
        </w:rPr>
      </w:pPr>
      <w:r w:rsidRPr="00586BAE">
        <w:rPr>
          <w:lang w:val="es-US"/>
        </w:rPr>
        <w:t xml:space="preserve">– </w:t>
      </w:r>
      <w:r w:rsidR="007F065E" w:rsidRPr="00586BAE">
        <w:rPr>
          <w:lang w:val="es-US"/>
        </w:rPr>
        <w:t xml:space="preserve">La División de Investigación Penal del IRS (IRS-CI) investiga las posibles infracciones penales del Código Tributario y los delitos financieros conexos, como el fraude y el lavado de dinero, y es el único organismo federal que tiene autoridad legal para investigar las violaciones penales del Código y remitir estos casos para su enjuiciamiento. La IRS-CI recibe sospechas de soborno extranjero derivadas de auditorías fiscales, así como sospechas detectadas de soborno extranjero en el contexto de investigaciones penales. El </w:t>
      </w:r>
      <w:r w:rsidR="007F065E" w:rsidRPr="00586BAE">
        <w:rPr>
          <w:rFonts w:eastAsia="Times New Roman"/>
          <w:iCs/>
          <w:lang w:val="es-US" w:eastAsia="zh-CN"/>
        </w:rPr>
        <w:t>Estado analizado</w:t>
      </w:r>
      <w:r w:rsidR="007F065E" w:rsidRPr="00586BAE">
        <w:rPr>
          <w:lang w:val="es-US"/>
        </w:rPr>
        <w:t xml:space="preserve"> señala además que</w:t>
      </w:r>
      <w:r w:rsidRPr="00586BAE">
        <w:rPr>
          <w:rStyle w:val="FootnoteReference"/>
          <w:lang w:val="es-US"/>
        </w:rPr>
        <w:footnoteReference w:id="30"/>
      </w:r>
      <w:r w:rsidR="007F065E" w:rsidRPr="00586BAE">
        <w:rPr>
          <w:lang w:val="es-US"/>
        </w:rPr>
        <w:t>:</w:t>
      </w:r>
    </w:p>
    <w:p w14:paraId="004B8F7C" w14:textId="77777777" w:rsidR="005A46F6" w:rsidRPr="00586BAE" w:rsidRDefault="005A46F6" w:rsidP="005A46F6">
      <w:pPr>
        <w:pStyle w:val="ListParagraph"/>
        <w:rPr>
          <w:lang w:val="es-US"/>
        </w:rPr>
      </w:pPr>
    </w:p>
    <w:p w14:paraId="3319B978" w14:textId="0B7C0BC4" w:rsidR="00D6627D" w:rsidRPr="00586BAE" w:rsidRDefault="005A46F6" w:rsidP="005A46F6">
      <w:pPr>
        <w:pStyle w:val="ListParagraph"/>
        <w:numPr>
          <w:ilvl w:val="0"/>
          <w:numId w:val="1"/>
        </w:numPr>
        <w:jc w:val="both"/>
        <w:rPr>
          <w:rFonts w:eastAsia="Times New Roman"/>
          <w:lang w:val="es-US"/>
        </w:rPr>
      </w:pPr>
      <w:r w:rsidRPr="00586BAE">
        <w:rPr>
          <w:lang w:val="es-US"/>
        </w:rPr>
        <w:t>“</w:t>
      </w:r>
      <w:r w:rsidR="00E1169A" w:rsidRPr="00586BAE">
        <w:rPr>
          <w:i/>
          <w:iCs/>
          <w:lang w:val="es-US"/>
        </w:rPr>
        <w:t xml:space="preserve">Una vez que la IRS-CI ha abierto una investigación, está autorizada a solicitar permiso para ampliarla a otras violaciones penales no fiscales derivadas de los mismos hechos y circunstancias y a solicitar la asistencia de otras fuerzas del orden con jurisdicción para perseguir esos delitos. La IRS-CI tiene un largo historial de cooperación con otras fuerzas del orden estadounidenses en asuntos relacionados con la corrupción. Entre enero de 2013 y julio de 2019, el Departamento de Justicia o la Comisión de Valores y Bolsa (SEC), responsables de la aplicación de las leyes sobre soborno en el extranjero, han reconocido la asistencia que ha prestado la División de Investigación Penal del IRS (IRS-CI) en al menos 14 casos relacionados con la FCPA. El Manual de Administración Tributaria también contiene orientación detallada para los investigadores de la IRS-CI sobre la manera de solicitar información a otras fuentes, incluidas otras agencias federales estadounidenses. Véase la Parte 9, Capítulo 4, Sección 4 del </w:t>
      </w:r>
      <w:r w:rsidR="00E1169A" w:rsidRPr="00586BAE">
        <w:rPr>
          <w:rFonts w:eastAsia="Times New Roman"/>
          <w:i/>
          <w:iCs/>
          <w:lang w:val="es-US" w:eastAsia="zh-CN"/>
        </w:rPr>
        <w:t>Manual de Administración Tributaria</w:t>
      </w:r>
      <w:r w:rsidR="00253B4E" w:rsidRPr="00586BAE">
        <w:rPr>
          <w:i/>
          <w:iCs/>
          <w:lang w:val="es-US"/>
        </w:rPr>
        <w:t>.</w:t>
      </w:r>
      <w:r w:rsidR="00253B4E" w:rsidRPr="00586BAE">
        <w:rPr>
          <w:lang w:val="es-US"/>
        </w:rPr>
        <w:t>”</w:t>
      </w:r>
    </w:p>
    <w:p w14:paraId="1A50BEEE" w14:textId="77777777" w:rsidR="00143C95" w:rsidRPr="00586BAE" w:rsidRDefault="00143C95" w:rsidP="00143C95">
      <w:pPr>
        <w:pStyle w:val="ListParagraph"/>
        <w:rPr>
          <w:rFonts w:eastAsia="Times New Roman"/>
          <w:lang w:val="es-US"/>
        </w:rPr>
      </w:pPr>
    </w:p>
    <w:p w14:paraId="0AB917F2" w14:textId="0BD41061" w:rsidR="00D6627D" w:rsidRPr="00586BAE" w:rsidRDefault="00DE0138" w:rsidP="004666A6">
      <w:pPr>
        <w:pStyle w:val="ListParagraph"/>
        <w:numPr>
          <w:ilvl w:val="0"/>
          <w:numId w:val="1"/>
        </w:numPr>
        <w:jc w:val="both"/>
        <w:rPr>
          <w:lang w:val="es-US"/>
        </w:rPr>
      </w:pPr>
      <w:r w:rsidRPr="00586BAE">
        <w:rPr>
          <w:lang w:val="es-US"/>
        </w:rPr>
        <w:lastRenderedPageBreak/>
        <w:t xml:space="preserve">El Comité </w:t>
      </w:r>
      <w:r w:rsidR="00A16D92" w:rsidRPr="00586BAE">
        <w:rPr>
          <w:lang w:val="es-US"/>
        </w:rPr>
        <w:t>observa,</w:t>
      </w:r>
      <w:r w:rsidRPr="00586BAE">
        <w:rPr>
          <w:lang w:val="es-US"/>
        </w:rPr>
        <w:t xml:space="preserve"> asimismo, como se </w:t>
      </w:r>
      <w:r w:rsidR="00935D40" w:rsidRPr="00586BAE">
        <w:rPr>
          <w:lang w:val="es-US"/>
        </w:rPr>
        <w:t xml:space="preserve">detalla </w:t>
      </w:r>
      <w:r w:rsidRPr="00586BAE">
        <w:rPr>
          <w:lang w:val="es-US"/>
        </w:rPr>
        <w:t xml:space="preserve">en el </w:t>
      </w:r>
      <w:r w:rsidR="00935D40" w:rsidRPr="00586BAE">
        <w:rPr>
          <w:lang w:val="es-US"/>
        </w:rPr>
        <w:t xml:space="preserve">análisis </w:t>
      </w:r>
      <w:r w:rsidRPr="00586BAE">
        <w:rPr>
          <w:lang w:val="es-US"/>
        </w:rPr>
        <w:t>de la medida (b)(</w:t>
      </w:r>
      <w:proofErr w:type="spellStart"/>
      <w:r w:rsidRPr="00586BAE">
        <w:rPr>
          <w:lang w:val="es-US"/>
        </w:rPr>
        <w:t>ii</w:t>
      </w:r>
      <w:proofErr w:type="spellEnd"/>
      <w:r w:rsidRPr="00586BAE">
        <w:rPr>
          <w:lang w:val="es-US"/>
        </w:rPr>
        <w:t xml:space="preserve">), que la Parte 9, Capítulo 4, Sección 4 del </w:t>
      </w:r>
      <w:r w:rsidRPr="00586BAE">
        <w:rPr>
          <w:rFonts w:eastAsia="Times New Roman"/>
          <w:iCs/>
          <w:lang w:val="es-US" w:eastAsia="zh-CN"/>
        </w:rPr>
        <w:t>Manual de Administración Tributaria</w:t>
      </w:r>
      <w:r w:rsidRPr="00586BAE">
        <w:rPr>
          <w:lang w:val="es-US"/>
        </w:rPr>
        <w:t xml:space="preserve"> prevé los procedimientos o mecanismos para solicitar información a entidades gubernamentales y a países extranjeros, así como a instituciones financieras</w:t>
      </w:r>
      <w:r w:rsidR="00E6104E" w:rsidRPr="00586BAE">
        <w:rPr>
          <w:rStyle w:val="FootnoteReference"/>
          <w:lang w:val="es-US"/>
        </w:rPr>
        <w:footnoteReference w:id="31"/>
      </w:r>
      <w:r w:rsidRPr="00586BAE">
        <w:rPr>
          <w:lang w:val="es-US"/>
        </w:rPr>
        <w:t>.</w:t>
      </w:r>
      <w:r w:rsidR="00E6104E" w:rsidRPr="00586BAE">
        <w:rPr>
          <w:lang w:val="es-US"/>
        </w:rPr>
        <w:t xml:space="preserve"> </w:t>
      </w:r>
      <w:r w:rsidR="00143C95" w:rsidRPr="00586BAE">
        <w:rPr>
          <w:lang w:val="es-US"/>
        </w:rPr>
        <w:t xml:space="preserve"> </w:t>
      </w:r>
      <w:r w:rsidR="00A16D92" w:rsidRPr="00586BAE">
        <w:rPr>
          <w:lang w:val="es-US"/>
        </w:rPr>
        <w:t>Por ejemplo, establece los mecanismos para solicitar información a la Administración de la Seguridad Social, el Departamento de Trabajo, el Departamento de Estado, l</w:t>
      </w:r>
      <w:r w:rsidR="00A16D92" w:rsidRPr="00586BAE">
        <w:rPr>
          <w:rFonts w:eastAsia="Times New Roman"/>
          <w:iCs/>
          <w:lang w:val="es-US" w:eastAsia="zh-CN"/>
        </w:rPr>
        <w:t xml:space="preserve">a </w:t>
      </w:r>
      <w:r w:rsidR="00A16D92" w:rsidRPr="00586BAE">
        <w:rPr>
          <w:iCs/>
          <w:lang w:val="es-US"/>
        </w:rPr>
        <w:t>Comisión de Valores y Bolsa</w:t>
      </w:r>
      <w:r w:rsidR="00A16D92" w:rsidRPr="00586BAE">
        <w:rPr>
          <w:rFonts w:eastAsia="Times New Roman"/>
          <w:iCs/>
          <w:lang w:val="es-US" w:eastAsia="zh-CN"/>
        </w:rPr>
        <w:t>, el Departamento de Transportes y la Red de Control de Delitos Financieros</w:t>
      </w:r>
      <w:r w:rsidR="00A16D92" w:rsidRPr="00586BAE">
        <w:rPr>
          <w:lang w:val="es-US"/>
        </w:rPr>
        <w:t>, entre otros</w:t>
      </w:r>
      <w:r w:rsidR="008F2DDE" w:rsidRPr="00586BAE">
        <w:rPr>
          <w:lang w:val="es-US"/>
        </w:rPr>
        <w:t>.</w:t>
      </w:r>
    </w:p>
    <w:p w14:paraId="7DC8847F" w14:textId="77777777" w:rsidR="008F2DDE" w:rsidRPr="00282A68" w:rsidRDefault="008F2DDE" w:rsidP="008F2DDE">
      <w:pPr>
        <w:pStyle w:val="ListParagraph"/>
        <w:rPr>
          <w:lang w:val="es-US"/>
        </w:rPr>
      </w:pPr>
    </w:p>
    <w:p w14:paraId="3056675F" w14:textId="20F13BD8" w:rsidR="008F2DDE" w:rsidRPr="00282A68" w:rsidRDefault="00A16D92" w:rsidP="004666A6">
      <w:pPr>
        <w:pStyle w:val="ListParagraph"/>
        <w:numPr>
          <w:ilvl w:val="0"/>
          <w:numId w:val="1"/>
        </w:numPr>
        <w:jc w:val="both"/>
        <w:rPr>
          <w:lang w:val="es-US"/>
        </w:rPr>
      </w:pPr>
      <w:bookmarkStart w:id="10" w:name="_Hlk156308337"/>
      <w:r w:rsidRPr="00282A68">
        <w:rPr>
          <w:iCs/>
          <w:lang w:val="es-US" w:eastAsia="zh-CN"/>
        </w:rPr>
        <w:t>En vista de lo anterior, el Comité toma nota de la consideración satisfactoria por el Estado analizado de la medida (b)(</w:t>
      </w:r>
      <w:proofErr w:type="spellStart"/>
      <w:r w:rsidRPr="00282A68">
        <w:rPr>
          <w:iCs/>
          <w:lang w:val="es-US" w:eastAsia="zh-CN"/>
        </w:rPr>
        <w:t>iv</w:t>
      </w:r>
      <w:proofErr w:type="spellEnd"/>
      <w:r w:rsidRPr="00282A68">
        <w:rPr>
          <w:iCs/>
          <w:lang w:val="es-US" w:eastAsia="zh-CN"/>
        </w:rPr>
        <w:t>) de la anterior recomendación</w:t>
      </w:r>
      <w:bookmarkEnd w:id="10"/>
      <w:r w:rsidR="008F2DDE" w:rsidRPr="00282A68">
        <w:rPr>
          <w:lang w:val="es-US"/>
        </w:rPr>
        <w:t>.</w:t>
      </w:r>
    </w:p>
    <w:p w14:paraId="3F40E744" w14:textId="77777777" w:rsidR="008F2DDE" w:rsidRPr="00282A68" w:rsidRDefault="008F2DDE" w:rsidP="008F2DDE">
      <w:pPr>
        <w:pStyle w:val="ListParagraph"/>
        <w:rPr>
          <w:lang w:val="es-US"/>
        </w:rPr>
      </w:pPr>
    </w:p>
    <w:p w14:paraId="5AEB0453" w14:textId="2EAA285A" w:rsidR="00C6770B" w:rsidRPr="00282A68" w:rsidRDefault="00DC3D05" w:rsidP="00C6770B">
      <w:pPr>
        <w:ind w:right="35"/>
        <w:jc w:val="both"/>
        <w:rPr>
          <w:sz w:val="22"/>
          <w:szCs w:val="22"/>
          <w:u w:val="single"/>
          <w:lang w:val="es-US"/>
        </w:rPr>
      </w:pPr>
      <w:r w:rsidRPr="00282A68">
        <w:rPr>
          <w:sz w:val="22"/>
          <w:szCs w:val="22"/>
          <w:u w:val="single"/>
          <w:lang w:val="es-US"/>
        </w:rPr>
        <w:t>Medida</w:t>
      </w:r>
      <w:r w:rsidR="00C6770B" w:rsidRPr="00282A68">
        <w:rPr>
          <w:sz w:val="22"/>
          <w:szCs w:val="22"/>
          <w:u w:val="single"/>
          <w:lang w:val="es-US"/>
        </w:rPr>
        <w:t xml:space="preserve"> (b)</w:t>
      </w:r>
    </w:p>
    <w:p w14:paraId="0511D2FA" w14:textId="77777777" w:rsidR="00C6770B" w:rsidRPr="00282A68" w:rsidRDefault="00C6770B" w:rsidP="00C6770B">
      <w:pPr>
        <w:jc w:val="both"/>
        <w:rPr>
          <w:i/>
          <w:iCs/>
          <w:sz w:val="22"/>
          <w:szCs w:val="22"/>
          <w:lang w:val="es-US"/>
        </w:rPr>
      </w:pPr>
    </w:p>
    <w:p w14:paraId="67C61A55" w14:textId="474A085B" w:rsidR="00C6770B" w:rsidRPr="00282A68" w:rsidRDefault="00370E4E" w:rsidP="00C6770B">
      <w:pPr>
        <w:pStyle w:val="ListParagraph"/>
        <w:ind w:left="10"/>
        <w:jc w:val="both"/>
        <w:rPr>
          <w:i/>
          <w:iCs/>
          <w:lang w:val="es-US"/>
        </w:rPr>
      </w:pPr>
      <w:r w:rsidRPr="00282A68">
        <w:rPr>
          <w:i/>
          <w:iCs/>
          <w:lang w:val="es-US"/>
        </w:rPr>
        <w:t>Continuar utilizando, y considerar la adopción de las medidas que estime apropiadas para facilitar a las autoridades competentes la detección de sumas pagadas por actos de corrupción, en caso de que éstas se pretendan utilizar para obtener beneficios tributarios, tales como las siguientes</w:t>
      </w:r>
      <w:r w:rsidR="00C6770B" w:rsidRPr="00282A68">
        <w:rPr>
          <w:i/>
          <w:iCs/>
          <w:lang w:val="es-US"/>
        </w:rPr>
        <w:t>:</w:t>
      </w:r>
    </w:p>
    <w:p w14:paraId="66CC8EF4" w14:textId="77777777" w:rsidR="00C6770B" w:rsidRPr="00282A68" w:rsidRDefault="00C6770B" w:rsidP="00C6770B">
      <w:pPr>
        <w:pStyle w:val="ListParagraph"/>
        <w:ind w:left="10"/>
        <w:jc w:val="both"/>
        <w:rPr>
          <w:i/>
          <w:iCs/>
          <w:lang w:val="es-US"/>
        </w:rPr>
      </w:pPr>
    </w:p>
    <w:p w14:paraId="7E2DD492" w14:textId="7E119507" w:rsidR="008F2DDE" w:rsidRPr="00282A68" w:rsidRDefault="00E9454D" w:rsidP="00C6770B">
      <w:pPr>
        <w:pStyle w:val="ListParagraph"/>
        <w:ind w:left="10"/>
        <w:jc w:val="both"/>
        <w:rPr>
          <w:u w:val="single"/>
          <w:lang w:val="es-US"/>
        </w:rPr>
      </w:pPr>
      <w:r w:rsidRPr="00282A68">
        <w:rPr>
          <w:u w:val="single"/>
          <w:lang w:val="es-US"/>
        </w:rPr>
        <w:t>Medida</w:t>
      </w:r>
      <w:r w:rsidR="008F2DDE" w:rsidRPr="00282A68">
        <w:rPr>
          <w:u w:val="single"/>
          <w:lang w:val="es-US"/>
        </w:rPr>
        <w:t xml:space="preserve"> b(v) </w:t>
      </w:r>
      <w:r w:rsidR="00DC3D05" w:rsidRPr="00282A68">
        <w:rPr>
          <w:u w:val="single"/>
          <w:lang w:val="es-US"/>
        </w:rPr>
        <w:t xml:space="preserve">sugerida por el </w:t>
      </w:r>
      <w:r w:rsidRPr="00282A68">
        <w:rPr>
          <w:u w:val="single"/>
          <w:lang w:val="es-US"/>
        </w:rPr>
        <w:t>Comité</w:t>
      </w:r>
      <w:r w:rsidR="008F2DDE" w:rsidRPr="00282A68">
        <w:rPr>
          <w:u w:val="single"/>
          <w:lang w:val="es-US"/>
        </w:rPr>
        <w:t>:</w:t>
      </w:r>
    </w:p>
    <w:p w14:paraId="46C9CB0E" w14:textId="77777777" w:rsidR="008F2DDE" w:rsidRPr="00282A68" w:rsidRDefault="008F2DDE" w:rsidP="008F2DDE">
      <w:pPr>
        <w:pStyle w:val="ListParagraph"/>
        <w:ind w:left="10"/>
        <w:jc w:val="both"/>
        <w:rPr>
          <w:u w:val="single"/>
          <w:lang w:val="es-US"/>
        </w:rPr>
      </w:pPr>
    </w:p>
    <w:p w14:paraId="2B44297F" w14:textId="04B4E269" w:rsidR="008F2DDE" w:rsidRPr="00282A68" w:rsidRDefault="00E9454D" w:rsidP="008F2DDE">
      <w:pPr>
        <w:jc w:val="both"/>
        <w:rPr>
          <w:i/>
          <w:iCs/>
          <w:sz w:val="22"/>
          <w:szCs w:val="22"/>
          <w:lang w:val="es-US"/>
        </w:rPr>
      </w:pPr>
      <w:r w:rsidRPr="00282A68">
        <w:rPr>
          <w:i/>
          <w:iCs/>
          <w:sz w:val="22"/>
          <w:szCs w:val="22"/>
          <w:lang w:val="es-US"/>
        </w:rPr>
        <w:t>Programas de capacitación diseñados específicamente para alertarlas sobre las modalidades utilizadas para disfrazar pagos por corrupción e instruirlas sobre la manera de detectar dichos pagos en las solicitudes</w:t>
      </w:r>
      <w:r w:rsidR="008F2DDE" w:rsidRPr="00282A68">
        <w:rPr>
          <w:i/>
          <w:iCs/>
          <w:sz w:val="22"/>
          <w:szCs w:val="22"/>
          <w:lang w:val="es-US"/>
        </w:rPr>
        <w:t>.</w:t>
      </w:r>
    </w:p>
    <w:p w14:paraId="6A85AE2C" w14:textId="77777777" w:rsidR="008F2DDE" w:rsidRPr="00282A68" w:rsidRDefault="008F2DDE" w:rsidP="008F2DDE">
      <w:pPr>
        <w:jc w:val="both"/>
        <w:rPr>
          <w:i/>
          <w:iCs/>
          <w:sz w:val="22"/>
          <w:szCs w:val="22"/>
          <w:lang w:val="es-US"/>
        </w:rPr>
      </w:pPr>
    </w:p>
    <w:p w14:paraId="7F5EE26B" w14:textId="32051F38" w:rsidR="008F2DDE" w:rsidRPr="00282A68" w:rsidRDefault="002A2996" w:rsidP="0032785D">
      <w:pPr>
        <w:pStyle w:val="ListParagraph"/>
        <w:numPr>
          <w:ilvl w:val="0"/>
          <w:numId w:val="1"/>
        </w:numPr>
        <w:jc w:val="both"/>
        <w:rPr>
          <w:lang w:val="es-US"/>
        </w:rPr>
      </w:pPr>
      <w:r w:rsidRPr="00282A68">
        <w:rPr>
          <w:lang w:val="es-US"/>
        </w:rPr>
        <w:t>Con respecto a la anterior medida, el Estado analizado presenta en su Respuesta información y nuevos desarrollos, que el Comité destaca como un paso que contribuye al avance en la implementación de esta medida</w:t>
      </w:r>
      <w:r w:rsidR="008F2DDE" w:rsidRPr="00282A68">
        <w:rPr>
          <w:lang w:val="es-US"/>
        </w:rPr>
        <w:t>:</w:t>
      </w:r>
      <w:r w:rsidR="008F2DDE" w:rsidRPr="00282A68">
        <w:rPr>
          <w:rStyle w:val="FootnoteReference"/>
          <w:lang w:val="es-US"/>
        </w:rPr>
        <w:footnoteReference w:id="32"/>
      </w:r>
    </w:p>
    <w:p w14:paraId="18BE3942" w14:textId="54A74C74" w:rsidR="005461FC" w:rsidRPr="00586BAE" w:rsidRDefault="005461FC" w:rsidP="005461FC">
      <w:pPr>
        <w:pStyle w:val="ListParagraph"/>
        <w:ind w:left="10"/>
        <w:jc w:val="both"/>
        <w:rPr>
          <w:lang w:val="es-US"/>
        </w:rPr>
      </w:pPr>
    </w:p>
    <w:p w14:paraId="64591FA0" w14:textId="015F8C8A" w:rsidR="0032785D" w:rsidRPr="00586BAE" w:rsidRDefault="0032785D" w:rsidP="0032785D">
      <w:pPr>
        <w:pStyle w:val="ListParagraph"/>
        <w:numPr>
          <w:ilvl w:val="0"/>
          <w:numId w:val="1"/>
        </w:numPr>
        <w:jc w:val="both"/>
        <w:rPr>
          <w:lang w:val="es-US"/>
        </w:rPr>
      </w:pPr>
      <w:r w:rsidRPr="00586BAE">
        <w:rPr>
          <w:lang w:val="es-US"/>
        </w:rPr>
        <w:t xml:space="preserve">– </w:t>
      </w:r>
      <w:r w:rsidR="00003E82" w:rsidRPr="00586BAE">
        <w:rPr>
          <w:lang w:val="es-US"/>
        </w:rPr>
        <w:t>La Academia Nacional de Capacitación en Investigación Penal (NCITA) es responsable de impartir, desarrollar y dotar personal para capacitación internacional y/o en el extranjero. El Estado analizado manifiesta además que</w:t>
      </w:r>
      <w:r w:rsidRPr="00586BAE">
        <w:rPr>
          <w:rStyle w:val="FootnoteReference"/>
          <w:lang w:val="es-US"/>
        </w:rPr>
        <w:footnoteReference w:id="33"/>
      </w:r>
      <w:r w:rsidR="00003E82" w:rsidRPr="00586BAE">
        <w:rPr>
          <w:lang w:val="es-US"/>
        </w:rPr>
        <w:t>:</w:t>
      </w:r>
      <w:r w:rsidRPr="00586BAE">
        <w:rPr>
          <w:lang w:val="es-US"/>
        </w:rPr>
        <w:t xml:space="preserve"> </w:t>
      </w:r>
    </w:p>
    <w:p w14:paraId="4A1F322A" w14:textId="77777777" w:rsidR="0032785D" w:rsidRPr="00586BAE" w:rsidRDefault="0032785D" w:rsidP="0032785D">
      <w:pPr>
        <w:pStyle w:val="ListParagraph"/>
        <w:rPr>
          <w:lang w:val="es-US"/>
        </w:rPr>
      </w:pPr>
    </w:p>
    <w:p w14:paraId="1CAB1A2C" w14:textId="07A81BD2" w:rsidR="0032785D" w:rsidRPr="00586BAE" w:rsidRDefault="0032785D" w:rsidP="0032785D">
      <w:pPr>
        <w:pStyle w:val="ListParagraph"/>
        <w:numPr>
          <w:ilvl w:val="0"/>
          <w:numId w:val="1"/>
        </w:numPr>
        <w:jc w:val="both"/>
        <w:rPr>
          <w:lang w:val="es-US"/>
        </w:rPr>
      </w:pPr>
      <w:r w:rsidRPr="00586BAE">
        <w:rPr>
          <w:lang w:val="es-US"/>
        </w:rPr>
        <w:t>“</w:t>
      </w:r>
      <w:r w:rsidR="00B056EE" w:rsidRPr="00586BAE">
        <w:rPr>
          <w:i/>
          <w:iCs/>
          <w:lang w:val="es-US"/>
        </w:rPr>
        <w:t>El Equipo de Capacitación Internacional de la NCITA se utiliza para asignaciones internacionales de enseñanza. Cuando esto no sea posible, se solicitarán instructores certificados del personal de la NCITA a través de los canales de gestión para estas asignaciones internacionales de enseñanza. Si los instructores certificados de la NCITA no están disponibles, se solicitarán instructores certificados de las oficinas de campo de la CI [División de Investigación Penal] a través de los canales de gestión para estas asignaciones internacionales de enseñanza. El Equipo de Capacitación Internacional de la NCITA mantiene una lista de instructores certificados, aprobados previamente por la dirección de las oficinas de campo de la CI, para asignaciones internacionales de enseñanza. La selección de estos instructores certificados queda a discreción del Director</w:t>
      </w:r>
      <w:r w:rsidRPr="00586BAE">
        <w:rPr>
          <w:lang w:val="es-US"/>
        </w:rPr>
        <w:t>.”</w:t>
      </w:r>
    </w:p>
    <w:p w14:paraId="427BEF0A" w14:textId="77777777" w:rsidR="0032785D" w:rsidRPr="00586BAE" w:rsidRDefault="0032785D" w:rsidP="0032785D">
      <w:pPr>
        <w:pStyle w:val="ListParagraph"/>
        <w:rPr>
          <w:lang w:val="es-US"/>
        </w:rPr>
      </w:pPr>
    </w:p>
    <w:p w14:paraId="699FFADA" w14:textId="77777777" w:rsidR="00484CBA" w:rsidRPr="00586BAE" w:rsidRDefault="00484CBA" w:rsidP="00484CBA">
      <w:pPr>
        <w:pStyle w:val="ListParagraph"/>
        <w:numPr>
          <w:ilvl w:val="0"/>
          <w:numId w:val="1"/>
        </w:numPr>
        <w:jc w:val="both"/>
        <w:rPr>
          <w:lang w:val="es-US"/>
        </w:rPr>
      </w:pPr>
      <w:r w:rsidRPr="00586BAE">
        <w:rPr>
          <w:lang w:val="es-US"/>
        </w:rPr>
        <w:t>Durante la visita in situ, el Estado analizado señaló además que la capacitación abarca temas de corrupción pública, lavado de dinero y derecho tributario internacional.</w:t>
      </w:r>
    </w:p>
    <w:p w14:paraId="39676618" w14:textId="77777777" w:rsidR="00484CBA" w:rsidRPr="00586BAE" w:rsidRDefault="00484CBA" w:rsidP="00484CBA">
      <w:pPr>
        <w:pStyle w:val="ListParagraph"/>
        <w:jc w:val="both"/>
        <w:rPr>
          <w:lang w:val="es-US"/>
        </w:rPr>
      </w:pPr>
    </w:p>
    <w:p w14:paraId="69BB27D8" w14:textId="29BF3C5A" w:rsidR="008976B9" w:rsidRPr="00586BAE" w:rsidRDefault="00484CBA" w:rsidP="00484CBA">
      <w:pPr>
        <w:pStyle w:val="ListParagraph"/>
        <w:numPr>
          <w:ilvl w:val="0"/>
          <w:numId w:val="1"/>
        </w:numPr>
        <w:jc w:val="both"/>
        <w:rPr>
          <w:lang w:val="es-US"/>
        </w:rPr>
      </w:pPr>
      <w:r w:rsidRPr="00586BAE">
        <w:rPr>
          <w:lang w:val="es-US"/>
        </w:rPr>
        <w:t>El Comité observa asimismo que la NCITA también es responsable de desarrollar y supervisar programas de capacitación formalizados y capacitación en el trabajo y de programar y llevar a cabo capacitaciones para preparar a los empleados la División de Investigación Penal del IRS para sus puestos</w:t>
      </w:r>
      <w:r w:rsidR="008976B9" w:rsidRPr="00586BAE">
        <w:rPr>
          <w:rStyle w:val="FootnoteReference"/>
          <w:lang w:val="es-US"/>
        </w:rPr>
        <w:footnoteReference w:id="34"/>
      </w:r>
      <w:r w:rsidRPr="00586BAE">
        <w:rPr>
          <w:lang w:val="es-US"/>
        </w:rPr>
        <w:t>.</w:t>
      </w:r>
    </w:p>
    <w:p w14:paraId="03286BD1" w14:textId="77777777" w:rsidR="008976B9" w:rsidRPr="00586BAE" w:rsidRDefault="008976B9" w:rsidP="008976B9">
      <w:pPr>
        <w:pStyle w:val="ListParagraph"/>
        <w:rPr>
          <w:lang w:val="es-US"/>
        </w:rPr>
      </w:pPr>
    </w:p>
    <w:p w14:paraId="281926BF" w14:textId="7DE3811B" w:rsidR="00F11E9C" w:rsidRPr="00586BAE" w:rsidRDefault="00922C89" w:rsidP="00F11E9C">
      <w:pPr>
        <w:pStyle w:val="ListParagraph"/>
        <w:numPr>
          <w:ilvl w:val="0"/>
          <w:numId w:val="1"/>
        </w:numPr>
        <w:jc w:val="both"/>
        <w:rPr>
          <w:lang w:val="es-US"/>
        </w:rPr>
      </w:pPr>
      <w:r w:rsidRPr="00586BAE">
        <w:rPr>
          <w:lang w:val="es-US"/>
        </w:rPr>
        <w:t>En este sentido, se abordan áreas como el Programa de Capacitación Básica, el Programa de Capacitación Avanzada y Especializada, Capacitación Internacional, Programas de Formación de Líderes, Capacitación Profesional Continua (CPE), Capacitación y Cualificación en Armas de Fuego, Capacitación Integrada en el Uso de la Fuerza, Certificaciones Profesionales de Contador Público (CPA)/Abogado y Desarrollo Personal Continuo</w:t>
      </w:r>
      <w:r w:rsidR="00F11E9C" w:rsidRPr="00586BAE">
        <w:rPr>
          <w:rStyle w:val="FootnoteReference"/>
          <w:lang w:val="es-US"/>
        </w:rPr>
        <w:footnoteReference w:id="35"/>
      </w:r>
      <w:r w:rsidRPr="00586BAE">
        <w:rPr>
          <w:lang w:val="es-US"/>
        </w:rPr>
        <w:t>.</w:t>
      </w:r>
    </w:p>
    <w:p w14:paraId="56BED90B" w14:textId="77777777" w:rsidR="00F11E9C" w:rsidRPr="00586BAE" w:rsidRDefault="00F11E9C" w:rsidP="00F11E9C">
      <w:pPr>
        <w:pStyle w:val="ListParagraph"/>
        <w:rPr>
          <w:lang w:val="es-US"/>
        </w:rPr>
      </w:pPr>
    </w:p>
    <w:p w14:paraId="47FC7D77" w14:textId="6C24AAA5" w:rsidR="00A961A4" w:rsidRPr="00586BAE" w:rsidRDefault="000552BC" w:rsidP="00A961A4">
      <w:pPr>
        <w:pStyle w:val="ListParagraph"/>
        <w:numPr>
          <w:ilvl w:val="0"/>
          <w:numId w:val="1"/>
        </w:numPr>
        <w:jc w:val="both"/>
        <w:rPr>
          <w:color w:val="1B1B1B"/>
          <w:lang w:val="es-US"/>
        </w:rPr>
      </w:pPr>
      <w:r w:rsidRPr="00586BAE">
        <w:rPr>
          <w:lang w:val="es-US"/>
        </w:rPr>
        <w:t>El Comité toma nota de que, como parte del Programa de Capacitación, todos los alumnos nuevos deben tomar el curso Programa de Investigador Penal, que les enseña diversas habilidades de aplicación de las leyes federales, incluyendo los fundamentos del derecho penal, el derecho constitucional, las reglas de evidencia y procedimientos penales, prácticas de juicio, técnicas de investigación, operación de vehículos, técnicas de control no letales y armas de fuego. Una vez que han completado satisfactoriamente este curso, los alumnos reciben capacitación en Técnicas de Investigación para Agentes Especiales, que incluyen infracciones penales de la legislación fiscal, con el fin de desarrollar las habilidades necesarias para investigar posibles infracciones penales de las leyes tributarias y delitos conexos. Los alumnos también trabajan en investigaciones de capacitación fiscal, así como en investigaciones de lavado de dinero, entre otras cosas</w:t>
      </w:r>
      <w:r w:rsidR="00512FEA" w:rsidRPr="00586BAE">
        <w:rPr>
          <w:rStyle w:val="FootnoteReference"/>
          <w:color w:val="1B1B1B"/>
          <w:lang w:val="es-US"/>
        </w:rPr>
        <w:footnoteReference w:id="36"/>
      </w:r>
      <w:r w:rsidRPr="00586BAE">
        <w:rPr>
          <w:lang w:val="es-US"/>
        </w:rPr>
        <w:t>.</w:t>
      </w:r>
    </w:p>
    <w:p w14:paraId="703556FB" w14:textId="5008F16F" w:rsidR="00F11E9C" w:rsidRPr="00586BAE" w:rsidRDefault="00F11E9C" w:rsidP="00F11E9C">
      <w:pPr>
        <w:jc w:val="both"/>
        <w:rPr>
          <w:lang w:val="es-US"/>
        </w:rPr>
      </w:pPr>
    </w:p>
    <w:p w14:paraId="6A29BADA" w14:textId="7B1C86AF" w:rsidR="00D8655A" w:rsidRPr="00586BAE" w:rsidRDefault="00D8655A" w:rsidP="00D8655A">
      <w:pPr>
        <w:pStyle w:val="ListParagraph"/>
        <w:numPr>
          <w:ilvl w:val="0"/>
          <w:numId w:val="1"/>
        </w:numPr>
        <w:jc w:val="both"/>
        <w:rPr>
          <w:lang w:val="es-US"/>
        </w:rPr>
      </w:pPr>
      <w:r w:rsidRPr="00586BAE">
        <w:rPr>
          <w:rFonts w:eastAsia="Times New Roman"/>
          <w:lang w:val="es-US"/>
        </w:rPr>
        <w:t xml:space="preserve">Asimismo, el Estado analizado indicó durante la visita in situ que cuando se contrata a los Investigadores Penales del IRS se les imparte capacitación básica como Agentes Especiales en el Centro de Capacitación en Aplicación de las Leyes Federales (FLETC). Esta capacitación dura aproximadamente 6 meses. Los candidatos reciben capacitación sobre los estatutos pertinentes, el lavado de dinero y la ley de secreto bancario, así como el análisis de estudios de casos, incluidas las anomalías en los libros y registros. Además, se requiere que los investigadores reciban capacitación </w:t>
      </w:r>
      <w:r w:rsidR="008A11B3">
        <w:rPr>
          <w:rFonts w:eastAsia="Times New Roman"/>
          <w:b/>
          <w:bCs/>
          <w:u w:val="single"/>
          <w:lang w:val="es-US"/>
        </w:rPr>
        <w:t>actualizada y continu</w:t>
      </w:r>
      <w:r w:rsidR="00243D97">
        <w:rPr>
          <w:rFonts w:eastAsia="Times New Roman"/>
          <w:b/>
          <w:bCs/>
          <w:u w:val="single"/>
          <w:lang w:val="es-US"/>
        </w:rPr>
        <w:t>a</w:t>
      </w:r>
      <w:r w:rsidR="008A11B3">
        <w:rPr>
          <w:rFonts w:eastAsia="Times New Roman"/>
          <w:b/>
          <w:bCs/>
          <w:u w:val="single"/>
          <w:lang w:val="es-US"/>
        </w:rPr>
        <w:t xml:space="preserve"> sobre estos temas</w:t>
      </w:r>
      <w:r w:rsidRPr="00586BAE">
        <w:rPr>
          <w:rFonts w:eastAsia="Times New Roman"/>
          <w:lang w:val="es-US"/>
        </w:rPr>
        <w:t xml:space="preserve"> en el FLETC. El representante </w:t>
      </w:r>
      <w:r w:rsidR="007714AD" w:rsidRPr="00586BAE">
        <w:rPr>
          <w:rFonts w:eastAsia="Times New Roman"/>
          <w:lang w:val="es-US"/>
        </w:rPr>
        <w:t xml:space="preserve">del Estado </w:t>
      </w:r>
      <w:r w:rsidR="00452CE5" w:rsidRPr="00586BAE">
        <w:rPr>
          <w:rFonts w:eastAsia="Times New Roman"/>
          <w:lang w:val="es-US"/>
        </w:rPr>
        <w:t>analizado</w:t>
      </w:r>
      <w:r w:rsidR="007714AD" w:rsidRPr="00586BAE">
        <w:rPr>
          <w:rFonts w:eastAsia="Times New Roman"/>
          <w:lang w:val="es-US"/>
        </w:rPr>
        <w:t xml:space="preserve"> </w:t>
      </w:r>
      <w:r w:rsidRPr="00586BAE">
        <w:rPr>
          <w:rFonts w:eastAsia="Times New Roman"/>
          <w:lang w:val="es-US"/>
        </w:rPr>
        <w:t xml:space="preserve">señaló durante la visita in situ que también se invita </w:t>
      </w:r>
      <w:r w:rsidR="00060C32" w:rsidRPr="00586BAE">
        <w:rPr>
          <w:rFonts w:eastAsia="Times New Roman"/>
          <w:lang w:val="es-US"/>
        </w:rPr>
        <w:t xml:space="preserve">a los investigadores </w:t>
      </w:r>
      <w:r w:rsidRPr="00586BAE">
        <w:rPr>
          <w:rFonts w:eastAsia="Times New Roman"/>
          <w:lang w:val="es-US"/>
        </w:rPr>
        <w:t>a conferenciantes para discutir nuevos desarrollos y que</w:t>
      </w:r>
      <w:r w:rsidR="00060C32" w:rsidRPr="00586BAE">
        <w:rPr>
          <w:rFonts w:eastAsia="Times New Roman"/>
          <w:lang w:val="es-US"/>
        </w:rPr>
        <w:t>,</w:t>
      </w:r>
      <w:r w:rsidRPr="00586BAE">
        <w:rPr>
          <w:rFonts w:eastAsia="Times New Roman"/>
          <w:lang w:val="es-US"/>
        </w:rPr>
        <w:t xml:space="preserve"> cuando se establece un nuevo programa, se les imparte capacitación a los investigadores durante una o dos semanas.</w:t>
      </w:r>
      <w:r w:rsidRPr="00586BAE">
        <w:rPr>
          <w:lang w:val="es-US"/>
        </w:rPr>
        <w:t xml:space="preserve"> </w:t>
      </w:r>
    </w:p>
    <w:p w14:paraId="5DF22EB6" w14:textId="77777777" w:rsidR="00D8655A" w:rsidRPr="00586BAE" w:rsidRDefault="00D8655A" w:rsidP="00D8655A">
      <w:pPr>
        <w:pStyle w:val="ListParagraph"/>
        <w:rPr>
          <w:lang w:val="es-US"/>
        </w:rPr>
      </w:pPr>
    </w:p>
    <w:p w14:paraId="2EF6DD13" w14:textId="77777777" w:rsidR="00D8655A" w:rsidRPr="00586BAE" w:rsidRDefault="00D8655A" w:rsidP="00D8655A">
      <w:pPr>
        <w:pStyle w:val="ListParagraph"/>
        <w:numPr>
          <w:ilvl w:val="0"/>
          <w:numId w:val="1"/>
        </w:numPr>
        <w:jc w:val="both"/>
        <w:rPr>
          <w:lang w:val="es-US"/>
        </w:rPr>
      </w:pPr>
      <w:r w:rsidRPr="00586BAE">
        <w:rPr>
          <w:rFonts w:eastAsia="Times New Roman"/>
          <w:lang w:val="es-US"/>
        </w:rPr>
        <w:t xml:space="preserve">El </w:t>
      </w:r>
      <w:r w:rsidRPr="00586BAE">
        <w:rPr>
          <w:rFonts w:eastAsia="Times New Roman"/>
          <w:iCs/>
          <w:lang w:val="es-US" w:eastAsia="zh-CN"/>
        </w:rPr>
        <w:t>Estado analizado</w:t>
      </w:r>
      <w:r w:rsidRPr="00586BAE">
        <w:rPr>
          <w:rFonts w:eastAsia="Times New Roman"/>
          <w:lang w:val="es-US"/>
        </w:rPr>
        <w:t xml:space="preserve"> también expuso que en la parte civil del IRS, que incluiría a los examinadores fiscales, se capacita a los funcionarios cuando ocupan por primera vez un puesto en el IRS y que se imparte c</w:t>
      </w:r>
      <w:r w:rsidRPr="00586BAE">
        <w:rPr>
          <w:lang w:val="es-US"/>
        </w:rPr>
        <w:t>apacitación</w:t>
      </w:r>
      <w:r w:rsidRPr="00586BAE">
        <w:rPr>
          <w:rFonts w:eastAsia="Times New Roman"/>
          <w:lang w:val="es-US"/>
        </w:rPr>
        <w:t xml:space="preserve"> continua.</w:t>
      </w:r>
    </w:p>
    <w:p w14:paraId="3D3C6A5E" w14:textId="77777777" w:rsidR="008F6E7C" w:rsidRDefault="008F6E7C" w:rsidP="008F6E7C">
      <w:pPr>
        <w:pStyle w:val="ListParagraph"/>
        <w:ind w:left="10"/>
        <w:jc w:val="both"/>
        <w:rPr>
          <w:lang w:val="es-US"/>
        </w:rPr>
      </w:pPr>
    </w:p>
    <w:p w14:paraId="48E5E8A4" w14:textId="100C26E2" w:rsidR="00FE525F" w:rsidRPr="00586BAE" w:rsidRDefault="00D8655A" w:rsidP="00D8655A">
      <w:pPr>
        <w:pStyle w:val="ListParagraph"/>
        <w:numPr>
          <w:ilvl w:val="0"/>
          <w:numId w:val="1"/>
        </w:numPr>
        <w:jc w:val="both"/>
        <w:rPr>
          <w:lang w:val="es-US"/>
        </w:rPr>
      </w:pPr>
      <w:r w:rsidRPr="00586BAE">
        <w:rPr>
          <w:lang w:val="es-US"/>
        </w:rPr>
        <w:t xml:space="preserve">El Comité toma nota de que el Estado analizado ha seguido impartiendo programas de capacitación a los </w:t>
      </w:r>
      <w:r w:rsidRPr="00586BAE">
        <w:rPr>
          <w:rFonts w:eastAsia="Times New Roman"/>
          <w:lang w:val="es-US"/>
        </w:rPr>
        <w:t>Investigadores Penales</w:t>
      </w:r>
      <w:r w:rsidRPr="00586BAE">
        <w:rPr>
          <w:lang w:val="es-US"/>
        </w:rPr>
        <w:t xml:space="preserve"> del Servicio de Administración Tributaria. Sin embargo, no es evidente si se capacita a los examinadores fiscales específicamente para alertarlos sobre las modalidades que se utilizan para disfrazar pagos por corrupción e instruirlos sobre la manera de detectar dichos pagos en las solicitudes de beneficios tributarios. En este sentido, si bien el </w:t>
      </w:r>
      <w:r w:rsidRPr="00586BAE">
        <w:rPr>
          <w:rFonts w:eastAsia="Times New Roman"/>
          <w:iCs/>
          <w:lang w:val="es-US" w:eastAsia="zh-CN"/>
        </w:rPr>
        <w:t>Manual de Administración Tributaria</w:t>
      </w:r>
      <w:r w:rsidRPr="00586BAE">
        <w:rPr>
          <w:lang w:val="es-US"/>
        </w:rPr>
        <w:t xml:space="preserve"> cuenta con una Guía de Fraude que establece los procedimientos para remitir un caso a la IRS-CI cuando se determina que existen indicios claros de fraude, así como indicadores para identificar el fraude, no se brinda </w:t>
      </w:r>
      <w:proofErr w:type="gramStart"/>
      <w:r w:rsidRPr="00586BAE">
        <w:rPr>
          <w:lang w:val="es-US"/>
        </w:rPr>
        <w:t>mayor información</w:t>
      </w:r>
      <w:proofErr w:type="gramEnd"/>
      <w:r w:rsidRPr="00586BAE">
        <w:rPr>
          <w:lang w:val="es-US"/>
        </w:rPr>
        <w:t xml:space="preserve"> sobre capacitación en la materia</w:t>
      </w:r>
      <w:r w:rsidR="00904756" w:rsidRPr="00586BAE">
        <w:rPr>
          <w:rStyle w:val="FootnoteReference"/>
          <w:lang w:val="es-US"/>
        </w:rPr>
        <w:footnoteReference w:id="37"/>
      </w:r>
      <w:r w:rsidRPr="00586BAE">
        <w:rPr>
          <w:lang w:val="es-US"/>
        </w:rPr>
        <w:t>.</w:t>
      </w:r>
      <w:r w:rsidR="003F7F80" w:rsidRPr="00586BAE">
        <w:rPr>
          <w:lang w:val="es-US"/>
        </w:rPr>
        <w:t xml:space="preserve"> </w:t>
      </w:r>
    </w:p>
    <w:p w14:paraId="78566EC3" w14:textId="77777777" w:rsidR="003F7F80" w:rsidRPr="00586BAE" w:rsidRDefault="003F7F80" w:rsidP="003F7F80">
      <w:pPr>
        <w:pStyle w:val="ListParagraph"/>
        <w:rPr>
          <w:lang w:val="es-US"/>
        </w:rPr>
      </w:pPr>
    </w:p>
    <w:p w14:paraId="4CF9E59C" w14:textId="09BBB565" w:rsidR="00BA313A" w:rsidRPr="00586BAE" w:rsidRDefault="001E292C" w:rsidP="00593AC3">
      <w:pPr>
        <w:pStyle w:val="ListParagraph"/>
        <w:numPr>
          <w:ilvl w:val="0"/>
          <w:numId w:val="1"/>
        </w:numPr>
        <w:jc w:val="both"/>
        <w:rPr>
          <w:lang w:val="es-US"/>
        </w:rPr>
      </w:pPr>
      <w:r w:rsidRPr="00586BAE">
        <w:rPr>
          <w:lang w:val="es-US"/>
        </w:rPr>
        <w:t xml:space="preserve">El Comité observa que los deberes de un examinador fiscal incluyen importantes funciones que podrían ser relevantes para detectar corrupción cuando revisa una solicitud de un beneficio fiscal. Estas funciones incluyen, entre otras, analizar la información que se recibe de los contribuyentes y/o de otras </w:t>
      </w:r>
      <w:r w:rsidRPr="00586BAE">
        <w:rPr>
          <w:lang w:val="es-US"/>
        </w:rPr>
        <w:lastRenderedPageBreak/>
        <w:t>fuentes para determinar medidas correctivas e identificar entradas cuestionables en las declaraciones de impuestos con el fin de remitirlas al área apropiada para su revisión</w:t>
      </w:r>
      <w:r w:rsidR="000E02F4" w:rsidRPr="00586BAE">
        <w:rPr>
          <w:rStyle w:val="FootnoteReference"/>
          <w:color w:val="1B1B1B"/>
          <w:lang w:val="es-US"/>
        </w:rPr>
        <w:footnoteReference w:id="38"/>
      </w:r>
      <w:r w:rsidRPr="00586BAE">
        <w:rPr>
          <w:lang w:val="es-US"/>
        </w:rPr>
        <w:t>.</w:t>
      </w:r>
      <w:r w:rsidR="00512FEA" w:rsidRPr="00586BAE">
        <w:rPr>
          <w:rStyle w:val="FootnoteReference"/>
          <w:color w:val="1B1B1B"/>
          <w:lang w:val="es-US"/>
        </w:rPr>
        <w:t xml:space="preserve"> </w:t>
      </w:r>
    </w:p>
    <w:p w14:paraId="41467BF1" w14:textId="77777777" w:rsidR="000D5D9B" w:rsidRPr="00586BAE" w:rsidRDefault="000D5D9B" w:rsidP="000D5D9B">
      <w:pPr>
        <w:pStyle w:val="ListParagraph"/>
        <w:ind w:left="10"/>
        <w:jc w:val="both"/>
        <w:rPr>
          <w:lang w:val="es-US"/>
        </w:rPr>
      </w:pPr>
    </w:p>
    <w:p w14:paraId="128B23E4" w14:textId="77777777" w:rsidR="00DD47D6" w:rsidRPr="00586BAE" w:rsidRDefault="00DD47D6" w:rsidP="00DD47D6">
      <w:pPr>
        <w:pStyle w:val="ListParagraph"/>
        <w:numPr>
          <w:ilvl w:val="0"/>
          <w:numId w:val="1"/>
        </w:numPr>
        <w:jc w:val="both"/>
        <w:rPr>
          <w:rFonts w:eastAsia="Times New Roman"/>
          <w:bCs/>
          <w:iCs/>
          <w:lang w:val="es-US"/>
        </w:rPr>
      </w:pPr>
      <w:r w:rsidRPr="00586BAE">
        <w:rPr>
          <w:rFonts w:eastAsia="Times New Roman"/>
          <w:lang w:val="es-US"/>
        </w:rPr>
        <w:t xml:space="preserve">A este respecto, el Comité observa que estos funcionarios desempeñan un papel importante para identificar irregularidades que pueden ser indicios de corrupción para su posible remisión a las autoridades competentes. Capacitarlos podría ayudar a facilitar, por ejemplo, las remisiones a la IRS-CI cuando se detectan </w:t>
      </w:r>
      <w:r w:rsidRPr="00586BAE">
        <w:rPr>
          <w:lang w:val="es-US"/>
        </w:rPr>
        <w:t>beneficios tributarios</w:t>
      </w:r>
      <w:r w:rsidRPr="00586BAE">
        <w:rPr>
          <w:rFonts w:eastAsia="Times New Roman"/>
          <w:lang w:val="es-US"/>
        </w:rPr>
        <w:t xml:space="preserve"> para gastos realizados en violación de las leyes contra la corrupción.</w:t>
      </w:r>
      <w:r w:rsidRPr="00586BAE">
        <w:rPr>
          <w:rFonts w:eastAsia="Times New Roman"/>
          <w:bCs/>
          <w:iCs/>
          <w:lang w:val="es-US"/>
        </w:rPr>
        <w:t xml:space="preserve"> </w:t>
      </w:r>
    </w:p>
    <w:p w14:paraId="7EEC9B72" w14:textId="77777777" w:rsidR="00DD47D6" w:rsidRPr="00586BAE" w:rsidRDefault="00DD47D6" w:rsidP="00DD47D6">
      <w:pPr>
        <w:jc w:val="both"/>
        <w:rPr>
          <w:bCs/>
          <w:iCs/>
          <w:lang w:val="es-US"/>
        </w:rPr>
      </w:pPr>
    </w:p>
    <w:p w14:paraId="56145867" w14:textId="77777777" w:rsidR="00DD47D6" w:rsidRPr="00586BAE" w:rsidRDefault="00DD47D6" w:rsidP="00DD47D6">
      <w:pPr>
        <w:pStyle w:val="ListParagraph"/>
        <w:numPr>
          <w:ilvl w:val="0"/>
          <w:numId w:val="1"/>
        </w:numPr>
        <w:jc w:val="both"/>
        <w:rPr>
          <w:rFonts w:eastAsia="Times New Roman"/>
          <w:bCs/>
          <w:iCs/>
          <w:lang w:val="es-US"/>
        </w:rPr>
      </w:pPr>
      <w:r w:rsidRPr="00586BAE">
        <w:rPr>
          <w:rFonts w:eastAsia="Times New Roman"/>
          <w:lang w:val="es-US"/>
        </w:rPr>
        <w:t>Con este fin, el Estado analizado informó durante la visita in situ y en un documento que presentó posteriormente, que en el período comprendido entre el 1 de enero de 2013 y el 30 de junio de 2019 se recibieron 4 remisiones de fraude de las funciones civiles del IRS, de las cuales 3 se aceptaron y se elevaron a investigación penal.</w:t>
      </w:r>
      <w:r w:rsidRPr="00586BAE">
        <w:rPr>
          <w:rFonts w:eastAsia="Times New Roman"/>
          <w:bCs/>
          <w:iCs/>
          <w:lang w:val="es-US"/>
        </w:rPr>
        <w:t xml:space="preserve"> </w:t>
      </w:r>
    </w:p>
    <w:p w14:paraId="10FE2691" w14:textId="77777777" w:rsidR="002A5211" w:rsidRDefault="002A5211" w:rsidP="002A5211">
      <w:pPr>
        <w:pStyle w:val="ListParagraph"/>
        <w:ind w:left="10"/>
        <w:jc w:val="both"/>
        <w:rPr>
          <w:rFonts w:eastAsia="Times New Roman"/>
          <w:lang w:val="es-US"/>
        </w:rPr>
      </w:pPr>
    </w:p>
    <w:p w14:paraId="6B2CC6C0" w14:textId="3385042E" w:rsidR="00DD47D6" w:rsidRPr="00586BAE" w:rsidRDefault="00DD47D6" w:rsidP="00DD47D6">
      <w:pPr>
        <w:pStyle w:val="ListParagraph"/>
        <w:numPr>
          <w:ilvl w:val="0"/>
          <w:numId w:val="1"/>
        </w:numPr>
        <w:jc w:val="both"/>
        <w:rPr>
          <w:rFonts w:eastAsia="Times New Roman"/>
          <w:lang w:val="es-US"/>
        </w:rPr>
      </w:pPr>
      <w:r w:rsidRPr="00586BAE">
        <w:rPr>
          <w:rFonts w:eastAsia="Times New Roman"/>
          <w:lang w:val="es-US"/>
        </w:rPr>
        <w:t xml:space="preserve">El Comité considera que el número relativamente bajo de remisiones que se realizaron en este sentido en un período de seis años puede indicar la necesidad de capacitación sobre el tema, lo que facilitaría nuevas detecciones de fraude. </w:t>
      </w:r>
    </w:p>
    <w:p w14:paraId="2FD191A3" w14:textId="77777777" w:rsidR="00DD47D6" w:rsidRDefault="00DD47D6" w:rsidP="005E32C1">
      <w:pPr>
        <w:rPr>
          <w:bCs/>
          <w:iCs/>
          <w:lang w:val="es-US"/>
        </w:rPr>
      </w:pPr>
    </w:p>
    <w:p w14:paraId="15CCE49F" w14:textId="38F8AC45" w:rsidR="00DD47D6" w:rsidRPr="00586BAE" w:rsidRDefault="00DD47D6" w:rsidP="00DD47D6">
      <w:pPr>
        <w:pStyle w:val="ListParagraph"/>
        <w:numPr>
          <w:ilvl w:val="0"/>
          <w:numId w:val="1"/>
        </w:numPr>
        <w:jc w:val="both"/>
        <w:rPr>
          <w:rFonts w:eastAsia="Times New Roman"/>
          <w:lang w:val="es-US"/>
        </w:rPr>
      </w:pPr>
      <w:r w:rsidRPr="00586BAE">
        <w:rPr>
          <w:rFonts w:eastAsia="Times New Roman"/>
          <w:lang w:val="es-US"/>
        </w:rPr>
        <w:t xml:space="preserve">En vista de lo anterior, el Comité estima que el Estado analizado debería considerar requerir que los </w:t>
      </w:r>
      <w:r w:rsidRPr="00586BAE">
        <w:rPr>
          <w:lang w:val="es-US"/>
        </w:rPr>
        <w:t xml:space="preserve">examinadores fiscales </w:t>
      </w:r>
      <w:r w:rsidRPr="00586BAE">
        <w:rPr>
          <w:rFonts w:eastAsia="Times New Roman"/>
          <w:lang w:val="es-US"/>
        </w:rPr>
        <w:t>reciban capacitación obligatoria que los concientice con respecto a su papel en la lucha contra la corrupción, como el soborno, a fin de facilitar la posibilidad de que se hagan remisiones a la IRS-CI sobre la materia. El Comité formulará una recomendación al respecto</w:t>
      </w:r>
      <w:r w:rsidR="00E42730" w:rsidRPr="00586BAE">
        <w:rPr>
          <w:rFonts w:eastAsia="Times New Roman"/>
          <w:lang w:val="es-US"/>
        </w:rPr>
        <w:t xml:space="preserve">. </w:t>
      </w:r>
      <w:r w:rsidRPr="00586BAE">
        <w:rPr>
          <w:rFonts w:eastAsia="Times New Roman"/>
          <w:lang w:val="es-US"/>
        </w:rPr>
        <w:t xml:space="preserve"> </w:t>
      </w:r>
      <w:r w:rsidR="00E42730" w:rsidRPr="00586BAE">
        <w:rPr>
          <w:rFonts w:eastAsia="Times New Roman"/>
          <w:bCs/>
          <w:iCs/>
          <w:lang w:val="es-US"/>
        </w:rPr>
        <w:t>(</w:t>
      </w:r>
      <w:r w:rsidR="00E42730" w:rsidRPr="00586BAE">
        <w:rPr>
          <w:rFonts w:eastAsia="Times New Roman"/>
          <w:lang w:val="es-US"/>
        </w:rPr>
        <w:t>Véase la recomendación 1.4.2 en la sección 1.4 del Capítulo II del presente Informe).</w:t>
      </w:r>
    </w:p>
    <w:p w14:paraId="706B6965" w14:textId="77777777" w:rsidR="00DD47D6" w:rsidRPr="00586BAE" w:rsidRDefault="00DD47D6" w:rsidP="00DD47D6">
      <w:pPr>
        <w:pStyle w:val="ListParagraph"/>
        <w:ind w:left="10"/>
        <w:jc w:val="both"/>
        <w:rPr>
          <w:rFonts w:eastAsia="Times New Roman"/>
          <w:bCs/>
          <w:iCs/>
          <w:lang w:val="es-US"/>
        </w:rPr>
      </w:pPr>
    </w:p>
    <w:p w14:paraId="147047A9" w14:textId="36F5A5CA" w:rsidR="009D396F" w:rsidRPr="00586BAE" w:rsidRDefault="00DD47D6" w:rsidP="00DD47D6">
      <w:pPr>
        <w:pStyle w:val="ListParagraph"/>
        <w:numPr>
          <w:ilvl w:val="0"/>
          <w:numId w:val="1"/>
        </w:numPr>
        <w:jc w:val="both"/>
        <w:rPr>
          <w:rFonts w:eastAsiaTheme="minorHAnsi"/>
          <w:bCs/>
          <w:iCs/>
          <w:lang w:val="es-US"/>
        </w:rPr>
      </w:pPr>
      <w:r w:rsidRPr="00586BAE">
        <w:rPr>
          <w:rFonts w:eastAsia="Times New Roman"/>
          <w:lang w:val="es-US"/>
        </w:rPr>
        <w:t xml:space="preserve">El Comité también estima que el Estado analizado debería considerar requerir que los </w:t>
      </w:r>
      <w:r w:rsidRPr="00586BAE">
        <w:rPr>
          <w:lang w:val="es-US"/>
        </w:rPr>
        <w:t xml:space="preserve">examinadores fiscales </w:t>
      </w:r>
      <w:r w:rsidRPr="00586BAE">
        <w:rPr>
          <w:rFonts w:eastAsia="Times New Roman"/>
          <w:lang w:val="es-US"/>
        </w:rPr>
        <w:t>reciban capacitación obligatoria sobre los indicadores clave de soborno en las solicitudes de un beneficio fiscal basado en un acto de corrupción. De esta manera también podría fomentarse la remisión de casos para su investigación o enjuiciamiento. El Comité formulará una recomendación a este respecto (</w:t>
      </w:r>
      <w:r w:rsidR="00E42730" w:rsidRPr="00586BAE">
        <w:rPr>
          <w:rFonts w:eastAsia="Times New Roman"/>
          <w:lang w:val="es-US"/>
        </w:rPr>
        <w:t>V</w:t>
      </w:r>
      <w:r w:rsidRPr="00586BAE">
        <w:rPr>
          <w:rFonts w:eastAsia="Times New Roman"/>
          <w:lang w:val="es-US"/>
        </w:rPr>
        <w:t>éase la recomendación 1.4.3 en la sección 1.4 del Capítulo II del presente Informe).</w:t>
      </w:r>
    </w:p>
    <w:p w14:paraId="280B9ECB" w14:textId="77777777" w:rsidR="009D396F" w:rsidRPr="00282A68" w:rsidRDefault="009D396F" w:rsidP="009D396F">
      <w:pPr>
        <w:jc w:val="both"/>
        <w:rPr>
          <w:rFonts w:eastAsiaTheme="minorEastAsia"/>
          <w:sz w:val="22"/>
          <w:szCs w:val="22"/>
          <w:lang w:val="es-US"/>
        </w:rPr>
      </w:pPr>
    </w:p>
    <w:p w14:paraId="5095214C" w14:textId="679C2F7B" w:rsidR="00C6770B" w:rsidRPr="00282A68" w:rsidRDefault="00370E4E" w:rsidP="00C6770B">
      <w:pPr>
        <w:ind w:right="35"/>
        <w:jc w:val="both"/>
        <w:rPr>
          <w:sz w:val="22"/>
          <w:szCs w:val="22"/>
          <w:u w:val="single"/>
          <w:lang w:val="es-US"/>
        </w:rPr>
      </w:pPr>
      <w:r w:rsidRPr="00282A68">
        <w:rPr>
          <w:sz w:val="22"/>
          <w:szCs w:val="22"/>
          <w:u w:val="single"/>
          <w:lang w:val="es-US"/>
        </w:rPr>
        <w:t>Medida</w:t>
      </w:r>
      <w:r w:rsidR="00C6770B" w:rsidRPr="00282A68">
        <w:rPr>
          <w:sz w:val="22"/>
          <w:szCs w:val="22"/>
          <w:u w:val="single"/>
          <w:lang w:val="es-US"/>
        </w:rPr>
        <w:t xml:space="preserve"> (b)</w:t>
      </w:r>
    </w:p>
    <w:p w14:paraId="042B47B7" w14:textId="77777777" w:rsidR="00C6770B" w:rsidRPr="00282A68" w:rsidRDefault="00C6770B" w:rsidP="00C6770B">
      <w:pPr>
        <w:jc w:val="both"/>
        <w:rPr>
          <w:i/>
          <w:iCs/>
          <w:sz w:val="22"/>
          <w:szCs w:val="22"/>
          <w:lang w:val="es-US"/>
        </w:rPr>
      </w:pPr>
    </w:p>
    <w:p w14:paraId="093BABBD" w14:textId="59EE75C5" w:rsidR="00C6770B" w:rsidRPr="00282A68" w:rsidRDefault="00370E4E" w:rsidP="00C6770B">
      <w:pPr>
        <w:pStyle w:val="ListParagraph"/>
        <w:ind w:left="10"/>
        <w:jc w:val="both"/>
        <w:rPr>
          <w:i/>
          <w:iCs/>
          <w:lang w:val="es-US"/>
        </w:rPr>
      </w:pPr>
      <w:r w:rsidRPr="00282A68">
        <w:rPr>
          <w:i/>
          <w:iCs/>
          <w:lang w:val="es-US"/>
        </w:rPr>
        <w:t>Continuar utilizando, y considerar la adopción de las medidas que estime apropiadas para facilitar a las autoridades competentes la detección de sumas pagadas por actos de corrupción, en caso de que éstas se pretendan utilizar para obtener beneficios tributarios, tales como las siguientes</w:t>
      </w:r>
      <w:r w:rsidR="00C6770B" w:rsidRPr="00282A68">
        <w:rPr>
          <w:i/>
          <w:iCs/>
          <w:lang w:val="es-US"/>
        </w:rPr>
        <w:t>:</w:t>
      </w:r>
    </w:p>
    <w:p w14:paraId="742BC7E8" w14:textId="77777777" w:rsidR="00C6770B" w:rsidRPr="00282A68" w:rsidRDefault="00C6770B" w:rsidP="00C6770B">
      <w:pPr>
        <w:pStyle w:val="ListParagraph"/>
        <w:ind w:left="10"/>
        <w:jc w:val="both"/>
        <w:rPr>
          <w:i/>
          <w:iCs/>
          <w:lang w:val="es-US"/>
        </w:rPr>
      </w:pPr>
    </w:p>
    <w:p w14:paraId="43A0BD90" w14:textId="0E47CEAF" w:rsidR="00671C0D" w:rsidRPr="00282A68" w:rsidRDefault="00624672" w:rsidP="00C6770B">
      <w:pPr>
        <w:pStyle w:val="ListParagraph"/>
        <w:ind w:left="10"/>
        <w:jc w:val="both"/>
        <w:rPr>
          <w:u w:val="single"/>
          <w:lang w:val="es-US"/>
        </w:rPr>
      </w:pPr>
      <w:r w:rsidRPr="00282A68">
        <w:rPr>
          <w:u w:val="single"/>
          <w:lang w:val="es-US"/>
        </w:rPr>
        <w:t>Medida</w:t>
      </w:r>
      <w:r w:rsidR="00671C0D" w:rsidRPr="00282A68">
        <w:rPr>
          <w:u w:val="single"/>
          <w:lang w:val="es-US"/>
        </w:rPr>
        <w:t xml:space="preserve"> b(vi) </w:t>
      </w:r>
      <w:r w:rsidRPr="00282A68">
        <w:rPr>
          <w:u w:val="single"/>
          <w:lang w:val="es-US"/>
        </w:rPr>
        <w:t xml:space="preserve">sugerida por el </w:t>
      </w:r>
      <w:r w:rsidR="00E47D85" w:rsidRPr="00282A68">
        <w:rPr>
          <w:u w:val="single"/>
          <w:lang w:val="es-US"/>
        </w:rPr>
        <w:t>Comité</w:t>
      </w:r>
      <w:r w:rsidR="00671C0D" w:rsidRPr="00282A68">
        <w:rPr>
          <w:u w:val="single"/>
          <w:lang w:val="es-US"/>
        </w:rPr>
        <w:t>:</w:t>
      </w:r>
    </w:p>
    <w:p w14:paraId="089511FC" w14:textId="77777777" w:rsidR="00671C0D" w:rsidRPr="00282A68" w:rsidRDefault="00671C0D" w:rsidP="00671C0D">
      <w:pPr>
        <w:pStyle w:val="ListParagraph"/>
        <w:ind w:left="10"/>
        <w:jc w:val="both"/>
        <w:rPr>
          <w:u w:val="single"/>
          <w:lang w:val="es-US"/>
        </w:rPr>
      </w:pPr>
    </w:p>
    <w:p w14:paraId="7158C9E5" w14:textId="1FFEC023" w:rsidR="0032785D" w:rsidRPr="00282A68" w:rsidRDefault="001B64FD" w:rsidP="008F2DDE">
      <w:pPr>
        <w:jc w:val="both"/>
        <w:rPr>
          <w:i/>
          <w:iCs/>
          <w:sz w:val="22"/>
          <w:szCs w:val="22"/>
          <w:lang w:val="es-US"/>
        </w:rPr>
      </w:pPr>
      <w:r w:rsidRPr="00282A68">
        <w:rPr>
          <w:i/>
          <w:iCs/>
          <w:sz w:val="22"/>
          <w:szCs w:val="22"/>
          <w:lang w:val="es-US"/>
        </w:rPr>
        <w:t>Canales de comunicación que permitan poner oportunamente en conocimiento de autoridades tributarias que decidan sobre deducibilidad, las anomalías que detecten o cualquier irregularidad que pueda incidir en el sentido de la decisión</w:t>
      </w:r>
      <w:r w:rsidR="00671C0D" w:rsidRPr="00282A68">
        <w:rPr>
          <w:i/>
          <w:iCs/>
          <w:sz w:val="22"/>
          <w:szCs w:val="22"/>
          <w:lang w:val="es-US"/>
        </w:rPr>
        <w:t>.</w:t>
      </w:r>
    </w:p>
    <w:p w14:paraId="7D16835E" w14:textId="77777777" w:rsidR="00671C0D" w:rsidRPr="00282A68" w:rsidRDefault="00671C0D" w:rsidP="008F2DDE">
      <w:pPr>
        <w:jc w:val="both"/>
        <w:rPr>
          <w:i/>
          <w:iCs/>
          <w:sz w:val="22"/>
          <w:szCs w:val="22"/>
          <w:lang w:val="es-US"/>
        </w:rPr>
      </w:pPr>
    </w:p>
    <w:p w14:paraId="09FB3A12" w14:textId="609861EE" w:rsidR="00671C0D" w:rsidRPr="00282A68" w:rsidRDefault="002B6DC0" w:rsidP="005A2298">
      <w:pPr>
        <w:pStyle w:val="ListParagraph"/>
        <w:numPr>
          <w:ilvl w:val="0"/>
          <w:numId w:val="1"/>
        </w:numPr>
        <w:jc w:val="both"/>
        <w:rPr>
          <w:rFonts w:eastAsiaTheme="minorHAnsi"/>
          <w:bCs/>
          <w:iCs/>
          <w:lang w:val="es-US"/>
        </w:rPr>
      </w:pPr>
      <w:r w:rsidRPr="00282A68">
        <w:rPr>
          <w:rFonts w:eastAsiaTheme="minorHAnsi"/>
          <w:bCs/>
          <w:iCs/>
          <w:lang w:val="es-US"/>
        </w:rPr>
        <w:t>Con respecto a la medida anterior, en su Respuesta, el Estado analizado presenta información y nuevos desarrollos. En este sentido, el Comité observa los siguientes como pasos que lo llevan a concluir que la medida se ha considerado satisfactoriamente</w:t>
      </w:r>
      <w:r w:rsidR="005A2298" w:rsidRPr="00282A68">
        <w:rPr>
          <w:rStyle w:val="FootnoteReference"/>
          <w:lang w:val="es-US"/>
        </w:rPr>
        <w:footnoteReference w:id="39"/>
      </w:r>
      <w:r w:rsidRPr="00282A68">
        <w:rPr>
          <w:rFonts w:eastAsiaTheme="minorHAnsi"/>
          <w:bCs/>
          <w:iCs/>
          <w:lang w:val="es-US"/>
        </w:rPr>
        <w:t>:</w:t>
      </w:r>
    </w:p>
    <w:p w14:paraId="19184B1C" w14:textId="77777777" w:rsidR="00383E17" w:rsidRPr="00282A68" w:rsidRDefault="00383E17" w:rsidP="00383E17">
      <w:pPr>
        <w:pStyle w:val="ListParagraph"/>
        <w:ind w:left="10"/>
        <w:jc w:val="both"/>
        <w:rPr>
          <w:rFonts w:eastAsiaTheme="minorHAnsi"/>
          <w:bCs/>
          <w:iCs/>
          <w:lang w:val="es-US"/>
        </w:rPr>
      </w:pPr>
    </w:p>
    <w:p w14:paraId="7123DD76" w14:textId="74417C82" w:rsidR="00383E17" w:rsidRPr="00586BAE" w:rsidRDefault="00383E17" w:rsidP="00383E17">
      <w:pPr>
        <w:pStyle w:val="ListParagraph"/>
        <w:numPr>
          <w:ilvl w:val="0"/>
          <w:numId w:val="1"/>
        </w:numPr>
        <w:jc w:val="both"/>
        <w:rPr>
          <w:rFonts w:eastAsiaTheme="minorHAnsi"/>
          <w:bCs/>
          <w:iCs/>
          <w:lang w:val="es-US"/>
        </w:rPr>
      </w:pPr>
      <w:r w:rsidRPr="00586BAE">
        <w:rPr>
          <w:rFonts w:eastAsiaTheme="minorHAnsi"/>
          <w:bCs/>
          <w:iCs/>
          <w:lang w:val="es-US"/>
        </w:rPr>
        <w:t xml:space="preserve">– </w:t>
      </w:r>
      <w:r w:rsidR="006E77D3" w:rsidRPr="00586BAE">
        <w:rPr>
          <w:rFonts w:eastAsiaTheme="minorHAnsi"/>
          <w:bCs/>
          <w:iCs/>
          <w:lang w:val="es-US"/>
        </w:rPr>
        <w:t xml:space="preserve">El Estado analizado señala que un informante puede presentar una denuncia a través del sitio web del IRS, la que puede incluir, entre los tipos de fraude fiscal enumerados en el sitio web del IRS, exenciones </w:t>
      </w:r>
      <w:r w:rsidR="006E77D3" w:rsidRPr="00586BAE">
        <w:rPr>
          <w:rFonts w:eastAsiaTheme="minorHAnsi"/>
          <w:bCs/>
          <w:iCs/>
          <w:lang w:val="es-US"/>
        </w:rPr>
        <w:lastRenderedPageBreak/>
        <w:t>o deducciones falsas, comisiones ilegales, documentos falsos o alterados, delincuencia organizada e incumplimiento de las leyes fiscales. Además, los contribuyentes pueden revelar voluntariamente si han cometido delitos fiscales o relacionados con los impuestos y tienen exposición penal debido a su violación voluntaria de la ley. Esto se lleva a cabo a través de la Práctica de Revelación Voluntaria, una práctica de larga data de la IRS-CI, que tiene en cuenta las revelaciones voluntarias oportunas, precisas y completas para determinar si recomienda el enjuiciamiento penal. Este tipo de revelación no garantiza automáticamente la inmunidad judicial; sin embargo, una revelación voluntaria puede dar lugar a que no se recomiende el enjuiciamiento</w:t>
      </w:r>
      <w:r w:rsidRPr="00586BAE">
        <w:rPr>
          <w:rStyle w:val="FootnoteReference"/>
          <w:rFonts w:eastAsiaTheme="minorHAnsi"/>
          <w:bCs/>
          <w:iCs/>
          <w:lang w:val="es-US"/>
        </w:rPr>
        <w:footnoteReference w:id="40"/>
      </w:r>
      <w:r w:rsidR="006E77D3" w:rsidRPr="00586BAE">
        <w:rPr>
          <w:rFonts w:eastAsiaTheme="minorHAnsi"/>
          <w:bCs/>
          <w:iCs/>
          <w:lang w:val="es-US"/>
        </w:rPr>
        <w:t>.</w:t>
      </w:r>
    </w:p>
    <w:p w14:paraId="54FBB226" w14:textId="77777777" w:rsidR="00383E17" w:rsidRPr="00586BAE" w:rsidRDefault="00383E17" w:rsidP="00383E17">
      <w:pPr>
        <w:pStyle w:val="ListParagraph"/>
        <w:rPr>
          <w:rFonts w:eastAsiaTheme="minorHAnsi"/>
          <w:bCs/>
          <w:iCs/>
          <w:lang w:val="es-US"/>
        </w:rPr>
      </w:pPr>
    </w:p>
    <w:p w14:paraId="097F6EFB" w14:textId="555224AE" w:rsidR="00032D25" w:rsidRPr="00586BAE" w:rsidRDefault="007E486C" w:rsidP="00032D25">
      <w:pPr>
        <w:pStyle w:val="ListParagraph"/>
        <w:numPr>
          <w:ilvl w:val="0"/>
          <w:numId w:val="1"/>
        </w:numPr>
        <w:jc w:val="both"/>
        <w:rPr>
          <w:rFonts w:eastAsiaTheme="minorHAnsi"/>
          <w:bCs/>
          <w:iCs/>
          <w:lang w:val="es-US"/>
        </w:rPr>
      </w:pPr>
      <w:r w:rsidRPr="00586BAE">
        <w:rPr>
          <w:rFonts w:eastAsiaTheme="minorHAnsi"/>
          <w:bCs/>
          <w:iCs/>
          <w:lang w:val="es-US"/>
        </w:rPr>
        <w:t>El Comité también observa que en el Manual de Administración Tributaria se establecen procedimientos para que los examinadores fiscales o los agentes tributarios informen con prontitud las anomalías que detecten o cualquier irregularidad que pueda afectar la decisión sobre un beneficio fiscal. En este sentido, cuando se descubren indicadores de fraude, el empleado encargado del cumplimiento debe documentar claramente los posibles indicadores de fraude y hablar al respecto con su jefe de grupo. Si el jefe de grupo del empleado de cumplimiento está de acuerdo en que existen indicadores de fraude que justifican el desarrollo del análisis de fraude, el empleado de cumplimiento debe ponerse en contacto con el asesor de aplicación del fraude. A continuación, el Manual de Administración Tributaria establece otros pasos que se deben seguir antes de remitir a la IRS-CI</w:t>
      </w:r>
      <w:r w:rsidR="00032D25" w:rsidRPr="00586BAE">
        <w:rPr>
          <w:rStyle w:val="FootnoteReference"/>
          <w:rFonts w:eastAsiaTheme="minorHAnsi"/>
          <w:bCs/>
          <w:iCs/>
          <w:lang w:val="es-US"/>
        </w:rPr>
        <w:footnoteReference w:id="41"/>
      </w:r>
      <w:r w:rsidRPr="00586BAE">
        <w:rPr>
          <w:rFonts w:eastAsiaTheme="minorHAnsi"/>
          <w:bCs/>
          <w:iCs/>
          <w:lang w:val="es-US"/>
        </w:rPr>
        <w:t>.</w:t>
      </w:r>
    </w:p>
    <w:p w14:paraId="44093D6C" w14:textId="77777777" w:rsidR="00032D25" w:rsidRPr="00282A68" w:rsidRDefault="00032D25" w:rsidP="00032D25">
      <w:pPr>
        <w:pStyle w:val="ListParagraph"/>
        <w:rPr>
          <w:rFonts w:eastAsiaTheme="minorHAnsi"/>
          <w:bCs/>
          <w:iCs/>
          <w:lang w:val="es-US"/>
        </w:rPr>
      </w:pPr>
    </w:p>
    <w:p w14:paraId="2CF16700" w14:textId="47483498" w:rsidR="00032D25" w:rsidRPr="00282A68" w:rsidRDefault="007E486C" w:rsidP="00032D25">
      <w:pPr>
        <w:pStyle w:val="ListParagraph"/>
        <w:numPr>
          <w:ilvl w:val="0"/>
          <w:numId w:val="1"/>
        </w:numPr>
        <w:jc w:val="both"/>
        <w:rPr>
          <w:rFonts w:eastAsia="Times New Roman"/>
          <w:iCs/>
          <w:lang w:val="es-US" w:eastAsia="zh-CN"/>
        </w:rPr>
      </w:pPr>
      <w:r w:rsidRPr="00282A68">
        <w:rPr>
          <w:rFonts w:eastAsiaTheme="minorHAnsi"/>
          <w:bCs/>
          <w:iCs/>
          <w:lang w:val="es-US"/>
        </w:rPr>
        <w:t>En vista de lo anterior, el Comité toma nota de la consideración satisfactoria por el Estado analizado de la medida (b)(vi) de la anterior recomendación</w:t>
      </w:r>
      <w:r w:rsidR="00032D25" w:rsidRPr="00282A68">
        <w:rPr>
          <w:rFonts w:eastAsiaTheme="minorHAnsi"/>
          <w:bCs/>
          <w:iCs/>
          <w:lang w:val="es-US"/>
        </w:rPr>
        <w:t>.</w:t>
      </w:r>
    </w:p>
    <w:p w14:paraId="01ED20B9" w14:textId="77777777" w:rsidR="00ED4A39" w:rsidRPr="00282A68" w:rsidRDefault="00ED4A39" w:rsidP="00ED4A39">
      <w:pPr>
        <w:pStyle w:val="ListParagraph"/>
        <w:rPr>
          <w:rFonts w:eastAsia="Times New Roman"/>
          <w:iCs/>
          <w:lang w:val="es-US" w:eastAsia="zh-CN"/>
        </w:rPr>
      </w:pPr>
    </w:p>
    <w:p w14:paraId="7EE806B8" w14:textId="0A92DE60" w:rsidR="00ED4A39" w:rsidRPr="00282A68" w:rsidRDefault="00624672" w:rsidP="00ED4A39">
      <w:pPr>
        <w:pStyle w:val="ListParagraph"/>
        <w:ind w:left="10"/>
        <w:jc w:val="both"/>
        <w:rPr>
          <w:u w:val="single"/>
          <w:lang w:val="es-US"/>
        </w:rPr>
      </w:pPr>
      <w:r w:rsidRPr="00282A68">
        <w:rPr>
          <w:u w:val="single"/>
          <w:lang w:val="es-US"/>
        </w:rPr>
        <w:t>Medida</w:t>
      </w:r>
      <w:r w:rsidR="00ED4A39" w:rsidRPr="00282A68">
        <w:rPr>
          <w:u w:val="single"/>
          <w:lang w:val="es-US"/>
        </w:rPr>
        <w:t xml:space="preserve"> c) </w:t>
      </w:r>
      <w:r w:rsidRPr="00282A68">
        <w:rPr>
          <w:u w:val="single"/>
          <w:lang w:val="es-US"/>
        </w:rPr>
        <w:t xml:space="preserve">sugerida por el </w:t>
      </w:r>
      <w:r w:rsidR="00AA3CD6" w:rsidRPr="00282A68">
        <w:rPr>
          <w:u w:val="single"/>
          <w:lang w:val="es-US"/>
        </w:rPr>
        <w:t>Comité</w:t>
      </w:r>
      <w:r w:rsidR="00ED4A39" w:rsidRPr="00282A68">
        <w:rPr>
          <w:u w:val="single"/>
          <w:lang w:val="es-US"/>
        </w:rPr>
        <w:t>:</w:t>
      </w:r>
    </w:p>
    <w:p w14:paraId="68BD2097" w14:textId="77777777" w:rsidR="00ED4A39" w:rsidRPr="00282A68" w:rsidRDefault="00ED4A39" w:rsidP="00ED4A39">
      <w:pPr>
        <w:pStyle w:val="ListParagraph"/>
        <w:ind w:left="10"/>
        <w:jc w:val="both"/>
        <w:rPr>
          <w:lang w:val="es-US"/>
        </w:rPr>
      </w:pPr>
    </w:p>
    <w:p w14:paraId="2C3ED7E4" w14:textId="55FC4EF9" w:rsidR="00ED4A39" w:rsidRPr="00282A68" w:rsidRDefault="007328D4" w:rsidP="00ED4A39">
      <w:pPr>
        <w:jc w:val="both"/>
        <w:rPr>
          <w:i/>
          <w:iCs/>
          <w:sz w:val="22"/>
          <w:szCs w:val="22"/>
          <w:lang w:val="es-US"/>
        </w:rPr>
      </w:pPr>
      <w:r w:rsidRPr="00282A68">
        <w:rPr>
          <w:i/>
          <w:iCs/>
          <w:sz w:val="22"/>
          <w:szCs w:val="22"/>
          <w:lang w:val="es-US"/>
        </w:rPr>
        <w:t>Seleccionar y elaborar, a través de las autoridades tributarias que tengan a su cargo la tramitación de las solicitudes de beneficios tributarios y las demás autoridades u órganos que ejerzan competencias al respecto, procedimientos e indicadores, cuando sea apropiado y aún no existan, para analizar los resultados objetivos obtenidos en esta materia y para verificar el seguimiento de las recomendaciones formuladas en el presente informe en relación con la misma</w:t>
      </w:r>
      <w:r w:rsidR="00ED4A39" w:rsidRPr="00282A68">
        <w:rPr>
          <w:i/>
          <w:iCs/>
          <w:sz w:val="22"/>
          <w:szCs w:val="22"/>
          <w:lang w:val="es-US"/>
        </w:rPr>
        <w:t>.</w:t>
      </w:r>
    </w:p>
    <w:p w14:paraId="2B1CA370" w14:textId="77777777" w:rsidR="00ED4A39" w:rsidRPr="00282A68" w:rsidRDefault="00ED4A39" w:rsidP="00ED4A39">
      <w:pPr>
        <w:jc w:val="both"/>
        <w:rPr>
          <w:i/>
          <w:iCs/>
          <w:sz w:val="22"/>
          <w:szCs w:val="22"/>
          <w:lang w:val="es-US"/>
        </w:rPr>
      </w:pPr>
    </w:p>
    <w:p w14:paraId="2972F163" w14:textId="0C6BAE60" w:rsidR="00ED4A39" w:rsidRPr="00282A68" w:rsidRDefault="00C852AB" w:rsidP="00ED4A39">
      <w:pPr>
        <w:pStyle w:val="ListParagraph"/>
        <w:numPr>
          <w:ilvl w:val="0"/>
          <w:numId w:val="1"/>
        </w:numPr>
        <w:jc w:val="both"/>
        <w:rPr>
          <w:rFonts w:eastAsia="Times New Roman"/>
          <w:lang w:val="es-US"/>
        </w:rPr>
      </w:pPr>
      <w:r w:rsidRPr="00282A68">
        <w:rPr>
          <w:rFonts w:eastAsiaTheme="minorHAnsi"/>
          <w:bCs/>
          <w:iCs/>
          <w:lang w:val="es-US"/>
        </w:rPr>
        <w:t>Con respecto a la anterior medida, el Estado analizado presenta en su Respuesta información y nuevos desarrollos, que el Comité destaca como un paso que contribuye al avance en la implementación de esta medida</w:t>
      </w:r>
      <w:r w:rsidR="00ED4A39" w:rsidRPr="00282A68">
        <w:rPr>
          <w:rStyle w:val="FootnoteReference"/>
          <w:lang w:val="es-US"/>
        </w:rPr>
        <w:footnoteReference w:id="42"/>
      </w:r>
      <w:r w:rsidRPr="00282A68">
        <w:rPr>
          <w:rFonts w:eastAsiaTheme="minorHAnsi"/>
          <w:bCs/>
          <w:iCs/>
          <w:lang w:val="es-US"/>
        </w:rPr>
        <w:t>:</w:t>
      </w:r>
    </w:p>
    <w:p w14:paraId="4E5D313D" w14:textId="77777777" w:rsidR="00ED4A39" w:rsidRPr="00282A68" w:rsidRDefault="00ED4A39" w:rsidP="00ED4A39">
      <w:pPr>
        <w:pStyle w:val="ListParagraph"/>
        <w:ind w:left="10"/>
        <w:jc w:val="both"/>
        <w:rPr>
          <w:rFonts w:eastAsia="Times New Roman"/>
          <w:lang w:val="es-US"/>
        </w:rPr>
      </w:pPr>
    </w:p>
    <w:p w14:paraId="3029A7C0" w14:textId="0122AE06" w:rsidR="00ED4A39" w:rsidRPr="00586BAE" w:rsidRDefault="00ED4A39" w:rsidP="00ED4A39">
      <w:pPr>
        <w:pStyle w:val="ListParagraph"/>
        <w:numPr>
          <w:ilvl w:val="0"/>
          <w:numId w:val="1"/>
        </w:numPr>
        <w:jc w:val="both"/>
        <w:rPr>
          <w:rFonts w:eastAsia="Times New Roman"/>
          <w:lang w:val="es-US"/>
        </w:rPr>
      </w:pPr>
      <w:r w:rsidRPr="00586BAE">
        <w:rPr>
          <w:rFonts w:eastAsia="Times New Roman"/>
          <w:lang w:val="es-US"/>
        </w:rPr>
        <w:t xml:space="preserve">– </w:t>
      </w:r>
      <w:r w:rsidR="009E0D32" w:rsidRPr="00586BAE">
        <w:rPr>
          <w:rFonts w:eastAsia="Times New Roman"/>
          <w:lang w:val="es-US"/>
        </w:rPr>
        <w:t xml:space="preserve">El </w:t>
      </w:r>
      <w:r w:rsidR="009E0D32" w:rsidRPr="00586BAE">
        <w:rPr>
          <w:rFonts w:eastAsia="Times New Roman"/>
          <w:iCs/>
          <w:lang w:val="es-US"/>
        </w:rPr>
        <w:t>Estado analizado</w:t>
      </w:r>
      <w:r w:rsidR="009E0D32" w:rsidRPr="00586BAE">
        <w:rPr>
          <w:rFonts w:eastAsia="Times New Roman"/>
          <w:lang w:val="es-US"/>
        </w:rPr>
        <w:t xml:space="preserve"> señala que la División de Investigación Penal del IRS recopila en su Informe Anual los logros de la División y las acciones de aplicación de la ley que emprendió en el ejercicio fiscal anterior en relación </w:t>
      </w:r>
      <w:r w:rsidR="009E0D32" w:rsidRPr="00586BAE">
        <w:rPr>
          <w:rFonts w:eastAsia="Times New Roman"/>
          <w:bCs/>
          <w:iCs/>
          <w:lang w:val="es-US"/>
        </w:rPr>
        <w:t>con delitos penales</w:t>
      </w:r>
      <w:r w:rsidR="009E0D32" w:rsidRPr="00586BAE">
        <w:rPr>
          <w:rFonts w:eastAsia="Times New Roman"/>
          <w:lang w:val="es-US"/>
        </w:rPr>
        <w:t xml:space="preserve">. Este Informe resume gran variedad de actividades de la División e incluye ejemplos de casos de cada oficina de campo sobre una amplia gama de delitos financieros. El </w:t>
      </w:r>
      <w:r w:rsidR="009E0D32" w:rsidRPr="00586BAE">
        <w:rPr>
          <w:rFonts w:eastAsia="Times New Roman"/>
          <w:iCs/>
          <w:lang w:val="es-US"/>
        </w:rPr>
        <w:t>Estado analizado</w:t>
      </w:r>
      <w:r w:rsidR="009E0D32" w:rsidRPr="00586BAE">
        <w:rPr>
          <w:rFonts w:eastAsia="Times New Roman"/>
          <w:lang w:val="es-US"/>
        </w:rPr>
        <w:t xml:space="preserve"> también facilitó el siguiente cuadro del Informe Anual de 2022</w:t>
      </w:r>
      <w:r w:rsidRPr="00586BAE">
        <w:rPr>
          <w:rStyle w:val="FootnoteReference"/>
          <w:rFonts w:eastAsia="Times New Roman"/>
          <w:lang w:val="es-US"/>
        </w:rPr>
        <w:footnoteReference w:id="43"/>
      </w:r>
      <w:r w:rsidR="009E0D32" w:rsidRPr="00586BAE">
        <w:rPr>
          <w:rFonts w:eastAsia="Times New Roman"/>
          <w:lang w:val="es-US"/>
        </w:rPr>
        <w:t>:</w:t>
      </w:r>
    </w:p>
    <w:p w14:paraId="51F8666E" w14:textId="77777777" w:rsidR="00A51E14" w:rsidRPr="00586BAE" w:rsidRDefault="00A51E14" w:rsidP="00A51E14">
      <w:pPr>
        <w:pStyle w:val="ListParagraph"/>
        <w:rPr>
          <w:rFonts w:eastAsia="Times New Roman"/>
          <w:lang w:val="es-US"/>
        </w:rPr>
      </w:pPr>
    </w:p>
    <w:tbl>
      <w:tblPr>
        <w:tblStyle w:val="TableGrid"/>
        <w:tblW w:w="0" w:type="auto"/>
        <w:tblLook w:val="04A0" w:firstRow="1" w:lastRow="0" w:firstColumn="1" w:lastColumn="0" w:noHBand="0" w:noVBand="1"/>
      </w:tblPr>
      <w:tblGrid>
        <w:gridCol w:w="2730"/>
        <w:gridCol w:w="2206"/>
        <w:gridCol w:w="2207"/>
        <w:gridCol w:w="2207"/>
      </w:tblGrid>
      <w:tr w:rsidR="00433EF7" w:rsidRPr="00586BAE" w14:paraId="72A6F4CF" w14:textId="77777777" w:rsidTr="00433EF7">
        <w:tc>
          <w:tcPr>
            <w:tcW w:w="2730" w:type="dxa"/>
          </w:tcPr>
          <w:p w14:paraId="6B15C41D" w14:textId="76E6274C" w:rsidR="00433EF7" w:rsidRPr="00586BAE" w:rsidRDefault="00433EF7" w:rsidP="00433EF7">
            <w:pPr>
              <w:rPr>
                <w:rFonts w:ascii="Times New Roman" w:hAnsi="Times New Roman" w:cs="Times New Roman"/>
                <w:b/>
                <w:bCs/>
                <w:sz w:val="22"/>
                <w:szCs w:val="22"/>
                <w:lang w:val="es-US"/>
              </w:rPr>
            </w:pPr>
            <w:r w:rsidRPr="00586BAE">
              <w:rPr>
                <w:rFonts w:ascii="Times New Roman" w:hAnsi="Times New Roman" w:cs="Times New Roman"/>
                <w:sz w:val="22"/>
                <w:szCs w:val="22"/>
                <w:lang w:val="es-US"/>
              </w:rPr>
              <w:lastRenderedPageBreak/>
              <w:t>Corrupción pública</w:t>
            </w:r>
          </w:p>
        </w:tc>
        <w:tc>
          <w:tcPr>
            <w:tcW w:w="2206" w:type="dxa"/>
          </w:tcPr>
          <w:p w14:paraId="3D1177E8" w14:textId="77777777" w:rsidR="00433EF7" w:rsidRPr="00586BAE" w:rsidRDefault="00433EF7" w:rsidP="00433EF7">
            <w:pPr>
              <w:rPr>
                <w:rFonts w:ascii="Times New Roman" w:hAnsi="Times New Roman" w:cs="Times New Roman"/>
                <w:sz w:val="22"/>
                <w:szCs w:val="22"/>
                <w:lang w:val="es-US"/>
              </w:rPr>
            </w:pPr>
          </w:p>
        </w:tc>
        <w:tc>
          <w:tcPr>
            <w:tcW w:w="2207" w:type="dxa"/>
          </w:tcPr>
          <w:p w14:paraId="6231E45C" w14:textId="77777777" w:rsidR="00433EF7" w:rsidRPr="00586BAE" w:rsidRDefault="00433EF7" w:rsidP="00433EF7">
            <w:pPr>
              <w:rPr>
                <w:rFonts w:ascii="Times New Roman" w:hAnsi="Times New Roman" w:cs="Times New Roman"/>
                <w:sz w:val="22"/>
                <w:szCs w:val="22"/>
                <w:lang w:val="es-US"/>
              </w:rPr>
            </w:pPr>
          </w:p>
        </w:tc>
        <w:tc>
          <w:tcPr>
            <w:tcW w:w="2207" w:type="dxa"/>
          </w:tcPr>
          <w:p w14:paraId="2F127889" w14:textId="77777777" w:rsidR="00433EF7" w:rsidRPr="00586BAE" w:rsidRDefault="00433EF7" w:rsidP="00433EF7">
            <w:pPr>
              <w:rPr>
                <w:rFonts w:ascii="Times New Roman" w:hAnsi="Times New Roman" w:cs="Times New Roman"/>
                <w:sz w:val="22"/>
                <w:szCs w:val="22"/>
                <w:lang w:val="es-US"/>
              </w:rPr>
            </w:pPr>
          </w:p>
        </w:tc>
      </w:tr>
      <w:tr w:rsidR="00433EF7" w:rsidRPr="00586BAE" w14:paraId="4BB6E06A" w14:textId="77777777" w:rsidTr="00433EF7">
        <w:tc>
          <w:tcPr>
            <w:tcW w:w="2730" w:type="dxa"/>
          </w:tcPr>
          <w:p w14:paraId="0A0AAFA0" w14:textId="77777777" w:rsidR="00433EF7" w:rsidRPr="00586BAE" w:rsidRDefault="00433EF7" w:rsidP="00433EF7">
            <w:pPr>
              <w:rPr>
                <w:rFonts w:ascii="Times New Roman" w:hAnsi="Times New Roman" w:cs="Times New Roman"/>
                <w:sz w:val="22"/>
                <w:szCs w:val="22"/>
                <w:lang w:val="es-US"/>
              </w:rPr>
            </w:pPr>
          </w:p>
        </w:tc>
        <w:tc>
          <w:tcPr>
            <w:tcW w:w="2206" w:type="dxa"/>
          </w:tcPr>
          <w:p w14:paraId="57003B5B" w14:textId="6D0EF7C7"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2022</w:t>
            </w:r>
          </w:p>
        </w:tc>
        <w:tc>
          <w:tcPr>
            <w:tcW w:w="2207" w:type="dxa"/>
          </w:tcPr>
          <w:p w14:paraId="3EF1EEAC" w14:textId="47E17652"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2021</w:t>
            </w:r>
          </w:p>
        </w:tc>
        <w:tc>
          <w:tcPr>
            <w:tcW w:w="2207" w:type="dxa"/>
          </w:tcPr>
          <w:p w14:paraId="625E0371" w14:textId="1A57A949"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2020</w:t>
            </w:r>
          </w:p>
        </w:tc>
      </w:tr>
      <w:tr w:rsidR="00433EF7" w:rsidRPr="00586BAE" w14:paraId="4DD87F6D" w14:textId="77777777" w:rsidTr="00433EF7">
        <w:tc>
          <w:tcPr>
            <w:tcW w:w="2730" w:type="dxa"/>
          </w:tcPr>
          <w:p w14:paraId="41CC1E98" w14:textId="7687C2C8"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Investigaciones iniciadas</w:t>
            </w:r>
          </w:p>
        </w:tc>
        <w:tc>
          <w:tcPr>
            <w:tcW w:w="2206" w:type="dxa"/>
          </w:tcPr>
          <w:p w14:paraId="4EBE9020" w14:textId="646DE807"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26</w:t>
            </w:r>
          </w:p>
        </w:tc>
        <w:tc>
          <w:tcPr>
            <w:tcW w:w="2207" w:type="dxa"/>
          </w:tcPr>
          <w:p w14:paraId="7FABEC78" w14:textId="18C1F60A"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51</w:t>
            </w:r>
          </w:p>
        </w:tc>
        <w:tc>
          <w:tcPr>
            <w:tcW w:w="2207" w:type="dxa"/>
          </w:tcPr>
          <w:p w14:paraId="019BB76D" w14:textId="39E437A0"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73</w:t>
            </w:r>
          </w:p>
        </w:tc>
      </w:tr>
      <w:tr w:rsidR="00433EF7" w:rsidRPr="00586BAE" w14:paraId="778E0058" w14:textId="77777777" w:rsidTr="00433EF7">
        <w:tc>
          <w:tcPr>
            <w:tcW w:w="2730" w:type="dxa"/>
          </w:tcPr>
          <w:p w14:paraId="059D6699" w14:textId="68EB08AF"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Recomendaciones de enjuiciamiento</w:t>
            </w:r>
          </w:p>
        </w:tc>
        <w:tc>
          <w:tcPr>
            <w:tcW w:w="2206" w:type="dxa"/>
          </w:tcPr>
          <w:p w14:paraId="0275AD0A" w14:textId="26C7E9B0"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24</w:t>
            </w:r>
          </w:p>
        </w:tc>
        <w:tc>
          <w:tcPr>
            <w:tcW w:w="2207" w:type="dxa"/>
          </w:tcPr>
          <w:p w14:paraId="777C079C" w14:textId="28CD6D25"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38</w:t>
            </w:r>
          </w:p>
        </w:tc>
        <w:tc>
          <w:tcPr>
            <w:tcW w:w="2207" w:type="dxa"/>
          </w:tcPr>
          <w:p w14:paraId="6C3CE79A" w14:textId="2CF8D656"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63</w:t>
            </w:r>
          </w:p>
        </w:tc>
      </w:tr>
      <w:tr w:rsidR="00433EF7" w:rsidRPr="00586BAE" w14:paraId="75566942" w14:textId="77777777" w:rsidTr="00433EF7">
        <w:tc>
          <w:tcPr>
            <w:tcW w:w="2730" w:type="dxa"/>
          </w:tcPr>
          <w:p w14:paraId="1DB0247C" w14:textId="728B40AE"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Informaciones/Acusaciones</w:t>
            </w:r>
          </w:p>
        </w:tc>
        <w:tc>
          <w:tcPr>
            <w:tcW w:w="2206" w:type="dxa"/>
          </w:tcPr>
          <w:p w14:paraId="09746DE9" w14:textId="422621B9"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27</w:t>
            </w:r>
          </w:p>
        </w:tc>
        <w:tc>
          <w:tcPr>
            <w:tcW w:w="2207" w:type="dxa"/>
          </w:tcPr>
          <w:p w14:paraId="52A93459" w14:textId="31476C6D"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38</w:t>
            </w:r>
          </w:p>
        </w:tc>
        <w:tc>
          <w:tcPr>
            <w:tcW w:w="2207" w:type="dxa"/>
          </w:tcPr>
          <w:p w14:paraId="404A16B8" w14:textId="4517CC2F"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63</w:t>
            </w:r>
          </w:p>
        </w:tc>
      </w:tr>
      <w:tr w:rsidR="00433EF7" w:rsidRPr="00586BAE" w14:paraId="0A5C9600" w14:textId="77777777" w:rsidTr="00433EF7">
        <w:tc>
          <w:tcPr>
            <w:tcW w:w="2730" w:type="dxa"/>
          </w:tcPr>
          <w:p w14:paraId="0F10EFB5" w14:textId="6BBAB519"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Condenados</w:t>
            </w:r>
          </w:p>
        </w:tc>
        <w:tc>
          <w:tcPr>
            <w:tcW w:w="2206" w:type="dxa"/>
          </w:tcPr>
          <w:p w14:paraId="17C8A76E" w14:textId="6313F59C"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38</w:t>
            </w:r>
          </w:p>
        </w:tc>
        <w:tc>
          <w:tcPr>
            <w:tcW w:w="2207" w:type="dxa"/>
          </w:tcPr>
          <w:p w14:paraId="07CBF50A" w14:textId="2B82CA78"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27</w:t>
            </w:r>
          </w:p>
        </w:tc>
        <w:tc>
          <w:tcPr>
            <w:tcW w:w="2207" w:type="dxa"/>
          </w:tcPr>
          <w:p w14:paraId="36843E73" w14:textId="73496277"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40</w:t>
            </w:r>
          </w:p>
        </w:tc>
      </w:tr>
      <w:tr w:rsidR="00433EF7" w:rsidRPr="00586BAE" w14:paraId="24CE744C" w14:textId="77777777" w:rsidTr="00433EF7">
        <w:tc>
          <w:tcPr>
            <w:tcW w:w="2730" w:type="dxa"/>
          </w:tcPr>
          <w:p w14:paraId="1CF337C6" w14:textId="576B5824"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Tasa de encarcelamiento</w:t>
            </w:r>
          </w:p>
        </w:tc>
        <w:tc>
          <w:tcPr>
            <w:tcW w:w="2206" w:type="dxa"/>
          </w:tcPr>
          <w:p w14:paraId="39AF5C21" w14:textId="33472FE5"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84%</w:t>
            </w:r>
          </w:p>
        </w:tc>
        <w:tc>
          <w:tcPr>
            <w:tcW w:w="2207" w:type="dxa"/>
          </w:tcPr>
          <w:p w14:paraId="176E367B" w14:textId="5BC7FA7C"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78%</w:t>
            </w:r>
          </w:p>
        </w:tc>
        <w:tc>
          <w:tcPr>
            <w:tcW w:w="2207" w:type="dxa"/>
          </w:tcPr>
          <w:p w14:paraId="7A2CD403" w14:textId="5AAB28D1"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68%</w:t>
            </w:r>
          </w:p>
        </w:tc>
      </w:tr>
      <w:tr w:rsidR="00433EF7" w:rsidRPr="00586BAE" w14:paraId="66BBDC8C" w14:textId="77777777" w:rsidTr="00433EF7">
        <w:tc>
          <w:tcPr>
            <w:tcW w:w="2730" w:type="dxa"/>
          </w:tcPr>
          <w:p w14:paraId="1F504F2B" w14:textId="6D121CEB"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Media de meses de condena</w:t>
            </w:r>
          </w:p>
        </w:tc>
        <w:tc>
          <w:tcPr>
            <w:tcW w:w="2206" w:type="dxa"/>
          </w:tcPr>
          <w:p w14:paraId="66F9EA01" w14:textId="04FD8678"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39</w:t>
            </w:r>
          </w:p>
        </w:tc>
        <w:tc>
          <w:tcPr>
            <w:tcW w:w="2207" w:type="dxa"/>
          </w:tcPr>
          <w:p w14:paraId="1C9309D9" w14:textId="15D4BA13"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24</w:t>
            </w:r>
          </w:p>
        </w:tc>
        <w:tc>
          <w:tcPr>
            <w:tcW w:w="2207" w:type="dxa"/>
          </w:tcPr>
          <w:p w14:paraId="4FED895F" w14:textId="36657AF6" w:rsidR="00433EF7" w:rsidRPr="00586BAE" w:rsidRDefault="00433EF7" w:rsidP="00433EF7">
            <w:pPr>
              <w:rPr>
                <w:rFonts w:ascii="Times New Roman" w:hAnsi="Times New Roman" w:cs="Times New Roman"/>
                <w:sz w:val="22"/>
                <w:szCs w:val="22"/>
                <w:lang w:val="es-US"/>
              </w:rPr>
            </w:pPr>
            <w:r w:rsidRPr="00586BAE">
              <w:rPr>
                <w:rFonts w:ascii="Times New Roman" w:hAnsi="Times New Roman" w:cs="Times New Roman"/>
                <w:sz w:val="22"/>
                <w:szCs w:val="22"/>
                <w:lang w:val="es-US"/>
              </w:rPr>
              <w:t>21</w:t>
            </w:r>
          </w:p>
        </w:tc>
      </w:tr>
    </w:tbl>
    <w:p w14:paraId="587AEABD" w14:textId="77777777" w:rsidR="00A51E14" w:rsidRPr="00586BAE" w:rsidRDefault="00A51E14" w:rsidP="00A51E14">
      <w:pPr>
        <w:pStyle w:val="ListParagraph"/>
        <w:rPr>
          <w:rFonts w:eastAsia="Times New Roman"/>
          <w:lang w:val="es-US"/>
        </w:rPr>
      </w:pPr>
    </w:p>
    <w:p w14:paraId="66AC4A75" w14:textId="77777777" w:rsidR="00A51E14" w:rsidRPr="00586BAE" w:rsidRDefault="00A51E14" w:rsidP="00A51E14">
      <w:pPr>
        <w:pStyle w:val="ListParagraph"/>
        <w:rPr>
          <w:rFonts w:eastAsia="Times New Roman"/>
          <w:lang w:val="es-US"/>
        </w:rPr>
      </w:pPr>
    </w:p>
    <w:p w14:paraId="3549240A" w14:textId="181BF833" w:rsidR="00A51E14" w:rsidRPr="00586BAE" w:rsidRDefault="009027FC" w:rsidP="00ED4A39">
      <w:pPr>
        <w:pStyle w:val="ListParagraph"/>
        <w:numPr>
          <w:ilvl w:val="0"/>
          <w:numId w:val="1"/>
        </w:numPr>
        <w:jc w:val="both"/>
        <w:rPr>
          <w:rFonts w:eastAsia="Times New Roman"/>
          <w:lang w:val="es-US"/>
        </w:rPr>
      </w:pPr>
      <w:r w:rsidRPr="00586BAE">
        <w:rPr>
          <w:rFonts w:eastAsia="Times New Roman"/>
          <w:bCs/>
          <w:iCs/>
          <w:lang w:val="es-US"/>
        </w:rPr>
        <w:t>El Comité toma nota de que en el Informe Anual se indica que la IRS-CI investiga a funcionarios electos y nombrados de todos los niveles de gobierno, incluidos el local, el de condado, el estatal y el federal, así como a funcionarios extranjeros, e incluye delitos como el soborno, la extorsión, la malversación, las comisiones ilegales, el fraude fiscal y el lavado de dinero</w:t>
      </w:r>
      <w:r w:rsidR="005D5522" w:rsidRPr="00586BAE">
        <w:rPr>
          <w:rStyle w:val="FootnoteReference"/>
          <w:lang w:val="es-US"/>
        </w:rPr>
        <w:footnoteReference w:id="44"/>
      </w:r>
      <w:r w:rsidRPr="00586BAE">
        <w:rPr>
          <w:rFonts w:eastAsia="Times New Roman"/>
          <w:bCs/>
          <w:iCs/>
          <w:lang w:val="es-US"/>
        </w:rPr>
        <w:t>.</w:t>
      </w:r>
    </w:p>
    <w:p w14:paraId="14022344" w14:textId="42199ED8" w:rsidR="005D5522" w:rsidRPr="00586BAE" w:rsidRDefault="005D5522" w:rsidP="005D5522">
      <w:pPr>
        <w:pStyle w:val="ListParagraph"/>
        <w:ind w:left="10"/>
        <w:jc w:val="both"/>
        <w:rPr>
          <w:rFonts w:eastAsia="Times New Roman"/>
          <w:lang w:val="es-US"/>
        </w:rPr>
      </w:pPr>
    </w:p>
    <w:p w14:paraId="53573A8E" w14:textId="0BB2EF93" w:rsidR="00ED4A39" w:rsidRPr="00586BAE" w:rsidRDefault="00B15BA9" w:rsidP="005D5522">
      <w:pPr>
        <w:pStyle w:val="ListParagraph"/>
        <w:numPr>
          <w:ilvl w:val="0"/>
          <w:numId w:val="1"/>
        </w:numPr>
        <w:jc w:val="both"/>
        <w:rPr>
          <w:rFonts w:eastAsia="Times New Roman"/>
          <w:lang w:val="es-US"/>
        </w:rPr>
      </w:pPr>
      <w:r w:rsidRPr="00586BAE">
        <w:rPr>
          <w:rFonts w:eastAsiaTheme="minorHAnsi"/>
          <w:bCs/>
          <w:iCs/>
          <w:lang w:val="es-US"/>
        </w:rPr>
        <w:t>El Comité observa que esta recomendación se formuló en el Informe de Estados Unidos correspondiente a la Tercera Ronda, aunque también considera que la información suministrada sobre el número de investigaciones penales relativas a sobornos o violaciones de la Ley de Prácticas Corruptas en el Extranjero y sus resultados demuestra</w:t>
      </w:r>
      <w:r w:rsidR="001D5672" w:rsidRPr="00586BAE">
        <w:rPr>
          <w:rFonts w:eastAsiaTheme="minorHAnsi"/>
          <w:bCs/>
          <w:iCs/>
          <w:lang w:val="es-US"/>
        </w:rPr>
        <w:t>n</w:t>
      </w:r>
      <w:r w:rsidRPr="00586BAE">
        <w:rPr>
          <w:rFonts w:eastAsiaTheme="minorHAnsi"/>
          <w:bCs/>
          <w:iCs/>
          <w:lang w:val="es-US"/>
        </w:rPr>
        <w:t xml:space="preserve"> que se han tomado acciones de aplicación con respecto a los delitos penales relacionados con los beneficios tributarios por pagos efectuados en violación de las leyes contra la corrupción</w:t>
      </w:r>
      <w:r w:rsidR="005D5522" w:rsidRPr="00586BAE">
        <w:rPr>
          <w:rStyle w:val="FootnoteReference"/>
          <w:rFonts w:eastAsiaTheme="minorHAnsi"/>
          <w:bCs/>
          <w:iCs/>
          <w:lang w:val="es-US"/>
        </w:rPr>
        <w:footnoteReference w:id="45"/>
      </w:r>
      <w:r w:rsidRPr="00586BAE">
        <w:rPr>
          <w:rFonts w:eastAsiaTheme="minorHAnsi"/>
          <w:bCs/>
          <w:iCs/>
          <w:lang w:val="es-US"/>
        </w:rPr>
        <w:t>.</w:t>
      </w:r>
    </w:p>
    <w:p w14:paraId="3BEF7B6D" w14:textId="77777777" w:rsidR="009268C2" w:rsidRPr="00282A68" w:rsidRDefault="009268C2" w:rsidP="009268C2">
      <w:pPr>
        <w:pStyle w:val="ListParagraph"/>
        <w:rPr>
          <w:rFonts w:eastAsia="Times New Roman"/>
          <w:lang w:val="es-US"/>
        </w:rPr>
      </w:pPr>
    </w:p>
    <w:p w14:paraId="42C477C3" w14:textId="60E2DFEA" w:rsidR="0018250F" w:rsidRPr="00282A68" w:rsidRDefault="00B15BA9" w:rsidP="0018250F">
      <w:pPr>
        <w:pStyle w:val="ListParagraph"/>
        <w:numPr>
          <w:ilvl w:val="0"/>
          <w:numId w:val="1"/>
        </w:numPr>
        <w:jc w:val="both"/>
        <w:rPr>
          <w:rFonts w:eastAsia="Times New Roman"/>
          <w:lang w:val="es-US"/>
        </w:rPr>
      </w:pPr>
      <w:r w:rsidRPr="00282A68">
        <w:rPr>
          <w:rFonts w:eastAsiaTheme="minorHAnsi"/>
          <w:bCs/>
          <w:iCs/>
          <w:lang w:val="es-US"/>
        </w:rPr>
        <w:t>En vista de lo anterior, el Comité toma nota de la consideración satisfactoria por el Estado analizado de la medida (c) de la anterior recomendación</w:t>
      </w:r>
      <w:r w:rsidR="009268C2" w:rsidRPr="00282A68">
        <w:rPr>
          <w:rFonts w:eastAsiaTheme="minorHAnsi"/>
          <w:bCs/>
          <w:iCs/>
          <w:lang w:val="es-US"/>
        </w:rPr>
        <w:t>.</w:t>
      </w:r>
    </w:p>
    <w:p w14:paraId="0633473D" w14:textId="77777777" w:rsidR="0018250F" w:rsidRPr="00282A68" w:rsidRDefault="0018250F" w:rsidP="0018250F">
      <w:pPr>
        <w:pStyle w:val="ListParagraph"/>
        <w:rPr>
          <w:lang w:val="es-US"/>
        </w:rPr>
      </w:pPr>
    </w:p>
    <w:p w14:paraId="7840A900" w14:textId="5B4E6B27" w:rsidR="0018250F" w:rsidRPr="00282A68" w:rsidRDefault="00005D55" w:rsidP="004F0439">
      <w:pPr>
        <w:numPr>
          <w:ilvl w:val="1"/>
          <w:numId w:val="6"/>
        </w:numPr>
        <w:jc w:val="both"/>
        <w:rPr>
          <w:b/>
          <w:bCs/>
          <w:sz w:val="22"/>
          <w:szCs w:val="22"/>
          <w:lang w:val="es-US"/>
        </w:rPr>
      </w:pPr>
      <w:r w:rsidRPr="00282A68">
        <w:rPr>
          <w:b/>
          <w:sz w:val="22"/>
          <w:szCs w:val="22"/>
          <w:lang w:val="es-US"/>
        </w:rPr>
        <w:t>Desarrollos nuevos respecto a la disposición de la Convención sobre negación o impedimento de beneficios tributarios por pagos que se efectúen en violación de la legislación contra la corrupción</w:t>
      </w:r>
      <w:r w:rsidR="0018250F" w:rsidRPr="00282A68">
        <w:rPr>
          <w:b/>
          <w:bCs/>
          <w:sz w:val="22"/>
          <w:szCs w:val="22"/>
          <w:lang w:val="es-US"/>
        </w:rPr>
        <w:t xml:space="preserve">. </w:t>
      </w:r>
    </w:p>
    <w:p w14:paraId="63A06DE4" w14:textId="77777777" w:rsidR="0018250F" w:rsidRPr="00282A68" w:rsidRDefault="0018250F" w:rsidP="0018250F">
      <w:pPr>
        <w:jc w:val="both"/>
        <w:rPr>
          <w:i/>
          <w:iCs/>
          <w:sz w:val="22"/>
          <w:szCs w:val="22"/>
          <w:lang w:val="es-US"/>
        </w:rPr>
      </w:pPr>
    </w:p>
    <w:p w14:paraId="1CA4BEA3" w14:textId="3A5D4C28" w:rsidR="0018250F" w:rsidRPr="00282A68" w:rsidRDefault="000B6809" w:rsidP="004F0439">
      <w:pPr>
        <w:pStyle w:val="ListParagraph"/>
        <w:numPr>
          <w:ilvl w:val="2"/>
          <w:numId w:val="12"/>
        </w:numPr>
        <w:jc w:val="both"/>
        <w:rPr>
          <w:b/>
          <w:bCs/>
          <w:lang w:val="es-US"/>
        </w:rPr>
      </w:pPr>
      <w:r w:rsidRPr="00282A68">
        <w:rPr>
          <w:b/>
          <w:bCs/>
          <w:lang w:val="es-US"/>
        </w:rPr>
        <w:t>Desarrollos nuevos relativos al marco normativo</w:t>
      </w:r>
      <w:r w:rsidR="0018250F" w:rsidRPr="00282A68">
        <w:rPr>
          <w:b/>
          <w:bCs/>
          <w:lang w:val="es-US"/>
        </w:rPr>
        <w:t>. </w:t>
      </w:r>
    </w:p>
    <w:p w14:paraId="773241E3" w14:textId="77777777" w:rsidR="0018250F" w:rsidRPr="00282A68" w:rsidRDefault="0018250F" w:rsidP="0018250F">
      <w:pPr>
        <w:pStyle w:val="paragraph"/>
        <w:spacing w:before="0" w:beforeAutospacing="0" w:after="0" w:afterAutospacing="0"/>
        <w:jc w:val="both"/>
        <w:textAlignment w:val="baseline"/>
        <w:rPr>
          <w:sz w:val="22"/>
          <w:szCs w:val="22"/>
          <w:lang w:val="es-US"/>
        </w:rPr>
      </w:pPr>
      <w:r w:rsidRPr="00282A68">
        <w:rPr>
          <w:rStyle w:val="eop"/>
          <w:sz w:val="22"/>
          <w:szCs w:val="22"/>
          <w:lang w:val="es-US"/>
        </w:rPr>
        <w:t> </w:t>
      </w:r>
    </w:p>
    <w:p w14:paraId="041E6EFF" w14:textId="671E1EE5" w:rsidR="0018250F" w:rsidRPr="00282A68" w:rsidRDefault="002A33D1" w:rsidP="0018250F">
      <w:pPr>
        <w:pStyle w:val="ListParagraph"/>
        <w:numPr>
          <w:ilvl w:val="0"/>
          <w:numId w:val="1"/>
        </w:numPr>
        <w:jc w:val="both"/>
        <w:rPr>
          <w:lang w:val="es-US"/>
        </w:rPr>
      </w:pPr>
      <w:r w:rsidRPr="00282A68">
        <w:rPr>
          <w:lang w:val="es-US"/>
        </w:rPr>
        <w:t>El Estado analizado señala que no tiene nada que informar sobre nuevos desarrollos respecto al marco normativo</w:t>
      </w:r>
      <w:r w:rsidR="0018250F" w:rsidRPr="00282A68">
        <w:rPr>
          <w:rStyle w:val="FootnoteReference"/>
          <w:lang w:val="es-US"/>
        </w:rPr>
        <w:footnoteReference w:id="46"/>
      </w:r>
      <w:r w:rsidRPr="00282A68">
        <w:rPr>
          <w:lang w:val="es-US"/>
        </w:rPr>
        <w:t>:</w:t>
      </w:r>
    </w:p>
    <w:p w14:paraId="1E94EA61" w14:textId="77777777" w:rsidR="0018250F" w:rsidRPr="00282A68" w:rsidRDefault="0018250F" w:rsidP="0018250F">
      <w:pPr>
        <w:pStyle w:val="ListParagraph"/>
        <w:ind w:left="10"/>
        <w:jc w:val="both"/>
        <w:rPr>
          <w:b/>
          <w:bCs/>
          <w:lang w:val="es-US"/>
        </w:rPr>
      </w:pPr>
    </w:p>
    <w:p w14:paraId="51F0587D" w14:textId="636101FA" w:rsidR="0018250F" w:rsidRPr="00282A68" w:rsidRDefault="0018250F" w:rsidP="004F0439">
      <w:pPr>
        <w:pStyle w:val="ListParagraph"/>
        <w:numPr>
          <w:ilvl w:val="2"/>
          <w:numId w:val="12"/>
        </w:numPr>
        <w:jc w:val="both"/>
        <w:rPr>
          <w:b/>
          <w:bCs/>
          <w:lang w:val="es-US"/>
        </w:rPr>
      </w:pPr>
      <w:r w:rsidRPr="00282A68">
        <w:rPr>
          <w:b/>
          <w:bCs/>
          <w:lang w:val="es-US"/>
        </w:rPr>
        <w:t xml:space="preserve"> </w:t>
      </w:r>
      <w:r w:rsidR="00A479D2" w:rsidRPr="00282A68">
        <w:rPr>
          <w:b/>
          <w:bCs/>
          <w:lang w:val="es-US"/>
        </w:rPr>
        <w:t>Desarrollos nuevos relativos a aspectos tecnológicos.</w:t>
      </w:r>
      <w:r w:rsidRPr="00282A68">
        <w:rPr>
          <w:b/>
          <w:bCs/>
          <w:lang w:val="es-US"/>
        </w:rPr>
        <w:t xml:space="preserve"> </w:t>
      </w:r>
    </w:p>
    <w:p w14:paraId="0C7F97AB" w14:textId="77777777" w:rsidR="0018250F" w:rsidRPr="00282A68" w:rsidRDefault="0018250F" w:rsidP="0018250F">
      <w:pPr>
        <w:ind w:left="720"/>
        <w:jc w:val="both"/>
        <w:rPr>
          <w:sz w:val="22"/>
          <w:szCs w:val="22"/>
          <w:lang w:val="es-US"/>
        </w:rPr>
      </w:pPr>
    </w:p>
    <w:p w14:paraId="15EA2FF3" w14:textId="38B6DCDB" w:rsidR="0018250F" w:rsidRPr="00282A68" w:rsidRDefault="002A33D1" w:rsidP="0018250F">
      <w:pPr>
        <w:pStyle w:val="ListParagraph"/>
        <w:numPr>
          <w:ilvl w:val="0"/>
          <w:numId w:val="1"/>
        </w:numPr>
        <w:jc w:val="both"/>
        <w:rPr>
          <w:lang w:val="es-US"/>
        </w:rPr>
      </w:pPr>
      <w:bookmarkStart w:id="11" w:name="_Hlk156406459"/>
      <w:r w:rsidRPr="00282A68">
        <w:rPr>
          <w:lang w:val="es-US"/>
        </w:rPr>
        <w:t>El Estado analizado señala que no tiene nada que informar sobre nuevos desarrollos respecto a aspectos tecnológicos</w:t>
      </w:r>
      <w:bookmarkEnd w:id="11"/>
      <w:r w:rsidR="0018250F" w:rsidRPr="00282A68">
        <w:rPr>
          <w:rStyle w:val="FootnoteReference"/>
          <w:lang w:val="es-US"/>
        </w:rPr>
        <w:footnoteReference w:id="47"/>
      </w:r>
      <w:r w:rsidRPr="00282A68">
        <w:rPr>
          <w:lang w:val="es-US"/>
        </w:rPr>
        <w:t>.</w:t>
      </w:r>
    </w:p>
    <w:p w14:paraId="543E32ED" w14:textId="77777777" w:rsidR="0018250F" w:rsidRPr="00282A68" w:rsidRDefault="0018250F" w:rsidP="0018250F">
      <w:pPr>
        <w:pStyle w:val="ListParagraph"/>
        <w:ind w:left="10"/>
        <w:jc w:val="both"/>
        <w:rPr>
          <w:lang w:val="es-US"/>
        </w:rPr>
      </w:pPr>
    </w:p>
    <w:p w14:paraId="71348A08" w14:textId="336716DC" w:rsidR="0018250F" w:rsidRPr="00282A68" w:rsidRDefault="0018250F" w:rsidP="004F0439">
      <w:pPr>
        <w:numPr>
          <w:ilvl w:val="1"/>
          <w:numId w:val="6"/>
        </w:numPr>
        <w:jc w:val="both"/>
        <w:rPr>
          <w:b/>
          <w:bCs/>
          <w:sz w:val="22"/>
          <w:szCs w:val="22"/>
          <w:lang w:val="es-US"/>
        </w:rPr>
      </w:pPr>
      <w:r w:rsidRPr="00282A68">
        <w:rPr>
          <w:b/>
          <w:sz w:val="22"/>
          <w:szCs w:val="22"/>
          <w:lang w:val="es-US"/>
        </w:rPr>
        <w:t>Resul</w:t>
      </w:r>
      <w:r w:rsidR="001B34AB" w:rsidRPr="00282A68">
        <w:rPr>
          <w:b/>
          <w:sz w:val="22"/>
          <w:szCs w:val="22"/>
          <w:lang w:val="es-US"/>
        </w:rPr>
        <w:t>t</w:t>
      </w:r>
      <w:r w:rsidR="008E56BE" w:rsidRPr="00282A68">
        <w:rPr>
          <w:b/>
          <w:sz w:val="22"/>
          <w:szCs w:val="22"/>
          <w:lang w:val="es-US"/>
        </w:rPr>
        <w:t>ado</w:t>
      </w:r>
      <w:r w:rsidRPr="00282A68">
        <w:rPr>
          <w:b/>
          <w:sz w:val="22"/>
          <w:szCs w:val="22"/>
          <w:lang w:val="es-US"/>
        </w:rPr>
        <w:t>s</w:t>
      </w:r>
      <w:r w:rsidR="00BD2F45" w:rsidRPr="00282A68">
        <w:rPr>
          <w:b/>
          <w:sz w:val="22"/>
          <w:szCs w:val="22"/>
          <w:lang w:val="es-US"/>
        </w:rPr>
        <w:t>.</w:t>
      </w:r>
      <w:r w:rsidRPr="00282A68">
        <w:rPr>
          <w:b/>
          <w:bCs/>
          <w:sz w:val="22"/>
          <w:szCs w:val="22"/>
          <w:lang w:val="es-US"/>
        </w:rPr>
        <w:t xml:space="preserve"> </w:t>
      </w:r>
    </w:p>
    <w:p w14:paraId="07A0503E" w14:textId="77777777" w:rsidR="0018250F" w:rsidRPr="00282A68" w:rsidRDefault="0018250F" w:rsidP="0018250F">
      <w:pPr>
        <w:jc w:val="both"/>
        <w:rPr>
          <w:sz w:val="22"/>
          <w:szCs w:val="22"/>
          <w:lang w:val="es-US"/>
        </w:rPr>
      </w:pPr>
    </w:p>
    <w:p w14:paraId="2C330D40" w14:textId="6AA10982" w:rsidR="0018250F" w:rsidRPr="0014547F" w:rsidRDefault="008363AC" w:rsidP="0018250F">
      <w:pPr>
        <w:pStyle w:val="ListParagraph"/>
        <w:numPr>
          <w:ilvl w:val="0"/>
          <w:numId w:val="1"/>
        </w:numPr>
        <w:jc w:val="both"/>
        <w:rPr>
          <w:lang w:val="es-US"/>
        </w:rPr>
      </w:pPr>
      <w:r w:rsidRPr="0014547F">
        <w:rPr>
          <w:lang w:val="es-US"/>
        </w:rPr>
        <w:t xml:space="preserve">El </w:t>
      </w:r>
      <w:r w:rsidRPr="0014547F">
        <w:rPr>
          <w:iCs/>
          <w:lang w:val="es-US"/>
        </w:rPr>
        <w:t>Estado analizado</w:t>
      </w:r>
      <w:r w:rsidRPr="0014547F">
        <w:rPr>
          <w:lang w:val="es-US"/>
        </w:rPr>
        <w:t xml:space="preserve"> no presentó ningún resultado relativo a la negación o impedimento de beneficios tributarios por pagos que se efectúen en violación de las leyes contra la corrupción ni en su Respuesta al Cuestionario ni durante la visita in situ</w:t>
      </w:r>
      <w:r w:rsidR="0018250F" w:rsidRPr="0014547F">
        <w:rPr>
          <w:rStyle w:val="FootnoteReference"/>
          <w:lang w:val="es-US"/>
        </w:rPr>
        <w:footnoteReference w:id="48"/>
      </w:r>
      <w:r w:rsidRPr="0014547F">
        <w:rPr>
          <w:lang w:val="es-US"/>
        </w:rPr>
        <w:t>.</w:t>
      </w:r>
      <w:r w:rsidR="0018250F" w:rsidRPr="0014547F">
        <w:rPr>
          <w:lang w:val="es-US"/>
        </w:rPr>
        <w:t xml:space="preserve"> </w:t>
      </w:r>
    </w:p>
    <w:p w14:paraId="3D9028F7" w14:textId="77777777" w:rsidR="0018250F" w:rsidRPr="0014547F" w:rsidRDefault="0018250F" w:rsidP="0018250F">
      <w:pPr>
        <w:pStyle w:val="ListParagraph"/>
        <w:ind w:left="10"/>
        <w:jc w:val="both"/>
        <w:rPr>
          <w:lang w:val="es-US"/>
        </w:rPr>
      </w:pPr>
    </w:p>
    <w:p w14:paraId="5E8067F7" w14:textId="3FB9D35C" w:rsidR="0018250F" w:rsidRPr="0014547F" w:rsidRDefault="00BD2F45" w:rsidP="0018250F">
      <w:pPr>
        <w:pStyle w:val="ListParagraph"/>
        <w:numPr>
          <w:ilvl w:val="0"/>
          <w:numId w:val="1"/>
        </w:numPr>
        <w:jc w:val="both"/>
        <w:rPr>
          <w:lang w:val="es-US"/>
        </w:rPr>
      </w:pPr>
      <w:r w:rsidRPr="0014547F">
        <w:rPr>
          <w:bCs/>
          <w:iCs/>
          <w:lang w:val="es-US"/>
        </w:rPr>
        <w:t xml:space="preserve">Dado que el tema de los resultados se examinó en la consideración de la medida (c) en la sección 1.1 anterior, el Comité reitera las observaciones realizadas </w:t>
      </w:r>
      <w:r w:rsidRPr="0014547F">
        <w:rPr>
          <w:lang w:val="es-US"/>
        </w:rPr>
        <w:t>en ella</w:t>
      </w:r>
      <w:r w:rsidR="0018250F" w:rsidRPr="0014547F">
        <w:rPr>
          <w:lang w:val="es-US"/>
        </w:rPr>
        <w:t xml:space="preserve">.  </w:t>
      </w:r>
    </w:p>
    <w:p w14:paraId="7F215F92" w14:textId="77777777" w:rsidR="0018250F" w:rsidRPr="00282A68" w:rsidRDefault="0018250F" w:rsidP="0018250F">
      <w:pPr>
        <w:pStyle w:val="ListParagraph"/>
        <w:ind w:left="10"/>
        <w:jc w:val="both"/>
        <w:rPr>
          <w:lang w:val="es-US"/>
        </w:rPr>
      </w:pPr>
    </w:p>
    <w:p w14:paraId="3E5C5302" w14:textId="6E5FC32D" w:rsidR="0018250F" w:rsidRPr="00282A68" w:rsidRDefault="00BD2F45" w:rsidP="004F0439">
      <w:pPr>
        <w:numPr>
          <w:ilvl w:val="1"/>
          <w:numId w:val="6"/>
        </w:numPr>
        <w:jc w:val="both"/>
        <w:rPr>
          <w:b/>
          <w:bCs/>
          <w:sz w:val="22"/>
          <w:szCs w:val="22"/>
          <w:lang w:val="es-US"/>
        </w:rPr>
      </w:pPr>
      <w:r w:rsidRPr="00282A68">
        <w:rPr>
          <w:b/>
          <w:bCs/>
          <w:sz w:val="22"/>
          <w:szCs w:val="22"/>
          <w:lang w:val="es-US"/>
        </w:rPr>
        <w:t>Recomendaciones.</w:t>
      </w:r>
    </w:p>
    <w:p w14:paraId="76E94E03" w14:textId="77777777" w:rsidR="0018250F" w:rsidRPr="00282A68" w:rsidRDefault="0018250F" w:rsidP="0018250F">
      <w:pPr>
        <w:jc w:val="both"/>
        <w:rPr>
          <w:b/>
          <w:bCs/>
          <w:sz w:val="22"/>
          <w:szCs w:val="22"/>
          <w:lang w:val="es-US"/>
        </w:rPr>
      </w:pPr>
    </w:p>
    <w:p w14:paraId="6F62C492" w14:textId="368F8C14" w:rsidR="0018250F" w:rsidRDefault="007C2AC5" w:rsidP="0018250F">
      <w:pPr>
        <w:pStyle w:val="ListParagraph"/>
        <w:numPr>
          <w:ilvl w:val="0"/>
          <w:numId w:val="1"/>
        </w:numPr>
        <w:jc w:val="both"/>
        <w:rPr>
          <w:lang w:val="es-US"/>
        </w:rPr>
      </w:pPr>
      <w:r w:rsidRPr="00282A68">
        <w:rPr>
          <w:lang w:val="es-US"/>
        </w:rPr>
        <w:t>En vista de las observaciones formuladas en la sección 1.1 del capítulo II de este informe, el Comité sugiere que el Estado analizado considere las siguientes recomendaciones</w:t>
      </w:r>
      <w:r w:rsidR="0018250F" w:rsidRPr="00282A68">
        <w:rPr>
          <w:lang w:val="es-US"/>
        </w:rPr>
        <w:t xml:space="preserve">: </w:t>
      </w:r>
    </w:p>
    <w:p w14:paraId="7CCB120D" w14:textId="77777777" w:rsidR="0071523C" w:rsidRPr="00282A68" w:rsidRDefault="0071523C" w:rsidP="0071523C">
      <w:pPr>
        <w:pStyle w:val="ListParagraph"/>
        <w:ind w:left="10"/>
        <w:jc w:val="both"/>
        <w:rPr>
          <w:lang w:val="es-US"/>
        </w:rPr>
      </w:pPr>
    </w:p>
    <w:p w14:paraId="7288E11E" w14:textId="00A63EDA" w:rsidR="005C0718" w:rsidRPr="00282A68" w:rsidRDefault="005C0718" w:rsidP="005C0718">
      <w:pPr>
        <w:ind w:left="1440" w:hanging="720"/>
        <w:jc w:val="both"/>
        <w:rPr>
          <w:sz w:val="22"/>
          <w:szCs w:val="22"/>
          <w:highlight w:val="yellow"/>
          <w:lang w:val="es-US"/>
        </w:rPr>
      </w:pPr>
      <w:r w:rsidRPr="00282A68">
        <w:rPr>
          <w:sz w:val="22"/>
          <w:szCs w:val="22"/>
          <w:lang w:val="es-US"/>
        </w:rPr>
        <w:t>1.4.1</w:t>
      </w:r>
      <w:r w:rsidRPr="00282A68">
        <w:rPr>
          <w:sz w:val="22"/>
          <w:szCs w:val="22"/>
          <w:lang w:val="es-US"/>
        </w:rPr>
        <w:tab/>
      </w:r>
      <w:r w:rsidR="00F914E7" w:rsidRPr="00282A68">
        <w:rPr>
          <w:sz w:val="22"/>
          <w:szCs w:val="22"/>
          <w:lang w:val="es-US"/>
        </w:rPr>
        <w:t xml:space="preserve">Continuar haciendo esfuerzos para asegurar que los pagos de facilitación </w:t>
      </w:r>
      <w:r w:rsidR="00367769" w:rsidRPr="0071523C">
        <w:rPr>
          <w:sz w:val="22"/>
          <w:szCs w:val="22"/>
          <w:lang w:val="es-US"/>
        </w:rPr>
        <w:t xml:space="preserve">a funcionarios </w:t>
      </w:r>
      <w:r w:rsidR="009A526A" w:rsidRPr="0071523C">
        <w:rPr>
          <w:sz w:val="22"/>
          <w:szCs w:val="22"/>
          <w:lang w:val="es-US"/>
        </w:rPr>
        <w:t xml:space="preserve">públicos </w:t>
      </w:r>
      <w:r w:rsidR="005D5385" w:rsidRPr="0071523C">
        <w:rPr>
          <w:sz w:val="22"/>
          <w:szCs w:val="22"/>
          <w:lang w:val="es-US"/>
        </w:rPr>
        <w:t>extranjeros</w:t>
      </w:r>
      <w:r w:rsidR="00367769" w:rsidRPr="005D5385">
        <w:rPr>
          <w:sz w:val="22"/>
          <w:szCs w:val="22"/>
          <w:lang w:val="es-US"/>
        </w:rPr>
        <w:t xml:space="preserve"> </w:t>
      </w:r>
      <w:r w:rsidR="00F914E7" w:rsidRPr="00282A68">
        <w:rPr>
          <w:sz w:val="22"/>
          <w:szCs w:val="22"/>
          <w:lang w:val="es-US"/>
        </w:rPr>
        <w:t xml:space="preserve">no reciban beneficios tributarios, tomando en consideración que estos pagos no están tipificados como delito en el </w:t>
      </w:r>
      <w:r w:rsidR="00044F91">
        <w:rPr>
          <w:sz w:val="22"/>
          <w:szCs w:val="22"/>
          <w:lang w:val="es-US"/>
        </w:rPr>
        <w:t>Estado</w:t>
      </w:r>
      <w:r w:rsidR="00F914E7" w:rsidRPr="00282A68">
        <w:rPr>
          <w:sz w:val="22"/>
          <w:szCs w:val="22"/>
          <w:lang w:val="es-US"/>
        </w:rPr>
        <w:t xml:space="preserve"> analizado</w:t>
      </w:r>
      <w:r w:rsidRPr="00282A68">
        <w:rPr>
          <w:sz w:val="22"/>
          <w:szCs w:val="22"/>
          <w:lang w:val="es-US"/>
        </w:rPr>
        <w:t xml:space="preserve">. </w:t>
      </w:r>
      <w:r w:rsidR="00BB3C65" w:rsidRPr="00282A68">
        <w:rPr>
          <w:color w:val="000000" w:themeColor="text1"/>
          <w:sz w:val="22"/>
          <w:szCs w:val="22"/>
          <w:lang w:val="es-US"/>
        </w:rPr>
        <w:t>(véase el párrafo 2</w:t>
      </w:r>
      <w:r w:rsidR="00412530">
        <w:rPr>
          <w:color w:val="000000" w:themeColor="text1"/>
          <w:sz w:val="22"/>
          <w:szCs w:val="22"/>
          <w:lang w:val="es-US"/>
        </w:rPr>
        <w:t>3</w:t>
      </w:r>
      <w:r w:rsidR="00BB3C65" w:rsidRPr="00282A68">
        <w:rPr>
          <w:color w:val="000000" w:themeColor="text1"/>
          <w:sz w:val="22"/>
          <w:szCs w:val="22"/>
          <w:lang w:val="es-US"/>
        </w:rPr>
        <w:t xml:space="preserve"> de la sección 1.1 del Capítulo II del presente Informe)</w:t>
      </w:r>
    </w:p>
    <w:p w14:paraId="6085C986" w14:textId="77777777" w:rsidR="005C0718" w:rsidRDefault="005C0718" w:rsidP="005C0718">
      <w:pPr>
        <w:ind w:left="1440" w:hanging="720"/>
        <w:jc w:val="both"/>
        <w:rPr>
          <w:sz w:val="22"/>
          <w:szCs w:val="22"/>
          <w:highlight w:val="yellow"/>
          <w:lang w:val="es-US"/>
        </w:rPr>
      </w:pPr>
    </w:p>
    <w:p w14:paraId="6C67F12E" w14:textId="79E92D3F" w:rsidR="005C0718" w:rsidRPr="0014547F" w:rsidRDefault="005C0718" w:rsidP="005C0718">
      <w:pPr>
        <w:ind w:left="1440" w:hanging="720"/>
        <w:jc w:val="both"/>
        <w:rPr>
          <w:sz w:val="22"/>
          <w:szCs w:val="22"/>
          <w:lang w:val="es-US"/>
        </w:rPr>
      </w:pPr>
      <w:r w:rsidRPr="0014547F">
        <w:rPr>
          <w:sz w:val="22"/>
          <w:szCs w:val="22"/>
          <w:lang w:val="es-US"/>
        </w:rPr>
        <w:t>1.4.2</w:t>
      </w:r>
      <w:r w:rsidRPr="0014547F">
        <w:rPr>
          <w:sz w:val="22"/>
          <w:szCs w:val="22"/>
          <w:lang w:val="es-US"/>
        </w:rPr>
        <w:tab/>
      </w:r>
      <w:r w:rsidR="00224D11" w:rsidRPr="0014547F">
        <w:rPr>
          <w:sz w:val="22"/>
          <w:szCs w:val="22"/>
          <w:lang w:val="es-US"/>
        </w:rPr>
        <w:t>Requerir que los examinadores fiscales reciban capacitación obligatoria que los concientice con respecto a su papel en la lucha contra la corrupción, como el soborno, a fin de facilitar la posibilidad de que se hagan remisiones a la IRS-CI sobre la materia</w:t>
      </w:r>
      <w:r w:rsidR="00BB3C65" w:rsidRPr="0014547F">
        <w:rPr>
          <w:sz w:val="22"/>
          <w:szCs w:val="22"/>
          <w:lang w:val="es-US"/>
        </w:rPr>
        <w:t>.</w:t>
      </w:r>
      <w:r w:rsidR="00224D11" w:rsidRPr="0014547F">
        <w:rPr>
          <w:sz w:val="22"/>
          <w:szCs w:val="22"/>
          <w:lang w:val="es-US"/>
        </w:rPr>
        <w:t xml:space="preserve"> (véase el párrafo 5</w:t>
      </w:r>
      <w:r w:rsidR="00FA7CEC">
        <w:rPr>
          <w:sz w:val="22"/>
          <w:szCs w:val="22"/>
          <w:lang w:val="es-US"/>
        </w:rPr>
        <w:t>9</w:t>
      </w:r>
      <w:r w:rsidR="00224D11" w:rsidRPr="0014547F">
        <w:rPr>
          <w:sz w:val="22"/>
          <w:szCs w:val="22"/>
          <w:lang w:val="es-US"/>
        </w:rPr>
        <w:t xml:space="preserve"> de la sección 1.1 del </w:t>
      </w:r>
      <w:r w:rsidR="00224D11" w:rsidRPr="0014547F">
        <w:rPr>
          <w:bCs/>
          <w:iCs/>
          <w:sz w:val="22"/>
          <w:szCs w:val="22"/>
          <w:lang w:val="es-US"/>
        </w:rPr>
        <w:t>Capítulo</w:t>
      </w:r>
      <w:r w:rsidR="00224D11" w:rsidRPr="0014547F">
        <w:rPr>
          <w:sz w:val="22"/>
          <w:szCs w:val="22"/>
          <w:lang w:val="es-US"/>
        </w:rPr>
        <w:t xml:space="preserve"> II del presente Informe)</w:t>
      </w:r>
      <w:r w:rsidRPr="0014547F">
        <w:rPr>
          <w:sz w:val="22"/>
          <w:szCs w:val="22"/>
          <w:lang w:val="es-US"/>
        </w:rPr>
        <w:t xml:space="preserve"> </w:t>
      </w:r>
    </w:p>
    <w:p w14:paraId="6A9C5CA2" w14:textId="77777777" w:rsidR="005C0718" w:rsidRPr="0014547F" w:rsidRDefault="005C0718" w:rsidP="005C0718">
      <w:pPr>
        <w:ind w:left="1440" w:hanging="720"/>
        <w:jc w:val="both"/>
        <w:rPr>
          <w:rFonts w:eastAsiaTheme="minorHAnsi"/>
          <w:iCs/>
          <w:sz w:val="22"/>
          <w:szCs w:val="22"/>
          <w:lang w:val="es-US"/>
        </w:rPr>
      </w:pPr>
    </w:p>
    <w:p w14:paraId="18B45A8F" w14:textId="0179CD3D" w:rsidR="009268C2" w:rsidRPr="00282A68" w:rsidRDefault="005C0718" w:rsidP="005C0718">
      <w:pPr>
        <w:ind w:left="1440" w:hanging="720"/>
        <w:jc w:val="both"/>
        <w:rPr>
          <w:color w:val="000000" w:themeColor="text1"/>
          <w:sz w:val="22"/>
          <w:szCs w:val="22"/>
          <w:lang w:val="es-US"/>
        </w:rPr>
      </w:pPr>
      <w:r w:rsidRPr="0014547F">
        <w:rPr>
          <w:rFonts w:eastAsiaTheme="minorHAnsi"/>
          <w:iCs/>
          <w:sz w:val="22"/>
          <w:szCs w:val="22"/>
          <w:lang w:val="es-US"/>
        </w:rPr>
        <w:t>1.4.3</w:t>
      </w:r>
      <w:r w:rsidRPr="0014547F">
        <w:rPr>
          <w:rFonts w:eastAsiaTheme="minorHAnsi"/>
          <w:iCs/>
          <w:sz w:val="22"/>
          <w:szCs w:val="22"/>
          <w:lang w:val="es-US"/>
        </w:rPr>
        <w:tab/>
      </w:r>
      <w:r w:rsidR="009F31A6" w:rsidRPr="0014547F">
        <w:rPr>
          <w:rFonts w:eastAsiaTheme="minorHAnsi"/>
          <w:iCs/>
          <w:sz w:val="22"/>
          <w:szCs w:val="22"/>
          <w:lang w:val="es-US"/>
        </w:rPr>
        <w:t xml:space="preserve">Requerir que los examinadores fiscales reciban capacitación obligatoria con respecto a los indicadores clave de soborno cuando se reclama un beneficio tributario basado en un acto de corrupción y soborno transnacional, tal como se establece en la Convención Interamericana contra la Corrupción. (véase el párrafo </w:t>
      </w:r>
      <w:r w:rsidR="00FA7CEC">
        <w:rPr>
          <w:rFonts w:eastAsiaTheme="minorHAnsi"/>
          <w:iCs/>
          <w:sz w:val="22"/>
          <w:szCs w:val="22"/>
          <w:lang w:val="es-US"/>
        </w:rPr>
        <w:t>60</w:t>
      </w:r>
      <w:r w:rsidR="009F31A6" w:rsidRPr="0014547F">
        <w:rPr>
          <w:rFonts w:eastAsiaTheme="minorHAnsi"/>
          <w:iCs/>
          <w:sz w:val="22"/>
          <w:szCs w:val="22"/>
          <w:lang w:val="es-US"/>
        </w:rPr>
        <w:t xml:space="preserve"> de la sección 1.1 del Capítulo II del presente Informe)</w:t>
      </w:r>
    </w:p>
    <w:p w14:paraId="6E3D1432" w14:textId="77777777" w:rsidR="000C7996" w:rsidRPr="00282A68" w:rsidRDefault="000C7996" w:rsidP="005C0718">
      <w:pPr>
        <w:ind w:left="1440" w:hanging="720"/>
        <w:jc w:val="both"/>
        <w:rPr>
          <w:lang w:val="es-US"/>
        </w:rPr>
      </w:pPr>
    </w:p>
    <w:p w14:paraId="091CFD3E" w14:textId="5C1156D3" w:rsidR="000C7996" w:rsidRPr="00282A68" w:rsidRDefault="005A5331" w:rsidP="004F0439">
      <w:pPr>
        <w:pStyle w:val="ListParagraph"/>
        <w:numPr>
          <w:ilvl w:val="0"/>
          <w:numId w:val="6"/>
        </w:numPr>
        <w:jc w:val="both"/>
        <w:rPr>
          <w:rStyle w:val="eop"/>
          <w:b/>
          <w:bCs/>
          <w:lang w:val="es-US"/>
        </w:rPr>
      </w:pPr>
      <w:r w:rsidRPr="00282A68">
        <w:rPr>
          <w:b/>
          <w:bCs/>
          <w:u w:color="000000"/>
          <w:lang w:val="es-US"/>
        </w:rPr>
        <w:t>PREVENCIÓN DEL SOBORNO DE FUNCIONARIOS PÚBLICOS NACIONALES Y EXTRANJEROS (ARTÍCULO III, PARRAFO 10 DE LA CONVENCIÓN)</w:t>
      </w:r>
      <w:r w:rsidR="000C7996" w:rsidRPr="00282A68">
        <w:rPr>
          <w:rStyle w:val="normaltextrun"/>
          <w:b/>
          <w:bCs/>
          <w:lang w:val="es-US"/>
        </w:rPr>
        <w:t>.</w:t>
      </w:r>
      <w:r w:rsidR="000C7996" w:rsidRPr="00282A68">
        <w:rPr>
          <w:rStyle w:val="eop"/>
          <w:lang w:val="es-US"/>
        </w:rPr>
        <w:t> </w:t>
      </w:r>
    </w:p>
    <w:p w14:paraId="382BDD69" w14:textId="77777777" w:rsidR="000C7996" w:rsidRPr="00282A68" w:rsidRDefault="000C7996" w:rsidP="000C7996">
      <w:pPr>
        <w:pStyle w:val="ListParagraph"/>
        <w:ind w:left="360"/>
        <w:jc w:val="both"/>
        <w:rPr>
          <w:lang w:val="es-US"/>
        </w:rPr>
      </w:pPr>
    </w:p>
    <w:p w14:paraId="05D9CD3B" w14:textId="24D03418" w:rsidR="000C7996" w:rsidRPr="00282A68" w:rsidRDefault="00007B10" w:rsidP="004F0439">
      <w:pPr>
        <w:numPr>
          <w:ilvl w:val="1"/>
          <w:numId w:val="6"/>
        </w:numPr>
        <w:jc w:val="both"/>
        <w:rPr>
          <w:b/>
          <w:bCs/>
          <w:sz w:val="22"/>
          <w:szCs w:val="22"/>
          <w:lang w:val="es-US"/>
        </w:rPr>
      </w:pPr>
      <w:r w:rsidRPr="00282A68">
        <w:rPr>
          <w:b/>
          <w:bCs/>
          <w:sz w:val="22"/>
          <w:szCs w:val="22"/>
          <w:lang w:val="es-US"/>
        </w:rPr>
        <w:t>Seguimiento de la implementación de las recomendaciones formuladas en la Tercera Ronda</w:t>
      </w:r>
      <w:r w:rsidR="000C7996" w:rsidRPr="00282A68">
        <w:rPr>
          <w:rStyle w:val="normaltextrun"/>
          <w:b/>
          <w:bCs/>
          <w:sz w:val="22"/>
          <w:szCs w:val="22"/>
          <w:lang w:val="es-US"/>
        </w:rPr>
        <w:t>.</w:t>
      </w:r>
      <w:r w:rsidR="000C7996" w:rsidRPr="00282A68">
        <w:rPr>
          <w:rStyle w:val="eop"/>
          <w:sz w:val="22"/>
          <w:szCs w:val="22"/>
          <w:lang w:val="es-US"/>
        </w:rPr>
        <w:t> </w:t>
      </w:r>
    </w:p>
    <w:p w14:paraId="0FA2F9DF" w14:textId="77777777" w:rsidR="000C7996" w:rsidRPr="00282A68" w:rsidRDefault="000C7996" w:rsidP="000C7996">
      <w:pPr>
        <w:pStyle w:val="paragraph"/>
        <w:spacing w:before="0" w:beforeAutospacing="0" w:after="0" w:afterAutospacing="0"/>
        <w:jc w:val="both"/>
        <w:textAlignment w:val="baseline"/>
        <w:rPr>
          <w:rStyle w:val="normaltextrun"/>
          <w:sz w:val="22"/>
          <w:szCs w:val="22"/>
          <w:u w:val="single"/>
          <w:lang w:val="es-US"/>
        </w:rPr>
      </w:pPr>
    </w:p>
    <w:p w14:paraId="15E19CF7" w14:textId="77777777" w:rsidR="00DF71F4" w:rsidRPr="00282A68" w:rsidRDefault="00A06A0A" w:rsidP="000C7996">
      <w:pPr>
        <w:pStyle w:val="paragraph"/>
        <w:spacing w:before="0" w:beforeAutospacing="0" w:after="0" w:afterAutospacing="0"/>
        <w:jc w:val="both"/>
        <w:textAlignment w:val="baseline"/>
        <w:rPr>
          <w:rStyle w:val="normaltextrun"/>
          <w:sz w:val="22"/>
          <w:szCs w:val="22"/>
          <w:u w:val="single"/>
          <w:lang w:val="es-US"/>
        </w:rPr>
      </w:pPr>
      <w:r w:rsidRPr="00282A68">
        <w:rPr>
          <w:sz w:val="22"/>
          <w:szCs w:val="22"/>
          <w:u w:val="single"/>
          <w:lang w:val="es-US"/>
        </w:rPr>
        <w:t>Recomendación sugerida por el Comité</w:t>
      </w:r>
      <w:r w:rsidR="000C7996" w:rsidRPr="00282A68">
        <w:rPr>
          <w:rStyle w:val="normaltextrun"/>
          <w:sz w:val="22"/>
          <w:szCs w:val="22"/>
          <w:u w:val="single"/>
          <w:lang w:val="es-US"/>
        </w:rPr>
        <w:t>:</w:t>
      </w:r>
    </w:p>
    <w:p w14:paraId="006CB09E" w14:textId="77777777" w:rsidR="00DF71F4" w:rsidRPr="00282A68" w:rsidRDefault="00DF71F4" w:rsidP="000C7996">
      <w:pPr>
        <w:pStyle w:val="paragraph"/>
        <w:spacing w:before="0" w:beforeAutospacing="0" w:after="0" w:afterAutospacing="0"/>
        <w:jc w:val="both"/>
        <w:textAlignment w:val="baseline"/>
        <w:rPr>
          <w:rStyle w:val="normaltextrun"/>
          <w:sz w:val="22"/>
          <w:szCs w:val="22"/>
          <w:u w:val="single"/>
          <w:lang w:val="es-US"/>
        </w:rPr>
      </w:pPr>
    </w:p>
    <w:p w14:paraId="7A58A4A5" w14:textId="09FBD744" w:rsidR="000C7996" w:rsidRPr="00282A68" w:rsidRDefault="00D27407" w:rsidP="000C7996">
      <w:pPr>
        <w:pStyle w:val="paragraph"/>
        <w:spacing w:before="0" w:beforeAutospacing="0" w:after="0" w:afterAutospacing="0"/>
        <w:jc w:val="both"/>
        <w:textAlignment w:val="baseline"/>
        <w:rPr>
          <w:i/>
          <w:iCs/>
          <w:sz w:val="22"/>
          <w:szCs w:val="22"/>
          <w:lang w:val="es-US"/>
        </w:rPr>
      </w:pPr>
      <w:r w:rsidRPr="00282A68">
        <w:rPr>
          <w:i/>
          <w:iCs/>
          <w:sz w:val="22"/>
          <w:szCs w:val="22"/>
          <w:lang w:val="es-US"/>
        </w:rPr>
        <w:t>Fortalecer las normas y medidas para la prevención del soborno de funcionarios públicos nacionales y extranjeros. Para cumplir esta recomendación Estados Unidos podría tener en cuenta las siguientes medidas:</w:t>
      </w:r>
    </w:p>
    <w:p w14:paraId="1D7E04A7" w14:textId="06852FF2" w:rsidR="00D27407" w:rsidRPr="00282A68" w:rsidRDefault="00D27407" w:rsidP="000C7996">
      <w:pPr>
        <w:pStyle w:val="paragraph"/>
        <w:spacing w:before="0" w:beforeAutospacing="0" w:after="0" w:afterAutospacing="0"/>
        <w:jc w:val="both"/>
        <w:textAlignment w:val="baseline"/>
        <w:rPr>
          <w:i/>
          <w:iCs/>
          <w:sz w:val="22"/>
          <w:szCs w:val="22"/>
          <w:lang w:val="es-US"/>
        </w:rPr>
      </w:pPr>
    </w:p>
    <w:p w14:paraId="3E8D1003" w14:textId="481AA80E" w:rsidR="00D27407" w:rsidRPr="00282A68" w:rsidRDefault="0079356B" w:rsidP="000C7996">
      <w:pPr>
        <w:pStyle w:val="paragraph"/>
        <w:spacing w:before="0" w:beforeAutospacing="0" w:after="0" w:afterAutospacing="0"/>
        <w:jc w:val="both"/>
        <w:textAlignment w:val="baseline"/>
        <w:rPr>
          <w:rStyle w:val="eop"/>
          <w:sz w:val="22"/>
          <w:szCs w:val="22"/>
          <w:u w:val="single"/>
          <w:lang w:val="es-US"/>
        </w:rPr>
      </w:pPr>
      <w:r w:rsidRPr="00282A68">
        <w:rPr>
          <w:sz w:val="22"/>
          <w:szCs w:val="22"/>
          <w:u w:val="single"/>
          <w:lang w:val="es-US"/>
        </w:rPr>
        <w:t>Medida (a):</w:t>
      </w:r>
    </w:p>
    <w:p w14:paraId="728E2CBD" w14:textId="49420CC4" w:rsidR="00ED4A39" w:rsidRPr="00282A68" w:rsidRDefault="00ED4A39" w:rsidP="00ED4A39">
      <w:pPr>
        <w:pStyle w:val="ListParagraph"/>
        <w:ind w:left="10"/>
        <w:jc w:val="both"/>
        <w:rPr>
          <w:rFonts w:eastAsia="Times New Roman"/>
          <w:lang w:val="es-US"/>
        </w:rPr>
      </w:pPr>
    </w:p>
    <w:p w14:paraId="1D07C977" w14:textId="47E62513" w:rsidR="000C7996" w:rsidRPr="00282A68" w:rsidRDefault="00184CDF" w:rsidP="000C7996">
      <w:pPr>
        <w:jc w:val="both"/>
        <w:rPr>
          <w:i/>
          <w:iCs/>
          <w:sz w:val="22"/>
          <w:szCs w:val="22"/>
          <w:lang w:val="es-US"/>
        </w:rPr>
      </w:pPr>
      <w:bookmarkStart w:id="12" w:name="_Hlk156407474"/>
      <w:r w:rsidRPr="00282A68">
        <w:rPr>
          <w:i/>
          <w:iCs/>
          <w:sz w:val="22"/>
          <w:szCs w:val="22"/>
          <w:lang w:val="es-US"/>
        </w:rPr>
        <w:t xml:space="preserve">Considerar adoptar, a través de los medios que estime apropiados, cualquier medida adicional que pudiera ser beneficiosa a fin de promover </w:t>
      </w:r>
      <w:proofErr w:type="spellStart"/>
      <w:r w:rsidRPr="00282A68">
        <w:rPr>
          <w:i/>
          <w:iCs/>
          <w:sz w:val="22"/>
          <w:szCs w:val="22"/>
          <w:lang w:val="es-US"/>
        </w:rPr>
        <w:t>aun</w:t>
      </w:r>
      <w:proofErr w:type="spellEnd"/>
      <w:r w:rsidRPr="00282A68">
        <w:rPr>
          <w:i/>
          <w:iCs/>
          <w:sz w:val="22"/>
          <w:szCs w:val="22"/>
          <w:lang w:val="es-US"/>
        </w:rPr>
        <w:t xml:space="preserve"> más que la confidencialidad profesional no constituya un obstáculo para que los auditores cuyas actividades estén regidas por el AICPA y su Código de Conducta notifiquen a las autoridades correspondientes cualquier acto de corrupción de que tengan conocimiento en el ejercicio de su trabajo</w:t>
      </w:r>
      <w:bookmarkEnd w:id="12"/>
      <w:r w:rsidR="000C7996" w:rsidRPr="00282A68">
        <w:rPr>
          <w:i/>
          <w:iCs/>
          <w:sz w:val="22"/>
          <w:szCs w:val="22"/>
          <w:lang w:val="es-US"/>
        </w:rPr>
        <w:t>.</w:t>
      </w:r>
    </w:p>
    <w:p w14:paraId="4CCB3513" w14:textId="77777777" w:rsidR="000C7996" w:rsidRPr="00282A68" w:rsidRDefault="000C7996" w:rsidP="000C7996">
      <w:pPr>
        <w:jc w:val="both"/>
        <w:rPr>
          <w:i/>
          <w:iCs/>
          <w:sz w:val="22"/>
          <w:szCs w:val="22"/>
          <w:lang w:val="es-US"/>
        </w:rPr>
      </w:pPr>
    </w:p>
    <w:p w14:paraId="22DC5BD7" w14:textId="7D9CFBBD" w:rsidR="000C7996" w:rsidRPr="00282A68" w:rsidRDefault="00B169BF" w:rsidP="00D51BB6">
      <w:pPr>
        <w:pStyle w:val="ListParagraph"/>
        <w:numPr>
          <w:ilvl w:val="0"/>
          <w:numId w:val="1"/>
        </w:numPr>
        <w:jc w:val="both"/>
        <w:rPr>
          <w:rFonts w:eastAsia="Times New Roman"/>
          <w:lang w:val="es-US"/>
        </w:rPr>
      </w:pPr>
      <w:r w:rsidRPr="00282A68">
        <w:rPr>
          <w:lang w:val="es-US"/>
        </w:rPr>
        <w:t>El Estado analizado, en su Respuesta, presentó información que estima pertinente en relación con la anterior medida</w:t>
      </w:r>
      <w:r w:rsidRPr="00282A68">
        <w:rPr>
          <w:vertAlign w:val="superscript"/>
          <w:lang w:val="es-US"/>
        </w:rPr>
        <w:t xml:space="preserve"> </w:t>
      </w:r>
      <w:r w:rsidR="00D51BB6" w:rsidRPr="00282A68">
        <w:rPr>
          <w:rStyle w:val="FootnoteReference"/>
          <w:lang w:val="es-US"/>
        </w:rPr>
        <w:footnoteReference w:id="49"/>
      </w:r>
      <w:r w:rsidR="00F82FF2" w:rsidRPr="00282A68">
        <w:rPr>
          <w:lang w:val="es-US"/>
        </w:rPr>
        <w:t>:</w:t>
      </w:r>
    </w:p>
    <w:p w14:paraId="09D1D44A" w14:textId="77777777" w:rsidR="00255325" w:rsidRDefault="00255325" w:rsidP="00255325">
      <w:pPr>
        <w:pStyle w:val="ListParagraph"/>
        <w:ind w:left="10"/>
        <w:jc w:val="both"/>
        <w:rPr>
          <w:rFonts w:eastAsia="Times New Roman"/>
          <w:lang w:val="es-US"/>
        </w:rPr>
      </w:pPr>
    </w:p>
    <w:p w14:paraId="35F1F5CA" w14:textId="482E7FA8" w:rsidR="00D51BB6" w:rsidRPr="0014547F" w:rsidRDefault="00255327" w:rsidP="00255325">
      <w:pPr>
        <w:pStyle w:val="ListParagraph"/>
        <w:numPr>
          <w:ilvl w:val="0"/>
          <w:numId w:val="1"/>
        </w:numPr>
        <w:jc w:val="both"/>
        <w:rPr>
          <w:rFonts w:eastAsia="Times New Roman"/>
          <w:lang w:val="es-US"/>
        </w:rPr>
      </w:pPr>
      <w:r w:rsidRPr="0014547F">
        <w:rPr>
          <w:rFonts w:eastAsia="Times New Roman"/>
          <w:lang w:val="es-US"/>
        </w:rPr>
        <w:t>A este respecto, el Estado analizado toma nota de las disposiciones de la sección 10A de la Ley de Valores y Bolsa, que requiere que la junta directiva de una empresa o su auditor notifiquen a la Comisión de Valores y Bolsa sobre posibles actos ilegales bajo ciertas condiciones, así como las normas establecidas por el Consejo de Supervisión de la Contabilidad de las Empresas Públicas (PCAOB). El Comité observa que ya revisó y consideró en el Informe de la Tercera Ronda las disposiciones proporcionadas</w:t>
      </w:r>
      <w:r w:rsidR="00255325" w:rsidRPr="0014547F">
        <w:rPr>
          <w:rStyle w:val="FootnoteReference"/>
          <w:rFonts w:eastAsia="Times New Roman"/>
          <w:lang w:val="es-US"/>
        </w:rPr>
        <w:footnoteReference w:id="50"/>
      </w:r>
      <w:r w:rsidRPr="0014547F">
        <w:rPr>
          <w:rFonts w:eastAsia="Times New Roman"/>
          <w:lang w:val="es-US"/>
        </w:rPr>
        <w:t>.</w:t>
      </w:r>
    </w:p>
    <w:p w14:paraId="3ABFA90F" w14:textId="77777777" w:rsidR="00255325" w:rsidRPr="0014547F" w:rsidRDefault="00255325" w:rsidP="00255325">
      <w:pPr>
        <w:pStyle w:val="ListParagraph"/>
        <w:rPr>
          <w:rFonts w:eastAsia="Times New Roman"/>
          <w:lang w:val="es-US"/>
        </w:rPr>
      </w:pPr>
    </w:p>
    <w:p w14:paraId="5C22B67C" w14:textId="6D17A402" w:rsidR="00255325" w:rsidRPr="0014547F" w:rsidRDefault="00FD79DE" w:rsidP="00255325">
      <w:pPr>
        <w:pStyle w:val="ListParagraph"/>
        <w:numPr>
          <w:ilvl w:val="0"/>
          <w:numId w:val="1"/>
        </w:numPr>
        <w:jc w:val="both"/>
        <w:rPr>
          <w:rFonts w:eastAsia="Times New Roman"/>
          <w:lang w:val="es-US"/>
        </w:rPr>
      </w:pPr>
      <w:r w:rsidRPr="0014547F">
        <w:rPr>
          <w:rFonts w:eastAsia="Times New Roman"/>
          <w:lang w:val="es-US"/>
        </w:rPr>
        <w:t xml:space="preserve">El Comité advierte además que el Código de Conducta del Instituto Estadounidense de Contadores Públicos Certificados (AICPA) se actualizó en 2014, con posterioridad a la adopción del Informe de la Tercera Ronda. A este respecto, el Comité observa, sin embargo, que las disposiciones sobre confidencialidad de los clientes son idénticas a las que revisó el Comité en la Tercera Ronda en la versión anterior y no parece que se hayan llevado a cabo nuevos desarrollos para promover aún más que la confidencialidad profesional no sea un obstáculo para que los auditores </w:t>
      </w:r>
      <w:r w:rsidR="001D5004">
        <w:rPr>
          <w:rFonts w:eastAsia="Times New Roman"/>
          <w:lang w:val="es-US"/>
        </w:rPr>
        <w:t xml:space="preserve">del sector privado </w:t>
      </w:r>
      <w:r w:rsidRPr="0014547F">
        <w:rPr>
          <w:rFonts w:eastAsia="Times New Roman"/>
          <w:lang w:val="es-US"/>
        </w:rPr>
        <w:t>cuyas actividades estén regidas por el AICPA y su Código de Conducta notifiquen a las autoridades correspondientes cualquier acto de corrupción de que tengan conocimiento en el ejercicio de sus funciones</w:t>
      </w:r>
      <w:r w:rsidR="003F1923" w:rsidRPr="0014547F">
        <w:rPr>
          <w:rStyle w:val="FootnoteReference"/>
          <w:rFonts w:eastAsia="Times New Roman"/>
          <w:lang w:val="es-US"/>
        </w:rPr>
        <w:footnoteReference w:id="51"/>
      </w:r>
      <w:r w:rsidRPr="0014547F">
        <w:rPr>
          <w:rFonts w:eastAsia="Times New Roman"/>
          <w:lang w:val="es-US"/>
        </w:rPr>
        <w:t>.</w:t>
      </w:r>
    </w:p>
    <w:p w14:paraId="2C872E54" w14:textId="77777777" w:rsidR="003F1923" w:rsidRPr="00282A68" w:rsidRDefault="003F1923" w:rsidP="003F1923">
      <w:pPr>
        <w:pStyle w:val="ListParagraph"/>
        <w:rPr>
          <w:rFonts w:eastAsia="Times New Roman"/>
          <w:lang w:val="es-US"/>
        </w:rPr>
      </w:pPr>
    </w:p>
    <w:p w14:paraId="09B2E8F1" w14:textId="6278CB77" w:rsidR="00CD6661" w:rsidRPr="00282A68" w:rsidRDefault="00CD6661" w:rsidP="00BF598A">
      <w:pPr>
        <w:pStyle w:val="ListParagraph"/>
        <w:numPr>
          <w:ilvl w:val="0"/>
          <w:numId w:val="1"/>
        </w:numPr>
        <w:jc w:val="both"/>
        <w:rPr>
          <w:rFonts w:eastAsia="Times New Roman"/>
          <w:lang w:val="es-US"/>
        </w:rPr>
      </w:pPr>
      <w:r w:rsidRPr="00282A68">
        <w:rPr>
          <w:rFonts w:eastAsia="Times New Roman"/>
          <w:lang w:val="es-US"/>
        </w:rPr>
        <w:t>En vista de lo anterior, el Comité toma nota de la necesidad de que el Estado analizado preste atención a la implementación de la medida (a).</w:t>
      </w:r>
      <w:r w:rsidRPr="00CD6661">
        <w:rPr>
          <w:rFonts w:eastAsia="Times New Roman"/>
          <w:lang w:val="es-US"/>
        </w:rPr>
        <w:t xml:space="preserve"> </w:t>
      </w:r>
      <w:r w:rsidRPr="00CD6661">
        <w:rPr>
          <w:rFonts w:eastAsia="Times New Roman"/>
          <w:bCs/>
          <w:iCs/>
          <w:lang w:val="es-US"/>
        </w:rPr>
        <w:t>(</w:t>
      </w:r>
      <w:r w:rsidRPr="00282A68">
        <w:rPr>
          <w:rFonts w:eastAsia="Times New Roman"/>
          <w:lang w:val="es-US"/>
        </w:rPr>
        <w:t xml:space="preserve">Véase la Recomendación </w:t>
      </w:r>
      <w:r w:rsidR="00BF598A" w:rsidRPr="00282A68">
        <w:rPr>
          <w:rFonts w:eastAsia="Times New Roman"/>
          <w:lang w:val="es-US"/>
        </w:rPr>
        <w:t>2</w:t>
      </w:r>
      <w:r w:rsidRPr="00282A68">
        <w:rPr>
          <w:rFonts w:eastAsia="Times New Roman"/>
          <w:lang w:val="es-US"/>
        </w:rPr>
        <w:t xml:space="preserve">.4.1 en la sección </w:t>
      </w:r>
      <w:r w:rsidR="00BF598A" w:rsidRPr="00282A68">
        <w:rPr>
          <w:rFonts w:eastAsia="Times New Roman"/>
          <w:lang w:val="es-US"/>
        </w:rPr>
        <w:t>2</w:t>
      </w:r>
      <w:r w:rsidRPr="00282A68">
        <w:rPr>
          <w:rFonts w:eastAsia="Times New Roman"/>
          <w:lang w:val="es-US"/>
        </w:rPr>
        <w:t>.4 del Capítulo II del presente Informe)</w:t>
      </w:r>
    </w:p>
    <w:p w14:paraId="0CC311DF" w14:textId="77777777" w:rsidR="00ED565C" w:rsidRPr="00282A68" w:rsidRDefault="00ED565C" w:rsidP="00ED565C">
      <w:pPr>
        <w:pStyle w:val="ListParagraph"/>
        <w:rPr>
          <w:rFonts w:eastAsia="Times New Roman"/>
          <w:lang w:val="es-US"/>
        </w:rPr>
      </w:pPr>
    </w:p>
    <w:p w14:paraId="169FD535" w14:textId="4B4B4E80" w:rsidR="00ED565C" w:rsidRPr="00282A68" w:rsidRDefault="00C36A78" w:rsidP="00ED565C">
      <w:pPr>
        <w:jc w:val="both"/>
        <w:rPr>
          <w:lang w:val="es-US"/>
        </w:rPr>
      </w:pPr>
      <w:r w:rsidRPr="00282A68">
        <w:rPr>
          <w:rStyle w:val="normaltextrun"/>
          <w:sz w:val="22"/>
          <w:szCs w:val="22"/>
          <w:u w:val="single"/>
          <w:lang w:val="es-US"/>
        </w:rPr>
        <w:t>Medida (</w:t>
      </w:r>
      <w:r w:rsidR="00ED565C" w:rsidRPr="00282A68">
        <w:rPr>
          <w:rStyle w:val="normaltextrun"/>
          <w:sz w:val="22"/>
          <w:szCs w:val="22"/>
          <w:u w:val="single"/>
          <w:lang w:val="es-US"/>
        </w:rPr>
        <w:t>b):</w:t>
      </w:r>
      <w:r w:rsidR="00ED565C" w:rsidRPr="00282A68">
        <w:rPr>
          <w:rStyle w:val="normaltextrun"/>
          <w:sz w:val="22"/>
          <w:szCs w:val="22"/>
          <w:lang w:val="es-US"/>
        </w:rPr>
        <w:t> </w:t>
      </w:r>
    </w:p>
    <w:p w14:paraId="7B4F3B5E" w14:textId="77777777" w:rsidR="00ED565C" w:rsidRPr="00282A68" w:rsidRDefault="00ED565C" w:rsidP="00ED565C">
      <w:pPr>
        <w:jc w:val="both"/>
        <w:rPr>
          <w:lang w:val="es-US"/>
        </w:rPr>
      </w:pPr>
    </w:p>
    <w:p w14:paraId="4D1D92E9" w14:textId="241B8B7A" w:rsidR="00ED565C" w:rsidRPr="00282A68" w:rsidRDefault="00D2123B" w:rsidP="00ED565C">
      <w:pPr>
        <w:pStyle w:val="ListParagraph"/>
        <w:ind w:left="10"/>
        <w:jc w:val="both"/>
        <w:rPr>
          <w:lang w:val="es-US"/>
        </w:rPr>
      </w:pPr>
      <w:r w:rsidRPr="00282A68">
        <w:rPr>
          <w:i/>
          <w:iCs/>
          <w:lang w:val="es-US"/>
        </w:rPr>
        <w:t>Considerar continuar sus esfuerzos con respecto a la realización de campañas de concientización dirigidas a las personas responsable de asentar los registros contables y de dar cuenta de su exactitud, acerca de la importancia de observar las normas expedidas para garantizar la veracidad de dichos registros y las consecuencias de su violación. El país analizado también podría considerar continuar sus esfuerzos con respecto a la implementación de programas de capacitación diseñados específicamente para instruir a quienes desarrollan labores de control interno en las sociedades comerciales y otros tipos de asociaciones obligadas a mantener registros contables, sobre la manera de detectar a través de los mismos actos de corrupción</w:t>
      </w:r>
      <w:r w:rsidR="00ED565C" w:rsidRPr="00282A68">
        <w:rPr>
          <w:lang w:val="es-US"/>
        </w:rPr>
        <w:t>.</w:t>
      </w:r>
    </w:p>
    <w:p w14:paraId="63791AAF" w14:textId="77777777" w:rsidR="00ED565C" w:rsidRPr="00282A68" w:rsidRDefault="00ED565C" w:rsidP="00ED565C">
      <w:pPr>
        <w:pStyle w:val="ListParagraph"/>
        <w:ind w:left="10"/>
        <w:jc w:val="both"/>
        <w:rPr>
          <w:rFonts w:eastAsia="Times New Roman"/>
          <w:lang w:val="es-US"/>
        </w:rPr>
      </w:pPr>
    </w:p>
    <w:p w14:paraId="31EE7110" w14:textId="79C79066" w:rsidR="00ED565C" w:rsidRPr="00282A68" w:rsidRDefault="00896187" w:rsidP="00ED565C">
      <w:pPr>
        <w:pStyle w:val="ListParagraph"/>
        <w:numPr>
          <w:ilvl w:val="0"/>
          <w:numId w:val="1"/>
        </w:numPr>
        <w:jc w:val="both"/>
        <w:rPr>
          <w:rFonts w:eastAsia="Times New Roman"/>
          <w:lang w:val="es-US"/>
        </w:rPr>
      </w:pPr>
      <w:r w:rsidRPr="00282A68">
        <w:rPr>
          <w:rFonts w:eastAsiaTheme="minorHAnsi"/>
          <w:bCs/>
          <w:iCs/>
          <w:lang w:val="es-US"/>
        </w:rPr>
        <w:t>Con respecto a la anterior medida, el Estado analizado presenta en su Respuesta información y nuevos desarrollos, que el Comité destaca como un paso que contribuye al avance en la implementación de esta medida</w:t>
      </w:r>
      <w:r w:rsidR="00BF01E2" w:rsidRPr="00282A68">
        <w:rPr>
          <w:rStyle w:val="FootnoteReference"/>
          <w:lang w:val="es-US"/>
        </w:rPr>
        <w:footnoteReference w:id="52"/>
      </w:r>
      <w:r w:rsidR="00C44D08" w:rsidRPr="00282A68">
        <w:rPr>
          <w:rFonts w:eastAsiaTheme="minorHAnsi"/>
          <w:bCs/>
          <w:iCs/>
          <w:lang w:val="es-US"/>
        </w:rPr>
        <w:t>:</w:t>
      </w:r>
    </w:p>
    <w:p w14:paraId="291D9170" w14:textId="77777777" w:rsidR="0020512F" w:rsidRPr="00282A68" w:rsidRDefault="0020512F" w:rsidP="0020512F">
      <w:pPr>
        <w:pStyle w:val="ListParagraph"/>
        <w:ind w:left="10"/>
        <w:jc w:val="both"/>
        <w:rPr>
          <w:rFonts w:eastAsia="Times New Roman"/>
          <w:lang w:val="es-US"/>
        </w:rPr>
      </w:pPr>
    </w:p>
    <w:p w14:paraId="513383D1" w14:textId="76D5BB49" w:rsidR="0020512F" w:rsidRPr="0014547F" w:rsidRDefault="0020512F" w:rsidP="0020512F">
      <w:pPr>
        <w:pStyle w:val="ListParagraph"/>
        <w:numPr>
          <w:ilvl w:val="0"/>
          <w:numId w:val="1"/>
        </w:numPr>
        <w:jc w:val="both"/>
        <w:rPr>
          <w:rFonts w:eastAsia="Times New Roman"/>
          <w:lang w:val="es-US"/>
        </w:rPr>
      </w:pPr>
      <w:r w:rsidRPr="0014547F">
        <w:rPr>
          <w:rFonts w:eastAsia="Times New Roman"/>
          <w:lang w:val="es-US"/>
        </w:rPr>
        <w:t xml:space="preserve">– </w:t>
      </w:r>
      <w:r w:rsidR="00F11CA3" w:rsidRPr="0014547F">
        <w:rPr>
          <w:rFonts w:eastAsia="Times New Roman"/>
          <w:lang w:val="es-US"/>
        </w:rPr>
        <w:t>El Estado analizado señala que cuenta con una serie de materiales útiles para las personas que deseen obtener más información sobre las políticas y prácticas contra la corrupción de Estados Unidos. A este respecto, el Estado analizado cita la Guía de Recursos de la Ley de Prácticas Corruptas en el Extranjero de Estados Unidos (FCPA), elaborada por el Departamento de Justicia y la Comisión de Valores y Bolsa de ese país. Esta Guía, que se publicó originalmente en 2012 y se actualizó en julio de 2020, ofrece una compilación detallada de información y análisis sobre la Ley de Prácticas Corruptas en el Extranjero y su aplicación. Su fin es proporcionar información útil al público, incluidos los profesionales y las empresas de todas las formas y tamaños, desde las pequeñas empresas que realizan transacciones en el extranjero por primera vez hasta las empresas multinacionales con filiales en todo el mundo. El Estado analizado manifiesta además que</w:t>
      </w:r>
      <w:r w:rsidRPr="0014547F">
        <w:rPr>
          <w:rStyle w:val="FootnoteReference"/>
          <w:rFonts w:eastAsia="Times New Roman"/>
          <w:lang w:val="es-US"/>
        </w:rPr>
        <w:footnoteReference w:id="53"/>
      </w:r>
      <w:r w:rsidR="00F11CA3" w:rsidRPr="0014547F">
        <w:rPr>
          <w:rFonts w:eastAsia="Times New Roman"/>
          <w:lang w:val="es-US"/>
        </w:rPr>
        <w:t>:</w:t>
      </w:r>
      <w:r w:rsidRPr="0014547F">
        <w:rPr>
          <w:rFonts w:eastAsia="Times New Roman"/>
          <w:lang w:val="es-US"/>
        </w:rPr>
        <w:t xml:space="preserve"> </w:t>
      </w:r>
    </w:p>
    <w:p w14:paraId="35B3B6A1" w14:textId="77777777" w:rsidR="0020512F" w:rsidRPr="0014547F" w:rsidRDefault="0020512F" w:rsidP="0020512F">
      <w:pPr>
        <w:jc w:val="both"/>
        <w:rPr>
          <w:lang w:val="es-US"/>
        </w:rPr>
      </w:pPr>
    </w:p>
    <w:p w14:paraId="472E69CD" w14:textId="0291EB5F" w:rsidR="0020512F" w:rsidRPr="0014547F" w:rsidRDefault="00D63C4C" w:rsidP="0020512F">
      <w:pPr>
        <w:pStyle w:val="ListParagraph"/>
        <w:numPr>
          <w:ilvl w:val="0"/>
          <w:numId w:val="1"/>
        </w:numPr>
        <w:jc w:val="both"/>
        <w:rPr>
          <w:rFonts w:eastAsia="Times New Roman"/>
          <w:lang w:val="es-US"/>
        </w:rPr>
      </w:pPr>
      <w:r w:rsidRPr="0014547F">
        <w:rPr>
          <w:rFonts w:eastAsia="Times New Roman"/>
          <w:i/>
          <w:lang w:val="es-US"/>
        </w:rPr>
        <w:t>“La Guía aborda una amplia variedad de temas, incluyendo quién y qué está cubierto por las disposiciones de la FCPA relativas a la contabilidad y a la lucha contra el soborno, la definición de “funcionario extranjero”, el alcance jurisdiccional de la FCPA, los tipos de pagos correctos e incorrectos, la aplicación de la responsabilidad del sucesor en el contexto de fusiones y adquisiciones, las características de un programa de cumplimiento corporativo eficaz y los diferentes tipos de resoluciones civiles y penales disponibles en el contexto de la FCPA. La Guía también establece los factores que consideran el Departamento de Justicia y la SEC cuando deciden iniciar una investigación o presentar cargos, tales como la autorrevelación voluntaria, la plena cooperación y la remediación oportuna y apropiada, incluyendo la implementación de un programa eficaz de cumplimiento y ética. Sobre estos y otros temas, la Guía proporciona información detallada sobre los requisitos legales, así como una visión de las políticas y prácticas de aplicación del Departamento de Justicia y la SEC a través de casos hipotéticos, ejemplos de acciones de aplicación y declinaciones y resúmenes de la jurisprudencia aplicable. La Guía también está disponible en español</w:t>
      </w:r>
      <w:r w:rsidR="0020512F" w:rsidRPr="0014547F">
        <w:rPr>
          <w:rFonts w:eastAsia="Times New Roman"/>
          <w:lang w:val="es-US"/>
        </w:rPr>
        <w:t>.”</w:t>
      </w:r>
      <w:r w:rsidR="00CD5FDB" w:rsidRPr="0014547F">
        <w:rPr>
          <w:rStyle w:val="FootnoteReference"/>
          <w:rFonts w:eastAsia="Times New Roman"/>
          <w:lang w:val="es-US"/>
        </w:rPr>
        <w:footnoteReference w:id="54"/>
      </w:r>
    </w:p>
    <w:p w14:paraId="46245C08" w14:textId="77777777" w:rsidR="0020512F" w:rsidRPr="0014547F" w:rsidRDefault="0020512F" w:rsidP="0020512F">
      <w:pPr>
        <w:pStyle w:val="ListParagraph"/>
        <w:rPr>
          <w:rFonts w:eastAsia="Times New Roman"/>
          <w:lang w:val="es-US"/>
        </w:rPr>
      </w:pPr>
    </w:p>
    <w:p w14:paraId="769B7D57" w14:textId="07407E5E" w:rsidR="0020512F" w:rsidRPr="0014547F" w:rsidRDefault="00F24A46" w:rsidP="0020512F">
      <w:pPr>
        <w:pStyle w:val="ListParagraph"/>
        <w:numPr>
          <w:ilvl w:val="0"/>
          <w:numId w:val="1"/>
        </w:numPr>
        <w:jc w:val="both"/>
        <w:rPr>
          <w:rFonts w:eastAsia="Times New Roman"/>
          <w:lang w:val="es-US"/>
        </w:rPr>
      </w:pPr>
      <w:r w:rsidRPr="0014547F">
        <w:rPr>
          <w:rFonts w:eastAsia="Times New Roman"/>
          <w:lang w:val="es-US"/>
        </w:rPr>
        <w:t xml:space="preserve">El Comité observa que la Guía ofrece una visión general de las disposiciones contables aplicables a las empresas públicas </w:t>
      </w:r>
      <w:r w:rsidR="0073005F">
        <w:rPr>
          <w:rFonts w:eastAsia="Times New Roman"/>
          <w:lang w:val="es-US"/>
        </w:rPr>
        <w:t>cubiertas por</w:t>
      </w:r>
      <w:r w:rsidRPr="0014547F">
        <w:rPr>
          <w:rFonts w:eastAsia="Times New Roman"/>
          <w:lang w:val="es-US"/>
        </w:rPr>
        <w:t xml:space="preserve"> la FCPA. Estas disposiciones tienen por objeto reforzar la exactitud de los libros y registros de las empresas y la confiabilidad del proceso de auditoría</w:t>
      </w:r>
      <w:r w:rsidR="00A77C7B" w:rsidRPr="0014547F">
        <w:rPr>
          <w:rStyle w:val="FootnoteReference"/>
          <w:rFonts w:eastAsia="Times New Roman"/>
          <w:lang w:val="es-US"/>
        </w:rPr>
        <w:footnoteReference w:id="55"/>
      </w:r>
      <w:r w:rsidRPr="0014547F">
        <w:rPr>
          <w:rFonts w:eastAsia="Times New Roman"/>
          <w:lang w:val="es-US"/>
        </w:rPr>
        <w:t>.</w:t>
      </w:r>
      <w:r w:rsidRPr="0014547F">
        <w:rPr>
          <w:rFonts w:eastAsia="Times New Roman"/>
          <w:vertAlign w:val="superscript"/>
          <w:lang w:val="es-US"/>
        </w:rPr>
        <w:t xml:space="preserve"> </w:t>
      </w:r>
      <w:r w:rsidRPr="0014547F">
        <w:rPr>
          <w:rFonts w:eastAsia="Times New Roman"/>
          <w:lang w:val="es-US"/>
        </w:rPr>
        <w:t xml:space="preserve">La Guía profundiza en dos componentes primordiales de la FCPA. El primero son las disposiciones sobre libros y registros, en virtud de las cuales los emisores, es decir, las empresas que están obligadas a presentar informes a la Comisión de </w:t>
      </w:r>
      <w:r w:rsidRPr="0014547F">
        <w:rPr>
          <w:rFonts w:eastAsia="Times New Roman"/>
          <w:iCs/>
          <w:lang w:val="es-US"/>
        </w:rPr>
        <w:t>Valores y Bolsa</w:t>
      </w:r>
      <w:r w:rsidRPr="0014547F">
        <w:rPr>
          <w:rFonts w:eastAsia="Times New Roman"/>
          <w:lang w:val="es-US"/>
        </w:rPr>
        <w:t xml:space="preserve"> (SEC) o que tienen valores registrados en la SEC, deben preparar y llevar libros, registros y cuentas que reflejen, con precisión y equidad y con un grado de detalle razonable, las transacciones del emisor y las disposiciones de sus activos. En segundo lugar, por lo que respecta a los controles internos, los emisores deben elaborar y mantener un sistema de controles contables internos suficiente para garantizar el control, la autoridad y la responsabilidad de la dirección sobre sus activos</w:t>
      </w:r>
      <w:r w:rsidR="00AB1441" w:rsidRPr="0014547F">
        <w:rPr>
          <w:rStyle w:val="FootnoteReference"/>
          <w:rFonts w:eastAsia="Times New Roman"/>
          <w:lang w:val="es-US"/>
        </w:rPr>
        <w:footnoteReference w:id="56"/>
      </w:r>
      <w:r w:rsidR="00DD793F" w:rsidRPr="0014547F">
        <w:rPr>
          <w:rFonts w:eastAsia="Times New Roman"/>
          <w:lang w:val="es-US"/>
        </w:rPr>
        <w:t>.</w:t>
      </w:r>
      <w:r w:rsidR="00AB1441" w:rsidRPr="0014547F">
        <w:rPr>
          <w:rFonts w:eastAsia="Times New Roman"/>
          <w:lang w:val="es-US"/>
        </w:rPr>
        <w:t xml:space="preserve"> </w:t>
      </w:r>
      <w:r w:rsidR="00DD793F" w:rsidRPr="0014547F">
        <w:rPr>
          <w:rFonts w:eastAsia="Times New Roman"/>
          <w:lang w:val="es-US"/>
        </w:rPr>
        <w:t>La Guía señala también que</w:t>
      </w:r>
      <w:r w:rsidR="00AB1441" w:rsidRPr="0014547F">
        <w:rPr>
          <w:rStyle w:val="FootnoteReference"/>
          <w:rFonts w:eastAsia="Times New Roman"/>
          <w:lang w:val="es-US"/>
        </w:rPr>
        <w:footnoteReference w:id="57"/>
      </w:r>
      <w:r w:rsidR="00DD793F" w:rsidRPr="0014547F">
        <w:rPr>
          <w:rFonts w:eastAsia="Times New Roman"/>
          <w:lang w:val="es-US"/>
        </w:rPr>
        <w:t>:</w:t>
      </w:r>
    </w:p>
    <w:p w14:paraId="1452067B" w14:textId="77777777" w:rsidR="00AB1441" w:rsidRPr="00282A68" w:rsidRDefault="00AB1441" w:rsidP="00AB1441">
      <w:pPr>
        <w:pStyle w:val="ListParagraph"/>
        <w:rPr>
          <w:rFonts w:eastAsia="Times New Roman"/>
          <w:lang w:val="es-US"/>
        </w:rPr>
      </w:pPr>
    </w:p>
    <w:p w14:paraId="2B165F48" w14:textId="05EB2BD8" w:rsidR="00AB1441" w:rsidRPr="00282A68" w:rsidRDefault="00AB1441" w:rsidP="0020512F">
      <w:pPr>
        <w:pStyle w:val="ListParagraph"/>
        <w:numPr>
          <w:ilvl w:val="0"/>
          <w:numId w:val="1"/>
        </w:numPr>
        <w:jc w:val="both"/>
        <w:rPr>
          <w:rFonts w:eastAsia="Times New Roman"/>
          <w:i/>
          <w:iCs/>
          <w:lang w:val="es-US"/>
        </w:rPr>
      </w:pPr>
      <w:r w:rsidRPr="00282A68">
        <w:rPr>
          <w:rFonts w:eastAsia="Times New Roman"/>
          <w:i/>
          <w:iCs/>
          <w:lang w:val="es-US"/>
        </w:rPr>
        <w:t>“</w:t>
      </w:r>
      <w:r w:rsidR="005C1EB2" w:rsidRPr="00282A68">
        <w:rPr>
          <w:rFonts w:eastAsia="Times New Roman"/>
          <w:i/>
          <w:iCs/>
          <w:lang w:val="es-US"/>
        </w:rPr>
        <w:t>Aunque las disposiciones de contabilidad se promulgaron originalmente como parte del FCPA, no se aplican solo a violaciones relacionadas con el soborno. Más bien, las disposiciones de contabilidad requieren que todas las empresas que cotizan en bolsa contabilicen todos sus activos y pasivos con precisión y con un nivel de detalle razonable, y constituyen la columna vertebral de la mayoría de los casos de fraude contable y divulgación de la emisora presentados por el DOJ y la SEC</w:t>
      </w:r>
      <w:r w:rsidRPr="00282A68">
        <w:rPr>
          <w:rFonts w:eastAsia="Times New Roman"/>
          <w:i/>
          <w:iCs/>
          <w:lang w:val="es-US"/>
        </w:rPr>
        <w:t>.”</w:t>
      </w:r>
    </w:p>
    <w:p w14:paraId="5CD4D4A7" w14:textId="77777777" w:rsidR="00AB1441" w:rsidRDefault="00AB1441" w:rsidP="00AB1441">
      <w:pPr>
        <w:pStyle w:val="ListParagraph"/>
        <w:rPr>
          <w:rFonts w:eastAsia="Times New Roman"/>
          <w:i/>
          <w:iCs/>
          <w:lang w:val="es-US"/>
        </w:rPr>
      </w:pPr>
    </w:p>
    <w:p w14:paraId="32EDC364" w14:textId="7FDE852D" w:rsidR="003047A3" w:rsidRPr="0014547F" w:rsidRDefault="00820239" w:rsidP="003047A3">
      <w:pPr>
        <w:pStyle w:val="ListParagraph"/>
        <w:numPr>
          <w:ilvl w:val="0"/>
          <w:numId w:val="1"/>
        </w:numPr>
        <w:jc w:val="both"/>
        <w:rPr>
          <w:rFonts w:eastAsia="Times New Roman"/>
          <w:i/>
          <w:iCs/>
          <w:lang w:val="es-US"/>
        </w:rPr>
      </w:pPr>
      <w:r w:rsidRPr="0014547F">
        <w:rPr>
          <w:rFonts w:eastAsia="Times New Roman"/>
          <w:lang w:val="es-US"/>
        </w:rPr>
        <w:t>Durante la visita in situ, los representantes del Departamento de Justicia también mencionaron un memorando sobre la evaluación de los controles internos y el cumplimiento corporativo que se publicó en 2020 y que establece las expectativas y las cuestiones prácticas para unos programas de cumplimiento corporativo eficaces. A este respecto, el Comité toma nota de que el objetivo de este documento, Evaluación de los Programas de Cumplimiento Corporativo, que se actualizó en marzo de 2023, es ayudar a los fiscales a tomar decisiones informadas en cuanto a si el programa de cumplimiento de la corporación es eficaz al ocurrir un delito y en qué medida y si lo es al tomar una decisión o resolución de iniciar una acción penal, con el fin de determinar la forma apropiada de cualquier resolución o enjuiciamiento, la sanción monetaria, en su caso, y las obligaciones de cumplimiento contenidas en cualquier resolución penal corporativa (por ejemplo, las obligaciones de supervisión o presentación de informes…)</w:t>
      </w:r>
      <w:r w:rsidR="003047A3" w:rsidRPr="0014547F">
        <w:rPr>
          <w:rStyle w:val="FootnoteReference"/>
          <w:lang w:val="es-US"/>
        </w:rPr>
        <w:footnoteReference w:id="58"/>
      </w:r>
      <w:r w:rsidRPr="0014547F">
        <w:rPr>
          <w:rFonts w:eastAsia="Times New Roman"/>
          <w:lang w:val="es-US"/>
        </w:rPr>
        <w:t>.</w:t>
      </w:r>
    </w:p>
    <w:p w14:paraId="00AFA41B" w14:textId="77777777" w:rsidR="00B74ABD" w:rsidRDefault="00B74ABD" w:rsidP="00B74ABD">
      <w:pPr>
        <w:pStyle w:val="ListParagraph"/>
        <w:ind w:left="10"/>
        <w:jc w:val="both"/>
        <w:rPr>
          <w:rFonts w:eastAsia="Times New Roman"/>
          <w:lang w:val="es-US"/>
        </w:rPr>
      </w:pPr>
    </w:p>
    <w:p w14:paraId="04A3E120" w14:textId="2992D2D9" w:rsidR="00E54CB6" w:rsidRPr="0014547F" w:rsidRDefault="00DE678E" w:rsidP="00E54CB6">
      <w:pPr>
        <w:pStyle w:val="ListParagraph"/>
        <w:numPr>
          <w:ilvl w:val="0"/>
          <w:numId w:val="1"/>
        </w:numPr>
        <w:jc w:val="both"/>
        <w:rPr>
          <w:rFonts w:eastAsia="Times New Roman"/>
          <w:lang w:val="es-US"/>
        </w:rPr>
      </w:pPr>
      <w:r w:rsidRPr="0014547F">
        <w:rPr>
          <w:rFonts w:eastAsia="Times New Roman"/>
          <w:lang w:val="es-US"/>
        </w:rPr>
        <w:t>Adicionalmente, durante la visita in situ, los representantes del Departamento de Justicia y de la SEC</w:t>
      </w:r>
      <w:r w:rsidR="00372F36" w:rsidRPr="0014547F">
        <w:rPr>
          <w:rFonts w:eastAsia="Times New Roman"/>
          <w:lang w:val="es-US"/>
        </w:rPr>
        <w:t>,</w:t>
      </w:r>
      <w:r w:rsidRPr="0014547F">
        <w:rPr>
          <w:rFonts w:eastAsia="Times New Roman"/>
          <w:lang w:val="es-US"/>
        </w:rPr>
        <w:t xml:space="preserve"> señalaron que se llevan a cabo actividades de divulgación dirigidas al sector privado y a la sociedad civil, como lo son las empresas de contabilidad, en foros, conferencias y reuniones, así como a través de comunicados de prensa. A este respecto, el Comité toma nota de la participación del Departamento de Justicia y la SEC en una </w:t>
      </w:r>
      <w:r w:rsidRPr="00B74ABD">
        <w:rPr>
          <w:rFonts w:eastAsia="Times New Roman"/>
          <w:lang w:val="es-US"/>
        </w:rPr>
        <w:t>conferencia internacional anual sobre la FCPA con el sector privado en la que debaten los principales avances y otros temas y reciben preguntas de los participantes. Además, el Comité toma nota de la participación de</w:t>
      </w:r>
      <w:r w:rsidR="004B33DD" w:rsidRPr="00B74ABD">
        <w:rPr>
          <w:rFonts w:eastAsia="Times New Roman"/>
          <w:lang w:val="es-US"/>
        </w:rPr>
        <w:t xml:space="preserve"> Comisionados o personal de</w:t>
      </w:r>
      <w:r w:rsidRPr="00B74ABD">
        <w:rPr>
          <w:rFonts w:eastAsia="Times New Roman"/>
          <w:lang w:val="es-US"/>
        </w:rPr>
        <w:t xml:space="preserve"> la SEC en </w:t>
      </w:r>
      <w:r w:rsidR="00673D85" w:rsidRPr="00B74ABD">
        <w:rPr>
          <w:rFonts w:eastAsia="Times New Roman"/>
          <w:lang w:val="es-US"/>
        </w:rPr>
        <w:t>un</w:t>
      </w:r>
      <w:r w:rsidR="00B56A57" w:rsidRPr="00B74ABD">
        <w:rPr>
          <w:rFonts w:eastAsia="Times New Roman"/>
          <w:lang w:val="es-US"/>
        </w:rPr>
        <w:t>a</w:t>
      </w:r>
      <w:r w:rsidR="00673D85" w:rsidRPr="00B74ABD">
        <w:rPr>
          <w:rFonts w:eastAsia="Times New Roman"/>
          <w:lang w:val="es-US"/>
        </w:rPr>
        <w:t xml:space="preserve"> </w:t>
      </w:r>
      <w:r w:rsidRPr="00B74ABD">
        <w:rPr>
          <w:rFonts w:eastAsia="Times New Roman"/>
          <w:lang w:val="es-US"/>
        </w:rPr>
        <w:t xml:space="preserve">conferencia anual organizada por el AICPA sobre nuevos acontecimientos en la SEC en la que, entre otras cosas, </w:t>
      </w:r>
      <w:r w:rsidR="00B56A57" w:rsidRPr="00B74ABD">
        <w:rPr>
          <w:rFonts w:eastAsia="Times New Roman"/>
          <w:lang w:val="es-US"/>
        </w:rPr>
        <w:t xml:space="preserve">con frecuencia se incluyen debates de </w:t>
      </w:r>
      <w:r w:rsidRPr="00B74ABD">
        <w:rPr>
          <w:rFonts w:eastAsia="Times New Roman"/>
          <w:lang w:val="es-US"/>
        </w:rPr>
        <w:t>casos presentados por la SEC en los ámbitos de la contabilidad, la auditoría, los informes financieros y la revelación de información por parte de los emisores. El Comité también toma nota de que</w:t>
      </w:r>
      <w:r w:rsidR="00AB5A26" w:rsidRPr="00B74ABD">
        <w:rPr>
          <w:rFonts w:eastAsia="Times New Roman"/>
          <w:lang w:val="es-US"/>
        </w:rPr>
        <w:t xml:space="preserve"> </w:t>
      </w:r>
      <w:r w:rsidR="00AB5A26" w:rsidRPr="00B74ABD">
        <w:rPr>
          <w:rFonts w:eastAsia="Times New Roman"/>
          <w:lang w:val="es-ES_tradnl"/>
        </w:rPr>
        <w:t>tanto el Departamento de Justicia como</w:t>
      </w:r>
      <w:r w:rsidRPr="00B74ABD">
        <w:rPr>
          <w:rFonts w:eastAsia="Times New Roman"/>
          <w:lang w:val="es-US"/>
        </w:rPr>
        <w:t xml:space="preserve"> la División de Aplicación de la SEC </w:t>
      </w:r>
      <w:r w:rsidR="008E6771" w:rsidRPr="00B74ABD">
        <w:rPr>
          <w:rFonts w:eastAsia="Times New Roman"/>
          <w:lang w:val="es-US"/>
        </w:rPr>
        <w:t>han</w:t>
      </w:r>
      <w:r w:rsidRPr="00B74ABD">
        <w:rPr>
          <w:rFonts w:eastAsia="Times New Roman"/>
          <w:lang w:val="es-US"/>
        </w:rPr>
        <w:t xml:space="preserve"> creado </w:t>
      </w:r>
      <w:r w:rsidR="00D91D76" w:rsidRPr="00B74ABD">
        <w:rPr>
          <w:rFonts w:eastAsia="Times New Roman"/>
          <w:lang w:val="es-US"/>
        </w:rPr>
        <w:t xml:space="preserve">Unidades </w:t>
      </w:r>
      <w:r w:rsidRPr="00B74ABD">
        <w:rPr>
          <w:rFonts w:eastAsia="Times New Roman"/>
          <w:lang w:val="es-US"/>
        </w:rPr>
        <w:t>Especializada</w:t>
      </w:r>
      <w:r w:rsidR="00D91D76" w:rsidRPr="00B74ABD">
        <w:rPr>
          <w:rFonts w:eastAsia="Times New Roman"/>
          <w:lang w:val="es-US"/>
        </w:rPr>
        <w:t>s</w:t>
      </w:r>
      <w:r w:rsidRPr="00B74ABD">
        <w:rPr>
          <w:rFonts w:eastAsia="Times New Roman"/>
          <w:lang w:val="es-US"/>
        </w:rPr>
        <w:t xml:space="preserve"> en la FCPA para que se enfoque</w:t>
      </w:r>
      <w:r w:rsidR="00D91D76" w:rsidRPr="00B74ABD">
        <w:rPr>
          <w:rFonts w:eastAsia="Times New Roman"/>
          <w:lang w:val="es-US"/>
        </w:rPr>
        <w:t>n</w:t>
      </w:r>
      <w:r w:rsidRPr="00B74ABD">
        <w:rPr>
          <w:rFonts w:eastAsia="Times New Roman"/>
          <w:lang w:val="es-US"/>
        </w:rPr>
        <w:t xml:space="preserve"> a la aplicación de la FCPA. Además de investigar posibles violaciones de la FCPA, como las disposiciones sobre libros y registros de esta ley,</w:t>
      </w:r>
      <w:r w:rsidR="00224E29" w:rsidRPr="00B74ABD">
        <w:rPr>
          <w:rFonts w:eastAsia="Times New Roman"/>
          <w:lang w:val="es-US"/>
        </w:rPr>
        <w:t xml:space="preserve"> estas unidades llevan</w:t>
      </w:r>
      <w:r w:rsidRPr="00B74ABD">
        <w:rPr>
          <w:rFonts w:eastAsia="Times New Roman"/>
          <w:lang w:val="es-US"/>
        </w:rPr>
        <w:t xml:space="preserve"> a cabo actividades de difusión pública para concientizar sobre los esfuerzos contra la corrupción y los programas de buen gobierno corporativo</w:t>
      </w:r>
      <w:r w:rsidR="007C628E" w:rsidRPr="0014547F">
        <w:rPr>
          <w:rStyle w:val="FootnoteReference"/>
          <w:rFonts w:eastAsia="Times New Roman"/>
          <w:lang w:val="es-US"/>
        </w:rPr>
        <w:footnoteReference w:id="59"/>
      </w:r>
      <w:r w:rsidRPr="0014547F">
        <w:rPr>
          <w:rFonts w:eastAsia="Times New Roman"/>
          <w:lang w:val="es-US"/>
        </w:rPr>
        <w:t>.</w:t>
      </w:r>
    </w:p>
    <w:p w14:paraId="2E479C1D" w14:textId="77777777" w:rsidR="007C628E" w:rsidRPr="0014547F" w:rsidRDefault="007C628E" w:rsidP="007C628E">
      <w:pPr>
        <w:pStyle w:val="ListParagraph"/>
        <w:rPr>
          <w:rFonts w:eastAsia="Times New Roman"/>
          <w:lang w:val="es-US"/>
        </w:rPr>
      </w:pPr>
    </w:p>
    <w:p w14:paraId="3BC4AEEE" w14:textId="77777777" w:rsidR="00A30350" w:rsidRDefault="00A30350" w:rsidP="00A30350">
      <w:pPr>
        <w:pStyle w:val="ListParagraph"/>
        <w:numPr>
          <w:ilvl w:val="0"/>
          <w:numId w:val="1"/>
        </w:numPr>
        <w:jc w:val="both"/>
        <w:rPr>
          <w:rFonts w:eastAsia="Times New Roman"/>
          <w:lang w:val="es-US"/>
        </w:rPr>
      </w:pPr>
      <w:r w:rsidRPr="0014547F">
        <w:rPr>
          <w:rFonts w:eastAsia="Times New Roman"/>
          <w:lang w:val="es-US"/>
        </w:rPr>
        <w:t xml:space="preserve">Durante la visita in situ, el Estado analizado señaló además que, con respecto a la capacitación, el Departamento de Estado capacita a los miembros del servicio exterior sobre las disposiciones de la FCPA, incluidas las relativas a libros y registros, para que también puedan brindar orientación a las empresas estadounidenses en el extranjero. </w:t>
      </w:r>
    </w:p>
    <w:p w14:paraId="023B7376" w14:textId="77777777" w:rsidR="00C57067" w:rsidRPr="00C57067" w:rsidRDefault="00C57067" w:rsidP="00C57067">
      <w:pPr>
        <w:jc w:val="both"/>
        <w:rPr>
          <w:lang w:val="es-US"/>
        </w:rPr>
      </w:pPr>
    </w:p>
    <w:p w14:paraId="5723B670" w14:textId="30B3168B" w:rsidR="0084771A" w:rsidRPr="0014547F" w:rsidRDefault="00243D97" w:rsidP="00A30350">
      <w:pPr>
        <w:pStyle w:val="ListParagraph"/>
        <w:numPr>
          <w:ilvl w:val="0"/>
          <w:numId w:val="1"/>
        </w:numPr>
        <w:jc w:val="both"/>
        <w:rPr>
          <w:rFonts w:eastAsia="Times New Roman"/>
          <w:lang w:val="es-US"/>
        </w:rPr>
      </w:pPr>
      <w:r>
        <w:rPr>
          <w:rFonts w:eastAsia="Times New Roman"/>
          <w:b/>
          <w:bCs/>
          <w:u w:val="single"/>
          <w:lang w:val="es-US"/>
        </w:rPr>
        <w:t>A</w:t>
      </w:r>
      <w:r w:rsidRPr="006E6E7C">
        <w:rPr>
          <w:rFonts w:eastAsia="Times New Roman"/>
          <w:b/>
          <w:bCs/>
          <w:u w:val="single"/>
          <w:lang w:val="es-US"/>
        </w:rPr>
        <w:t>simismo</w:t>
      </w:r>
      <w:r>
        <w:rPr>
          <w:rFonts w:eastAsia="Times New Roman"/>
          <w:b/>
          <w:bCs/>
          <w:u w:val="single"/>
          <w:lang w:val="es-US"/>
        </w:rPr>
        <w:t>,</w:t>
      </w:r>
      <w:r w:rsidRPr="006E6E7C" w:rsidDel="00243D97">
        <w:rPr>
          <w:rFonts w:eastAsia="Times New Roman"/>
          <w:b/>
          <w:bCs/>
          <w:u w:val="single"/>
          <w:lang w:val="es-US"/>
        </w:rPr>
        <w:t xml:space="preserve"> </w:t>
      </w:r>
      <w:r>
        <w:rPr>
          <w:rFonts w:eastAsia="Times New Roman"/>
          <w:b/>
          <w:bCs/>
          <w:u w:val="single"/>
          <w:lang w:val="es-US"/>
        </w:rPr>
        <w:t>e</w:t>
      </w:r>
      <w:r w:rsidR="00A30350" w:rsidRPr="006E6E7C">
        <w:rPr>
          <w:rFonts w:eastAsia="Times New Roman"/>
          <w:b/>
          <w:bCs/>
          <w:u w:val="single"/>
          <w:lang w:val="es-US"/>
        </w:rPr>
        <w:t xml:space="preserve">l Estado analizado observó durante la visita in situ, que </w:t>
      </w:r>
      <w:r>
        <w:rPr>
          <w:rFonts w:eastAsia="Times New Roman"/>
          <w:b/>
          <w:bCs/>
          <w:u w:val="single"/>
          <w:lang w:val="es-US"/>
        </w:rPr>
        <w:t xml:space="preserve">son </w:t>
      </w:r>
      <w:r w:rsidRPr="006E6E7C">
        <w:rPr>
          <w:rFonts w:eastAsia="Times New Roman"/>
          <w:b/>
          <w:bCs/>
          <w:u w:val="single"/>
          <w:lang w:val="es-US"/>
        </w:rPr>
        <w:t xml:space="preserve">las empresas de contabilidad y las asociaciones profesionales </w:t>
      </w:r>
      <w:r>
        <w:rPr>
          <w:rFonts w:eastAsia="Times New Roman"/>
          <w:b/>
          <w:bCs/>
          <w:u w:val="single"/>
          <w:lang w:val="es-US"/>
        </w:rPr>
        <w:t xml:space="preserve">las que se encargan </w:t>
      </w:r>
      <w:r w:rsidR="00D15AE6" w:rsidRPr="006E6E7C">
        <w:rPr>
          <w:rFonts w:eastAsia="Times New Roman"/>
          <w:b/>
          <w:bCs/>
          <w:u w:val="single"/>
          <w:lang w:val="es-US"/>
        </w:rPr>
        <w:t>de la</w:t>
      </w:r>
      <w:r w:rsidR="00A30350" w:rsidRPr="006E6E7C">
        <w:rPr>
          <w:rFonts w:eastAsia="Times New Roman"/>
          <w:b/>
          <w:bCs/>
          <w:u w:val="single"/>
          <w:lang w:val="es-US"/>
        </w:rPr>
        <w:t xml:space="preserve"> capacitación dirigida a las personas responsables de asentar los registros contables y de dar cuenta de su exactitud</w:t>
      </w:r>
      <w:r w:rsidR="000E1E03" w:rsidRPr="006E6E7C">
        <w:rPr>
          <w:rFonts w:eastAsia="Times New Roman"/>
          <w:b/>
          <w:bCs/>
          <w:u w:val="single"/>
          <w:lang w:val="es-US"/>
        </w:rPr>
        <w:t xml:space="preserve"> </w:t>
      </w:r>
      <w:r w:rsidR="00A30350" w:rsidRPr="0014547F">
        <w:rPr>
          <w:rFonts w:eastAsia="Times New Roman"/>
          <w:lang w:val="es-US"/>
        </w:rPr>
        <w:t>. A este respecto, el AICPA imparte capacitación sobre Servicios Forenses cuyo objetivo es profundizar las competencias en materia de contabilidad forense y apoyo en litigios, así como de detección y prevención de fraudes</w:t>
      </w:r>
      <w:r w:rsidR="00B73C97" w:rsidRPr="0014547F">
        <w:rPr>
          <w:rStyle w:val="FootnoteReference"/>
          <w:rFonts w:eastAsia="Times New Roman"/>
          <w:lang w:val="es-US"/>
        </w:rPr>
        <w:footnoteReference w:id="60"/>
      </w:r>
      <w:r w:rsidR="008E727D" w:rsidRPr="0014547F">
        <w:rPr>
          <w:rFonts w:eastAsia="Times New Roman"/>
          <w:lang w:val="es-US"/>
        </w:rPr>
        <w:t>.</w:t>
      </w:r>
      <w:r w:rsidR="00B73C97" w:rsidRPr="0014547F">
        <w:rPr>
          <w:rFonts w:eastAsia="Times New Roman"/>
          <w:lang w:val="es-US"/>
        </w:rPr>
        <w:t xml:space="preserve"> </w:t>
      </w:r>
      <w:r w:rsidR="008E727D" w:rsidRPr="0014547F">
        <w:rPr>
          <w:rFonts w:eastAsia="Times New Roman"/>
          <w:lang w:val="es-US"/>
        </w:rPr>
        <w:t>Por ejemplo, el curso Fraude en los Estados Financieros, Corrupción y Apropiación Indebida de Activos identifica los pasos de una investigación de fraude en los estados financieros, así como los controles internos necesarios para impedir y prevenir el fraude, y el curso Fraude en los Estados Financieros y Apropiación Indebida de Activos describe algunos de los problemas que permiten que se produzcan fraudes en los estados financieros, incluida la falta de controles internos adecuados sobre los procesos contables</w:t>
      </w:r>
      <w:r w:rsidR="0084771A" w:rsidRPr="0014547F">
        <w:rPr>
          <w:rStyle w:val="FootnoteReference"/>
          <w:rFonts w:eastAsia="Times New Roman"/>
          <w:lang w:val="es-US"/>
        </w:rPr>
        <w:footnoteReference w:id="61"/>
      </w:r>
      <w:r w:rsidR="008E727D" w:rsidRPr="0014547F">
        <w:rPr>
          <w:rFonts w:eastAsia="Times New Roman"/>
          <w:lang w:val="es-US"/>
        </w:rPr>
        <w:t>.</w:t>
      </w:r>
    </w:p>
    <w:p w14:paraId="160607D4" w14:textId="101AD49C" w:rsidR="0084771A" w:rsidRPr="0014547F" w:rsidRDefault="0084771A" w:rsidP="0084771A">
      <w:pPr>
        <w:pStyle w:val="ListParagraph"/>
        <w:ind w:left="10"/>
        <w:jc w:val="both"/>
        <w:rPr>
          <w:rFonts w:eastAsia="Times New Roman"/>
          <w:lang w:val="es-US"/>
        </w:rPr>
      </w:pPr>
    </w:p>
    <w:p w14:paraId="15BAEBAD" w14:textId="1955AE75" w:rsidR="00E84072" w:rsidRPr="0014547F" w:rsidRDefault="00FB2917" w:rsidP="00E54CB6">
      <w:pPr>
        <w:pStyle w:val="ListParagraph"/>
        <w:numPr>
          <w:ilvl w:val="0"/>
          <w:numId w:val="1"/>
        </w:numPr>
        <w:jc w:val="both"/>
        <w:rPr>
          <w:rFonts w:eastAsia="Times New Roman"/>
          <w:lang w:val="es-US"/>
        </w:rPr>
      </w:pPr>
      <w:r w:rsidRPr="0014547F">
        <w:rPr>
          <w:rFonts w:eastAsia="Times New Roman"/>
          <w:lang w:val="es-US"/>
        </w:rPr>
        <w:t>El Comité toma nota de los esfuerzos del Estado analizado para continuar con sus campañas de concientización y sus actividades de capacitación dirigida a las personas encargadas de asentar los registros contables y de dar cuenta de su exactitud acerca de la importancia de observar las normas vigentes para garantizar la veracidad de dichos registros y las consecuencias de su violación</w:t>
      </w:r>
      <w:r w:rsidR="00B73C97" w:rsidRPr="0014547F">
        <w:rPr>
          <w:rFonts w:eastAsia="Times New Roman"/>
          <w:lang w:val="es-US"/>
        </w:rPr>
        <w:t xml:space="preserve">. </w:t>
      </w:r>
    </w:p>
    <w:p w14:paraId="1B73849F" w14:textId="77777777" w:rsidR="00BF42DA" w:rsidRPr="00282A68" w:rsidRDefault="00BF42DA" w:rsidP="00BF42DA">
      <w:pPr>
        <w:pStyle w:val="ListParagraph"/>
        <w:rPr>
          <w:rFonts w:eastAsia="Times New Roman"/>
          <w:lang w:val="es-US"/>
        </w:rPr>
      </w:pPr>
    </w:p>
    <w:p w14:paraId="1E6B74FB" w14:textId="2E43E06D" w:rsidR="00BF42DA" w:rsidRPr="00282A68" w:rsidRDefault="00FB2917" w:rsidP="00E54CB6">
      <w:pPr>
        <w:pStyle w:val="ListParagraph"/>
        <w:numPr>
          <w:ilvl w:val="0"/>
          <w:numId w:val="1"/>
        </w:numPr>
        <w:jc w:val="both"/>
        <w:rPr>
          <w:rFonts w:eastAsia="Times New Roman"/>
          <w:lang w:val="es-US"/>
        </w:rPr>
      </w:pPr>
      <w:bookmarkStart w:id="13" w:name="_Hlk156378878"/>
      <w:r w:rsidRPr="00282A68">
        <w:rPr>
          <w:rFonts w:eastAsiaTheme="minorHAnsi"/>
          <w:bCs/>
          <w:iCs/>
          <w:lang w:val="es-US"/>
        </w:rPr>
        <w:t>En vista de lo anterior, el Comité toma nota de la consideración satisfactoria por el Estado analizado de la medida (b) de la anterior recomendación</w:t>
      </w:r>
      <w:bookmarkEnd w:id="13"/>
      <w:r w:rsidR="00BF42DA" w:rsidRPr="00282A68">
        <w:rPr>
          <w:rFonts w:eastAsiaTheme="minorHAnsi"/>
          <w:bCs/>
          <w:iCs/>
          <w:lang w:val="es-US"/>
        </w:rPr>
        <w:t>.</w:t>
      </w:r>
    </w:p>
    <w:p w14:paraId="3655AD1B" w14:textId="77777777" w:rsidR="00E71B10" w:rsidRPr="00282A68" w:rsidRDefault="00E71B10" w:rsidP="00B73C97">
      <w:pPr>
        <w:ind w:left="10"/>
        <w:jc w:val="both"/>
        <w:rPr>
          <w:lang w:val="es-US"/>
        </w:rPr>
      </w:pPr>
    </w:p>
    <w:p w14:paraId="7605A565" w14:textId="19F3CDAE" w:rsidR="00BF42DA" w:rsidRPr="00282A68" w:rsidRDefault="0095090E" w:rsidP="00BF42DA">
      <w:pPr>
        <w:jc w:val="both"/>
        <w:rPr>
          <w:lang w:val="es-US"/>
        </w:rPr>
      </w:pPr>
      <w:r w:rsidRPr="00282A68">
        <w:rPr>
          <w:rStyle w:val="normaltextrun"/>
          <w:sz w:val="22"/>
          <w:szCs w:val="22"/>
          <w:u w:val="single"/>
          <w:lang w:val="es-US"/>
        </w:rPr>
        <w:t>Medida (c)</w:t>
      </w:r>
      <w:r w:rsidR="00BF42DA" w:rsidRPr="00282A68">
        <w:rPr>
          <w:rStyle w:val="normaltextrun"/>
          <w:sz w:val="22"/>
          <w:szCs w:val="22"/>
          <w:u w:val="single"/>
          <w:lang w:val="es-US"/>
        </w:rPr>
        <w:t>:</w:t>
      </w:r>
      <w:r w:rsidR="00BF42DA" w:rsidRPr="00282A68">
        <w:rPr>
          <w:rStyle w:val="normaltextrun"/>
          <w:sz w:val="22"/>
          <w:szCs w:val="22"/>
          <w:lang w:val="es-US"/>
        </w:rPr>
        <w:t> </w:t>
      </w:r>
    </w:p>
    <w:p w14:paraId="51A714A4" w14:textId="77777777" w:rsidR="00BF42DA" w:rsidRPr="00282A68" w:rsidRDefault="00BF42DA" w:rsidP="00BF42DA">
      <w:pPr>
        <w:jc w:val="both"/>
        <w:rPr>
          <w:lang w:val="es-US"/>
        </w:rPr>
      </w:pPr>
    </w:p>
    <w:p w14:paraId="106CBB2F" w14:textId="13DA45A3" w:rsidR="00E71B10" w:rsidRPr="00282A68" w:rsidRDefault="0095090E" w:rsidP="00BF42DA">
      <w:pPr>
        <w:pStyle w:val="ListParagraph"/>
        <w:ind w:left="10"/>
        <w:jc w:val="both"/>
        <w:rPr>
          <w:i/>
          <w:iCs/>
          <w:lang w:val="es-US"/>
        </w:rPr>
      </w:pPr>
      <w:r w:rsidRPr="00282A68">
        <w:rPr>
          <w:i/>
          <w:iCs/>
          <w:lang w:val="es-US"/>
        </w:rPr>
        <w:t xml:space="preserve">Considerar continuar sus esfuerzos con respecto a la realización de campañas de concientización y de promoción de la integridad destinadas al sector privado. En este sentido, el país analizado podría considerar continuar la adopción de medidas tales como elaboración de manuales y guías que orienten a las empresas sobre las buenas prácticas que deban implementarse para prevenir la </w:t>
      </w:r>
      <w:r w:rsidR="001E01F8" w:rsidRPr="00282A68">
        <w:rPr>
          <w:i/>
          <w:iCs/>
          <w:lang w:val="es-US"/>
        </w:rPr>
        <w:t>corrupción.</w:t>
      </w:r>
    </w:p>
    <w:p w14:paraId="18ADEDE9" w14:textId="77777777" w:rsidR="00DC3F8E" w:rsidRPr="00282A68" w:rsidRDefault="00DC3F8E" w:rsidP="00BF42DA">
      <w:pPr>
        <w:pStyle w:val="ListParagraph"/>
        <w:ind w:left="10"/>
        <w:jc w:val="both"/>
        <w:rPr>
          <w:i/>
          <w:iCs/>
          <w:lang w:val="es-US"/>
        </w:rPr>
      </w:pPr>
    </w:p>
    <w:p w14:paraId="2C1FC67B" w14:textId="0270619B" w:rsidR="00DC3F8E" w:rsidRPr="00282A68" w:rsidRDefault="005C6FBD" w:rsidP="00DC3F8E">
      <w:pPr>
        <w:pStyle w:val="ListParagraph"/>
        <w:numPr>
          <w:ilvl w:val="0"/>
          <w:numId w:val="1"/>
        </w:numPr>
        <w:jc w:val="both"/>
        <w:rPr>
          <w:lang w:val="es-US"/>
        </w:rPr>
      </w:pPr>
      <w:r w:rsidRPr="00282A68">
        <w:rPr>
          <w:rFonts w:eastAsiaTheme="minorHAnsi"/>
          <w:bCs/>
          <w:iCs/>
          <w:lang w:val="es-US"/>
        </w:rPr>
        <w:t>Con respecto a la medida anterior, en su Respuesta, el Estado analizado presenta información y nuevos desarrollos. En este sentido, el Comité observa los siguientes como pasos que lo llevan a concluir que la medida se ha considerado satisfactoriamente</w:t>
      </w:r>
      <w:r w:rsidR="00DC3F8E" w:rsidRPr="00282A68">
        <w:rPr>
          <w:rStyle w:val="FootnoteReference"/>
          <w:lang w:val="es-US"/>
        </w:rPr>
        <w:footnoteReference w:id="62"/>
      </w:r>
      <w:r w:rsidRPr="00282A68">
        <w:rPr>
          <w:rFonts w:eastAsiaTheme="minorHAnsi"/>
          <w:bCs/>
          <w:iCs/>
          <w:lang w:val="es-US"/>
        </w:rPr>
        <w:t>:</w:t>
      </w:r>
    </w:p>
    <w:p w14:paraId="2F06588E" w14:textId="77777777" w:rsidR="00DC3F8E" w:rsidRPr="00282A68" w:rsidRDefault="00DC3F8E" w:rsidP="00DC3F8E">
      <w:pPr>
        <w:pStyle w:val="ListParagraph"/>
        <w:ind w:left="10"/>
        <w:jc w:val="both"/>
        <w:rPr>
          <w:lang w:val="es-US"/>
        </w:rPr>
      </w:pPr>
    </w:p>
    <w:p w14:paraId="289237AC" w14:textId="569787A9" w:rsidR="00DC3F8E" w:rsidRPr="00957A16" w:rsidRDefault="00527723" w:rsidP="00DC3F8E">
      <w:pPr>
        <w:pStyle w:val="ListParagraph"/>
        <w:numPr>
          <w:ilvl w:val="0"/>
          <w:numId w:val="1"/>
        </w:numPr>
        <w:jc w:val="both"/>
        <w:rPr>
          <w:lang w:val="es-US"/>
        </w:rPr>
      </w:pPr>
      <w:r w:rsidRPr="00957A16">
        <w:rPr>
          <w:lang w:val="es-US"/>
        </w:rPr>
        <w:t>El Estado analizado señaló que las autoridades estadounidenses han adoptado medidas para concientizar y promover la integridad destinadas al sector privado. A este respecto, citó los recursos relacionados con el soborno en el extranjero en el sitio web del Departamento de Justicia, que incluye</w:t>
      </w:r>
      <w:r w:rsidR="00E56089" w:rsidRPr="00957A16">
        <w:rPr>
          <w:lang w:val="es-US"/>
        </w:rPr>
        <w:t>n</w:t>
      </w:r>
      <w:r w:rsidRPr="00957A16">
        <w:rPr>
          <w:lang w:val="es-US"/>
        </w:rPr>
        <w:t xml:space="preserve"> documentos de acusación, acuerdos de declaración de culpabilidad, acuerdos de enjuiciamiento diferido, acuerdos de no enjuiciamiento, comunicados de prensa y otros procesos y decisiones judiciales pertinentes. El Estado analizado también indicó que el sitio web proporciona copias de las opiniones emitidas en respuesta a las solicitudes de empresas y particulares en el marco del procedimiento de opinión sobre la FCPA del Departamento de Justicia</w:t>
      </w:r>
      <w:r w:rsidR="007C628E" w:rsidRPr="00957A16">
        <w:rPr>
          <w:rStyle w:val="FootnoteReference"/>
          <w:lang w:val="es-US"/>
        </w:rPr>
        <w:footnoteReference w:id="63"/>
      </w:r>
      <w:r w:rsidRPr="00957A16">
        <w:rPr>
          <w:lang w:val="es-US"/>
        </w:rPr>
        <w:t>.</w:t>
      </w:r>
    </w:p>
    <w:p w14:paraId="47130464" w14:textId="77777777" w:rsidR="00496F54" w:rsidRPr="00957A16" w:rsidRDefault="00496F54" w:rsidP="00496F54">
      <w:pPr>
        <w:ind w:left="10"/>
        <w:jc w:val="both"/>
        <w:rPr>
          <w:lang w:val="es-US"/>
        </w:rPr>
      </w:pPr>
    </w:p>
    <w:p w14:paraId="3D3154E2" w14:textId="1EAD633C" w:rsidR="00DC3F8E" w:rsidRPr="00957A16" w:rsidRDefault="0010245C" w:rsidP="00496F54">
      <w:pPr>
        <w:pStyle w:val="ListParagraph"/>
        <w:numPr>
          <w:ilvl w:val="0"/>
          <w:numId w:val="1"/>
        </w:numPr>
        <w:jc w:val="both"/>
        <w:rPr>
          <w:lang w:val="es-US"/>
        </w:rPr>
      </w:pPr>
      <w:r w:rsidRPr="00957A16">
        <w:rPr>
          <w:lang w:val="es-US"/>
        </w:rPr>
        <w:t xml:space="preserve">Además, el Estado analizado informó que el sitio web de la </w:t>
      </w:r>
      <w:r w:rsidRPr="00957A16">
        <w:rPr>
          <w:iCs/>
          <w:lang w:val="es-US"/>
        </w:rPr>
        <w:t>Comisión de Valores y Bolsa</w:t>
      </w:r>
      <w:r w:rsidRPr="00957A16">
        <w:rPr>
          <w:lang w:val="es-US"/>
        </w:rPr>
        <w:t xml:space="preserve"> (SEC) también ofrece una serie de recursos útiles para el público. En este sentido, la Unidad de la FCPA de la SEC mantiene una sección “</w:t>
      </w:r>
      <w:proofErr w:type="spellStart"/>
      <w:r w:rsidRPr="00957A16">
        <w:rPr>
          <w:lang w:val="es-US"/>
        </w:rPr>
        <w:t>Spotlight</w:t>
      </w:r>
      <w:proofErr w:type="spellEnd"/>
      <w:r w:rsidRPr="00957A16">
        <w:rPr>
          <w:lang w:val="es-US"/>
        </w:rPr>
        <w:t xml:space="preserve"> </w:t>
      </w:r>
      <w:proofErr w:type="spellStart"/>
      <w:r w:rsidRPr="00957A16">
        <w:rPr>
          <w:lang w:val="es-US"/>
        </w:rPr>
        <w:t>on</w:t>
      </w:r>
      <w:proofErr w:type="spellEnd"/>
      <w:r w:rsidRPr="00957A16">
        <w:rPr>
          <w:lang w:val="es-US"/>
        </w:rPr>
        <w:t xml:space="preserve"> FCPA” en el sitio web de la SEC que se actualiza periódicamente, proporciona información general sobre esta ley y enlaces a todas las acciones de aplicación de la SEC relacionadas con la FCPA, incluidas las acciones ante los tribunales federales y los procedimientos administrativos, y contiene otra información útil</w:t>
      </w:r>
      <w:r w:rsidR="007C628E" w:rsidRPr="00957A16">
        <w:rPr>
          <w:rStyle w:val="FootnoteReference"/>
          <w:lang w:val="es-US"/>
        </w:rPr>
        <w:footnoteReference w:id="64"/>
      </w:r>
      <w:r w:rsidRPr="00957A16">
        <w:rPr>
          <w:lang w:val="es-US"/>
        </w:rPr>
        <w:t>.</w:t>
      </w:r>
    </w:p>
    <w:p w14:paraId="2C817F2B" w14:textId="77777777" w:rsidR="006D2F34" w:rsidRPr="00957A16" w:rsidRDefault="006D2F34" w:rsidP="006D2F34">
      <w:pPr>
        <w:pStyle w:val="ListParagraph"/>
        <w:rPr>
          <w:lang w:val="es-US"/>
        </w:rPr>
      </w:pPr>
    </w:p>
    <w:p w14:paraId="08F5BF26" w14:textId="77777777" w:rsidR="00562C2D" w:rsidRPr="00957A16" w:rsidRDefault="00562C2D" w:rsidP="00562C2D">
      <w:pPr>
        <w:pStyle w:val="ListParagraph"/>
        <w:numPr>
          <w:ilvl w:val="0"/>
          <w:numId w:val="1"/>
        </w:numPr>
        <w:jc w:val="both"/>
        <w:rPr>
          <w:rFonts w:eastAsia="Times New Roman"/>
          <w:lang w:val="es-US"/>
        </w:rPr>
      </w:pPr>
      <w:r w:rsidRPr="00957A16">
        <w:rPr>
          <w:rFonts w:eastAsia="Times New Roman"/>
          <w:lang w:val="es-US"/>
        </w:rPr>
        <w:t xml:space="preserve">El Comité también observa la información que se proporcionó en el examen de la recomendación 2(b) con respecto a la orientación incluida en la Guía de Recursos de la FCPA con respecto a las disposiciones sobre libros y registros de esa ley. Como se señala en esa sección, la Guía trata con mayor detalle estas disposiciones, que ayudan a garantizar que todas las empresas públicas den cuenta de todos sus activos y pasivos con exactitud y con un detalle razonable y constituyen la columna vertebral de la mayoría de los casos de fraude contable y divulgación de información por parte de los emisores que presentan el </w:t>
      </w:r>
      <w:r w:rsidRPr="00957A16">
        <w:rPr>
          <w:lang w:val="es-US"/>
        </w:rPr>
        <w:t>Departamento de Justicia</w:t>
      </w:r>
      <w:r w:rsidRPr="00957A16">
        <w:rPr>
          <w:rFonts w:eastAsia="Times New Roman"/>
          <w:lang w:val="es-US"/>
        </w:rPr>
        <w:t xml:space="preserve"> y la SEC. </w:t>
      </w:r>
    </w:p>
    <w:p w14:paraId="56B2D46B" w14:textId="77777777" w:rsidR="00562C2D" w:rsidRPr="00957A16" w:rsidRDefault="00562C2D" w:rsidP="00562C2D">
      <w:pPr>
        <w:pStyle w:val="ListParagraph"/>
        <w:jc w:val="both"/>
        <w:rPr>
          <w:rFonts w:eastAsia="Times New Roman"/>
          <w:lang w:val="es-US"/>
        </w:rPr>
      </w:pPr>
      <w:r w:rsidRPr="00957A16">
        <w:rPr>
          <w:lang w:val="es-US"/>
        </w:rPr>
        <w:tab/>
      </w:r>
    </w:p>
    <w:p w14:paraId="53D660D0" w14:textId="1C0511D2" w:rsidR="006D2F34" w:rsidRPr="00957A16" w:rsidRDefault="00562C2D" w:rsidP="00562C2D">
      <w:pPr>
        <w:pStyle w:val="ListParagraph"/>
        <w:numPr>
          <w:ilvl w:val="0"/>
          <w:numId w:val="1"/>
        </w:numPr>
        <w:jc w:val="both"/>
        <w:rPr>
          <w:rFonts w:eastAsia="Times New Roman"/>
          <w:lang w:val="es-US"/>
        </w:rPr>
      </w:pPr>
      <w:r w:rsidRPr="00957A16">
        <w:rPr>
          <w:rFonts w:eastAsia="Times New Roman"/>
          <w:lang w:val="es-US"/>
        </w:rPr>
        <w:t xml:space="preserve">El Comité también toma nota de la labor de divulgación que han llevado a cabo el </w:t>
      </w:r>
      <w:r w:rsidRPr="00957A16">
        <w:rPr>
          <w:lang w:val="es-US"/>
        </w:rPr>
        <w:t>Departamento de Justicia</w:t>
      </w:r>
      <w:r w:rsidRPr="00957A16">
        <w:rPr>
          <w:rFonts w:eastAsia="Times New Roman"/>
          <w:lang w:val="es-US"/>
        </w:rPr>
        <w:t xml:space="preserve"> y la SEC, como se expone en el examen de la </w:t>
      </w:r>
      <w:r w:rsidR="00DF1867" w:rsidRPr="00957A16">
        <w:rPr>
          <w:rFonts w:eastAsia="Times New Roman"/>
          <w:lang w:val="es-US"/>
        </w:rPr>
        <w:t>medida</w:t>
      </w:r>
      <w:r w:rsidRPr="00957A16">
        <w:rPr>
          <w:rFonts w:eastAsia="Times New Roman"/>
          <w:lang w:val="es-US"/>
        </w:rPr>
        <w:t xml:space="preserve"> (b) anterior</w:t>
      </w:r>
      <w:r w:rsidR="006D2F34" w:rsidRPr="00957A16">
        <w:rPr>
          <w:rFonts w:eastAsia="Times New Roman"/>
          <w:lang w:val="es-US"/>
        </w:rPr>
        <w:t>.</w:t>
      </w:r>
    </w:p>
    <w:p w14:paraId="0E7CB9BB" w14:textId="77777777" w:rsidR="006D2F34" w:rsidRPr="00282A68" w:rsidRDefault="006D2F34" w:rsidP="006D2F34">
      <w:pPr>
        <w:pStyle w:val="ListParagraph"/>
        <w:rPr>
          <w:rFonts w:eastAsia="Times New Roman"/>
          <w:lang w:val="es-US"/>
        </w:rPr>
      </w:pPr>
    </w:p>
    <w:p w14:paraId="18123B61" w14:textId="7E7D44F1" w:rsidR="006D2F34" w:rsidRPr="00282A68" w:rsidRDefault="00DF1867" w:rsidP="00367D7C">
      <w:pPr>
        <w:pStyle w:val="ListParagraph"/>
        <w:numPr>
          <w:ilvl w:val="0"/>
          <w:numId w:val="1"/>
        </w:numPr>
        <w:jc w:val="both"/>
        <w:rPr>
          <w:rFonts w:eastAsia="Times New Roman"/>
          <w:lang w:val="es-US"/>
        </w:rPr>
      </w:pPr>
      <w:r w:rsidRPr="00282A68">
        <w:rPr>
          <w:rFonts w:eastAsiaTheme="minorHAnsi"/>
          <w:bCs/>
          <w:iCs/>
          <w:lang w:val="es-US"/>
        </w:rPr>
        <w:t>En vista de lo anterior, el Comité toma nota de la consideración satisfactoria por el Estado analizado de la medida (c) de la anterior recomendación</w:t>
      </w:r>
      <w:r w:rsidR="006D2F34" w:rsidRPr="00282A68">
        <w:rPr>
          <w:rFonts w:eastAsiaTheme="minorHAnsi"/>
          <w:bCs/>
          <w:iCs/>
          <w:lang w:val="es-US"/>
        </w:rPr>
        <w:t>.</w:t>
      </w:r>
    </w:p>
    <w:p w14:paraId="27229D7A" w14:textId="77777777" w:rsidR="006D2F34" w:rsidRPr="00282A68" w:rsidRDefault="006D2F34" w:rsidP="006D2F34">
      <w:pPr>
        <w:pStyle w:val="ListParagraph"/>
        <w:rPr>
          <w:rFonts w:eastAsia="Times New Roman"/>
          <w:lang w:val="es-US"/>
        </w:rPr>
      </w:pPr>
    </w:p>
    <w:p w14:paraId="3308D9C4" w14:textId="4CB9098D" w:rsidR="006D2F34" w:rsidRPr="00282A68" w:rsidRDefault="00DF1867" w:rsidP="006D2F34">
      <w:pPr>
        <w:jc w:val="both"/>
        <w:rPr>
          <w:rStyle w:val="normaltextrun"/>
          <w:sz w:val="22"/>
          <w:szCs w:val="22"/>
          <w:u w:val="single"/>
          <w:lang w:val="es-US"/>
        </w:rPr>
      </w:pPr>
      <w:r w:rsidRPr="00282A68">
        <w:rPr>
          <w:rStyle w:val="normaltextrun"/>
          <w:sz w:val="22"/>
          <w:szCs w:val="22"/>
          <w:u w:val="single"/>
          <w:lang w:val="es-US"/>
        </w:rPr>
        <w:t xml:space="preserve">Medida </w:t>
      </w:r>
      <w:r w:rsidR="006D2F34" w:rsidRPr="00282A68">
        <w:rPr>
          <w:rStyle w:val="normaltextrun"/>
          <w:sz w:val="22"/>
          <w:szCs w:val="22"/>
          <w:u w:val="single"/>
          <w:lang w:val="es-US"/>
        </w:rPr>
        <w:t>(d):</w:t>
      </w:r>
    </w:p>
    <w:p w14:paraId="3BB861F2" w14:textId="77777777" w:rsidR="006D2F34" w:rsidRPr="00282A68" w:rsidRDefault="006D2F34" w:rsidP="006D2F34">
      <w:pPr>
        <w:jc w:val="both"/>
        <w:rPr>
          <w:rStyle w:val="normaltextrun"/>
          <w:sz w:val="22"/>
          <w:szCs w:val="22"/>
          <w:u w:val="single"/>
          <w:lang w:val="es-US"/>
        </w:rPr>
      </w:pPr>
    </w:p>
    <w:p w14:paraId="2FECB683" w14:textId="63F388A1" w:rsidR="006D2F34" w:rsidRPr="00282A68" w:rsidRDefault="00C41E3E" w:rsidP="006D2F34">
      <w:pPr>
        <w:pStyle w:val="ListParagraph"/>
        <w:ind w:left="10"/>
        <w:jc w:val="both"/>
        <w:rPr>
          <w:i/>
          <w:iCs/>
          <w:lang w:val="es-US"/>
        </w:rPr>
      </w:pPr>
      <w:bookmarkStart w:id="14" w:name="_Hlk156396522"/>
      <w:r w:rsidRPr="00282A68">
        <w:rPr>
          <w:i/>
          <w:iCs/>
          <w:lang w:val="es-US"/>
        </w:rPr>
        <w:t>Considerar continuar la adopción y aplicación de los instrumentos necesarios para facilitar a los órganos y entidades responsables de prevenir y/o investigar el incumplimiento de las medidas orientadas a garantizar la exactitud de los registros contables, la detección de sumas pagadas por actos de corrupción ocultas en esos registros, tales como las siguientes</w:t>
      </w:r>
      <w:bookmarkEnd w:id="14"/>
      <w:r w:rsidR="006D2F34" w:rsidRPr="00282A68">
        <w:rPr>
          <w:i/>
          <w:iCs/>
          <w:lang w:val="es-US"/>
        </w:rPr>
        <w:t>:</w:t>
      </w:r>
    </w:p>
    <w:p w14:paraId="6E424A28" w14:textId="77777777" w:rsidR="006D2F34" w:rsidRPr="00282A68" w:rsidRDefault="006D2F34" w:rsidP="006D2F34">
      <w:pPr>
        <w:pStyle w:val="ListParagraph"/>
        <w:ind w:left="10"/>
        <w:jc w:val="both"/>
        <w:rPr>
          <w:i/>
          <w:iCs/>
          <w:lang w:val="es-US"/>
        </w:rPr>
      </w:pPr>
    </w:p>
    <w:p w14:paraId="77E506E8" w14:textId="3D40E6B2" w:rsidR="006D2F34" w:rsidRPr="00282A68" w:rsidRDefault="00C41E3E" w:rsidP="006D2F34">
      <w:pPr>
        <w:pStyle w:val="ListParagraph"/>
        <w:ind w:left="10"/>
        <w:jc w:val="both"/>
        <w:rPr>
          <w:u w:val="single"/>
          <w:lang w:val="es-US"/>
        </w:rPr>
      </w:pPr>
      <w:bookmarkStart w:id="15" w:name="_Hlk156396597"/>
      <w:r w:rsidRPr="00282A68">
        <w:rPr>
          <w:u w:val="single"/>
          <w:lang w:val="es-US"/>
        </w:rPr>
        <w:t>Medida d(</w:t>
      </w:r>
      <w:r w:rsidR="006D2F34" w:rsidRPr="00282A68">
        <w:rPr>
          <w:u w:val="single"/>
          <w:lang w:val="es-US"/>
        </w:rPr>
        <w:t>i</w:t>
      </w:r>
      <w:r w:rsidR="004C6FC4" w:rsidRPr="00282A68">
        <w:rPr>
          <w:u w:val="single"/>
          <w:lang w:val="es-US"/>
        </w:rPr>
        <w:t>) sugerida por el Comité</w:t>
      </w:r>
      <w:bookmarkEnd w:id="15"/>
      <w:r w:rsidR="006D2F34" w:rsidRPr="00282A68">
        <w:rPr>
          <w:u w:val="single"/>
          <w:lang w:val="es-US"/>
        </w:rPr>
        <w:t>:</w:t>
      </w:r>
    </w:p>
    <w:p w14:paraId="7DA99D0C" w14:textId="77777777" w:rsidR="006D2F34" w:rsidRPr="00282A68" w:rsidRDefault="006D2F34" w:rsidP="006D2F34">
      <w:pPr>
        <w:pStyle w:val="ListParagraph"/>
        <w:rPr>
          <w:rFonts w:eastAsia="Times New Roman"/>
          <w:lang w:val="es-US"/>
        </w:rPr>
      </w:pPr>
    </w:p>
    <w:p w14:paraId="08033234" w14:textId="02B184FA" w:rsidR="006D2F34" w:rsidRPr="00282A68" w:rsidRDefault="00F53BCB" w:rsidP="006D2F34">
      <w:pPr>
        <w:pStyle w:val="ListParagraph"/>
        <w:ind w:left="10"/>
        <w:jc w:val="both"/>
        <w:rPr>
          <w:i/>
          <w:iCs/>
          <w:lang w:val="es-US"/>
        </w:rPr>
      </w:pPr>
      <w:bookmarkStart w:id="16" w:name="_Hlk156407560"/>
      <w:r w:rsidRPr="00282A68">
        <w:rPr>
          <w:i/>
          <w:iCs/>
          <w:lang w:val="es-US"/>
        </w:rPr>
        <w:t>Métodos de revisión, incluidas inspecciones contables y análisis de información periódicamente solicitada, a través de los cuales puedan detectarse anomalías en registros contables, que puedan indicar el pago de sumas por corrupción</w:t>
      </w:r>
      <w:bookmarkEnd w:id="16"/>
      <w:r w:rsidR="006D2F34" w:rsidRPr="00282A68">
        <w:rPr>
          <w:i/>
          <w:iCs/>
          <w:lang w:val="es-US"/>
        </w:rPr>
        <w:t>.</w:t>
      </w:r>
    </w:p>
    <w:p w14:paraId="6C3A2D35" w14:textId="77777777" w:rsidR="00B56A57" w:rsidRPr="006077BB" w:rsidRDefault="00B56A57" w:rsidP="006D2F34">
      <w:pPr>
        <w:pStyle w:val="ListParagraph"/>
        <w:ind w:left="10"/>
        <w:jc w:val="both"/>
        <w:rPr>
          <w:i/>
          <w:iCs/>
          <w:lang w:val="es-US"/>
        </w:rPr>
      </w:pPr>
    </w:p>
    <w:p w14:paraId="08D942D7" w14:textId="05B52448" w:rsidR="00DD13EF" w:rsidRPr="00957A16" w:rsidRDefault="00AC1964" w:rsidP="00DB3FF3">
      <w:pPr>
        <w:pStyle w:val="ListParagraph"/>
        <w:numPr>
          <w:ilvl w:val="0"/>
          <w:numId w:val="1"/>
        </w:numPr>
        <w:jc w:val="both"/>
        <w:rPr>
          <w:rFonts w:eastAsia="Times New Roman"/>
          <w:lang w:val="es-US"/>
        </w:rPr>
      </w:pPr>
      <w:r w:rsidRPr="00957A16">
        <w:rPr>
          <w:rFonts w:eastAsiaTheme="minorHAnsi"/>
          <w:bCs/>
          <w:iCs/>
          <w:lang w:val="es-US"/>
        </w:rPr>
        <w:t>El Estado analizado, en su Respuesta, presentó información que estima pertinente en relación con la anterior medida</w:t>
      </w:r>
      <w:r w:rsidRPr="00957A16">
        <w:rPr>
          <w:rFonts w:eastAsiaTheme="minorHAnsi"/>
          <w:bCs/>
          <w:iCs/>
          <w:vertAlign w:val="superscript"/>
          <w:lang w:val="es-US"/>
        </w:rPr>
        <w:t xml:space="preserve"> </w:t>
      </w:r>
      <w:r w:rsidR="000C333F" w:rsidRPr="00957A16">
        <w:rPr>
          <w:rStyle w:val="FootnoteReference"/>
          <w:lang w:val="es-US"/>
        </w:rPr>
        <w:footnoteReference w:id="65"/>
      </w:r>
      <w:r w:rsidR="00DD13EF" w:rsidRPr="00957A16">
        <w:rPr>
          <w:lang w:val="es-US"/>
        </w:rPr>
        <w:t>.</w:t>
      </w:r>
    </w:p>
    <w:p w14:paraId="3A4F4631" w14:textId="77777777" w:rsidR="00DD13EF" w:rsidRPr="00957A16" w:rsidRDefault="00DD13EF" w:rsidP="00DD13EF">
      <w:pPr>
        <w:pStyle w:val="ListParagraph"/>
        <w:ind w:left="10"/>
        <w:jc w:val="both"/>
        <w:rPr>
          <w:rFonts w:eastAsia="Times New Roman"/>
          <w:lang w:val="es-US"/>
        </w:rPr>
      </w:pPr>
    </w:p>
    <w:p w14:paraId="1B0E72EF" w14:textId="7389F119" w:rsidR="00B7262A" w:rsidRPr="00957A16" w:rsidRDefault="001F5D67" w:rsidP="00DB3FF3">
      <w:pPr>
        <w:pStyle w:val="ListParagraph"/>
        <w:numPr>
          <w:ilvl w:val="0"/>
          <w:numId w:val="1"/>
        </w:numPr>
        <w:jc w:val="both"/>
        <w:rPr>
          <w:rFonts w:eastAsia="Times New Roman"/>
          <w:lang w:val="es-US"/>
        </w:rPr>
      </w:pPr>
      <w:r w:rsidRPr="00957A16">
        <w:rPr>
          <w:rFonts w:eastAsia="Times New Roman"/>
          <w:lang w:val="es-US"/>
        </w:rPr>
        <w:t xml:space="preserve">A este respecto, el Estado analizado hace notar la sección 404 de la Ley Sarbanes-Oxley, por la que se exige a los emisores que presenten en sus informes anuales las conclusiones de la dirección sobre la eficacia de los controles internos de la empresa en torno a la información financiera. A este respecto, el Estado analizado </w:t>
      </w:r>
      <w:proofErr w:type="gramStart"/>
      <w:r w:rsidRPr="00957A16">
        <w:rPr>
          <w:rFonts w:eastAsia="Times New Roman"/>
          <w:lang w:val="es-US"/>
        </w:rPr>
        <w:t>hace mención de</w:t>
      </w:r>
      <w:proofErr w:type="gramEnd"/>
      <w:r w:rsidRPr="00957A16">
        <w:rPr>
          <w:rFonts w:eastAsia="Times New Roman"/>
          <w:lang w:val="es-US"/>
        </w:rPr>
        <w:t xml:space="preserve"> lo siguiente</w:t>
      </w:r>
      <w:r w:rsidR="00B7262A" w:rsidRPr="00957A16">
        <w:rPr>
          <w:rStyle w:val="FootnoteReference"/>
          <w:rFonts w:eastAsia="Times New Roman"/>
          <w:lang w:val="es-US"/>
        </w:rPr>
        <w:footnoteReference w:id="66"/>
      </w:r>
      <w:r w:rsidR="004D2ADB" w:rsidRPr="00957A16">
        <w:rPr>
          <w:rFonts w:eastAsia="Times New Roman"/>
          <w:lang w:val="es-US"/>
        </w:rPr>
        <w:t>:</w:t>
      </w:r>
      <w:r w:rsidR="00B7262A" w:rsidRPr="00957A16">
        <w:rPr>
          <w:rFonts w:eastAsia="Times New Roman"/>
          <w:lang w:val="es-US"/>
        </w:rPr>
        <w:t xml:space="preserve"> </w:t>
      </w:r>
    </w:p>
    <w:p w14:paraId="145C00F6" w14:textId="77777777" w:rsidR="00B7262A" w:rsidRPr="00957A16" w:rsidRDefault="00B7262A" w:rsidP="00B7262A">
      <w:pPr>
        <w:pStyle w:val="ListParagraph"/>
        <w:ind w:left="10"/>
        <w:jc w:val="both"/>
        <w:rPr>
          <w:rFonts w:eastAsia="Times New Roman"/>
          <w:lang w:val="es-US"/>
        </w:rPr>
      </w:pPr>
    </w:p>
    <w:p w14:paraId="5FDBFF32" w14:textId="0B6CF503" w:rsidR="00B7262A" w:rsidRPr="00957A16" w:rsidRDefault="00B7262A" w:rsidP="00B7262A">
      <w:pPr>
        <w:pStyle w:val="ListParagraph"/>
        <w:numPr>
          <w:ilvl w:val="0"/>
          <w:numId w:val="1"/>
        </w:numPr>
        <w:jc w:val="both"/>
        <w:rPr>
          <w:rFonts w:eastAsia="Times New Roman"/>
          <w:lang w:val="es-US"/>
        </w:rPr>
      </w:pPr>
      <w:r w:rsidRPr="00957A16">
        <w:rPr>
          <w:rFonts w:eastAsia="Times New Roman"/>
          <w:lang w:val="es-US"/>
        </w:rPr>
        <w:t>“</w:t>
      </w:r>
      <w:r w:rsidR="009C1FFC" w:rsidRPr="00957A16">
        <w:rPr>
          <w:rFonts w:eastAsia="Times New Roman"/>
          <w:i/>
          <w:iCs/>
          <w:lang w:val="es-US"/>
        </w:rPr>
        <w:t>Esta declaración también debe evaluar la eficacia de dichos controles y procedimientos internos. Además, el auditor independiente de la empresa debe dar fe e informar sobre su evaluación de la eficacia de los controles internos de la empresa relativos a los reportes financieros. De acuerdo con la sección 404, la SEC ha adoptado normas que exigen a los emisores y a sus auditores independientes informar al público sobre la eficacia de los controles internos de la empresa relativos a los reportes financieros. Estos controles internos incluyen los relacionados con los actos ilegales y el fraude —incluidos los actos de soborno— que podrían dar lugar a un error material en los estados financieros de la empresa</w:t>
      </w:r>
      <w:r w:rsidRPr="00957A16">
        <w:rPr>
          <w:rFonts w:eastAsia="Times New Roman"/>
          <w:i/>
          <w:iCs/>
          <w:lang w:val="es-US"/>
        </w:rPr>
        <w:t>.”</w:t>
      </w:r>
    </w:p>
    <w:p w14:paraId="15DA03B3" w14:textId="77777777" w:rsidR="00B7262A" w:rsidRPr="00957A16" w:rsidRDefault="00B7262A" w:rsidP="00B7262A">
      <w:pPr>
        <w:pStyle w:val="ListParagraph"/>
        <w:rPr>
          <w:rFonts w:eastAsia="Times New Roman"/>
          <w:lang w:val="es-US"/>
        </w:rPr>
      </w:pPr>
    </w:p>
    <w:p w14:paraId="13807179" w14:textId="071298E0" w:rsidR="000C333F" w:rsidRDefault="009C0AF6" w:rsidP="00B966B7">
      <w:pPr>
        <w:pStyle w:val="ListParagraph"/>
        <w:numPr>
          <w:ilvl w:val="0"/>
          <w:numId w:val="1"/>
        </w:numPr>
        <w:jc w:val="both"/>
        <w:rPr>
          <w:rFonts w:eastAsia="Times New Roman"/>
          <w:lang w:val="es-US"/>
        </w:rPr>
      </w:pPr>
      <w:r w:rsidRPr="00957A16">
        <w:rPr>
          <w:rFonts w:eastAsia="Times New Roman"/>
          <w:lang w:val="es-US"/>
        </w:rPr>
        <w:t xml:space="preserve">El Estado analizado también hace referencia a la sección 10A(a)(1) de la Ley de </w:t>
      </w:r>
      <w:r w:rsidRPr="00957A16">
        <w:rPr>
          <w:rFonts w:eastAsia="Times New Roman"/>
          <w:iCs/>
          <w:lang w:val="es-US"/>
        </w:rPr>
        <w:t>Valores y Bolsa</w:t>
      </w:r>
      <w:r w:rsidRPr="00957A16">
        <w:rPr>
          <w:rFonts w:eastAsia="Times New Roman"/>
          <w:lang w:val="es-US"/>
        </w:rPr>
        <w:t>, que establece que los auditores</w:t>
      </w:r>
      <w:r w:rsidR="002045AE">
        <w:rPr>
          <w:rFonts w:eastAsia="Times New Roman"/>
          <w:lang w:val="es-US"/>
        </w:rPr>
        <w:t xml:space="preserve"> del sector privado</w:t>
      </w:r>
      <w:r w:rsidRPr="00957A16">
        <w:rPr>
          <w:rFonts w:eastAsia="Times New Roman"/>
          <w:lang w:val="es-US"/>
        </w:rPr>
        <w:t xml:space="preserve"> tienen la obligación de diseñar procedimientos que proporcionen una garantía razonable de detección de actos ilegales que pudieran tener un efecto directo y material en la determinación de los importes de los estados financieros</w:t>
      </w:r>
      <w:r w:rsidR="000C333F" w:rsidRPr="00957A16">
        <w:rPr>
          <w:rFonts w:eastAsia="Times New Roman"/>
          <w:lang w:val="es-US"/>
        </w:rPr>
        <w:t>.</w:t>
      </w:r>
    </w:p>
    <w:p w14:paraId="2CA0969F" w14:textId="77777777" w:rsidR="004C4038" w:rsidRPr="004C4038" w:rsidRDefault="004C4038" w:rsidP="004C4038">
      <w:pPr>
        <w:pStyle w:val="ListParagraph"/>
        <w:rPr>
          <w:rFonts w:eastAsia="Times New Roman"/>
          <w:lang w:val="es-US"/>
        </w:rPr>
      </w:pPr>
    </w:p>
    <w:p w14:paraId="5731CD5F" w14:textId="2A4AFE6D" w:rsidR="004C4038" w:rsidRPr="00957A16" w:rsidRDefault="004C4038" w:rsidP="00B966B7">
      <w:pPr>
        <w:pStyle w:val="ListParagraph"/>
        <w:numPr>
          <w:ilvl w:val="0"/>
          <w:numId w:val="1"/>
        </w:numPr>
        <w:jc w:val="both"/>
        <w:rPr>
          <w:rFonts w:eastAsia="Times New Roman"/>
          <w:lang w:val="es-US"/>
        </w:rPr>
      </w:pPr>
      <w:r>
        <w:rPr>
          <w:rFonts w:eastAsia="Times New Roman"/>
          <w:lang w:val="es-US"/>
        </w:rPr>
        <w:t xml:space="preserve">Además, el Estado analizado observa que </w:t>
      </w:r>
      <w:r w:rsidR="00CB03AC" w:rsidRPr="00CB03AC">
        <w:rPr>
          <w:rFonts w:eastAsia="Times New Roman"/>
          <w:bCs/>
          <w:iCs/>
          <w:lang w:val="es-ES_tradnl"/>
        </w:rPr>
        <w:t>el PCAOB inspecciona a las empresas de contabilidad pública registradas para evaluar el cumplimiento de la Ley Sarbanes-Oxley, las normas del PCAOB, las normas de la SEC y los estándares profesionales en cuanto a la realización de auditorías por parte de las empresas, la emisión de informes de auditoría y otros asuntos relacionados con las empresas públicas y los agentes de bolsa estadounidenses. En general, el PCAOB inspecciona las empresas de contabilidad al menos cada tres años, y si una empresa emite dictámenes de auditoría para más de 100 emisores, anualmente. En 2023, los inspectores del PCAOB esbozaron sus prioridades, que incluían, entre otras cosas, una mayor atención a los procedimientos de auditoría relacionados con el fraude</w:t>
      </w:r>
      <w:r w:rsidR="00434252">
        <w:rPr>
          <w:rStyle w:val="FootnoteReference"/>
          <w:rFonts w:eastAsia="Times New Roman"/>
          <w:bCs/>
          <w:iCs/>
          <w:lang w:val="es-ES_tradnl"/>
        </w:rPr>
        <w:footnoteReference w:id="67"/>
      </w:r>
      <w:r w:rsidR="00434252">
        <w:rPr>
          <w:rFonts w:eastAsia="Times New Roman"/>
          <w:bCs/>
          <w:iCs/>
          <w:lang w:val="es-ES_tradnl"/>
        </w:rPr>
        <w:t>.</w:t>
      </w:r>
      <w:r w:rsidR="000165EE">
        <w:rPr>
          <w:rFonts w:eastAsia="Times New Roman"/>
          <w:bCs/>
          <w:iCs/>
          <w:lang w:val="es-ES_tradnl"/>
        </w:rPr>
        <w:t xml:space="preserve"> </w:t>
      </w:r>
      <w:r w:rsidR="00B01E96">
        <w:rPr>
          <w:rFonts w:eastAsia="Times New Roman"/>
          <w:bCs/>
          <w:iCs/>
          <w:lang w:val="es-ES_tradnl"/>
        </w:rPr>
        <w:t xml:space="preserve">Además, </w:t>
      </w:r>
      <w:r w:rsidR="00B01E96">
        <w:rPr>
          <w:bCs/>
          <w:iCs/>
          <w:color w:val="000000"/>
          <w:lang w:val="es-ES_tradnl"/>
        </w:rPr>
        <w:t>o</w:t>
      </w:r>
      <w:r w:rsidR="00B01E96" w:rsidRPr="007D6A15">
        <w:rPr>
          <w:bCs/>
          <w:iCs/>
          <w:color w:val="000000"/>
          <w:lang w:val="es-ES_tradnl"/>
        </w:rPr>
        <w:t>tras empresas de contabilidad pública están inscritas en el Programa de Revisión por Pares del AICPA, en el que se les indica a los revisores que se centren en los encargos de auditoría de mayor riesgo y en las áreas de riesgo significativo, incluido el fraude</w:t>
      </w:r>
      <w:r w:rsidR="009954FE">
        <w:rPr>
          <w:rStyle w:val="FootnoteReference"/>
          <w:bCs/>
          <w:iCs/>
          <w:color w:val="000000"/>
          <w:lang w:val="es-ES_tradnl"/>
        </w:rPr>
        <w:footnoteReference w:id="68"/>
      </w:r>
      <w:r w:rsidR="005E496A">
        <w:rPr>
          <w:bCs/>
          <w:iCs/>
          <w:color w:val="000000"/>
          <w:lang w:val="es-ES_tradnl"/>
        </w:rPr>
        <w:t>.</w:t>
      </w:r>
    </w:p>
    <w:p w14:paraId="6A6264A1" w14:textId="77777777" w:rsidR="00B7262A" w:rsidRPr="00957A16" w:rsidRDefault="00B7262A" w:rsidP="00B7262A">
      <w:pPr>
        <w:pStyle w:val="ListParagraph"/>
        <w:rPr>
          <w:rFonts w:eastAsia="Times New Roman"/>
          <w:lang w:val="es-US"/>
        </w:rPr>
      </w:pPr>
    </w:p>
    <w:p w14:paraId="1A27227A" w14:textId="479831F5" w:rsidR="00B7262A" w:rsidRPr="00957A16" w:rsidRDefault="00E80FB1" w:rsidP="00B966B7">
      <w:pPr>
        <w:pStyle w:val="ListParagraph"/>
        <w:numPr>
          <w:ilvl w:val="0"/>
          <w:numId w:val="1"/>
        </w:numPr>
        <w:jc w:val="both"/>
        <w:rPr>
          <w:rFonts w:eastAsia="Times New Roman"/>
          <w:lang w:val="es-US"/>
        </w:rPr>
      </w:pPr>
      <w:r w:rsidRPr="00957A16">
        <w:rPr>
          <w:rFonts w:eastAsia="Times New Roman"/>
          <w:lang w:val="es-US"/>
        </w:rPr>
        <w:t xml:space="preserve">El Comité observa que ya revisó y consideró </w:t>
      </w:r>
      <w:r w:rsidR="001819E0">
        <w:rPr>
          <w:rFonts w:eastAsia="Times New Roman"/>
          <w:lang w:val="es-US"/>
        </w:rPr>
        <w:t xml:space="preserve">gran parte de </w:t>
      </w:r>
      <w:r w:rsidR="00A449AF">
        <w:rPr>
          <w:rFonts w:eastAsia="Times New Roman"/>
          <w:lang w:val="es-US"/>
        </w:rPr>
        <w:t>esta</w:t>
      </w:r>
      <w:r w:rsidR="001819E0">
        <w:rPr>
          <w:rFonts w:eastAsia="Times New Roman"/>
          <w:lang w:val="es-US"/>
        </w:rPr>
        <w:t xml:space="preserve"> </w:t>
      </w:r>
      <w:r w:rsidR="00A449AF">
        <w:rPr>
          <w:rFonts w:eastAsia="Times New Roman"/>
          <w:lang w:val="es-US"/>
        </w:rPr>
        <w:t>información</w:t>
      </w:r>
      <w:r w:rsidR="005849E6" w:rsidRPr="00957A16">
        <w:rPr>
          <w:rFonts w:eastAsia="Times New Roman"/>
          <w:lang w:val="es-US"/>
        </w:rPr>
        <w:t xml:space="preserve"> en el Informe de la Tercera Ronda</w:t>
      </w:r>
      <w:r w:rsidR="00B7262A" w:rsidRPr="00957A16">
        <w:rPr>
          <w:rFonts w:eastAsia="Times New Roman"/>
          <w:lang w:val="es-US"/>
        </w:rPr>
        <w:t>.</w:t>
      </w:r>
      <w:r w:rsidR="00B7262A" w:rsidRPr="00957A16">
        <w:rPr>
          <w:rStyle w:val="FootnoteReference"/>
          <w:rFonts w:eastAsia="Times New Roman"/>
          <w:lang w:val="es-US"/>
        </w:rPr>
        <w:footnoteReference w:id="69"/>
      </w:r>
    </w:p>
    <w:p w14:paraId="346316E6" w14:textId="77777777" w:rsidR="00443BDF" w:rsidRPr="00957A16" w:rsidRDefault="00443BDF" w:rsidP="00443BDF">
      <w:pPr>
        <w:pStyle w:val="ListParagraph"/>
        <w:rPr>
          <w:rFonts w:eastAsia="Times New Roman"/>
          <w:lang w:val="es-US"/>
        </w:rPr>
      </w:pPr>
    </w:p>
    <w:p w14:paraId="2E1FE85E" w14:textId="1CAD447D" w:rsidR="007D611F" w:rsidRPr="00957A16" w:rsidRDefault="007D611F" w:rsidP="00B966B7">
      <w:pPr>
        <w:pStyle w:val="ListParagraph"/>
        <w:numPr>
          <w:ilvl w:val="0"/>
          <w:numId w:val="1"/>
        </w:numPr>
        <w:jc w:val="both"/>
        <w:rPr>
          <w:rFonts w:eastAsia="Times New Roman"/>
          <w:lang w:val="es-US"/>
        </w:rPr>
      </w:pPr>
      <w:r w:rsidRPr="00957A16">
        <w:rPr>
          <w:rFonts w:eastAsia="Times New Roman"/>
          <w:lang w:val="es-US"/>
        </w:rPr>
        <w:t xml:space="preserve">En vista de lo anterior, el Comité toma nota de la necesidad de que el Estado analizado preste atención a la implementación de la medida </w:t>
      </w:r>
      <w:r w:rsidR="00BD038F" w:rsidRPr="00957A16">
        <w:rPr>
          <w:rFonts w:eastAsia="Times New Roman"/>
          <w:lang w:val="es-US"/>
        </w:rPr>
        <w:t>d</w:t>
      </w:r>
      <w:r w:rsidRPr="00957A16">
        <w:rPr>
          <w:rFonts w:eastAsia="Times New Roman"/>
          <w:lang w:val="es-US"/>
        </w:rPr>
        <w:t xml:space="preserve">(i), </w:t>
      </w:r>
      <w:r w:rsidR="00392E66" w:rsidRPr="00957A16">
        <w:rPr>
          <w:rFonts w:eastAsia="Times New Roman"/>
          <w:lang w:val="es-US"/>
        </w:rPr>
        <w:t>considerando</w:t>
      </w:r>
      <w:r w:rsidRPr="00957A16">
        <w:rPr>
          <w:rFonts w:eastAsia="Times New Roman"/>
          <w:lang w:val="es-US"/>
        </w:rPr>
        <w:t xml:space="preserve"> que no se han reportado desarrollos </w:t>
      </w:r>
      <w:r w:rsidR="00E91DED" w:rsidRPr="00957A16">
        <w:rPr>
          <w:rFonts w:eastAsia="Times New Roman"/>
          <w:lang w:val="es-US"/>
        </w:rPr>
        <w:t xml:space="preserve">adicionales </w:t>
      </w:r>
      <w:r w:rsidR="002850BC" w:rsidRPr="00957A16">
        <w:rPr>
          <w:rFonts w:eastAsia="Times New Roman"/>
          <w:lang w:val="es-US"/>
        </w:rPr>
        <w:t xml:space="preserve">en relación con la implementación de </w:t>
      </w:r>
      <w:proofErr w:type="gramStart"/>
      <w:r w:rsidR="002850BC" w:rsidRPr="00957A16">
        <w:rPr>
          <w:rFonts w:eastAsia="Times New Roman"/>
          <w:lang w:val="es-US"/>
        </w:rPr>
        <w:t>la misma</w:t>
      </w:r>
      <w:proofErr w:type="gramEnd"/>
      <w:r w:rsidRPr="00957A16">
        <w:rPr>
          <w:rFonts w:eastAsia="Times New Roman"/>
          <w:lang w:val="es-US"/>
        </w:rPr>
        <w:t>. Esta medida se reformulará con el fin de aclarar mejor su alcance y contenido</w:t>
      </w:r>
      <w:r w:rsidR="00BD038F" w:rsidRPr="00957A16">
        <w:rPr>
          <w:rFonts w:eastAsia="Times New Roman"/>
          <w:lang w:val="es-US"/>
        </w:rPr>
        <w:t>.</w:t>
      </w:r>
      <w:r w:rsidRPr="00957A16">
        <w:rPr>
          <w:rFonts w:eastAsia="Times New Roman"/>
          <w:lang w:val="es-US"/>
        </w:rPr>
        <w:t xml:space="preserve"> (</w:t>
      </w:r>
      <w:r w:rsidR="00BD038F" w:rsidRPr="00957A16">
        <w:rPr>
          <w:rFonts w:eastAsia="Times New Roman"/>
          <w:lang w:val="es-US"/>
        </w:rPr>
        <w:t>V</w:t>
      </w:r>
      <w:r w:rsidRPr="00957A16">
        <w:rPr>
          <w:rFonts w:eastAsia="Times New Roman"/>
          <w:lang w:val="es-US"/>
        </w:rPr>
        <w:t xml:space="preserve">éase la </w:t>
      </w:r>
      <w:r w:rsidR="00BD038F" w:rsidRPr="00957A16">
        <w:rPr>
          <w:rFonts w:eastAsia="Times New Roman"/>
          <w:lang w:val="es-US"/>
        </w:rPr>
        <w:t>R</w:t>
      </w:r>
      <w:r w:rsidRPr="00957A16">
        <w:rPr>
          <w:rFonts w:eastAsia="Times New Roman"/>
          <w:lang w:val="es-US"/>
        </w:rPr>
        <w:t xml:space="preserve">ecomendación 2.4.2 de la sección 2.4 del </w:t>
      </w:r>
      <w:r w:rsidRPr="00957A16">
        <w:rPr>
          <w:rFonts w:eastAsia="Times New Roman"/>
          <w:bCs/>
          <w:iCs/>
          <w:lang w:val="es-US"/>
        </w:rPr>
        <w:t>Capítulo</w:t>
      </w:r>
      <w:r w:rsidRPr="00957A16">
        <w:rPr>
          <w:rFonts w:eastAsia="Times New Roman"/>
          <w:lang w:val="es-US"/>
        </w:rPr>
        <w:t xml:space="preserve"> II del presente Informe)</w:t>
      </w:r>
    </w:p>
    <w:p w14:paraId="54DE2096" w14:textId="77777777" w:rsidR="00443BDF" w:rsidRPr="00282A68" w:rsidRDefault="00443BDF" w:rsidP="00443BDF">
      <w:pPr>
        <w:pStyle w:val="ListParagraph"/>
        <w:rPr>
          <w:rFonts w:eastAsia="Times New Roman"/>
          <w:lang w:val="es-US"/>
        </w:rPr>
      </w:pPr>
    </w:p>
    <w:p w14:paraId="24798724" w14:textId="52088DA1" w:rsidR="00443BDF" w:rsidRPr="00282A68" w:rsidRDefault="002D6B5B" w:rsidP="00443BDF">
      <w:pPr>
        <w:jc w:val="both"/>
        <w:rPr>
          <w:rStyle w:val="normaltextrun"/>
          <w:sz w:val="22"/>
          <w:szCs w:val="22"/>
          <w:u w:val="single"/>
          <w:lang w:val="es-US"/>
        </w:rPr>
      </w:pPr>
      <w:r w:rsidRPr="00282A68">
        <w:rPr>
          <w:rStyle w:val="normaltextrun"/>
          <w:sz w:val="22"/>
          <w:szCs w:val="22"/>
          <w:u w:val="single"/>
          <w:lang w:val="es-US"/>
        </w:rPr>
        <w:t xml:space="preserve">Medida </w:t>
      </w:r>
      <w:r w:rsidR="00443BDF" w:rsidRPr="00282A68">
        <w:rPr>
          <w:rStyle w:val="normaltextrun"/>
          <w:sz w:val="22"/>
          <w:szCs w:val="22"/>
          <w:u w:val="single"/>
          <w:lang w:val="es-US"/>
        </w:rPr>
        <w:t>(d):</w:t>
      </w:r>
    </w:p>
    <w:p w14:paraId="65422A4C" w14:textId="77777777" w:rsidR="00443BDF" w:rsidRPr="00282A68" w:rsidRDefault="00443BDF" w:rsidP="00443BDF">
      <w:pPr>
        <w:jc w:val="both"/>
        <w:rPr>
          <w:rStyle w:val="normaltextrun"/>
          <w:sz w:val="22"/>
          <w:szCs w:val="22"/>
          <w:u w:val="single"/>
          <w:lang w:val="es-US"/>
        </w:rPr>
      </w:pPr>
    </w:p>
    <w:p w14:paraId="365D849F" w14:textId="59C12C23" w:rsidR="00443BDF" w:rsidRPr="00282A68" w:rsidRDefault="002D6B5B" w:rsidP="00443BDF">
      <w:pPr>
        <w:pStyle w:val="ListParagraph"/>
        <w:ind w:left="10"/>
        <w:jc w:val="both"/>
        <w:rPr>
          <w:i/>
          <w:iCs/>
          <w:lang w:val="es-US"/>
        </w:rPr>
      </w:pPr>
      <w:r w:rsidRPr="00282A68">
        <w:rPr>
          <w:i/>
          <w:iCs/>
          <w:lang w:val="es-US"/>
        </w:rPr>
        <w:t>Considerar continuar la adopción y aplicación de los instrumentos necesarios para facilitar a los órganos y entidades responsables de prevenir y/o investigar el incumplimiento de las medidas orientadas a garantizar la exactitud de los registros contables, la detección de sumas pagadas por actos de corrupción ocultas en esos registros, tales como las siguientes</w:t>
      </w:r>
      <w:r w:rsidR="00443BDF" w:rsidRPr="00282A68">
        <w:rPr>
          <w:i/>
          <w:iCs/>
          <w:lang w:val="es-US"/>
        </w:rPr>
        <w:t>:</w:t>
      </w:r>
    </w:p>
    <w:p w14:paraId="3CB58787" w14:textId="77777777" w:rsidR="00443BDF" w:rsidRPr="00282A68" w:rsidRDefault="00443BDF" w:rsidP="00443BDF">
      <w:pPr>
        <w:pStyle w:val="ListParagraph"/>
        <w:ind w:left="10"/>
        <w:jc w:val="both"/>
        <w:rPr>
          <w:i/>
          <w:iCs/>
          <w:lang w:val="es-US"/>
        </w:rPr>
      </w:pPr>
    </w:p>
    <w:p w14:paraId="1B1D0FA0" w14:textId="76865F95" w:rsidR="00443BDF" w:rsidRPr="00282A68" w:rsidRDefault="002D6B5B" w:rsidP="00443BDF">
      <w:pPr>
        <w:pStyle w:val="ListParagraph"/>
        <w:ind w:left="10"/>
        <w:jc w:val="both"/>
        <w:rPr>
          <w:u w:val="single"/>
          <w:lang w:val="es-US"/>
        </w:rPr>
      </w:pPr>
      <w:r w:rsidRPr="00282A68">
        <w:rPr>
          <w:u w:val="single"/>
          <w:lang w:val="es-US"/>
        </w:rPr>
        <w:t>Medida d(</w:t>
      </w:r>
      <w:proofErr w:type="spellStart"/>
      <w:r w:rsidRPr="00282A68">
        <w:rPr>
          <w:u w:val="single"/>
          <w:lang w:val="es-US"/>
        </w:rPr>
        <w:t>ii</w:t>
      </w:r>
      <w:proofErr w:type="spellEnd"/>
      <w:r w:rsidRPr="00282A68">
        <w:rPr>
          <w:u w:val="single"/>
          <w:lang w:val="es-US"/>
        </w:rPr>
        <w:t>) sugerida por el Comité</w:t>
      </w:r>
      <w:r w:rsidR="00443BDF" w:rsidRPr="00282A68">
        <w:rPr>
          <w:u w:val="single"/>
          <w:lang w:val="es-US"/>
        </w:rPr>
        <w:t>:</w:t>
      </w:r>
    </w:p>
    <w:p w14:paraId="44ED2ED6" w14:textId="77777777" w:rsidR="00443BDF" w:rsidRPr="00282A68" w:rsidRDefault="00443BDF" w:rsidP="00443BDF">
      <w:pPr>
        <w:pStyle w:val="ListParagraph"/>
        <w:rPr>
          <w:rFonts w:eastAsia="Times New Roman"/>
          <w:lang w:val="es-US"/>
        </w:rPr>
      </w:pPr>
    </w:p>
    <w:p w14:paraId="5A2AAD0B" w14:textId="46CF5CBA" w:rsidR="00443BDF" w:rsidRPr="00282A68" w:rsidRDefault="008E7706" w:rsidP="00443BDF">
      <w:pPr>
        <w:pStyle w:val="ListParagraph"/>
        <w:ind w:left="10"/>
        <w:jc w:val="both"/>
        <w:rPr>
          <w:i/>
          <w:iCs/>
          <w:lang w:val="es-US"/>
        </w:rPr>
      </w:pPr>
      <w:r w:rsidRPr="00282A68">
        <w:rPr>
          <w:i/>
          <w:iCs/>
          <w:lang w:val="es-US"/>
        </w:rPr>
        <w:t>Tácticas de investigación, tales como seguimiento de pagos, cruces de información y de cuentas, y solicitudes de información a entidades financieras, con el fin de establecer la ocurrencia de tales pagos</w:t>
      </w:r>
      <w:r w:rsidR="00443BDF" w:rsidRPr="00282A68">
        <w:rPr>
          <w:i/>
          <w:iCs/>
          <w:lang w:val="es-US"/>
        </w:rPr>
        <w:t>.</w:t>
      </w:r>
    </w:p>
    <w:p w14:paraId="323D6F04" w14:textId="77777777" w:rsidR="00443BDF" w:rsidRDefault="00443BDF" w:rsidP="00443BDF">
      <w:pPr>
        <w:pStyle w:val="ListParagraph"/>
        <w:ind w:left="10"/>
        <w:jc w:val="both"/>
        <w:rPr>
          <w:i/>
          <w:iCs/>
          <w:lang w:val="es-US"/>
        </w:rPr>
      </w:pPr>
    </w:p>
    <w:p w14:paraId="71AEAADF" w14:textId="3E29370B" w:rsidR="00443BDF" w:rsidRPr="00957A16" w:rsidRDefault="00D36A75" w:rsidP="00443BDF">
      <w:pPr>
        <w:pStyle w:val="ListParagraph"/>
        <w:numPr>
          <w:ilvl w:val="0"/>
          <w:numId w:val="1"/>
        </w:numPr>
        <w:jc w:val="both"/>
        <w:rPr>
          <w:rStyle w:val="FootnoteReference"/>
          <w:rFonts w:eastAsia="Times New Roman"/>
          <w:vertAlign w:val="baseline"/>
          <w:lang w:val="es-US"/>
        </w:rPr>
      </w:pPr>
      <w:r w:rsidRPr="00957A16">
        <w:rPr>
          <w:rFonts w:eastAsia="Times New Roman"/>
          <w:lang w:val="es-US"/>
        </w:rPr>
        <w:t>El Estado analizado, en su Respuesta, presentó información que estima pertinente en relación con la anterior medida</w:t>
      </w:r>
      <w:r w:rsidR="00443BDF" w:rsidRPr="00957A16">
        <w:rPr>
          <w:lang w:val="es-US"/>
        </w:rPr>
        <w:t>:</w:t>
      </w:r>
      <w:r w:rsidR="00443BDF" w:rsidRPr="00957A16">
        <w:rPr>
          <w:rStyle w:val="FootnoteReference"/>
          <w:lang w:val="es-US"/>
        </w:rPr>
        <w:t xml:space="preserve"> </w:t>
      </w:r>
      <w:r w:rsidR="00443BDF" w:rsidRPr="00957A16">
        <w:rPr>
          <w:rStyle w:val="FootnoteReference"/>
          <w:lang w:val="es-US"/>
        </w:rPr>
        <w:footnoteReference w:id="70"/>
      </w:r>
    </w:p>
    <w:p w14:paraId="66A2B88D" w14:textId="77777777" w:rsidR="00443BDF" w:rsidRPr="00957A16" w:rsidRDefault="00443BDF" w:rsidP="00443BDF">
      <w:pPr>
        <w:pStyle w:val="ListParagraph"/>
        <w:ind w:left="10"/>
        <w:jc w:val="both"/>
        <w:rPr>
          <w:rFonts w:eastAsia="Times New Roman"/>
          <w:lang w:val="es-US"/>
        </w:rPr>
      </w:pPr>
    </w:p>
    <w:p w14:paraId="49168EB8" w14:textId="2A468A57" w:rsidR="00AF6FC4" w:rsidRPr="00957A16" w:rsidRDefault="00AF6FC4" w:rsidP="00AF6FC4">
      <w:pPr>
        <w:pStyle w:val="ListParagraph"/>
        <w:numPr>
          <w:ilvl w:val="0"/>
          <w:numId w:val="1"/>
        </w:numPr>
        <w:jc w:val="both"/>
        <w:rPr>
          <w:rFonts w:eastAsia="Times New Roman"/>
          <w:lang w:val="es-US"/>
        </w:rPr>
      </w:pPr>
      <w:r w:rsidRPr="00957A16">
        <w:rPr>
          <w:rFonts w:eastAsia="Times New Roman"/>
          <w:lang w:val="es-US"/>
        </w:rPr>
        <w:t xml:space="preserve">En este sentido, el Estado analizado se remite a la información que suministró en relación con la medida d(i). </w:t>
      </w:r>
    </w:p>
    <w:p w14:paraId="016E0D40" w14:textId="77777777" w:rsidR="00AF6FC4" w:rsidRPr="00957A16" w:rsidRDefault="00AF6FC4" w:rsidP="00AF6FC4">
      <w:pPr>
        <w:pStyle w:val="ListParagraph"/>
        <w:rPr>
          <w:rFonts w:eastAsia="Times New Roman"/>
          <w:lang w:val="es-US"/>
        </w:rPr>
      </w:pPr>
    </w:p>
    <w:p w14:paraId="0792AD92" w14:textId="4E316D59" w:rsidR="002523D0" w:rsidRPr="00957A16" w:rsidRDefault="00AF6FC4" w:rsidP="00AF6FC4">
      <w:pPr>
        <w:pStyle w:val="ListParagraph"/>
        <w:numPr>
          <w:ilvl w:val="0"/>
          <w:numId w:val="1"/>
        </w:numPr>
        <w:jc w:val="both"/>
        <w:rPr>
          <w:rFonts w:eastAsia="Times New Roman"/>
          <w:lang w:val="es-US"/>
        </w:rPr>
      </w:pPr>
      <w:r w:rsidRPr="00957A16">
        <w:rPr>
          <w:rFonts w:eastAsia="Times New Roman"/>
          <w:lang w:val="es-US"/>
        </w:rPr>
        <w:t>El Comité observa que ya revisó y consideró la información proporcionada</w:t>
      </w:r>
      <w:r w:rsidR="00CC7073" w:rsidRPr="00957A16">
        <w:rPr>
          <w:rFonts w:eastAsia="Times New Roman"/>
          <w:lang w:val="es-US"/>
        </w:rPr>
        <w:t xml:space="preserve"> en el Informe de la Tercera Ronda</w:t>
      </w:r>
      <w:r w:rsidR="002523D0" w:rsidRPr="00957A16">
        <w:rPr>
          <w:rFonts w:eastAsia="Times New Roman"/>
          <w:lang w:val="es-US"/>
        </w:rPr>
        <w:t>.</w:t>
      </w:r>
      <w:r w:rsidR="002523D0" w:rsidRPr="00957A16">
        <w:rPr>
          <w:rStyle w:val="FootnoteReference"/>
          <w:rFonts w:eastAsia="Times New Roman"/>
          <w:lang w:val="es-US"/>
        </w:rPr>
        <w:footnoteReference w:id="71"/>
      </w:r>
    </w:p>
    <w:p w14:paraId="21197981" w14:textId="77777777" w:rsidR="002523D0" w:rsidRPr="00282A68" w:rsidRDefault="002523D0" w:rsidP="002523D0">
      <w:pPr>
        <w:pStyle w:val="ListParagraph"/>
        <w:rPr>
          <w:rFonts w:eastAsia="Times New Roman"/>
          <w:lang w:val="es-US"/>
        </w:rPr>
      </w:pPr>
    </w:p>
    <w:p w14:paraId="50CAFE1A" w14:textId="4D54EA75" w:rsidR="002523D0" w:rsidRPr="00282A68" w:rsidRDefault="006B213F" w:rsidP="002523D0">
      <w:pPr>
        <w:pStyle w:val="ListParagraph"/>
        <w:numPr>
          <w:ilvl w:val="0"/>
          <w:numId w:val="1"/>
        </w:numPr>
        <w:jc w:val="both"/>
        <w:rPr>
          <w:rFonts w:eastAsia="Times New Roman"/>
          <w:lang w:val="es-US"/>
        </w:rPr>
      </w:pPr>
      <w:bookmarkStart w:id="17" w:name="_Hlk156397721"/>
      <w:r w:rsidRPr="00282A68">
        <w:rPr>
          <w:rFonts w:eastAsia="Times New Roman"/>
          <w:lang w:val="es-US"/>
        </w:rPr>
        <w:t>En vista de lo anterior, el Comité toma nota de la necesidad de que el Estado analizado preste atención a la implementación de la medida d(</w:t>
      </w:r>
      <w:proofErr w:type="spellStart"/>
      <w:r w:rsidR="00035948" w:rsidRPr="00282A68">
        <w:rPr>
          <w:rFonts w:eastAsia="Times New Roman"/>
          <w:lang w:val="es-US"/>
        </w:rPr>
        <w:t>i</w:t>
      </w:r>
      <w:r w:rsidRPr="00282A68">
        <w:rPr>
          <w:rFonts w:eastAsia="Times New Roman"/>
          <w:lang w:val="es-US"/>
        </w:rPr>
        <w:t>i</w:t>
      </w:r>
      <w:proofErr w:type="spellEnd"/>
      <w:r w:rsidRPr="00282A68">
        <w:rPr>
          <w:rFonts w:eastAsia="Times New Roman"/>
          <w:lang w:val="es-US"/>
        </w:rPr>
        <w:t xml:space="preserve">), </w:t>
      </w:r>
      <w:r w:rsidR="008966A3" w:rsidRPr="008966A3">
        <w:rPr>
          <w:rFonts w:eastAsia="Times New Roman"/>
          <w:lang w:val="es-US"/>
        </w:rPr>
        <w:t xml:space="preserve">en lo que respecta a los auditores del sector privado, </w:t>
      </w:r>
      <w:r w:rsidR="00CC7073">
        <w:rPr>
          <w:rFonts w:eastAsia="Times New Roman"/>
          <w:lang w:val="es-US"/>
        </w:rPr>
        <w:t>considerando</w:t>
      </w:r>
      <w:r w:rsidRPr="00282A68">
        <w:rPr>
          <w:rFonts w:eastAsia="Times New Roman"/>
          <w:lang w:val="es-US"/>
        </w:rPr>
        <w:t xml:space="preserve"> que no se han reportado </w:t>
      </w:r>
      <w:r w:rsidRPr="00CC7073">
        <w:rPr>
          <w:rFonts w:eastAsia="Times New Roman"/>
          <w:lang w:val="es-US"/>
        </w:rPr>
        <w:t xml:space="preserve">desarrollos </w:t>
      </w:r>
      <w:r w:rsidR="00CC7073" w:rsidRPr="00CC7073">
        <w:rPr>
          <w:rFonts w:eastAsia="Times New Roman"/>
          <w:lang w:val="es-US"/>
        </w:rPr>
        <w:t xml:space="preserve">adicionales en relación con la implementación de </w:t>
      </w:r>
      <w:proofErr w:type="gramStart"/>
      <w:r w:rsidR="00CC7073" w:rsidRPr="00CC7073">
        <w:rPr>
          <w:rFonts w:eastAsia="Times New Roman"/>
          <w:lang w:val="es-US"/>
        </w:rPr>
        <w:t>la misma</w:t>
      </w:r>
      <w:proofErr w:type="gramEnd"/>
      <w:r w:rsidRPr="00282A68">
        <w:rPr>
          <w:rFonts w:eastAsia="Times New Roman"/>
          <w:lang w:val="es-US"/>
        </w:rPr>
        <w:t xml:space="preserve">. Esta medida se reformulará con el fin de aclarar mejor su alcance y contenido. (Véase la Recomendación 2.4.3 de la sección 2.4 del </w:t>
      </w:r>
      <w:r w:rsidRPr="00282A68">
        <w:rPr>
          <w:rFonts w:eastAsia="Times New Roman"/>
          <w:bCs/>
          <w:iCs/>
          <w:lang w:val="es-US"/>
        </w:rPr>
        <w:t>Capítulo</w:t>
      </w:r>
      <w:r w:rsidRPr="00282A68">
        <w:rPr>
          <w:rFonts w:eastAsia="Times New Roman"/>
          <w:lang w:val="es-US"/>
        </w:rPr>
        <w:t xml:space="preserve"> II del presente Informe)</w:t>
      </w:r>
      <w:bookmarkEnd w:id="17"/>
    </w:p>
    <w:p w14:paraId="5F3D628F" w14:textId="77777777" w:rsidR="002523D0" w:rsidRPr="00282A68" w:rsidRDefault="002523D0" w:rsidP="002523D0">
      <w:pPr>
        <w:pStyle w:val="ListParagraph"/>
        <w:rPr>
          <w:rFonts w:eastAsia="Times New Roman"/>
          <w:lang w:val="es-US"/>
        </w:rPr>
      </w:pPr>
    </w:p>
    <w:p w14:paraId="22A7EA1E" w14:textId="162B3C24" w:rsidR="002523D0" w:rsidRPr="00282A68" w:rsidRDefault="002D6B5B" w:rsidP="002523D0">
      <w:pPr>
        <w:jc w:val="both"/>
        <w:rPr>
          <w:rStyle w:val="normaltextrun"/>
          <w:sz w:val="22"/>
          <w:szCs w:val="22"/>
          <w:u w:val="single"/>
          <w:lang w:val="es-US"/>
        </w:rPr>
      </w:pPr>
      <w:r w:rsidRPr="00282A68">
        <w:rPr>
          <w:rStyle w:val="normaltextrun"/>
          <w:sz w:val="22"/>
          <w:szCs w:val="22"/>
          <w:u w:val="single"/>
          <w:lang w:val="es-US"/>
        </w:rPr>
        <w:t xml:space="preserve">Medida </w:t>
      </w:r>
      <w:r w:rsidR="002523D0" w:rsidRPr="00282A68">
        <w:rPr>
          <w:rStyle w:val="normaltextrun"/>
          <w:sz w:val="22"/>
          <w:szCs w:val="22"/>
          <w:u w:val="single"/>
          <w:lang w:val="es-US"/>
        </w:rPr>
        <w:t>(d):</w:t>
      </w:r>
    </w:p>
    <w:p w14:paraId="1ECD3B7F" w14:textId="77777777" w:rsidR="002523D0" w:rsidRPr="00282A68" w:rsidRDefault="002523D0" w:rsidP="002523D0">
      <w:pPr>
        <w:jc w:val="both"/>
        <w:rPr>
          <w:rStyle w:val="normaltextrun"/>
          <w:sz w:val="22"/>
          <w:szCs w:val="22"/>
          <w:u w:val="single"/>
          <w:lang w:val="es-US"/>
        </w:rPr>
      </w:pPr>
    </w:p>
    <w:p w14:paraId="42702C43" w14:textId="09D2D36C" w:rsidR="002523D0" w:rsidRPr="00282A68" w:rsidRDefault="002D6B5B" w:rsidP="002523D0">
      <w:pPr>
        <w:pStyle w:val="ListParagraph"/>
        <w:ind w:left="10"/>
        <w:jc w:val="both"/>
        <w:rPr>
          <w:i/>
          <w:iCs/>
          <w:lang w:val="es-US"/>
        </w:rPr>
      </w:pPr>
      <w:r w:rsidRPr="00282A68">
        <w:rPr>
          <w:i/>
          <w:iCs/>
          <w:lang w:val="es-US"/>
        </w:rPr>
        <w:t>Considerar continuar la adopción y aplicación de los instrumentos necesarios para facilitar a los órganos y entidades responsables de prevenir y/o investigar el incumplimiento de las medidas orientadas a garantizar la exactitud de los registros contables, la detección de sumas pagadas por actos de corrupción ocultas en esos registros, tales como las siguientes</w:t>
      </w:r>
      <w:r w:rsidR="002523D0" w:rsidRPr="00282A68">
        <w:rPr>
          <w:i/>
          <w:iCs/>
          <w:lang w:val="es-US"/>
        </w:rPr>
        <w:t>:</w:t>
      </w:r>
    </w:p>
    <w:p w14:paraId="645ED7DC" w14:textId="77777777" w:rsidR="002523D0" w:rsidRPr="00282A68" w:rsidRDefault="002523D0" w:rsidP="002523D0">
      <w:pPr>
        <w:pStyle w:val="ListParagraph"/>
        <w:ind w:left="10"/>
        <w:jc w:val="both"/>
        <w:rPr>
          <w:i/>
          <w:iCs/>
          <w:lang w:val="es-US"/>
        </w:rPr>
      </w:pPr>
    </w:p>
    <w:p w14:paraId="258C04BD" w14:textId="37A4B187" w:rsidR="002523D0" w:rsidRPr="00282A68" w:rsidRDefault="002D6B5B" w:rsidP="002523D0">
      <w:pPr>
        <w:pStyle w:val="ListParagraph"/>
        <w:ind w:left="10"/>
        <w:jc w:val="both"/>
        <w:rPr>
          <w:u w:val="single"/>
          <w:lang w:val="es-US"/>
        </w:rPr>
      </w:pPr>
      <w:r w:rsidRPr="00282A68">
        <w:rPr>
          <w:u w:val="single"/>
          <w:lang w:val="es-US"/>
        </w:rPr>
        <w:t>Medida d(</w:t>
      </w:r>
      <w:proofErr w:type="spellStart"/>
      <w:r w:rsidRPr="00282A68">
        <w:rPr>
          <w:u w:val="single"/>
          <w:lang w:val="es-US"/>
        </w:rPr>
        <w:t>iii</w:t>
      </w:r>
      <w:proofErr w:type="spellEnd"/>
      <w:r w:rsidRPr="00282A68">
        <w:rPr>
          <w:u w:val="single"/>
          <w:lang w:val="es-US"/>
        </w:rPr>
        <w:t>) sugerida por el Comité</w:t>
      </w:r>
      <w:r w:rsidR="002523D0" w:rsidRPr="00282A68">
        <w:rPr>
          <w:u w:val="single"/>
          <w:lang w:val="es-US"/>
        </w:rPr>
        <w:t>:</w:t>
      </w:r>
    </w:p>
    <w:p w14:paraId="079E9D22" w14:textId="77777777" w:rsidR="002523D0" w:rsidRPr="00282A68" w:rsidRDefault="002523D0" w:rsidP="002523D0">
      <w:pPr>
        <w:pStyle w:val="ListParagraph"/>
        <w:rPr>
          <w:rFonts w:eastAsia="Times New Roman"/>
          <w:lang w:val="es-US"/>
        </w:rPr>
      </w:pPr>
    </w:p>
    <w:p w14:paraId="6AFEC5FD" w14:textId="74E737E6" w:rsidR="002523D0" w:rsidRPr="00282A68" w:rsidRDefault="00E0228D" w:rsidP="002523D0">
      <w:pPr>
        <w:pStyle w:val="ListParagraph"/>
        <w:ind w:left="10"/>
        <w:jc w:val="both"/>
        <w:rPr>
          <w:i/>
          <w:iCs/>
          <w:lang w:val="es-US"/>
        </w:rPr>
      </w:pPr>
      <w:bookmarkStart w:id="18" w:name="_Hlk156408004"/>
      <w:r w:rsidRPr="00282A68">
        <w:rPr>
          <w:i/>
          <w:iCs/>
          <w:lang w:val="es-US"/>
        </w:rPr>
        <w:t>Manuales, guías o lineamientos que orienten a los órganos y entidades de control que aún no los tengan, sobre la manera de examinar registros contables a fin de detectar sumas pagadas por corrupción</w:t>
      </w:r>
      <w:bookmarkEnd w:id="18"/>
      <w:r w:rsidR="002523D0" w:rsidRPr="00282A68">
        <w:rPr>
          <w:i/>
          <w:iCs/>
          <w:lang w:val="es-US"/>
        </w:rPr>
        <w:t>.</w:t>
      </w:r>
    </w:p>
    <w:p w14:paraId="4AFE744B" w14:textId="77777777" w:rsidR="002523D0" w:rsidRPr="00282A68" w:rsidRDefault="002523D0" w:rsidP="002523D0">
      <w:pPr>
        <w:pStyle w:val="ListParagraph"/>
        <w:ind w:left="10"/>
        <w:jc w:val="both"/>
        <w:rPr>
          <w:i/>
          <w:iCs/>
          <w:lang w:val="es-US"/>
        </w:rPr>
      </w:pPr>
    </w:p>
    <w:p w14:paraId="5B0162EF" w14:textId="68E782AA" w:rsidR="002523D0" w:rsidRPr="00282A68" w:rsidRDefault="00E0228D" w:rsidP="002561AD">
      <w:pPr>
        <w:pStyle w:val="ListParagraph"/>
        <w:numPr>
          <w:ilvl w:val="0"/>
          <w:numId w:val="1"/>
        </w:numPr>
        <w:jc w:val="both"/>
        <w:rPr>
          <w:lang w:val="es-US"/>
        </w:rPr>
      </w:pPr>
      <w:r w:rsidRPr="00282A68">
        <w:rPr>
          <w:rFonts w:eastAsia="Times New Roman"/>
          <w:lang w:val="es-US"/>
        </w:rPr>
        <w:t>El Estado analizado, en su Respuesta, presentó información que estima pertinente en relación con la anterior medida</w:t>
      </w:r>
      <w:r w:rsidR="002523D0" w:rsidRPr="00282A68">
        <w:rPr>
          <w:lang w:val="es-US"/>
        </w:rPr>
        <w:t>:</w:t>
      </w:r>
      <w:r w:rsidR="002523D0" w:rsidRPr="00282A68">
        <w:rPr>
          <w:rStyle w:val="FootnoteReference"/>
          <w:lang w:val="es-US"/>
        </w:rPr>
        <w:footnoteReference w:id="72"/>
      </w:r>
    </w:p>
    <w:p w14:paraId="25CC8B49" w14:textId="77777777" w:rsidR="00B4008A" w:rsidRPr="00282A68" w:rsidRDefault="00B4008A" w:rsidP="00B4008A">
      <w:pPr>
        <w:pStyle w:val="ListParagraph"/>
        <w:ind w:left="10"/>
        <w:jc w:val="both"/>
        <w:rPr>
          <w:lang w:val="es-US"/>
        </w:rPr>
      </w:pPr>
    </w:p>
    <w:p w14:paraId="67B0148E" w14:textId="2D6297B2" w:rsidR="00AE6886" w:rsidRPr="00957A16" w:rsidRDefault="00B4008A" w:rsidP="00AE6886">
      <w:pPr>
        <w:pStyle w:val="ListParagraph"/>
        <w:numPr>
          <w:ilvl w:val="0"/>
          <w:numId w:val="1"/>
        </w:numPr>
        <w:jc w:val="both"/>
        <w:rPr>
          <w:lang w:val="es-US"/>
        </w:rPr>
      </w:pPr>
      <w:r w:rsidRPr="00957A16">
        <w:rPr>
          <w:lang w:val="es-US"/>
        </w:rPr>
        <w:t xml:space="preserve">– </w:t>
      </w:r>
      <w:r w:rsidR="00AE6886" w:rsidRPr="00957A16">
        <w:rPr>
          <w:lang w:val="es-US"/>
        </w:rPr>
        <w:t xml:space="preserve">El </w:t>
      </w:r>
      <w:r w:rsidR="00CC7073" w:rsidRPr="00957A16">
        <w:rPr>
          <w:lang w:val="es-US"/>
        </w:rPr>
        <w:t xml:space="preserve">Estado analizado </w:t>
      </w:r>
      <w:r w:rsidR="00AE6886" w:rsidRPr="00957A16">
        <w:rPr>
          <w:lang w:val="es-US"/>
        </w:rPr>
        <w:t xml:space="preserve">señala que todas las empresas públicas en Estados Unidos deben presentar estados financieros elaborados de conformidad con los Principios de Contabilidad Generalmente Aceptados en Estados Unidos (GAAP). Observa también que estos principios se encuentran entre los más completos del mundo y exigen la contabilidad de todos los activos, pasivos, ingresos y gastos, así como amplia información sobre las operaciones y la situación financiera de la empresa. Dado que los estados financieros deben ser completos y representar fielmente la situación financiera de la empresa de acuerdo con los GAAP, cualquier pago a funcionarios de gobiernos extranjeros debe contabilizarse adecuadamente en los libros, registros y estados financieros de una empresa. </w:t>
      </w:r>
    </w:p>
    <w:p w14:paraId="6911742F" w14:textId="77777777" w:rsidR="00AE6886" w:rsidRPr="00957A16" w:rsidRDefault="00AE6886" w:rsidP="00AE6886">
      <w:pPr>
        <w:pStyle w:val="ListParagraph"/>
        <w:ind w:left="10"/>
        <w:rPr>
          <w:lang w:val="es-US"/>
        </w:rPr>
      </w:pPr>
    </w:p>
    <w:p w14:paraId="78D837A9" w14:textId="7BD4F1D1" w:rsidR="009C1FC0" w:rsidRPr="00957A16" w:rsidRDefault="00AE6886" w:rsidP="00AE6886">
      <w:pPr>
        <w:pStyle w:val="ListParagraph"/>
        <w:numPr>
          <w:ilvl w:val="0"/>
          <w:numId w:val="1"/>
        </w:numPr>
        <w:jc w:val="both"/>
        <w:rPr>
          <w:lang w:val="es-US"/>
        </w:rPr>
      </w:pPr>
      <w:r w:rsidRPr="00957A16">
        <w:rPr>
          <w:lang w:val="es-US"/>
        </w:rPr>
        <w:t>El Estado analizado también hace referencia a las normas de la SEC que exigen que los emisores se sometan a una auditoría externa anual de sus estados financieros y pongan esos estados financieros auditados a disposición del público sometiéndolos ante la SEC.</w:t>
      </w:r>
      <w:r w:rsidR="005B6FF7" w:rsidRPr="001B3094">
        <w:rPr>
          <w:rStyle w:val="FootnoteReference"/>
          <w:b/>
          <w:bCs/>
          <w:u w:val="single"/>
          <w:lang w:val="es-US"/>
        </w:rPr>
        <w:footnoteReference w:id="73"/>
      </w:r>
      <w:r w:rsidRPr="00957A16">
        <w:rPr>
          <w:lang w:val="es-US"/>
        </w:rPr>
        <w:t xml:space="preserve"> En este sentido, las normas de la SEC y las normas y estándares establecidos por el PCAOB bajo la supervisión de la SEC exigen que los auditores externos sean independientes de las empresas que auditan y que cumplan con las normas y estándares establecidos por el PCAOB cuando realizan una auditoría de una empresa pública. El Estado analizado indicó además que</w:t>
      </w:r>
      <w:r w:rsidR="009C1FC0" w:rsidRPr="00957A16">
        <w:rPr>
          <w:rStyle w:val="FootnoteReference"/>
          <w:lang w:val="es-US"/>
        </w:rPr>
        <w:footnoteReference w:id="74"/>
      </w:r>
      <w:r w:rsidR="00C069EF" w:rsidRPr="00957A16">
        <w:rPr>
          <w:lang w:val="es-US"/>
        </w:rPr>
        <w:t>:</w:t>
      </w:r>
    </w:p>
    <w:p w14:paraId="19DC5232" w14:textId="77777777" w:rsidR="009C1FC0" w:rsidRPr="00957A16" w:rsidRDefault="009C1FC0" w:rsidP="009C1FC0">
      <w:pPr>
        <w:pStyle w:val="ListParagraph"/>
        <w:ind w:left="10"/>
        <w:jc w:val="both"/>
        <w:rPr>
          <w:lang w:val="es-US"/>
        </w:rPr>
      </w:pPr>
    </w:p>
    <w:p w14:paraId="691A4DAE" w14:textId="14E85AC4" w:rsidR="002561AD" w:rsidRPr="00957A16" w:rsidRDefault="009C1FC0" w:rsidP="009C1FC0">
      <w:pPr>
        <w:pStyle w:val="ListParagraph"/>
        <w:numPr>
          <w:ilvl w:val="0"/>
          <w:numId w:val="1"/>
        </w:numPr>
        <w:jc w:val="both"/>
        <w:rPr>
          <w:lang w:val="es-US"/>
        </w:rPr>
      </w:pPr>
      <w:r w:rsidRPr="00957A16">
        <w:rPr>
          <w:lang w:val="es-US"/>
        </w:rPr>
        <w:t>“</w:t>
      </w:r>
      <w:r w:rsidR="00934191" w:rsidRPr="00957A16">
        <w:rPr>
          <w:i/>
          <w:iCs/>
          <w:lang w:val="es-US"/>
        </w:rPr>
        <w:t>Los estándares de auditoría regulan, por ejemplo, la responsabilidad del auditor en relación con errores materiales, irregularidades o actos ilegales cometidos por un cliente y sus ejecutivos, directores y empleados. Además, como parte de su auditoría, el auditor tiene la responsabilidad de comprender mejor los controles internos sobre la información financiera de una entidad y debe comunicar a la dirección y al comité de auditoría todas las deficiencias significativas y debilidades materiales que identifique durante la auditoría</w:t>
      </w:r>
      <w:r w:rsidR="002561AD" w:rsidRPr="00957A16">
        <w:rPr>
          <w:lang w:val="es-US"/>
        </w:rPr>
        <w:t>.</w:t>
      </w:r>
      <w:r w:rsidRPr="00957A16">
        <w:rPr>
          <w:lang w:val="es-US"/>
        </w:rPr>
        <w:t>”</w:t>
      </w:r>
    </w:p>
    <w:p w14:paraId="3122F650" w14:textId="77777777" w:rsidR="002561AD" w:rsidRPr="00957A16" w:rsidRDefault="002561AD" w:rsidP="002561AD">
      <w:pPr>
        <w:pStyle w:val="ListParagraph"/>
        <w:jc w:val="both"/>
        <w:rPr>
          <w:color w:val="2F5496" w:themeColor="accent1" w:themeShade="BF"/>
          <w:lang w:val="es-US" w:eastAsia="fr-CA"/>
        </w:rPr>
      </w:pPr>
    </w:p>
    <w:p w14:paraId="25501655" w14:textId="657AFE64" w:rsidR="002561AD" w:rsidRPr="00957A16" w:rsidRDefault="00455154" w:rsidP="00B31B11">
      <w:pPr>
        <w:pStyle w:val="ListParagraph"/>
        <w:numPr>
          <w:ilvl w:val="0"/>
          <w:numId w:val="1"/>
        </w:numPr>
        <w:jc w:val="both"/>
        <w:rPr>
          <w:lang w:val="es-US"/>
        </w:rPr>
      </w:pPr>
      <w:r w:rsidRPr="00957A16">
        <w:rPr>
          <w:lang w:val="es-US"/>
        </w:rPr>
        <w:t xml:space="preserve">El Estado analizado señala además que, </w:t>
      </w:r>
      <w:r w:rsidRPr="00957A16">
        <w:rPr>
          <w:bCs/>
          <w:iCs/>
          <w:lang w:val="es-US"/>
        </w:rPr>
        <w:t xml:space="preserve">conforme a </w:t>
      </w:r>
      <w:r w:rsidRPr="00957A16">
        <w:rPr>
          <w:lang w:val="es-US"/>
        </w:rPr>
        <w:t>la sección 10A de la Ley de Bolsa, los auditores independientes que descubran un acto ilegal, como el pago de sobornos a funcionarios públicos nacionales o extranjeros, tienen ciertas obligaciones en relación con sus auditorías de empresas públicas, que exigen que los auditores que tengan conocimiento de actos ilegales lo informen a los niveles apropiados dentro de la empresa y, si esta no toma las medidas apropiadas, lo notifiquen a la SEC</w:t>
      </w:r>
      <w:r w:rsidR="002561AD" w:rsidRPr="00957A16">
        <w:rPr>
          <w:lang w:val="es-US"/>
        </w:rPr>
        <w:t>.</w:t>
      </w:r>
    </w:p>
    <w:p w14:paraId="6A7747CD" w14:textId="77777777" w:rsidR="00B31B11" w:rsidRPr="00957A16" w:rsidRDefault="00B31B11" w:rsidP="00B31B11">
      <w:pPr>
        <w:pStyle w:val="ListParagraph"/>
        <w:rPr>
          <w:lang w:val="es-US"/>
        </w:rPr>
      </w:pPr>
    </w:p>
    <w:p w14:paraId="4F682C46" w14:textId="3A62640D" w:rsidR="00B31B11" w:rsidRPr="00957A16" w:rsidRDefault="006A7965" w:rsidP="00B31B11">
      <w:pPr>
        <w:pStyle w:val="ListParagraph"/>
        <w:numPr>
          <w:ilvl w:val="0"/>
          <w:numId w:val="1"/>
        </w:numPr>
        <w:jc w:val="both"/>
        <w:rPr>
          <w:lang w:val="es-US"/>
        </w:rPr>
      </w:pPr>
      <w:r w:rsidRPr="00957A16">
        <w:rPr>
          <w:rFonts w:eastAsia="Times New Roman"/>
          <w:lang w:val="es-US"/>
        </w:rPr>
        <w:t>El Comité observa que ya revisó y consideró las disposiciones proporcionadas</w:t>
      </w:r>
      <w:r w:rsidR="00EC0142" w:rsidRPr="00957A16">
        <w:rPr>
          <w:rFonts w:eastAsia="Times New Roman"/>
          <w:lang w:val="es-US"/>
        </w:rPr>
        <w:t xml:space="preserve"> en el Informe de la Tercera Ronda</w:t>
      </w:r>
      <w:r w:rsidR="00B31B11" w:rsidRPr="00957A16">
        <w:rPr>
          <w:rStyle w:val="FootnoteReference"/>
          <w:rFonts w:eastAsia="Times New Roman"/>
          <w:lang w:val="es-US"/>
        </w:rPr>
        <w:footnoteReference w:id="75"/>
      </w:r>
      <w:r w:rsidRPr="00957A16">
        <w:rPr>
          <w:rFonts w:eastAsia="Times New Roman"/>
          <w:lang w:val="es-US"/>
        </w:rPr>
        <w:t>.</w:t>
      </w:r>
      <w:r w:rsidR="00B31B11" w:rsidRPr="00957A16">
        <w:rPr>
          <w:lang w:val="es-US"/>
        </w:rPr>
        <w:t xml:space="preserve"> </w:t>
      </w:r>
    </w:p>
    <w:p w14:paraId="4109474E" w14:textId="77777777" w:rsidR="004A6D31" w:rsidRPr="00282A68" w:rsidRDefault="004A6D31" w:rsidP="004A6D31">
      <w:pPr>
        <w:pStyle w:val="ListParagraph"/>
        <w:rPr>
          <w:lang w:val="es-US"/>
        </w:rPr>
      </w:pPr>
    </w:p>
    <w:p w14:paraId="55B94E9A" w14:textId="2FBB9217" w:rsidR="004A6D31" w:rsidRPr="00282A68" w:rsidRDefault="00035948" w:rsidP="00B31B11">
      <w:pPr>
        <w:pStyle w:val="ListParagraph"/>
        <w:numPr>
          <w:ilvl w:val="0"/>
          <w:numId w:val="1"/>
        </w:numPr>
        <w:jc w:val="both"/>
        <w:rPr>
          <w:lang w:val="es-US"/>
        </w:rPr>
      </w:pPr>
      <w:r w:rsidRPr="00282A68">
        <w:rPr>
          <w:rFonts w:eastAsia="Times New Roman"/>
          <w:lang w:val="es-US"/>
        </w:rPr>
        <w:t>En vista de lo anterior, el Comité toma nota de la necesidad de que el Estado analizado preste atención a la implementación de la medida d(</w:t>
      </w:r>
      <w:proofErr w:type="spellStart"/>
      <w:r w:rsidRPr="00282A68">
        <w:rPr>
          <w:rFonts w:eastAsia="Times New Roman"/>
          <w:lang w:val="es-US"/>
        </w:rPr>
        <w:t>iii</w:t>
      </w:r>
      <w:proofErr w:type="spellEnd"/>
      <w:r w:rsidRPr="00282A68">
        <w:rPr>
          <w:rFonts w:eastAsia="Times New Roman"/>
          <w:lang w:val="es-US"/>
        </w:rPr>
        <w:t xml:space="preserve">), </w:t>
      </w:r>
      <w:r w:rsidR="00EC0142">
        <w:rPr>
          <w:rFonts w:eastAsia="Times New Roman"/>
          <w:lang w:val="es-US"/>
        </w:rPr>
        <w:t>considerando</w:t>
      </w:r>
      <w:r w:rsidRPr="00282A68">
        <w:rPr>
          <w:rFonts w:eastAsia="Times New Roman"/>
          <w:lang w:val="es-US"/>
        </w:rPr>
        <w:t xml:space="preserve"> que no se han reportado </w:t>
      </w:r>
      <w:r w:rsidR="00EC0142" w:rsidRPr="00CC7073">
        <w:rPr>
          <w:rFonts w:eastAsia="Times New Roman"/>
          <w:lang w:val="es-US"/>
        </w:rPr>
        <w:t xml:space="preserve">desarrollos adicionales en relación con la implementación de </w:t>
      </w:r>
      <w:proofErr w:type="gramStart"/>
      <w:r w:rsidR="00EC0142" w:rsidRPr="00CC7073">
        <w:rPr>
          <w:rFonts w:eastAsia="Times New Roman"/>
          <w:lang w:val="es-US"/>
        </w:rPr>
        <w:t>la misma</w:t>
      </w:r>
      <w:proofErr w:type="gramEnd"/>
      <w:r w:rsidRPr="00282A68">
        <w:rPr>
          <w:rFonts w:eastAsia="Times New Roman"/>
          <w:lang w:val="es-US"/>
        </w:rPr>
        <w:t xml:space="preserve">. Esta medida se reformulará con el fin de aclarar mejor su alcance y contenido. (Véase la Recomendación 2.4.4 de la sección 2.4 del </w:t>
      </w:r>
      <w:r w:rsidRPr="00282A68">
        <w:rPr>
          <w:rFonts w:eastAsia="Times New Roman"/>
          <w:bCs/>
          <w:iCs/>
          <w:lang w:val="es-US"/>
        </w:rPr>
        <w:t>Capítulo</w:t>
      </w:r>
      <w:r w:rsidRPr="00282A68">
        <w:rPr>
          <w:rFonts w:eastAsia="Times New Roman"/>
          <w:lang w:val="es-US"/>
        </w:rPr>
        <w:t xml:space="preserve"> II del presente Informe)</w:t>
      </w:r>
    </w:p>
    <w:p w14:paraId="70A4DA97" w14:textId="77777777" w:rsidR="004A6D31" w:rsidRPr="00282A68" w:rsidRDefault="004A6D31" w:rsidP="004A6D31">
      <w:pPr>
        <w:pStyle w:val="ListParagraph"/>
        <w:rPr>
          <w:lang w:val="es-US"/>
        </w:rPr>
      </w:pPr>
    </w:p>
    <w:p w14:paraId="2F477325" w14:textId="0C0CC483" w:rsidR="004A6D31" w:rsidRPr="00282A68" w:rsidRDefault="002D6B5B" w:rsidP="004A6D31">
      <w:pPr>
        <w:jc w:val="both"/>
        <w:rPr>
          <w:rStyle w:val="normaltextrun"/>
          <w:sz w:val="22"/>
          <w:szCs w:val="22"/>
          <w:u w:val="single"/>
          <w:lang w:val="es-US"/>
        </w:rPr>
      </w:pPr>
      <w:r w:rsidRPr="00282A68">
        <w:rPr>
          <w:rStyle w:val="normaltextrun"/>
          <w:sz w:val="22"/>
          <w:szCs w:val="22"/>
          <w:u w:val="single"/>
          <w:lang w:val="es-US"/>
        </w:rPr>
        <w:t>Medida</w:t>
      </w:r>
      <w:r w:rsidR="0043304D" w:rsidRPr="00282A68">
        <w:rPr>
          <w:rStyle w:val="normaltextrun"/>
          <w:sz w:val="22"/>
          <w:szCs w:val="22"/>
          <w:u w:val="single"/>
          <w:lang w:val="es-US"/>
        </w:rPr>
        <w:t xml:space="preserve"> (</w:t>
      </w:r>
      <w:r w:rsidR="004A6D31" w:rsidRPr="00282A68">
        <w:rPr>
          <w:rStyle w:val="normaltextrun"/>
          <w:sz w:val="22"/>
          <w:szCs w:val="22"/>
          <w:u w:val="single"/>
          <w:lang w:val="es-US"/>
        </w:rPr>
        <w:t>d):</w:t>
      </w:r>
    </w:p>
    <w:p w14:paraId="63193186" w14:textId="77777777" w:rsidR="004A6D31" w:rsidRPr="00282A68" w:rsidRDefault="004A6D31" w:rsidP="004A6D31">
      <w:pPr>
        <w:jc w:val="both"/>
        <w:rPr>
          <w:rStyle w:val="normaltextrun"/>
          <w:sz w:val="22"/>
          <w:szCs w:val="22"/>
          <w:u w:val="single"/>
          <w:lang w:val="es-US"/>
        </w:rPr>
      </w:pPr>
    </w:p>
    <w:p w14:paraId="588DCEC6" w14:textId="340E7BAB" w:rsidR="004A6D31" w:rsidRPr="00282A68" w:rsidRDefault="002D6B5B" w:rsidP="004A6D31">
      <w:pPr>
        <w:pStyle w:val="ListParagraph"/>
        <w:ind w:left="10"/>
        <w:jc w:val="both"/>
        <w:rPr>
          <w:i/>
          <w:iCs/>
          <w:lang w:val="es-US"/>
        </w:rPr>
      </w:pPr>
      <w:r w:rsidRPr="00282A68">
        <w:rPr>
          <w:i/>
          <w:iCs/>
          <w:lang w:val="es-US"/>
        </w:rPr>
        <w:t>Considerar continuar la adopción y aplicación de los instrumentos necesarios para facilitar a los órganos y entidades responsables de prevenir y/o investigar el incumplimiento de las medidas orientadas a garantizar la exactitud de los registros contables, la detección de sumas pagadas por actos de corrupción ocultas en esos registros, tales como las siguientes</w:t>
      </w:r>
      <w:r w:rsidR="004A6D31" w:rsidRPr="00282A68">
        <w:rPr>
          <w:i/>
          <w:iCs/>
          <w:lang w:val="es-US"/>
        </w:rPr>
        <w:t>:</w:t>
      </w:r>
    </w:p>
    <w:p w14:paraId="53426DC0" w14:textId="77777777" w:rsidR="004A6D31" w:rsidRPr="00282A68" w:rsidRDefault="004A6D31" w:rsidP="004A6D31">
      <w:pPr>
        <w:pStyle w:val="ListParagraph"/>
        <w:ind w:left="10"/>
        <w:jc w:val="both"/>
        <w:rPr>
          <w:i/>
          <w:iCs/>
          <w:lang w:val="es-US"/>
        </w:rPr>
      </w:pPr>
    </w:p>
    <w:p w14:paraId="36794733" w14:textId="651D46C8" w:rsidR="004A6D31" w:rsidRPr="00282A68" w:rsidRDefault="002D6B5B" w:rsidP="004A6D31">
      <w:pPr>
        <w:pStyle w:val="ListParagraph"/>
        <w:ind w:left="10"/>
        <w:jc w:val="both"/>
        <w:rPr>
          <w:u w:val="single"/>
          <w:lang w:val="es-US"/>
        </w:rPr>
      </w:pPr>
      <w:r w:rsidRPr="00282A68">
        <w:rPr>
          <w:u w:val="single"/>
          <w:lang w:val="es-US"/>
        </w:rPr>
        <w:t>Medida d(</w:t>
      </w:r>
      <w:proofErr w:type="spellStart"/>
      <w:r w:rsidRPr="00282A68">
        <w:rPr>
          <w:u w:val="single"/>
          <w:lang w:val="es-US"/>
        </w:rPr>
        <w:t>iv</w:t>
      </w:r>
      <w:proofErr w:type="spellEnd"/>
      <w:r w:rsidRPr="00282A68">
        <w:rPr>
          <w:u w:val="single"/>
          <w:lang w:val="es-US"/>
        </w:rPr>
        <w:t>) sugerida por el Comité</w:t>
      </w:r>
      <w:r w:rsidR="004A6D31" w:rsidRPr="00282A68">
        <w:rPr>
          <w:u w:val="single"/>
          <w:lang w:val="es-US"/>
        </w:rPr>
        <w:t>:</w:t>
      </w:r>
    </w:p>
    <w:p w14:paraId="65AD514F" w14:textId="77777777" w:rsidR="004A6D31" w:rsidRPr="00282A68" w:rsidRDefault="004A6D31" w:rsidP="004A6D31">
      <w:pPr>
        <w:pStyle w:val="ListParagraph"/>
        <w:rPr>
          <w:rFonts w:eastAsia="Times New Roman"/>
          <w:lang w:val="es-US"/>
        </w:rPr>
      </w:pPr>
    </w:p>
    <w:p w14:paraId="4A6D9619" w14:textId="61AECFE4" w:rsidR="00B31B11" w:rsidRPr="00282A68" w:rsidRDefault="00475AF6" w:rsidP="004A6D31">
      <w:pPr>
        <w:pStyle w:val="ListParagraph"/>
        <w:ind w:left="10"/>
        <w:jc w:val="both"/>
        <w:rPr>
          <w:i/>
          <w:iCs/>
          <w:lang w:val="es-US"/>
        </w:rPr>
      </w:pPr>
      <w:r w:rsidRPr="00282A68">
        <w:rPr>
          <w:i/>
          <w:iCs/>
          <w:lang w:val="es-US"/>
        </w:rPr>
        <w:t>Programas informáticos que permitan acceder fácilmente a la información necesaria para verificar la veracidad de los registros contables y de los comprobantes con los que estos se fundamenten</w:t>
      </w:r>
      <w:r w:rsidR="004A6D31" w:rsidRPr="00282A68">
        <w:rPr>
          <w:i/>
          <w:iCs/>
          <w:lang w:val="es-US"/>
        </w:rPr>
        <w:t>.</w:t>
      </w:r>
    </w:p>
    <w:p w14:paraId="4DB3989A" w14:textId="77777777" w:rsidR="004A6D31" w:rsidRPr="00282A68" w:rsidRDefault="004A6D31" w:rsidP="004A6D31">
      <w:pPr>
        <w:pStyle w:val="ListParagraph"/>
        <w:ind w:left="10"/>
        <w:jc w:val="both"/>
        <w:rPr>
          <w:i/>
          <w:iCs/>
          <w:lang w:val="es-US"/>
        </w:rPr>
      </w:pPr>
    </w:p>
    <w:p w14:paraId="6253DB85" w14:textId="6C449EBA" w:rsidR="004A6D31" w:rsidRPr="00CC1AB8" w:rsidRDefault="00CB2457" w:rsidP="004A6D31">
      <w:pPr>
        <w:pStyle w:val="ListParagraph"/>
        <w:numPr>
          <w:ilvl w:val="0"/>
          <w:numId w:val="1"/>
        </w:numPr>
        <w:jc w:val="both"/>
        <w:rPr>
          <w:lang w:val="es-US"/>
        </w:rPr>
      </w:pPr>
      <w:r w:rsidRPr="00CC1AB8">
        <w:rPr>
          <w:rFonts w:eastAsia="Times New Roman"/>
          <w:lang w:val="es-US"/>
        </w:rPr>
        <w:t>El Estado analizado, en su Respuesta, señala que no tiene nada para informar con respecto a la medida anterior</w:t>
      </w:r>
      <w:r w:rsidR="004A6D31" w:rsidRPr="00CC1AB8">
        <w:rPr>
          <w:rStyle w:val="FootnoteReference"/>
          <w:lang w:val="es-US"/>
        </w:rPr>
        <w:footnoteReference w:id="76"/>
      </w:r>
      <w:r w:rsidRPr="00CC1AB8">
        <w:rPr>
          <w:rFonts w:eastAsia="Times New Roman"/>
          <w:lang w:val="es-US"/>
        </w:rPr>
        <w:t>.</w:t>
      </w:r>
    </w:p>
    <w:p w14:paraId="4498C092" w14:textId="77777777" w:rsidR="004A6D31" w:rsidRPr="00CC1AB8" w:rsidRDefault="004A6D31" w:rsidP="004A6D31">
      <w:pPr>
        <w:pStyle w:val="ListParagraph"/>
        <w:ind w:left="10"/>
        <w:jc w:val="both"/>
        <w:rPr>
          <w:lang w:val="es-US"/>
        </w:rPr>
      </w:pPr>
    </w:p>
    <w:p w14:paraId="6669A634" w14:textId="24276064" w:rsidR="004A6D31" w:rsidRPr="00CC1AB8" w:rsidRDefault="002433B7" w:rsidP="004A6D31">
      <w:pPr>
        <w:pStyle w:val="ListParagraph"/>
        <w:numPr>
          <w:ilvl w:val="0"/>
          <w:numId w:val="1"/>
        </w:numPr>
        <w:jc w:val="both"/>
        <w:rPr>
          <w:lang w:val="es-US"/>
        </w:rPr>
      </w:pPr>
      <w:r w:rsidRPr="00CC1AB8">
        <w:rPr>
          <w:lang w:val="es-US"/>
        </w:rPr>
        <w:t>No obstante, el Comité toma nota de que, con posterioridad a la visita in situ, el Estado analizado proporcionó información al respecto. En este sentido, el Estado analizado señaló lo siguiente</w:t>
      </w:r>
      <w:r w:rsidR="0033406F" w:rsidRPr="00CC1AB8">
        <w:rPr>
          <w:rStyle w:val="FootnoteReference"/>
          <w:lang w:val="es-US"/>
        </w:rPr>
        <w:footnoteReference w:id="77"/>
      </w:r>
      <w:r w:rsidRPr="00CC1AB8">
        <w:rPr>
          <w:lang w:val="es-US"/>
        </w:rPr>
        <w:t>:</w:t>
      </w:r>
    </w:p>
    <w:p w14:paraId="5E15FC1D" w14:textId="77777777" w:rsidR="00FF41BE" w:rsidRPr="00CC1AB8" w:rsidRDefault="00FF41BE" w:rsidP="00FF41BE">
      <w:pPr>
        <w:pStyle w:val="ListParagraph"/>
        <w:rPr>
          <w:lang w:val="es-US"/>
        </w:rPr>
      </w:pPr>
    </w:p>
    <w:p w14:paraId="6CAA589A" w14:textId="2858C5C7" w:rsidR="00FF41BE" w:rsidRPr="00CC1AB8" w:rsidRDefault="0033406F" w:rsidP="004A6D31">
      <w:pPr>
        <w:pStyle w:val="ListParagraph"/>
        <w:numPr>
          <w:ilvl w:val="0"/>
          <w:numId w:val="1"/>
        </w:numPr>
        <w:jc w:val="both"/>
        <w:rPr>
          <w:lang w:val="es-US"/>
        </w:rPr>
      </w:pPr>
      <w:r w:rsidRPr="00CC1AB8">
        <w:rPr>
          <w:color w:val="000000"/>
          <w:lang w:val="es-US"/>
        </w:rPr>
        <w:t>“</w:t>
      </w:r>
      <w:r w:rsidR="006B2EF2" w:rsidRPr="00CC1AB8">
        <w:rPr>
          <w:i/>
          <w:iCs/>
          <w:color w:val="000000"/>
          <w:lang w:val="es-US"/>
        </w:rPr>
        <w:t xml:space="preserve">Se trata de un área en desarrollo debido a los avances continuos en el análisis de datos, pero existe una serie de herramientas a disposición de los auditores, algunas de las cuales es posible desarrollar internamente, sobre todo en las grandes empresas de contabilidad. La obtención de datos requiere que el auditor se familiarice suficientemente con los sistemas del cliente sometido a la auditoría y suele ser un proceso iterativo. Una vez que se han obtenido, algunos de los programas de auditoría generalizados que se utilizan para el análisis de los datos son IDEA, ACL y </w:t>
      </w:r>
      <w:proofErr w:type="spellStart"/>
      <w:r w:rsidR="006B2EF2" w:rsidRPr="00CC1AB8">
        <w:rPr>
          <w:i/>
          <w:iCs/>
          <w:color w:val="000000"/>
          <w:lang w:val="es-US"/>
        </w:rPr>
        <w:t>TeamMate</w:t>
      </w:r>
      <w:proofErr w:type="spellEnd"/>
      <w:r w:rsidR="006B2EF2" w:rsidRPr="00CC1AB8">
        <w:rPr>
          <w:i/>
          <w:iCs/>
          <w:color w:val="000000"/>
          <w:lang w:val="es-US"/>
        </w:rPr>
        <w:t>, entre otros</w:t>
      </w:r>
      <w:r w:rsidRPr="00CC1AB8">
        <w:rPr>
          <w:color w:val="000000"/>
          <w:lang w:val="es-US"/>
        </w:rPr>
        <w:t>.”</w:t>
      </w:r>
    </w:p>
    <w:p w14:paraId="5127A607" w14:textId="77777777" w:rsidR="0033406F" w:rsidRPr="00CC1AB8" w:rsidRDefault="0033406F" w:rsidP="0033406F">
      <w:pPr>
        <w:pStyle w:val="ListParagraph"/>
        <w:rPr>
          <w:lang w:val="es-US"/>
        </w:rPr>
      </w:pPr>
    </w:p>
    <w:p w14:paraId="2458572C" w14:textId="71977601" w:rsidR="006D7F2F" w:rsidRPr="00CC1AB8" w:rsidRDefault="00011816" w:rsidP="00273918">
      <w:pPr>
        <w:pStyle w:val="ListParagraph"/>
        <w:numPr>
          <w:ilvl w:val="0"/>
          <w:numId w:val="1"/>
        </w:numPr>
        <w:jc w:val="both"/>
        <w:rPr>
          <w:lang w:val="es-US"/>
        </w:rPr>
      </w:pPr>
      <w:r w:rsidRPr="00CC1AB8">
        <w:rPr>
          <w:lang w:val="es-US"/>
        </w:rPr>
        <w:t>En este sentido, el Comité manifiesta que el AICPA cuenta con una página que actúa como un centro tecnológico que proporciona la información, herramientas y recursos tecnológicos más recientes para ayudar a sus miembros en temas como activos digitales, inteligencia artificial y análisis de datos</w:t>
      </w:r>
      <w:r w:rsidR="00781112" w:rsidRPr="00CC1AB8">
        <w:rPr>
          <w:rStyle w:val="FootnoteReference"/>
          <w:lang w:val="es-US"/>
        </w:rPr>
        <w:footnoteReference w:id="78"/>
      </w:r>
      <w:r w:rsidRPr="00CC1AB8">
        <w:rPr>
          <w:lang w:val="es-US"/>
        </w:rPr>
        <w:t>.</w:t>
      </w:r>
      <w:r w:rsidRPr="00CC1AB8">
        <w:rPr>
          <w:vertAlign w:val="superscript"/>
          <w:lang w:val="es-US"/>
        </w:rPr>
        <w:t xml:space="preserve"> </w:t>
      </w:r>
      <w:r w:rsidRPr="00CC1AB8">
        <w:rPr>
          <w:lang w:val="es-US"/>
        </w:rPr>
        <w:t>El Comité también toma nota de que el AICPA publicó una Guía para el Análisis de Datos de Auditoría en la que se expone cómo puede aplicarse el análisis de datos de auditoría a la actual auditoría de estados financieros para recopilar pruebas de auditoría</w:t>
      </w:r>
      <w:r w:rsidR="000908B0" w:rsidRPr="00CC1AB8">
        <w:rPr>
          <w:rStyle w:val="FootnoteReference"/>
          <w:lang w:val="es-US"/>
        </w:rPr>
        <w:footnoteReference w:id="79"/>
      </w:r>
      <w:r w:rsidRPr="00CC1AB8">
        <w:rPr>
          <w:lang w:val="es-US"/>
        </w:rPr>
        <w:t>.</w:t>
      </w:r>
      <w:r w:rsidRPr="00CC1AB8">
        <w:rPr>
          <w:vertAlign w:val="superscript"/>
          <w:lang w:val="es-US"/>
        </w:rPr>
        <w:t> </w:t>
      </w:r>
      <w:r w:rsidRPr="00CC1AB8">
        <w:rPr>
          <w:lang w:val="es-US"/>
        </w:rPr>
        <w:t>Indica que, entre otras cosas, el análisis de datos de auditoría puede mejorar la comprensión de las operaciones de una entidad y los riesgos asociados, incluido el riesgo de fraude. También puede aumentar las posibilidades de detectar incorrecciones materiales y mejorar la comunicación con los encargados de la gobernanza de las entidades auditadas</w:t>
      </w:r>
      <w:r w:rsidR="006D7F2F" w:rsidRPr="00CC1AB8">
        <w:rPr>
          <w:lang w:val="es-US"/>
        </w:rPr>
        <w:t>.</w:t>
      </w:r>
    </w:p>
    <w:p w14:paraId="33A42BD2" w14:textId="77777777" w:rsidR="00273918" w:rsidRPr="00282A68" w:rsidRDefault="00273918" w:rsidP="00273918">
      <w:pPr>
        <w:pStyle w:val="ListParagraph"/>
        <w:rPr>
          <w:lang w:val="es-US"/>
        </w:rPr>
      </w:pPr>
    </w:p>
    <w:p w14:paraId="62821673" w14:textId="7D375ABE" w:rsidR="00273918" w:rsidRPr="00282A68" w:rsidRDefault="00011816" w:rsidP="00273918">
      <w:pPr>
        <w:pStyle w:val="ListParagraph"/>
        <w:numPr>
          <w:ilvl w:val="0"/>
          <w:numId w:val="1"/>
        </w:numPr>
        <w:jc w:val="both"/>
        <w:rPr>
          <w:lang w:val="es-US"/>
        </w:rPr>
      </w:pPr>
      <w:r w:rsidRPr="00282A68">
        <w:rPr>
          <w:rFonts w:eastAsiaTheme="minorHAnsi"/>
          <w:bCs/>
          <w:iCs/>
          <w:lang w:val="es-US"/>
        </w:rPr>
        <w:t>En vista de lo anterior, el Comité toma nota de la consideración satisfactoria por el Estado analizado de la medida d(</w:t>
      </w:r>
      <w:proofErr w:type="spellStart"/>
      <w:r w:rsidRPr="00282A68">
        <w:rPr>
          <w:rFonts w:eastAsiaTheme="minorHAnsi"/>
          <w:bCs/>
          <w:iCs/>
          <w:lang w:val="es-US"/>
        </w:rPr>
        <w:t>iv</w:t>
      </w:r>
      <w:proofErr w:type="spellEnd"/>
      <w:r w:rsidRPr="00282A68">
        <w:rPr>
          <w:rFonts w:eastAsiaTheme="minorHAnsi"/>
          <w:bCs/>
          <w:iCs/>
          <w:lang w:val="es-US"/>
        </w:rPr>
        <w:t>) de la anterior recomendación</w:t>
      </w:r>
      <w:r w:rsidR="00273918" w:rsidRPr="00282A68">
        <w:rPr>
          <w:rFonts w:eastAsiaTheme="minorHAnsi"/>
          <w:bCs/>
          <w:iCs/>
          <w:lang w:val="es-US"/>
        </w:rPr>
        <w:t>.</w:t>
      </w:r>
    </w:p>
    <w:p w14:paraId="705FF600" w14:textId="77777777" w:rsidR="0043304D" w:rsidRPr="00282A68" w:rsidRDefault="0043304D" w:rsidP="00963B59">
      <w:pPr>
        <w:jc w:val="both"/>
        <w:rPr>
          <w:rStyle w:val="normaltextrun"/>
          <w:sz w:val="22"/>
          <w:szCs w:val="22"/>
          <w:u w:val="single"/>
          <w:lang w:val="es-US"/>
        </w:rPr>
      </w:pPr>
    </w:p>
    <w:p w14:paraId="2D5875D0" w14:textId="509E9FA9" w:rsidR="00963B59" w:rsidRPr="00282A68" w:rsidRDefault="0043304D" w:rsidP="00963B59">
      <w:pPr>
        <w:jc w:val="both"/>
        <w:rPr>
          <w:rStyle w:val="normaltextrun"/>
          <w:sz w:val="22"/>
          <w:szCs w:val="22"/>
          <w:u w:val="single"/>
          <w:lang w:val="es-US"/>
        </w:rPr>
      </w:pPr>
      <w:r w:rsidRPr="00282A68">
        <w:rPr>
          <w:rStyle w:val="normaltextrun"/>
          <w:sz w:val="22"/>
          <w:szCs w:val="22"/>
          <w:u w:val="single"/>
          <w:lang w:val="es-US"/>
        </w:rPr>
        <w:t xml:space="preserve">Medida </w:t>
      </w:r>
      <w:r w:rsidR="00963B59" w:rsidRPr="00282A68">
        <w:rPr>
          <w:rStyle w:val="normaltextrun"/>
          <w:sz w:val="22"/>
          <w:szCs w:val="22"/>
          <w:u w:val="single"/>
          <w:lang w:val="es-US"/>
        </w:rPr>
        <w:t>(d):</w:t>
      </w:r>
    </w:p>
    <w:p w14:paraId="35AC770B" w14:textId="77777777" w:rsidR="00963B59" w:rsidRPr="00282A68" w:rsidRDefault="00963B59" w:rsidP="00963B59">
      <w:pPr>
        <w:jc w:val="both"/>
        <w:rPr>
          <w:rStyle w:val="normaltextrun"/>
          <w:sz w:val="22"/>
          <w:szCs w:val="22"/>
          <w:u w:val="single"/>
          <w:lang w:val="es-US"/>
        </w:rPr>
      </w:pPr>
    </w:p>
    <w:p w14:paraId="345FA99A" w14:textId="4FA38333" w:rsidR="00963B59" w:rsidRPr="00282A68" w:rsidRDefault="002D6B5B" w:rsidP="00963B59">
      <w:pPr>
        <w:pStyle w:val="ListParagraph"/>
        <w:ind w:left="10"/>
        <w:jc w:val="both"/>
        <w:rPr>
          <w:i/>
          <w:iCs/>
          <w:lang w:val="es-US"/>
        </w:rPr>
      </w:pPr>
      <w:r w:rsidRPr="00282A68">
        <w:rPr>
          <w:i/>
          <w:iCs/>
          <w:lang w:val="es-US"/>
        </w:rPr>
        <w:t>Considerar continuar la adopción y aplicación de los instrumentos necesarios para facilitar a los órganos y entidades responsables de prevenir y/o investigar el incumplimiento de las medidas orientadas a garantizar la exactitud de los registros contables, la detección de sumas pagadas por actos de corrupción ocultas en esos registros, tales como las siguientes</w:t>
      </w:r>
      <w:r w:rsidR="00963B59" w:rsidRPr="00282A68">
        <w:rPr>
          <w:i/>
          <w:iCs/>
          <w:lang w:val="es-US"/>
        </w:rPr>
        <w:t>:</w:t>
      </w:r>
    </w:p>
    <w:p w14:paraId="54FA5328" w14:textId="77777777" w:rsidR="00963B59" w:rsidRPr="00282A68" w:rsidRDefault="00963B59" w:rsidP="00963B59">
      <w:pPr>
        <w:pStyle w:val="ListParagraph"/>
        <w:ind w:left="10"/>
        <w:jc w:val="both"/>
        <w:rPr>
          <w:i/>
          <w:iCs/>
          <w:lang w:val="es-US"/>
        </w:rPr>
      </w:pPr>
    </w:p>
    <w:p w14:paraId="22551A0C" w14:textId="6C26D6FF" w:rsidR="00963B59" w:rsidRPr="00282A68" w:rsidRDefault="002D6B5B" w:rsidP="00963B59">
      <w:pPr>
        <w:pStyle w:val="ListParagraph"/>
        <w:ind w:left="10"/>
        <w:jc w:val="both"/>
        <w:rPr>
          <w:u w:val="single"/>
          <w:lang w:val="es-US"/>
        </w:rPr>
      </w:pPr>
      <w:r w:rsidRPr="00282A68">
        <w:rPr>
          <w:u w:val="single"/>
          <w:lang w:val="es-US"/>
        </w:rPr>
        <w:t>Medida d(v) sugerida por el Comité</w:t>
      </w:r>
      <w:r w:rsidR="00963B59" w:rsidRPr="00282A68">
        <w:rPr>
          <w:u w:val="single"/>
          <w:lang w:val="es-US"/>
        </w:rPr>
        <w:t>:</w:t>
      </w:r>
    </w:p>
    <w:p w14:paraId="35D50325" w14:textId="77777777" w:rsidR="00963B59" w:rsidRPr="00282A68" w:rsidRDefault="00963B59" w:rsidP="00963B59">
      <w:pPr>
        <w:pStyle w:val="ListParagraph"/>
        <w:rPr>
          <w:rFonts w:eastAsia="Times New Roman"/>
          <w:lang w:val="es-US"/>
        </w:rPr>
      </w:pPr>
    </w:p>
    <w:p w14:paraId="0CB976A1" w14:textId="060B615E" w:rsidR="00963B59" w:rsidRPr="00282A68" w:rsidRDefault="00C775F9" w:rsidP="00963B59">
      <w:pPr>
        <w:pStyle w:val="ListParagraph"/>
        <w:ind w:left="10"/>
        <w:jc w:val="both"/>
        <w:rPr>
          <w:i/>
          <w:iCs/>
          <w:lang w:val="es-US"/>
        </w:rPr>
      </w:pPr>
      <w:r w:rsidRPr="00282A68">
        <w:rPr>
          <w:i/>
          <w:iCs/>
          <w:lang w:val="es-US"/>
        </w:rPr>
        <w:t>Mecanismos de coordinación institucional que permitan a esos órganos o entidades obtener fácil y oportunamente la colaboración necesaria de otras instituciones, para verificar la veracidad de los registros contables y de los comprobantes con los que estos se fundamenten, o para establecer su autenticidad</w:t>
      </w:r>
      <w:r w:rsidR="00963B59" w:rsidRPr="00282A68">
        <w:rPr>
          <w:i/>
          <w:iCs/>
          <w:lang w:val="es-US"/>
        </w:rPr>
        <w:t>.</w:t>
      </w:r>
    </w:p>
    <w:p w14:paraId="51CAF607" w14:textId="77777777" w:rsidR="00963B59" w:rsidRDefault="00963B59" w:rsidP="00963B59">
      <w:pPr>
        <w:pStyle w:val="ListParagraph"/>
        <w:ind w:left="10"/>
        <w:jc w:val="both"/>
        <w:rPr>
          <w:i/>
          <w:iCs/>
          <w:lang w:val="es-US"/>
        </w:rPr>
      </w:pPr>
    </w:p>
    <w:p w14:paraId="109B4877" w14:textId="5D1549AA" w:rsidR="00963B59" w:rsidRPr="00282A68" w:rsidRDefault="00F54934" w:rsidP="00963B59">
      <w:pPr>
        <w:pStyle w:val="ListParagraph"/>
        <w:numPr>
          <w:ilvl w:val="0"/>
          <w:numId w:val="1"/>
        </w:numPr>
        <w:jc w:val="both"/>
        <w:rPr>
          <w:lang w:val="es-US"/>
        </w:rPr>
      </w:pPr>
      <w:r w:rsidRPr="00282A68">
        <w:rPr>
          <w:rFonts w:eastAsia="Times New Roman"/>
          <w:lang w:val="es-US"/>
        </w:rPr>
        <w:t>El Estado analizado, en su Respuesta, señala que no tiene nada para informar con respecto a la medida anterior</w:t>
      </w:r>
      <w:r w:rsidR="00963B59" w:rsidRPr="00282A68">
        <w:rPr>
          <w:rStyle w:val="FootnoteReference"/>
          <w:lang w:val="es-US"/>
        </w:rPr>
        <w:footnoteReference w:id="80"/>
      </w:r>
      <w:r w:rsidRPr="00282A68">
        <w:rPr>
          <w:rFonts w:eastAsia="Times New Roman"/>
          <w:lang w:val="es-US"/>
        </w:rPr>
        <w:t>.</w:t>
      </w:r>
    </w:p>
    <w:p w14:paraId="3037AEE9" w14:textId="77777777" w:rsidR="00963B59" w:rsidRPr="00282A68" w:rsidRDefault="00963B59" w:rsidP="00963B59">
      <w:pPr>
        <w:pStyle w:val="ListParagraph"/>
        <w:ind w:left="10"/>
        <w:jc w:val="both"/>
        <w:rPr>
          <w:lang w:val="es-US"/>
        </w:rPr>
      </w:pPr>
    </w:p>
    <w:p w14:paraId="19CC4F33" w14:textId="6840EE42" w:rsidR="00963B59" w:rsidRPr="00CC1AB8" w:rsidRDefault="00F1364D" w:rsidP="00963B59">
      <w:pPr>
        <w:pStyle w:val="ListParagraph"/>
        <w:numPr>
          <w:ilvl w:val="0"/>
          <w:numId w:val="1"/>
        </w:numPr>
        <w:jc w:val="both"/>
        <w:rPr>
          <w:lang w:val="es-US"/>
        </w:rPr>
      </w:pPr>
      <w:r w:rsidRPr="00CC1AB8">
        <w:rPr>
          <w:rFonts w:eastAsiaTheme="minorHAnsi"/>
          <w:bCs/>
          <w:iCs/>
          <w:lang w:val="es-US"/>
        </w:rPr>
        <w:t>No obstante, el Comité toma nota de que, con posterioridad a la visita in situ, el Estado analizado proporcionó información al respecto. En este sentido, el Estado analizado señaló lo siguiente</w:t>
      </w:r>
      <w:r w:rsidR="00963B59" w:rsidRPr="00CC1AB8">
        <w:rPr>
          <w:rStyle w:val="FootnoteReference"/>
          <w:lang w:val="es-US"/>
        </w:rPr>
        <w:footnoteReference w:id="81"/>
      </w:r>
      <w:r w:rsidRPr="00CC1AB8">
        <w:rPr>
          <w:rFonts w:eastAsiaTheme="minorHAnsi"/>
          <w:bCs/>
          <w:iCs/>
          <w:lang w:val="es-US"/>
        </w:rPr>
        <w:t>:</w:t>
      </w:r>
    </w:p>
    <w:p w14:paraId="6F2CADAA" w14:textId="77777777" w:rsidR="00963B59" w:rsidRPr="00CC1AB8" w:rsidRDefault="00963B59" w:rsidP="00963B59">
      <w:pPr>
        <w:pStyle w:val="ListParagraph"/>
        <w:rPr>
          <w:lang w:val="es-US"/>
        </w:rPr>
      </w:pPr>
    </w:p>
    <w:p w14:paraId="33144C30" w14:textId="12A9B4C9" w:rsidR="00963B59" w:rsidRPr="00CC1AB8" w:rsidRDefault="00963B59" w:rsidP="00963B59">
      <w:pPr>
        <w:pStyle w:val="ListParagraph"/>
        <w:numPr>
          <w:ilvl w:val="0"/>
          <w:numId w:val="1"/>
        </w:numPr>
        <w:jc w:val="both"/>
        <w:rPr>
          <w:lang w:val="es-US"/>
        </w:rPr>
      </w:pPr>
      <w:r w:rsidRPr="00CC1AB8">
        <w:rPr>
          <w:lang w:val="es-US"/>
        </w:rPr>
        <w:t>“</w:t>
      </w:r>
      <w:r w:rsidR="000761FE" w:rsidRPr="00CC1AB8">
        <w:rPr>
          <w:i/>
          <w:iCs/>
          <w:lang w:val="es-US"/>
        </w:rPr>
        <w:t>La información que se obtiene directamente de terceros puede ser valiosa para los auditores cuando proporcionan una corroboración independiente de los propios registros de la empresa y, en última instancia, para obtener suficientes pruebas de auditoría adecuadas. Estas solicitudes de confirmación pueden referirse, por ejemplo, a la confirmación de las cuentas por cobrar por parte de un deudor, la confirmación de los saldos de una cuenta por parte de un banco o la confirmación de las condiciones de un contrato por una contraparte. Los estándares del AICPA que abordan este proceso de confirmación incluyen la sección 330 de las normas de auditoría (AU-C), Realización de Procedimientos de Auditoría en Respuesta a los Riesgos Evaluados y Evaluación de las Pruebas de Auditoría Obtenida</w:t>
      </w:r>
      <w:r w:rsidRPr="00CC1AB8">
        <w:rPr>
          <w:i/>
          <w:iCs/>
          <w:lang w:val="es-US"/>
        </w:rPr>
        <w:t>.</w:t>
      </w:r>
      <w:r w:rsidRPr="00CC1AB8">
        <w:rPr>
          <w:rStyle w:val="FootnoteReference"/>
          <w:lang w:val="es-US"/>
        </w:rPr>
        <w:footnoteReference w:id="82"/>
      </w:r>
      <w:r w:rsidR="000761FE" w:rsidRPr="00CC1AB8">
        <w:rPr>
          <w:i/>
          <w:iCs/>
          <w:lang w:val="es-US"/>
        </w:rPr>
        <w:t>.</w:t>
      </w:r>
      <w:r w:rsidRPr="00CC1AB8">
        <w:rPr>
          <w:i/>
          <w:iCs/>
          <w:lang w:val="es-US"/>
        </w:rPr>
        <w:t xml:space="preserve"> </w:t>
      </w:r>
      <w:r w:rsidR="007421BE" w:rsidRPr="00CC1AB8">
        <w:rPr>
          <w:i/>
          <w:iCs/>
          <w:lang w:val="es-US"/>
        </w:rPr>
        <w:t xml:space="preserve">Además, el PCAOB le presentó recientemente a la Comisión algunas normas propuestas para su aprobación, incluida la norma AS 2310, The </w:t>
      </w:r>
      <w:proofErr w:type="spellStart"/>
      <w:r w:rsidR="007421BE" w:rsidRPr="00CC1AB8">
        <w:rPr>
          <w:i/>
          <w:iCs/>
          <w:lang w:val="es-US"/>
        </w:rPr>
        <w:t>Auditor’s</w:t>
      </w:r>
      <w:proofErr w:type="spellEnd"/>
      <w:r w:rsidR="007421BE" w:rsidRPr="00CC1AB8">
        <w:rPr>
          <w:i/>
          <w:iCs/>
          <w:lang w:val="es-US"/>
        </w:rPr>
        <w:t xml:space="preserve"> Use of </w:t>
      </w:r>
      <w:proofErr w:type="spellStart"/>
      <w:r w:rsidR="007421BE" w:rsidRPr="00CC1AB8">
        <w:rPr>
          <w:i/>
          <w:iCs/>
          <w:lang w:val="es-US"/>
        </w:rPr>
        <w:t>Confirmation</w:t>
      </w:r>
      <w:proofErr w:type="spellEnd"/>
      <w:r w:rsidR="007421BE" w:rsidRPr="00CC1AB8">
        <w:rPr>
          <w:i/>
          <w:iCs/>
          <w:lang w:val="es-US"/>
        </w:rPr>
        <w:t xml:space="preserve"> (Uso de la Confirmación por el Auditor), que sustituiría a la norma actual AS 2310, The </w:t>
      </w:r>
      <w:proofErr w:type="spellStart"/>
      <w:r w:rsidR="007421BE" w:rsidRPr="00CC1AB8">
        <w:rPr>
          <w:i/>
          <w:iCs/>
          <w:lang w:val="es-US"/>
        </w:rPr>
        <w:t>Confirmation</w:t>
      </w:r>
      <w:proofErr w:type="spellEnd"/>
      <w:r w:rsidR="007421BE" w:rsidRPr="00CC1AB8">
        <w:rPr>
          <w:i/>
          <w:iCs/>
          <w:lang w:val="es-US"/>
        </w:rPr>
        <w:t xml:space="preserve"> </w:t>
      </w:r>
      <w:proofErr w:type="spellStart"/>
      <w:r w:rsidR="007421BE" w:rsidRPr="00CC1AB8">
        <w:rPr>
          <w:i/>
          <w:iCs/>
          <w:lang w:val="es-US"/>
        </w:rPr>
        <w:t>Process</w:t>
      </w:r>
      <w:proofErr w:type="spellEnd"/>
      <w:r w:rsidR="007421BE" w:rsidRPr="00CC1AB8">
        <w:rPr>
          <w:i/>
          <w:iCs/>
          <w:lang w:val="es-US"/>
        </w:rPr>
        <w:t xml:space="preserve"> (El Proceso de Confirmación)”</w:t>
      </w:r>
      <w:r w:rsidRPr="00CC1AB8">
        <w:rPr>
          <w:rStyle w:val="FootnoteReference"/>
          <w:lang w:val="es-US"/>
        </w:rPr>
        <w:footnoteReference w:id="83"/>
      </w:r>
      <w:r w:rsidR="00965C20" w:rsidRPr="00CC1AB8">
        <w:rPr>
          <w:lang w:val="es-US"/>
        </w:rPr>
        <w:t>.</w:t>
      </w:r>
      <w:r w:rsidRPr="00CC1AB8">
        <w:rPr>
          <w:lang w:val="es-US"/>
        </w:rPr>
        <w:t xml:space="preserve"> </w:t>
      </w:r>
    </w:p>
    <w:p w14:paraId="502882BF" w14:textId="77777777" w:rsidR="00963B59" w:rsidRPr="00CC1AB8" w:rsidRDefault="00963B59" w:rsidP="00963B59">
      <w:pPr>
        <w:pStyle w:val="ListParagraph"/>
        <w:rPr>
          <w:lang w:val="es-US"/>
        </w:rPr>
      </w:pPr>
    </w:p>
    <w:p w14:paraId="284087B9" w14:textId="4382DD6D" w:rsidR="005F4CF0" w:rsidRPr="00CC1AB8" w:rsidRDefault="00BC1FD9" w:rsidP="005F4CF0">
      <w:pPr>
        <w:pStyle w:val="ListParagraph"/>
        <w:numPr>
          <w:ilvl w:val="0"/>
          <w:numId w:val="1"/>
        </w:numPr>
        <w:jc w:val="both"/>
        <w:rPr>
          <w:lang w:val="es-US"/>
        </w:rPr>
      </w:pPr>
      <w:r w:rsidRPr="00CC1AB8">
        <w:rPr>
          <w:lang w:val="es-US"/>
        </w:rPr>
        <w:t>Al respecto, el Comité toma nota de que la sección 330 de las Normas de Auditoría (AU-C), Realización de Procedimientos de Auditoría en Respuesta a los Riesgos Evaluados y Evaluación de las Pruebas de Auditoría Obtenidas, establece, entre otras cosas, la importancia de obtener pruebas de auditoría en forma de confirmaciones externas recibidas directamente por el auditor de las partes confirmantes apropiadas, que pueden ayudar al auditor a obtener pruebas de auditoría para responder a riesgos significativos de incorrecciones materiales, ya sean debidas a fraude o error</w:t>
      </w:r>
      <w:r w:rsidR="00886FB2" w:rsidRPr="00CC1AB8">
        <w:rPr>
          <w:rStyle w:val="FootnoteReference"/>
          <w:lang w:val="es-US"/>
        </w:rPr>
        <w:footnoteReference w:id="84"/>
      </w:r>
      <w:r w:rsidRPr="00CC1AB8">
        <w:rPr>
          <w:lang w:val="es-US"/>
        </w:rPr>
        <w:t>.</w:t>
      </w:r>
      <w:r w:rsidR="000173B1" w:rsidRPr="00CC1AB8">
        <w:rPr>
          <w:lang w:val="es-US"/>
        </w:rPr>
        <w:t xml:space="preserve"> </w:t>
      </w:r>
      <w:r w:rsidR="00C07FF3" w:rsidRPr="00CC1AB8">
        <w:rPr>
          <w:lang w:val="es-US"/>
        </w:rPr>
        <w:t>El Comité observa, sin embargo, que no ha recibido información adicional para determinar cómo reciben los auditores información de otras instituciones para verificar la veracidad de los registros contables y de los documentos en los que se fundamentan o para establecer su autenticidad</w:t>
      </w:r>
      <w:r w:rsidR="005F4CF0" w:rsidRPr="00CC1AB8">
        <w:rPr>
          <w:lang w:val="es-US"/>
        </w:rPr>
        <w:t>.</w:t>
      </w:r>
    </w:p>
    <w:p w14:paraId="49574C95" w14:textId="77777777" w:rsidR="005F4CF0" w:rsidRDefault="005F4CF0" w:rsidP="005F4CF0">
      <w:pPr>
        <w:pStyle w:val="ListParagraph"/>
        <w:rPr>
          <w:lang w:val="es-US"/>
        </w:rPr>
      </w:pPr>
    </w:p>
    <w:p w14:paraId="22B16800" w14:textId="292BBC0E" w:rsidR="00CA6BD9" w:rsidRPr="00985752" w:rsidRDefault="00985752" w:rsidP="00985752">
      <w:pPr>
        <w:pStyle w:val="ListParagraph"/>
        <w:numPr>
          <w:ilvl w:val="0"/>
          <w:numId w:val="1"/>
        </w:numPr>
        <w:jc w:val="both"/>
        <w:rPr>
          <w:lang w:val="es-US"/>
        </w:rPr>
      </w:pPr>
      <w:r w:rsidRPr="00985752">
        <w:rPr>
          <w:lang w:val="es-US"/>
        </w:rPr>
        <w:t>Además, la PCAOB presentó una propuesta para actualizar las normas sobre el uso de la confirmación por parte del auditor, en relación con AS2310, que fue aprobada por la SEC el 1 de diciembre de 2023, y que será efectiva para todos los estados financieros de los años fiscales que terminan a partir del 15 de junio de 2025</w:t>
      </w:r>
      <w:r w:rsidR="005F4CF0" w:rsidRPr="00CC1AB8">
        <w:rPr>
          <w:rStyle w:val="FootnoteReference"/>
          <w:lang w:val="es-US"/>
        </w:rPr>
        <w:footnoteReference w:id="85"/>
      </w:r>
      <w:r w:rsidR="00ED2606" w:rsidRPr="00CC1AB8">
        <w:rPr>
          <w:lang w:val="es-US"/>
        </w:rPr>
        <w:t>.</w:t>
      </w:r>
    </w:p>
    <w:p w14:paraId="034F336D" w14:textId="77777777" w:rsidR="00886FB2" w:rsidRPr="00CC1AB8" w:rsidRDefault="00886FB2" w:rsidP="00886FB2">
      <w:pPr>
        <w:pStyle w:val="ListParagraph"/>
        <w:rPr>
          <w:lang w:val="es-US"/>
        </w:rPr>
      </w:pPr>
    </w:p>
    <w:p w14:paraId="28427F01" w14:textId="31A77C80" w:rsidR="00A84595" w:rsidRPr="00CC1AB8" w:rsidRDefault="00A84595" w:rsidP="00F53F89">
      <w:pPr>
        <w:pStyle w:val="ListParagraph"/>
        <w:numPr>
          <w:ilvl w:val="0"/>
          <w:numId w:val="1"/>
        </w:numPr>
        <w:jc w:val="both"/>
        <w:rPr>
          <w:lang w:val="es-US"/>
        </w:rPr>
      </w:pPr>
      <w:r w:rsidRPr="00CC1AB8">
        <w:rPr>
          <w:lang w:val="es-US"/>
        </w:rPr>
        <w:t>El Comité toma nota de l</w:t>
      </w:r>
      <w:r w:rsidR="000F0030" w:rsidRPr="00CC1AB8">
        <w:rPr>
          <w:lang w:val="es-US"/>
        </w:rPr>
        <w:t>os pasos dados</w:t>
      </w:r>
      <w:r w:rsidRPr="00CC1AB8">
        <w:rPr>
          <w:lang w:val="es-US"/>
        </w:rPr>
        <w:t xml:space="preserve"> por el Estado analizado para avanzar en la implementación de la medida </w:t>
      </w:r>
      <w:r w:rsidR="00BC48C2" w:rsidRPr="00CC1AB8">
        <w:rPr>
          <w:lang w:val="es-US"/>
        </w:rPr>
        <w:t>d</w:t>
      </w:r>
      <w:r w:rsidRPr="00CC1AB8">
        <w:rPr>
          <w:lang w:val="es-US"/>
        </w:rPr>
        <w:t xml:space="preserve">(v) y reitera la necesidad de que continúe prestándole atención adicional, </w:t>
      </w:r>
      <w:r w:rsidR="00AC3749" w:rsidRPr="00CC1AB8">
        <w:rPr>
          <w:lang w:val="es-US"/>
        </w:rPr>
        <w:t>teniendo en cuenta que</w:t>
      </w:r>
      <w:r w:rsidRPr="00CC1AB8">
        <w:rPr>
          <w:lang w:val="es-US"/>
        </w:rPr>
        <w:t xml:space="preserve"> el Comité no ha recibido más información que le permita determinar cómo reciben auditores </w:t>
      </w:r>
      <w:r w:rsidR="00682224">
        <w:rPr>
          <w:lang w:val="es-US"/>
        </w:rPr>
        <w:t xml:space="preserve">del sector privado </w:t>
      </w:r>
      <w:r w:rsidRPr="00CC1AB8">
        <w:rPr>
          <w:lang w:val="es-US"/>
        </w:rPr>
        <w:t>información de otras instituciones para</w:t>
      </w:r>
      <w:r w:rsidR="00780ADE" w:rsidRPr="00CC1AB8">
        <w:rPr>
          <w:lang w:val="es-US"/>
        </w:rPr>
        <w:t xml:space="preserve"> verificar la veracidad de los registros contables y de los comprobantes con los que estos se fundamenten, o para establecer su autenticidad</w:t>
      </w:r>
      <w:r w:rsidRPr="00CC1AB8">
        <w:rPr>
          <w:lang w:val="es-US"/>
        </w:rPr>
        <w:t xml:space="preserve">. En este sentido, el Comité considera conveniente reformular la recomendación </w:t>
      </w:r>
      <w:r w:rsidR="00BC48C2" w:rsidRPr="00CC1AB8">
        <w:rPr>
          <w:lang w:val="es-US"/>
        </w:rPr>
        <w:t>c</w:t>
      </w:r>
      <w:r w:rsidRPr="00CC1AB8">
        <w:rPr>
          <w:lang w:val="es-US"/>
        </w:rPr>
        <w:t>on el fin de aclarar su alcance y contenido</w:t>
      </w:r>
      <w:r w:rsidR="00BC48C2" w:rsidRPr="00CC1AB8">
        <w:rPr>
          <w:lang w:val="es-US"/>
        </w:rPr>
        <w:t>.</w:t>
      </w:r>
      <w:r w:rsidRPr="00CC1AB8">
        <w:rPr>
          <w:lang w:val="es-US"/>
        </w:rPr>
        <w:t xml:space="preserve"> (</w:t>
      </w:r>
      <w:r w:rsidR="00BC48C2" w:rsidRPr="00CC1AB8">
        <w:rPr>
          <w:lang w:val="es-US"/>
        </w:rPr>
        <w:t>V</w:t>
      </w:r>
      <w:r w:rsidRPr="00CC1AB8">
        <w:rPr>
          <w:lang w:val="es-US"/>
        </w:rPr>
        <w:t xml:space="preserve">éase la </w:t>
      </w:r>
      <w:r w:rsidR="00BC48C2" w:rsidRPr="00CC1AB8">
        <w:rPr>
          <w:lang w:val="es-US"/>
        </w:rPr>
        <w:t>R</w:t>
      </w:r>
      <w:r w:rsidRPr="00CC1AB8">
        <w:rPr>
          <w:lang w:val="es-US"/>
        </w:rPr>
        <w:t xml:space="preserve">ecomendación 2.4.5 de la sección 2.4 del </w:t>
      </w:r>
      <w:r w:rsidRPr="00CC1AB8">
        <w:rPr>
          <w:bCs/>
          <w:iCs/>
          <w:lang w:val="es-US"/>
        </w:rPr>
        <w:t>Capítulo</w:t>
      </w:r>
      <w:r w:rsidRPr="00CC1AB8">
        <w:rPr>
          <w:lang w:val="es-US"/>
        </w:rPr>
        <w:t xml:space="preserve"> II del presente Informe).</w:t>
      </w:r>
    </w:p>
    <w:p w14:paraId="5AA40C64" w14:textId="77777777" w:rsidR="005F4CF0" w:rsidRPr="00282A68" w:rsidRDefault="005F4CF0" w:rsidP="005F4CF0">
      <w:pPr>
        <w:pStyle w:val="ListParagraph"/>
        <w:rPr>
          <w:lang w:val="es-US"/>
        </w:rPr>
      </w:pPr>
    </w:p>
    <w:p w14:paraId="224CB738" w14:textId="0FE2EEBD" w:rsidR="005F4CF0" w:rsidRPr="00282A68" w:rsidRDefault="0043304D" w:rsidP="005F4CF0">
      <w:pPr>
        <w:jc w:val="both"/>
        <w:rPr>
          <w:rStyle w:val="normaltextrun"/>
          <w:sz w:val="22"/>
          <w:szCs w:val="22"/>
          <w:u w:val="single"/>
          <w:lang w:val="es-US"/>
        </w:rPr>
      </w:pPr>
      <w:r w:rsidRPr="00282A68">
        <w:rPr>
          <w:rStyle w:val="normaltextrun"/>
          <w:sz w:val="22"/>
          <w:szCs w:val="22"/>
          <w:u w:val="single"/>
          <w:lang w:val="es-US"/>
        </w:rPr>
        <w:t>Medida (d):</w:t>
      </w:r>
    </w:p>
    <w:p w14:paraId="741D9E5B" w14:textId="77777777" w:rsidR="005F4CF0" w:rsidRPr="00282A68" w:rsidRDefault="005F4CF0" w:rsidP="005F4CF0">
      <w:pPr>
        <w:jc w:val="both"/>
        <w:rPr>
          <w:rStyle w:val="normaltextrun"/>
          <w:sz w:val="22"/>
          <w:szCs w:val="22"/>
          <w:u w:val="single"/>
          <w:lang w:val="es-US"/>
        </w:rPr>
      </w:pPr>
    </w:p>
    <w:p w14:paraId="2F51000C" w14:textId="60FB49FD" w:rsidR="005F4CF0" w:rsidRPr="00282A68" w:rsidRDefault="002D6B5B" w:rsidP="005F4CF0">
      <w:pPr>
        <w:pStyle w:val="ListParagraph"/>
        <w:ind w:left="10"/>
        <w:jc w:val="both"/>
        <w:rPr>
          <w:i/>
          <w:iCs/>
          <w:lang w:val="es-US"/>
        </w:rPr>
      </w:pPr>
      <w:r w:rsidRPr="00282A68">
        <w:rPr>
          <w:i/>
          <w:iCs/>
          <w:lang w:val="es-US"/>
        </w:rPr>
        <w:t>Considerar continuar la adopción y aplicación de los instrumentos necesarios para facilitar a los órganos y entidades responsables de prevenir y/o investigar el incumplimiento de las medidas orientadas a garantizar la exactitud de los registros contables, la detección de sumas pagadas por actos de corrupción ocultas en esos registros, tales como las siguientes</w:t>
      </w:r>
      <w:r w:rsidR="005F4CF0" w:rsidRPr="00282A68">
        <w:rPr>
          <w:i/>
          <w:iCs/>
          <w:lang w:val="es-US"/>
        </w:rPr>
        <w:t>:</w:t>
      </w:r>
    </w:p>
    <w:p w14:paraId="517B90EB" w14:textId="77777777" w:rsidR="005F4CF0" w:rsidRPr="00282A68" w:rsidRDefault="005F4CF0" w:rsidP="005F4CF0">
      <w:pPr>
        <w:pStyle w:val="ListParagraph"/>
        <w:ind w:left="10"/>
        <w:jc w:val="both"/>
        <w:rPr>
          <w:i/>
          <w:iCs/>
          <w:lang w:val="es-US"/>
        </w:rPr>
      </w:pPr>
    </w:p>
    <w:p w14:paraId="0C7368EE" w14:textId="1AB7388A" w:rsidR="005F4CF0" w:rsidRPr="00282A68" w:rsidRDefault="002D6B5B" w:rsidP="005F4CF0">
      <w:pPr>
        <w:pStyle w:val="ListParagraph"/>
        <w:ind w:left="10"/>
        <w:jc w:val="both"/>
        <w:rPr>
          <w:u w:val="single"/>
          <w:lang w:val="es-US"/>
        </w:rPr>
      </w:pPr>
      <w:r w:rsidRPr="00282A68">
        <w:rPr>
          <w:u w:val="single"/>
          <w:lang w:val="es-US"/>
        </w:rPr>
        <w:t>Medida d(vi) sugerida por el Comité</w:t>
      </w:r>
      <w:r w:rsidR="005F4CF0" w:rsidRPr="00282A68">
        <w:rPr>
          <w:u w:val="single"/>
          <w:lang w:val="es-US"/>
        </w:rPr>
        <w:t>:</w:t>
      </w:r>
    </w:p>
    <w:p w14:paraId="428D38F8" w14:textId="77777777" w:rsidR="005F4CF0" w:rsidRPr="00282A68" w:rsidRDefault="005F4CF0" w:rsidP="006D14F5">
      <w:pPr>
        <w:rPr>
          <w:lang w:val="es-US"/>
        </w:rPr>
      </w:pPr>
    </w:p>
    <w:p w14:paraId="3ECF5903" w14:textId="7C3222C5" w:rsidR="005F4CF0" w:rsidRPr="00282A68" w:rsidRDefault="009A3B0E" w:rsidP="006D14F5">
      <w:pPr>
        <w:pStyle w:val="ListParagraph"/>
        <w:ind w:left="10"/>
        <w:jc w:val="both"/>
        <w:rPr>
          <w:i/>
          <w:iCs/>
          <w:lang w:val="es-US"/>
        </w:rPr>
      </w:pPr>
      <w:r w:rsidRPr="00282A68">
        <w:rPr>
          <w:i/>
          <w:iCs/>
          <w:lang w:val="es-US"/>
        </w:rPr>
        <w:t>Programas de capacitación para los funcionarios de esos órganos y entidades, diseñados específicamente para alertarlos sobre las modalidades utilizadas para disfrazar pagos por corrupción en esos registros contables, e instruirlos sobre la manera de detectarlos</w:t>
      </w:r>
      <w:r w:rsidR="006D14F5" w:rsidRPr="00282A68">
        <w:rPr>
          <w:i/>
          <w:iCs/>
          <w:lang w:val="es-US"/>
        </w:rPr>
        <w:t>.</w:t>
      </w:r>
    </w:p>
    <w:p w14:paraId="58E97DDB" w14:textId="77777777" w:rsidR="006D14F5" w:rsidRPr="00282A68" w:rsidRDefault="006D14F5" w:rsidP="006D14F5">
      <w:pPr>
        <w:pStyle w:val="ListParagraph"/>
        <w:ind w:left="10"/>
        <w:jc w:val="both"/>
        <w:rPr>
          <w:i/>
          <w:iCs/>
          <w:lang w:val="es-US"/>
        </w:rPr>
      </w:pPr>
    </w:p>
    <w:p w14:paraId="7FA5238B" w14:textId="14B7E14B" w:rsidR="006D14F5" w:rsidRPr="00282A68" w:rsidRDefault="009A3B0E" w:rsidP="006D14F5">
      <w:pPr>
        <w:pStyle w:val="ListParagraph"/>
        <w:numPr>
          <w:ilvl w:val="0"/>
          <w:numId w:val="1"/>
        </w:numPr>
        <w:jc w:val="both"/>
        <w:rPr>
          <w:lang w:val="es-US"/>
        </w:rPr>
      </w:pPr>
      <w:r w:rsidRPr="00282A68">
        <w:rPr>
          <w:rFonts w:eastAsia="Times New Roman"/>
          <w:lang w:val="es-US"/>
        </w:rPr>
        <w:t>El Estado analizado, en su Respuesta, señala que no tiene nada para informar con respecto a la medida anterior</w:t>
      </w:r>
      <w:r w:rsidR="006D14F5" w:rsidRPr="00282A68">
        <w:rPr>
          <w:rStyle w:val="FootnoteReference"/>
          <w:lang w:val="es-US"/>
        </w:rPr>
        <w:footnoteReference w:id="86"/>
      </w:r>
      <w:r w:rsidRPr="00282A68">
        <w:rPr>
          <w:rFonts w:eastAsia="Times New Roman"/>
          <w:lang w:val="es-US"/>
        </w:rPr>
        <w:t>.</w:t>
      </w:r>
    </w:p>
    <w:p w14:paraId="786096E9" w14:textId="77777777" w:rsidR="006D14F5" w:rsidRPr="00282A68" w:rsidRDefault="006D14F5" w:rsidP="006D14F5">
      <w:pPr>
        <w:pStyle w:val="ListParagraph"/>
        <w:ind w:left="10"/>
        <w:jc w:val="both"/>
        <w:rPr>
          <w:lang w:val="es-US"/>
        </w:rPr>
      </w:pPr>
    </w:p>
    <w:p w14:paraId="5E04A7DC" w14:textId="2750419F" w:rsidR="006D14F5" w:rsidRPr="00CC1AB8" w:rsidRDefault="00126929" w:rsidP="006D14F5">
      <w:pPr>
        <w:pStyle w:val="ListParagraph"/>
        <w:numPr>
          <w:ilvl w:val="0"/>
          <w:numId w:val="1"/>
        </w:numPr>
        <w:jc w:val="both"/>
        <w:rPr>
          <w:lang w:val="es-US"/>
        </w:rPr>
      </w:pPr>
      <w:r w:rsidRPr="00CC1AB8">
        <w:rPr>
          <w:rFonts w:eastAsiaTheme="minorHAnsi"/>
          <w:bCs/>
          <w:iCs/>
          <w:lang w:val="es-US"/>
        </w:rPr>
        <w:t>No obstante, el Comité toma nota de que, con posterioridad a la visita in situ, el Estado analizado proporcionó información al respecto. En este sentido, el Estado analizado señaló lo siguiente</w:t>
      </w:r>
      <w:r w:rsidR="006D14F5" w:rsidRPr="00CC1AB8">
        <w:rPr>
          <w:rStyle w:val="FootnoteReference"/>
          <w:lang w:val="es-US"/>
        </w:rPr>
        <w:footnoteReference w:id="87"/>
      </w:r>
      <w:r w:rsidRPr="00CC1AB8">
        <w:rPr>
          <w:rFonts w:eastAsiaTheme="minorHAnsi"/>
          <w:bCs/>
          <w:iCs/>
          <w:lang w:val="es-US"/>
        </w:rPr>
        <w:t>:</w:t>
      </w:r>
    </w:p>
    <w:p w14:paraId="308E2E64" w14:textId="77777777" w:rsidR="006D14F5" w:rsidRPr="00CC1AB8" w:rsidRDefault="006D14F5" w:rsidP="006D14F5">
      <w:pPr>
        <w:pStyle w:val="ListParagraph"/>
        <w:rPr>
          <w:lang w:val="es-US"/>
        </w:rPr>
      </w:pPr>
    </w:p>
    <w:p w14:paraId="50F70BD8" w14:textId="0A246CAC" w:rsidR="006D14F5" w:rsidRPr="00CC1AB8" w:rsidRDefault="006D14F5" w:rsidP="006D14F5">
      <w:pPr>
        <w:pStyle w:val="ListParagraph"/>
        <w:numPr>
          <w:ilvl w:val="0"/>
          <w:numId w:val="1"/>
        </w:numPr>
        <w:jc w:val="both"/>
        <w:rPr>
          <w:lang w:val="es-US"/>
        </w:rPr>
      </w:pPr>
      <w:r w:rsidRPr="00CC1AB8">
        <w:rPr>
          <w:lang w:val="es-US"/>
        </w:rPr>
        <w:t>“</w:t>
      </w:r>
      <w:r w:rsidR="00CF424F" w:rsidRPr="00CC1AB8">
        <w:rPr>
          <w:i/>
          <w:iCs/>
          <w:lang w:val="es-US"/>
        </w:rPr>
        <w:t xml:space="preserve">Algunas empresas de contabilidad han creado programas internos de capacitación que abarcan el fraude y la corrupción. Además, </w:t>
      </w:r>
      <w:r w:rsidR="004E18C6" w:rsidRPr="00CC1AB8">
        <w:rPr>
          <w:i/>
          <w:iCs/>
          <w:lang w:val="es-US"/>
        </w:rPr>
        <w:t>varios programas de capacitación profesional continúan</w:t>
      </w:r>
      <w:r w:rsidR="00CF424F" w:rsidRPr="00CC1AB8">
        <w:rPr>
          <w:i/>
          <w:iCs/>
          <w:lang w:val="es-US"/>
        </w:rPr>
        <w:t xml:space="preserve"> aprobados por los consejos estatales de contabilidad han abordado el fraude y la corrupción</w:t>
      </w:r>
      <w:r w:rsidRPr="00CC1AB8">
        <w:rPr>
          <w:lang w:val="es-US"/>
        </w:rPr>
        <w:t>.”</w:t>
      </w:r>
    </w:p>
    <w:p w14:paraId="3C068161" w14:textId="77777777" w:rsidR="00E55F07" w:rsidRPr="00CC1AB8" w:rsidRDefault="00E55F07" w:rsidP="00E55F07">
      <w:pPr>
        <w:pStyle w:val="ListParagraph"/>
        <w:rPr>
          <w:lang w:val="es-US"/>
        </w:rPr>
      </w:pPr>
    </w:p>
    <w:p w14:paraId="5E97D3DC" w14:textId="1D8A63A0" w:rsidR="00112F2A" w:rsidRPr="00CC1AB8" w:rsidRDefault="00F93C06" w:rsidP="00112F2A">
      <w:pPr>
        <w:pStyle w:val="ListParagraph"/>
        <w:numPr>
          <w:ilvl w:val="0"/>
          <w:numId w:val="1"/>
        </w:numPr>
        <w:jc w:val="both"/>
        <w:rPr>
          <w:rFonts w:eastAsia="Times New Roman"/>
          <w:lang w:val="es-US"/>
        </w:rPr>
      </w:pPr>
      <w:r w:rsidRPr="00CC1AB8">
        <w:rPr>
          <w:rFonts w:eastAsia="Times New Roman"/>
          <w:lang w:val="es-US"/>
        </w:rPr>
        <w:t xml:space="preserve">El Comité también toma nota, como se </w:t>
      </w:r>
      <w:r w:rsidR="00A520CF" w:rsidRPr="00CC1AB8">
        <w:rPr>
          <w:rFonts w:eastAsia="Times New Roman"/>
          <w:lang w:val="es-US"/>
        </w:rPr>
        <w:t xml:space="preserve">desarrolla </w:t>
      </w:r>
      <w:r w:rsidRPr="00CC1AB8">
        <w:rPr>
          <w:rFonts w:eastAsia="Times New Roman"/>
          <w:lang w:val="es-US"/>
        </w:rPr>
        <w:t xml:space="preserve">en el </w:t>
      </w:r>
      <w:r w:rsidR="00A520CF" w:rsidRPr="00CC1AB8">
        <w:rPr>
          <w:rFonts w:eastAsia="Times New Roman"/>
          <w:lang w:val="es-US"/>
        </w:rPr>
        <w:t xml:space="preserve">análisis </w:t>
      </w:r>
      <w:r w:rsidRPr="00CC1AB8">
        <w:rPr>
          <w:rFonts w:eastAsia="Times New Roman"/>
          <w:lang w:val="es-US"/>
        </w:rPr>
        <w:t xml:space="preserve">de la </w:t>
      </w:r>
      <w:r w:rsidR="00297E89" w:rsidRPr="00CC1AB8">
        <w:rPr>
          <w:rFonts w:eastAsia="Times New Roman"/>
          <w:lang w:val="es-US"/>
        </w:rPr>
        <w:t xml:space="preserve">medida </w:t>
      </w:r>
      <w:r w:rsidRPr="00CC1AB8">
        <w:rPr>
          <w:rFonts w:eastAsia="Times New Roman"/>
          <w:lang w:val="es-US"/>
        </w:rPr>
        <w:t>(b), de que el AICPA imparte capacitación sobre Servicios Forenses con el objetivo de ampliar las competencias en materia de contabilidad forense y apoyo en litigios, así como detección y prevención de fraudes</w:t>
      </w:r>
      <w:r w:rsidR="00E55F07" w:rsidRPr="00CC1AB8">
        <w:rPr>
          <w:rStyle w:val="FootnoteReference"/>
          <w:rFonts w:eastAsia="Times New Roman"/>
          <w:lang w:val="es-US"/>
        </w:rPr>
        <w:footnoteReference w:id="88"/>
      </w:r>
      <w:r w:rsidRPr="00CC1AB8">
        <w:rPr>
          <w:rFonts w:eastAsia="Times New Roman"/>
          <w:lang w:val="es-US"/>
        </w:rPr>
        <w:t>.</w:t>
      </w:r>
      <w:r w:rsidR="00E55F07" w:rsidRPr="00CC1AB8">
        <w:rPr>
          <w:rFonts w:eastAsia="Times New Roman"/>
          <w:lang w:val="es-US"/>
        </w:rPr>
        <w:t xml:space="preserve"> </w:t>
      </w:r>
      <w:r w:rsidR="007145F9" w:rsidRPr="00CC1AB8">
        <w:rPr>
          <w:rFonts w:eastAsia="Times New Roman"/>
          <w:lang w:val="es-US"/>
        </w:rPr>
        <w:t>Cursos como Fraude en los Estados Financieros, Corrupción y Apropiación Indebida de Activos les indican a los auditores los pasos que se requieren para llevar a cabo una investigación de fraude en los estados financieros y los controles internos necesarios para disuadir y prevenir el fraude. Este curso les ayuda a los participantes a reconocer los distintos tipos de fraude en los estados financieros, les enseña los conceptos y los casos relacionados con la apropiación indebida de activos y la identificación de las características comunes de los defraudadores y les proporciona ejemplos y señala las características clave de determinados tipos de fraude en los estados financieros</w:t>
      </w:r>
      <w:r w:rsidR="00C0672C" w:rsidRPr="00CC1AB8">
        <w:rPr>
          <w:rStyle w:val="FootnoteReference"/>
          <w:lang w:val="es-US"/>
        </w:rPr>
        <w:footnoteReference w:id="89"/>
      </w:r>
      <w:r w:rsidR="007145F9" w:rsidRPr="00CC1AB8">
        <w:rPr>
          <w:rFonts w:eastAsia="Times New Roman"/>
          <w:lang w:val="es-US"/>
        </w:rPr>
        <w:t>.</w:t>
      </w:r>
      <w:r w:rsidR="00C0672C" w:rsidRPr="00CC1AB8">
        <w:rPr>
          <w:lang w:val="es-US"/>
        </w:rPr>
        <w:t xml:space="preserve"> </w:t>
      </w:r>
    </w:p>
    <w:p w14:paraId="211EFC73" w14:textId="77777777" w:rsidR="00C0672C" w:rsidRPr="00CC1AB8" w:rsidRDefault="00C0672C" w:rsidP="00C0672C">
      <w:pPr>
        <w:pStyle w:val="ListParagraph"/>
        <w:rPr>
          <w:rFonts w:eastAsia="Times New Roman"/>
          <w:lang w:val="es-US"/>
        </w:rPr>
      </w:pPr>
    </w:p>
    <w:p w14:paraId="444383E2" w14:textId="5FC65BBA" w:rsidR="00E55F07" w:rsidRPr="00CC1AB8" w:rsidRDefault="009F03AA" w:rsidP="00C0672C">
      <w:pPr>
        <w:pStyle w:val="ListParagraph"/>
        <w:numPr>
          <w:ilvl w:val="0"/>
          <w:numId w:val="1"/>
        </w:numPr>
        <w:jc w:val="both"/>
        <w:rPr>
          <w:vertAlign w:val="superscript"/>
          <w:lang w:val="es-US"/>
        </w:rPr>
      </w:pPr>
      <w:r w:rsidRPr="00CC1AB8">
        <w:rPr>
          <w:rFonts w:eastAsia="Times New Roman"/>
          <w:lang w:val="es-US"/>
        </w:rPr>
        <w:t>Además, el Comité toma nota del curso Fraude en los Estados Financieros y Apropiación Indebida de Activos, en el que se describen algunos de los problemas que permiten que se produzcan fraudes en los estados financieros, incluida la falta de controles internos adecuados sobre los procesos contables</w:t>
      </w:r>
      <w:r w:rsidR="00E55F07" w:rsidRPr="00CC1AB8">
        <w:rPr>
          <w:rStyle w:val="FootnoteReference"/>
          <w:rFonts w:eastAsia="Times New Roman"/>
          <w:lang w:val="es-US"/>
        </w:rPr>
        <w:footnoteReference w:id="90"/>
      </w:r>
      <w:r w:rsidRPr="00CC1AB8">
        <w:rPr>
          <w:rFonts w:eastAsia="Times New Roman"/>
          <w:lang w:val="es-US"/>
        </w:rPr>
        <w:t>.</w:t>
      </w:r>
      <w:r w:rsidR="00C0672C" w:rsidRPr="00CC1AB8">
        <w:rPr>
          <w:rFonts w:eastAsia="Times New Roman"/>
          <w:lang w:val="es-US"/>
        </w:rPr>
        <w:t xml:space="preserve">   </w:t>
      </w:r>
    </w:p>
    <w:p w14:paraId="45FC9433" w14:textId="77777777" w:rsidR="00C0672C" w:rsidRPr="00282A68" w:rsidRDefault="00C0672C" w:rsidP="00C0672C">
      <w:pPr>
        <w:pStyle w:val="ListParagraph"/>
        <w:rPr>
          <w:vertAlign w:val="superscript"/>
          <w:lang w:val="es-US"/>
        </w:rPr>
      </w:pPr>
    </w:p>
    <w:p w14:paraId="52EF6B84" w14:textId="2D81A486" w:rsidR="00C0672C" w:rsidRPr="00282A68" w:rsidRDefault="009F03AA" w:rsidP="00C0672C">
      <w:pPr>
        <w:pStyle w:val="ListParagraph"/>
        <w:numPr>
          <w:ilvl w:val="0"/>
          <w:numId w:val="1"/>
        </w:numPr>
        <w:jc w:val="both"/>
        <w:rPr>
          <w:vertAlign w:val="superscript"/>
          <w:lang w:val="es-US"/>
        </w:rPr>
      </w:pPr>
      <w:r w:rsidRPr="00282A68">
        <w:rPr>
          <w:rFonts w:eastAsiaTheme="minorHAnsi"/>
          <w:bCs/>
          <w:iCs/>
          <w:lang w:val="es-US"/>
        </w:rPr>
        <w:t>En vista de lo anterior, el Comité toma nota de la consideración satisfactoria por el Estado analizado de la medida d(vi) de la anterior recomendación</w:t>
      </w:r>
      <w:r w:rsidR="00C0672C" w:rsidRPr="00282A68">
        <w:rPr>
          <w:rFonts w:eastAsiaTheme="minorHAnsi"/>
          <w:bCs/>
          <w:iCs/>
          <w:lang w:val="es-US"/>
        </w:rPr>
        <w:t>.</w:t>
      </w:r>
    </w:p>
    <w:p w14:paraId="6F80D208" w14:textId="77777777" w:rsidR="00E55F07" w:rsidRPr="00282A68" w:rsidRDefault="00E55F07" w:rsidP="00E55F07">
      <w:pPr>
        <w:ind w:left="10"/>
        <w:jc w:val="both"/>
        <w:rPr>
          <w:lang w:val="es-US"/>
        </w:rPr>
      </w:pPr>
    </w:p>
    <w:p w14:paraId="1B916FCE" w14:textId="16249F33" w:rsidR="00C0672C" w:rsidRPr="00282A68" w:rsidRDefault="00F1380E" w:rsidP="004F0439">
      <w:pPr>
        <w:numPr>
          <w:ilvl w:val="1"/>
          <w:numId w:val="6"/>
        </w:numPr>
        <w:jc w:val="both"/>
        <w:rPr>
          <w:b/>
          <w:bCs/>
          <w:sz w:val="22"/>
          <w:szCs w:val="22"/>
          <w:lang w:val="es-US"/>
        </w:rPr>
      </w:pPr>
      <w:r w:rsidRPr="00282A68">
        <w:rPr>
          <w:b/>
          <w:iCs/>
          <w:sz w:val="22"/>
          <w:szCs w:val="22"/>
          <w:lang w:val="es-US"/>
        </w:rPr>
        <w:t xml:space="preserve">Desarrollos nuevos respecto a la disposición de la Convención sobre </w:t>
      </w:r>
      <w:r w:rsidRPr="00282A68">
        <w:rPr>
          <w:b/>
          <w:bCs/>
          <w:sz w:val="22"/>
          <w:szCs w:val="22"/>
          <w:lang w:val="es-US"/>
        </w:rPr>
        <w:t>la prevención del soborno de funcionarios públicos nacionales y extranjeros</w:t>
      </w:r>
      <w:r w:rsidR="00C0672C" w:rsidRPr="00282A68">
        <w:rPr>
          <w:b/>
          <w:bCs/>
          <w:sz w:val="22"/>
          <w:szCs w:val="22"/>
          <w:lang w:val="es-US"/>
        </w:rPr>
        <w:t xml:space="preserve">. </w:t>
      </w:r>
    </w:p>
    <w:p w14:paraId="357AF08D" w14:textId="77777777" w:rsidR="00C0672C" w:rsidRPr="00282A68" w:rsidRDefault="00C0672C" w:rsidP="00C0672C">
      <w:pPr>
        <w:jc w:val="both"/>
        <w:rPr>
          <w:i/>
          <w:iCs/>
          <w:sz w:val="22"/>
          <w:szCs w:val="22"/>
          <w:lang w:val="es-US"/>
        </w:rPr>
      </w:pPr>
    </w:p>
    <w:p w14:paraId="486B2C56" w14:textId="2F081AF6" w:rsidR="00C0672C" w:rsidRPr="00282A68" w:rsidRDefault="00723E4E" w:rsidP="004F0439">
      <w:pPr>
        <w:pStyle w:val="ListParagraph"/>
        <w:numPr>
          <w:ilvl w:val="2"/>
          <w:numId w:val="16"/>
        </w:numPr>
        <w:ind w:left="1440"/>
        <w:jc w:val="both"/>
        <w:rPr>
          <w:b/>
          <w:bCs/>
          <w:lang w:val="es-US"/>
        </w:rPr>
      </w:pPr>
      <w:r w:rsidRPr="00282A68">
        <w:rPr>
          <w:b/>
          <w:bCs/>
          <w:iCs/>
          <w:lang w:val="es-US"/>
        </w:rPr>
        <w:t>Nuevos desarrollos relativos al marco normativo</w:t>
      </w:r>
      <w:r w:rsidR="00C0672C" w:rsidRPr="00282A68">
        <w:rPr>
          <w:b/>
          <w:bCs/>
          <w:lang w:val="es-US"/>
        </w:rPr>
        <w:t>. </w:t>
      </w:r>
    </w:p>
    <w:p w14:paraId="5290B449" w14:textId="77777777" w:rsidR="00C0672C" w:rsidRPr="00282A68" w:rsidRDefault="00C0672C" w:rsidP="00C0672C">
      <w:pPr>
        <w:pStyle w:val="paragraph"/>
        <w:spacing w:before="0" w:beforeAutospacing="0" w:after="0" w:afterAutospacing="0"/>
        <w:jc w:val="both"/>
        <w:textAlignment w:val="baseline"/>
        <w:rPr>
          <w:sz w:val="22"/>
          <w:szCs w:val="22"/>
          <w:lang w:val="es-US"/>
        </w:rPr>
      </w:pPr>
      <w:r w:rsidRPr="00282A68">
        <w:rPr>
          <w:rStyle w:val="eop"/>
          <w:sz w:val="22"/>
          <w:szCs w:val="22"/>
          <w:lang w:val="es-US"/>
        </w:rPr>
        <w:t> </w:t>
      </w:r>
    </w:p>
    <w:p w14:paraId="14613495" w14:textId="73BBAA24" w:rsidR="00C0672C" w:rsidRPr="00282A68" w:rsidRDefault="00914FAE" w:rsidP="00C0672C">
      <w:pPr>
        <w:pStyle w:val="ListParagraph"/>
        <w:numPr>
          <w:ilvl w:val="0"/>
          <w:numId w:val="1"/>
        </w:numPr>
        <w:jc w:val="both"/>
        <w:rPr>
          <w:lang w:val="es-US"/>
        </w:rPr>
      </w:pPr>
      <w:r w:rsidRPr="00282A68">
        <w:rPr>
          <w:lang w:val="es-US"/>
        </w:rPr>
        <w:t>El Estado analizado señala que no tiene nada que informar sobre nuevos desarrollos respecto al marco normativo</w:t>
      </w:r>
      <w:r w:rsidR="00C0672C" w:rsidRPr="00282A68">
        <w:rPr>
          <w:rStyle w:val="FootnoteReference"/>
          <w:lang w:val="es-US"/>
        </w:rPr>
        <w:footnoteReference w:id="91"/>
      </w:r>
      <w:r w:rsidRPr="00282A68">
        <w:rPr>
          <w:lang w:val="es-US"/>
        </w:rPr>
        <w:t>.</w:t>
      </w:r>
    </w:p>
    <w:p w14:paraId="702AE65B" w14:textId="77777777" w:rsidR="00C0672C" w:rsidRPr="00282A68" w:rsidRDefault="00C0672C" w:rsidP="00C0672C">
      <w:pPr>
        <w:pStyle w:val="ListParagraph"/>
        <w:ind w:left="10"/>
        <w:jc w:val="both"/>
        <w:rPr>
          <w:b/>
          <w:bCs/>
          <w:lang w:val="es-US"/>
        </w:rPr>
      </w:pPr>
    </w:p>
    <w:p w14:paraId="38D43409" w14:textId="520E912B" w:rsidR="00C0672C" w:rsidRPr="00282A68" w:rsidRDefault="00914FAE" w:rsidP="004F0439">
      <w:pPr>
        <w:pStyle w:val="ListParagraph"/>
        <w:numPr>
          <w:ilvl w:val="2"/>
          <w:numId w:val="16"/>
        </w:numPr>
        <w:ind w:left="1440"/>
        <w:jc w:val="both"/>
        <w:rPr>
          <w:b/>
          <w:bCs/>
          <w:lang w:val="es-US"/>
        </w:rPr>
      </w:pPr>
      <w:r w:rsidRPr="00282A68">
        <w:rPr>
          <w:b/>
          <w:bCs/>
          <w:lang w:val="es-US"/>
        </w:rPr>
        <w:t>Desarrollos nuevos relativos a aspectos tecnológicos.</w:t>
      </w:r>
      <w:r w:rsidR="00C0672C" w:rsidRPr="00282A68">
        <w:rPr>
          <w:b/>
          <w:bCs/>
          <w:lang w:val="es-US"/>
        </w:rPr>
        <w:t xml:space="preserve"> </w:t>
      </w:r>
    </w:p>
    <w:p w14:paraId="3FDD043A" w14:textId="77777777" w:rsidR="00C0672C" w:rsidRPr="00282A68" w:rsidRDefault="00C0672C" w:rsidP="00C0672C">
      <w:pPr>
        <w:ind w:left="720"/>
        <w:jc w:val="both"/>
        <w:rPr>
          <w:sz w:val="22"/>
          <w:szCs w:val="22"/>
          <w:lang w:val="es-US"/>
        </w:rPr>
      </w:pPr>
    </w:p>
    <w:p w14:paraId="1CF7FF70" w14:textId="2F63A351" w:rsidR="00C0672C" w:rsidRPr="00282A68" w:rsidRDefault="00393177" w:rsidP="00C0672C">
      <w:pPr>
        <w:pStyle w:val="ListParagraph"/>
        <w:numPr>
          <w:ilvl w:val="0"/>
          <w:numId w:val="1"/>
        </w:numPr>
        <w:jc w:val="both"/>
        <w:rPr>
          <w:lang w:val="es-US"/>
        </w:rPr>
      </w:pPr>
      <w:r w:rsidRPr="00282A68">
        <w:rPr>
          <w:lang w:val="es-US"/>
        </w:rPr>
        <w:t>El Estado analizado señala que no tiene nada que informar sobre nuevos desarrollos respecto a aspectos tecnológicos</w:t>
      </w:r>
      <w:r w:rsidR="00C0672C" w:rsidRPr="00282A68">
        <w:rPr>
          <w:rStyle w:val="FootnoteReference"/>
          <w:lang w:val="es-US"/>
        </w:rPr>
        <w:footnoteReference w:id="92"/>
      </w:r>
      <w:r w:rsidRPr="00282A68">
        <w:rPr>
          <w:lang w:val="es-US"/>
        </w:rPr>
        <w:t>.</w:t>
      </w:r>
    </w:p>
    <w:p w14:paraId="37A593B0" w14:textId="77777777" w:rsidR="006D14F5" w:rsidRPr="00282A68" w:rsidRDefault="006D14F5" w:rsidP="006D14F5">
      <w:pPr>
        <w:pStyle w:val="ListParagraph"/>
        <w:ind w:left="10"/>
        <w:jc w:val="both"/>
        <w:rPr>
          <w:lang w:val="es-US"/>
        </w:rPr>
      </w:pPr>
    </w:p>
    <w:p w14:paraId="49F11322" w14:textId="3100F757" w:rsidR="00C0672C" w:rsidRPr="00282A68" w:rsidRDefault="00C0672C" w:rsidP="004F0439">
      <w:pPr>
        <w:numPr>
          <w:ilvl w:val="1"/>
          <w:numId w:val="6"/>
        </w:numPr>
        <w:jc w:val="both"/>
        <w:rPr>
          <w:b/>
          <w:bCs/>
          <w:sz w:val="22"/>
          <w:szCs w:val="22"/>
          <w:lang w:val="es-US"/>
        </w:rPr>
      </w:pPr>
      <w:r w:rsidRPr="00282A68">
        <w:rPr>
          <w:b/>
          <w:sz w:val="22"/>
          <w:szCs w:val="22"/>
          <w:lang w:val="es-US"/>
        </w:rPr>
        <w:t>Result</w:t>
      </w:r>
      <w:r w:rsidR="00914FAE" w:rsidRPr="00282A68">
        <w:rPr>
          <w:b/>
          <w:sz w:val="22"/>
          <w:szCs w:val="22"/>
          <w:lang w:val="es-US"/>
        </w:rPr>
        <w:t>ado</w:t>
      </w:r>
      <w:r w:rsidRPr="00282A68">
        <w:rPr>
          <w:b/>
          <w:sz w:val="22"/>
          <w:szCs w:val="22"/>
          <w:lang w:val="es-US"/>
        </w:rPr>
        <w:t>s</w:t>
      </w:r>
      <w:r w:rsidRPr="00282A68">
        <w:rPr>
          <w:b/>
          <w:bCs/>
          <w:sz w:val="22"/>
          <w:szCs w:val="22"/>
          <w:lang w:val="es-US"/>
        </w:rPr>
        <w:t xml:space="preserve"> </w:t>
      </w:r>
    </w:p>
    <w:p w14:paraId="4077E421" w14:textId="77777777" w:rsidR="00C0672C" w:rsidRPr="00282A68" w:rsidRDefault="00C0672C" w:rsidP="00C0672C">
      <w:pPr>
        <w:jc w:val="both"/>
        <w:rPr>
          <w:sz w:val="22"/>
          <w:szCs w:val="22"/>
          <w:lang w:val="es-US"/>
        </w:rPr>
      </w:pPr>
    </w:p>
    <w:p w14:paraId="5277AB97" w14:textId="075C678A" w:rsidR="00C0672C" w:rsidRPr="00CC1AB8" w:rsidRDefault="007A3C74" w:rsidP="00C0672C">
      <w:pPr>
        <w:pStyle w:val="ListParagraph"/>
        <w:numPr>
          <w:ilvl w:val="0"/>
          <w:numId w:val="1"/>
        </w:numPr>
        <w:jc w:val="both"/>
        <w:rPr>
          <w:lang w:val="es-US"/>
        </w:rPr>
      </w:pPr>
      <w:r w:rsidRPr="00CC1AB8">
        <w:rPr>
          <w:lang w:val="es-US"/>
        </w:rPr>
        <w:t>En su Respuesta al Cuestionario, el Estado analizado no presentó resultados relativos a la prevención del soborno de funcionarios públicos nacionales y extranjeros</w:t>
      </w:r>
      <w:r w:rsidR="00C0672C" w:rsidRPr="00CC1AB8">
        <w:rPr>
          <w:rStyle w:val="FootnoteReference"/>
          <w:lang w:val="es-US"/>
        </w:rPr>
        <w:footnoteReference w:id="93"/>
      </w:r>
      <w:r w:rsidRPr="00CC1AB8">
        <w:rPr>
          <w:lang w:val="es-US"/>
        </w:rPr>
        <w:t>.</w:t>
      </w:r>
      <w:r w:rsidR="00C0672C" w:rsidRPr="00CC1AB8">
        <w:rPr>
          <w:lang w:val="es-US"/>
        </w:rPr>
        <w:t xml:space="preserve"> </w:t>
      </w:r>
    </w:p>
    <w:p w14:paraId="3C1197F6" w14:textId="77777777" w:rsidR="00E848C2" w:rsidRDefault="00E848C2" w:rsidP="00E848C2">
      <w:pPr>
        <w:pStyle w:val="ListParagraph"/>
        <w:ind w:left="10"/>
        <w:jc w:val="both"/>
        <w:rPr>
          <w:lang w:val="es-US"/>
        </w:rPr>
      </w:pPr>
    </w:p>
    <w:p w14:paraId="48B17C4F" w14:textId="1C63DC42" w:rsidR="00E848C2" w:rsidRPr="00CC1AB8" w:rsidRDefault="00367ED3" w:rsidP="00C0672C">
      <w:pPr>
        <w:pStyle w:val="ListParagraph"/>
        <w:numPr>
          <w:ilvl w:val="0"/>
          <w:numId w:val="1"/>
        </w:numPr>
        <w:jc w:val="both"/>
        <w:rPr>
          <w:lang w:val="es-US"/>
        </w:rPr>
      </w:pPr>
      <w:r w:rsidRPr="00CC1AB8">
        <w:rPr>
          <w:lang w:val="es-US"/>
        </w:rPr>
        <w:t>Sin embargo, durante la visita in situ, los representantes de la SEC señalaron que se cuenta con resultados relativos a la aplicación de la disposición sobre libros y registros establecida en la FCPA y que pueden consultarse en línea. A este respecto, la SEC mantiene a disposición del público una lista de sus acciones de aplicación de la FCPA ordenadas por año calendario, en la que se identifican las empresas que reciben la multa, una breve descripción del caso y la multa que se impuso</w:t>
      </w:r>
      <w:r w:rsidR="004325B1" w:rsidRPr="00CC1AB8">
        <w:rPr>
          <w:rStyle w:val="FootnoteReference"/>
          <w:lang w:val="es-US"/>
        </w:rPr>
        <w:footnoteReference w:id="94"/>
      </w:r>
      <w:r w:rsidRPr="00CC1AB8">
        <w:rPr>
          <w:lang w:val="es-US"/>
        </w:rPr>
        <w:t>.</w:t>
      </w:r>
      <w:r w:rsidR="004325B1" w:rsidRPr="00CC1AB8">
        <w:rPr>
          <w:lang w:val="es-US"/>
        </w:rPr>
        <w:t xml:space="preserve"> </w:t>
      </w:r>
      <w:r w:rsidR="00507C6E" w:rsidRPr="00CC1AB8">
        <w:rPr>
          <w:lang w:val="es-US"/>
        </w:rPr>
        <w:t>A este respecto, la lista de acciones de aplicación se extiende desde 1978 hasta la actualidad. El Comité recopiló la siguiente información, extraída del sitio web de la SEC, para los últimos cinco años</w:t>
      </w:r>
      <w:r w:rsidR="004325B1" w:rsidRPr="00CC1AB8">
        <w:rPr>
          <w:lang w:val="es-US"/>
        </w:rPr>
        <w:t>:</w:t>
      </w:r>
    </w:p>
    <w:p w14:paraId="470C848D" w14:textId="77777777" w:rsidR="004325B1" w:rsidRPr="00CC1AB8" w:rsidRDefault="004325B1" w:rsidP="004325B1">
      <w:pPr>
        <w:pStyle w:val="ListParagraph"/>
        <w:rPr>
          <w:lang w:val="es-US"/>
        </w:rPr>
      </w:pPr>
    </w:p>
    <w:p w14:paraId="4679CF55" w14:textId="77777777" w:rsidR="0060265D" w:rsidRPr="00CC1AB8" w:rsidRDefault="0060265D" w:rsidP="0060265D">
      <w:pPr>
        <w:ind w:left="720"/>
        <w:contextualSpacing/>
        <w:rPr>
          <w:rFonts w:eastAsia="Yu Mincho"/>
          <w:b/>
          <w:bCs/>
          <w:sz w:val="20"/>
          <w:szCs w:val="20"/>
          <w:lang w:val="es-US"/>
        </w:rPr>
      </w:pPr>
      <w:r w:rsidRPr="00CC1AB8">
        <w:rPr>
          <w:rFonts w:eastAsia="Yu Mincho"/>
          <w:b/>
          <w:bCs/>
          <w:sz w:val="20"/>
          <w:szCs w:val="20"/>
          <w:lang w:val="es-US"/>
        </w:rPr>
        <w:t>Acciones de aplicación de la FCPA de la SEC</w:t>
      </w:r>
    </w:p>
    <w:p w14:paraId="4A13CB24" w14:textId="77777777" w:rsidR="0060265D" w:rsidRPr="00CC1AB8" w:rsidRDefault="0060265D" w:rsidP="0060265D">
      <w:pPr>
        <w:ind w:left="720"/>
        <w:contextualSpacing/>
        <w:rPr>
          <w:rFonts w:eastAsia="Yu Mincho"/>
          <w:b/>
          <w:bCs/>
          <w:sz w:val="20"/>
          <w:szCs w:val="20"/>
          <w:lang w:val="es-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2"/>
        <w:gridCol w:w="1591"/>
        <w:gridCol w:w="1591"/>
        <w:gridCol w:w="1556"/>
        <w:gridCol w:w="1545"/>
        <w:gridCol w:w="1545"/>
      </w:tblGrid>
      <w:tr w:rsidR="0060265D" w:rsidRPr="00CC1AB8" w14:paraId="6EF95709" w14:textId="77777777" w:rsidTr="00515B5E">
        <w:tc>
          <w:tcPr>
            <w:tcW w:w="1558" w:type="dxa"/>
          </w:tcPr>
          <w:p w14:paraId="7465070E" w14:textId="77777777" w:rsidR="0060265D" w:rsidRPr="00CC1AB8" w:rsidRDefault="0060265D" w:rsidP="0060265D">
            <w:pPr>
              <w:contextualSpacing/>
              <w:rPr>
                <w:rFonts w:eastAsia="Yu Mincho"/>
                <w:sz w:val="22"/>
                <w:szCs w:val="22"/>
                <w:lang w:val="es-US"/>
              </w:rPr>
            </w:pPr>
            <w:r w:rsidRPr="00CC1AB8">
              <w:rPr>
                <w:rFonts w:eastAsia="Yu Mincho"/>
                <w:sz w:val="22"/>
                <w:szCs w:val="22"/>
                <w:lang w:val="es-US"/>
              </w:rPr>
              <w:t>Año</w:t>
            </w:r>
          </w:p>
        </w:tc>
        <w:tc>
          <w:tcPr>
            <w:tcW w:w="1558" w:type="dxa"/>
          </w:tcPr>
          <w:p w14:paraId="62CCA243" w14:textId="77777777" w:rsidR="0060265D" w:rsidRPr="00CC1AB8" w:rsidRDefault="0060265D" w:rsidP="0060265D">
            <w:pPr>
              <w:contextualSpacing/>
              <w:jc w:val="center"/>
              <w:rPr>
                <w:rFonts w:eastAsia="Yu Mincho"/>
                <w:sz w:val="22"/>
                <w:szCs w:val="22"/>
                <w:lang w:val="es-US"/>
              </w:rPr>
            </w:pPr>
            <w:r w:rsidRPr="00CC1AB8">
              <w:rPr>
                <w:rFonts w:eastAsia="Yu Mincho"/>
                <w:sz w:val="22"/>
                <w:szCs w:val="22"/>
                <w:lang w:val="es-US"/>
              </w:rPr>
              <w:t>2019</w:t>
            </w:r>
          </w:p>
        </w:tc>
        <w:tc>
          <w:tcPr>
            <w:tcW w:w="1558" w:type="dxa"/>
          </w:tcPr>
          <w:p w14:paraId="5F79E00B" w14:textId="77777777" w:rsidR="0060265D" w:rsidRPr="00CC1AB8" w:rsidRDefault="0060265D" w:rsidP="0060265D">
            <w:pPr>
              <w:contextualSpacing/>
              <w:jc w:val="center"/>
              <w:rPr>
                <w:rFonts w:eastAsia="Yu Mincho"/>
                <w:sz w:val="22"/>
                <w:szCs w:val="22"/>
                <w:lang w:val="es-US"/>
              </w:rPr>
            </w:pPr>
            <w:r w:rsidRPr="00CC1AB8">
              <w:rPr>
                <w:rFonts w:eastAsia="Yu Mincho"/>
                <w:sz w:val="22"/>
                <w:szCs w:val="22"/>
                <w:lang w:val="es-US"/>
              </w:rPr>
              <w:t>2020</w:t>
            </w:r>
          </w:p>
        </w:tc>
        <w:tc>
          <w:tcPr>
            <w:tcW w:w="1558" w:type="dxa"/>
          </w:tcPr>
          <w:p w14:paraId="619501ED" w14:textId="77777777" w:rsidR="0060265D" w:rsidRPr="00CC1AB8" w:rsidRDefault="0060265D" w:rsidP="0060265D">
            <w:pPr>
              <w:contextualSpacing/>
              <w:jc w:val="center"/>
              <w:rPr>
                <w:rFonts w:eastAsia="Yu Mincho"/>
                <w:sz w:val="22"/>
                <w:szCs w:val="22"/>
                <w:lang w:val="es-US"/>
              </w:rPr>
            </w:pPr>
            <w:r w:rsidRPr="00CC1AB8">
              <w:rPr>
                <w:rFonts w:eastAsia="Yu Mincho"/>
                <w:sz w:val="22"/>
                <w:szCs w:val="22"/>
                <w:lang w:val="es-US"/>
              </w:rPr>
              <w:t>2021</w:t>
            </w:r>
          </w:p>
        </w:tc>
        <w:tc>
          <w:tcPr>
            <w:tcW w:w="1559" w:type="dxa"/>
          </w:tcPr>
          <w:p w14:paraId="2C77CB93" w14:textId="77777777" w:rsidR="0060265D" w:rsidRPr="00CC1AB8" w:rsidRDefault="0060265D" w:rsidP="0060265D">
            <w:pPr>
              <w:contextualSpacing/>
              <w:jc w:val="center"/>
              <w:rPr>
                <w:rFonts w:eastAsia="Yu Mincho"/>
                <w:sz w:val="22"/>
                <w:szCs w:val="22"/>
                <w:lang w:val="es-US"/>
              </w:rPr>
            </w:pPr>
            <w:r w:rsidRPr="00CC1AB8">
              <w:rPr>
                <w:rFonts w:eastAsia="Yu Mincho"/>
                <w:sz w:val="22"/>
                <w:szCs w:val="22"/>
                <w:lang w:val="es-US"/>
              </w:rPr>
              <w:t>2022</w:t>
            </w:r>
          </w:p>
        </w:tc>
        <w:tc>
          <w:tcPr>
            <w:tcW w:w="1559" w:type="dxa"/>
          </w:tcPr>
          <w:p w14:paraId="0AC97E27" w14:textId="77777777" w:rsidR="0060265D" w:rsidRPr="00CC1AB8" w:rsidRDefault="0060265D" w:rsidP="0060265D">
            <w:pPr>
              <w:contextualSpacing/>
              <w:jc w:val="center"/>
              <w:rPr>
                <w:rFonts w:eastAsia="Yu Mincho"/>
                <w:sz w:val="22"/>
                <w:szCs w:val="22"/>
                <w:lang w:val="es-US"/>
              </w:rPr>
            </w:pPr>
            <w:r w:rsidRPr="00CC1AB8">
              <w:rPr>
                <w:rFonts w:eastAsia="Yu Mincho"/>
                <w:sz w:val="22"/>
                <w:szCs w:val="22"/>
                <w:lang w:val="es-US"/>
              </w:rPr>
              <w:t>2023</w:t>
            </w:r>
          </w:p>
        </w:tc>
      </w:tr>
      <w:tr w:rsidR="0060265D" w:rsidRPr="00CC1AB8" w14:paraId="57EBCA96" w14:textId="77777777" w:rsidTr="00515B5E">
        <w:tc>
          <w:tcPr>
            <w:tcW w:w="1558" w:type="dxa"/>
          </w:tcPr>
          <w:p w14:paraId="6E8CEF4D" w14:textId="77777777" w:rsidR="0060265D" w:rsidRPr="00CC1AB8" w:rsidRDefault="0060265D" w:rsidP="0060265D">
            <w:pPr>
              <w:contextualSpacing/>
              <w:rPr>
                <w:rFonts w:eastAsia="Yu Mincho"/>
                <w:sz w:val="22"/>
                <w:szCs w:val="22"/>
                <w:lang w:val="es-US"/>
              </w:rPr>
            </w:pPr>
            <w:r w:rsidRPr="00CC1AB8">
              <w:rPr>
                <w:rFonts w:eastAsia="Yu Mincho"/>
                <w:bCs/>
                <w:sz w:val="20"/>
                <w:szCs w:val="20"/>
                <w:lang w:val="es-US"/>
              </w:rPr>
              <w:t xml:space="preserve">Acciones de aplicación </w:t>
            </w:r>
          </w:p>
        </w:tc>
        <w:tc>
          <w:tcPr>
            <w:tcW w:w="1558" w:type="dxa"/>
          </w:tcPr>
          <w:p w14:paraId="2FC540B4" w14:textId="77777777" w:rsidR="0060265D" w:rsidRPr="00CC1AB8" w:rsidRDefault="0060265D" w:rsidP="0060265D">
            <w:pPr>
              <w:contextualSpacing/>
              <w:jc w:val="center"/>
              <w:rPr>
                <w:rFonts w:eastAsia="Yu Mincho"/>
                <w:sz w:val="22"/>
                <w:szCs w:val="22"/>
                <w:lang w:val="es-US"/>
              </w:rPr>
            </w:pPr>
            <w:r w:rsidRPr="00CC1AB8">
              <w:rPr>
                <w:rFonts w:eastAsia="Yu Mincho"/>
                <w:sz w:val="22"/>
                <w:szCs w:val="22"/>
                <w:lang w:val="es-US"/>
              </w:rPr>
              <w:t>17</w:t>
            </w:r>
          </w:p>
        </w:tc>
        <w:tc>
          <w:tcPr>
            <w:tcW w:w="1558" w:type="dxa"/>
          </w:tcPr>
          <w:p w14:paraId="3D500A3D" w14:textId="77777777" w:rsidR="0060265D" w:rsidRPr="00CC1AB8" w:rsidRDefault="0060265D" w:rsidP="0060265D">
            <w:pPr>
              <w:contextualSpacing/>
              <w:jc w:val="center"/>
              <w:rPr>
                <w:rFonts w:eastAsia="Yu Mincho"/>
                <w:sz w:val="22"/>
                <w:szCs w:val="22"/>
                <w:lang w:val="es-US"/>
              </w:rPr>
            </w:pPr>
            <w:r w:rsidRPr="00CC1AB8">
              <w:rPr>
                <w:rFonts w:eastAsia="Yu Mincho"/>
                <w:sz w:val="22"/>
                <w:szCs w:val="22"/>
                <w:lang w:val="es-US"/>
              </w:rPr>
              <w:t>8</w:t>
            </w:r>
          </w:p>
        </w:tc>
        <w:tc>
          <w:tcPr>
            <w:tcW w:w="1558" w:type="dxa"/>
          </w:tcPr>
          <w:p w14:paraId="42A59FA0" w14:textId="77777777" w:rsidR="0060265D" w:rsidRPr="00CC1AB8" w:rsidRDefault="0060265D" w:rsidP="0060265D">
            <w:pPr>
              <w:contextualSpacing/>
              <w:jc w:val="center"/>
              <w:rPr>
                <w:rFonts w:eastAsia="Yu Mincho"/>
                <w:sz w:val="22"/>
                <w:szCs w:val="22"/>
                <w:lang w:val="es-US"/>
              </w:rPr>
            </w:pPr>
            <w:r w:rsidRPr="00CC1AB8">
              <w:rPr>
                <w:rFonts w:eastAsia="Yu Mincho"/>
                <w:sz w:val="22"/>
                <w:szCs w:val="22"/>
                <w:lang w:val="es-US"/>
              </w:rPr>
              <w:t>5</w:t>
            </w:r>
          </w:p>
        </w:tc>
        <w:tc>
          <w:tcPr>
            <w:tcW w:w="1559" w:type="dxa"/>
          </w:tcPr>
          <w:p w14:paraId="66E99251" w14:textId="77777777" w:rsidR="0060265D" w:rsidRPr="00CC1AB8" w:rsidRDefault="0060265D" w:rsidP="0060265D">
            <w:pPr>
              <w:contextualSpacing/>
              <w:jc w:val="center"/>
              <w:rPr>
                <w:rFonts w:eastAsia="Yu Mincho"/>
                <w:sz w:val="22"/>
                <w:szCs w:val="22"/>
                <w:lang w:val="es-US"/>
              </w:rPr>
            </w:pPr>
            <w:r w:rsidRPr="00CC1AB8">
              <w:rPr>
                <w:rFonts w:eastAsia="Yu Mincho"/>
                <w:sz w:val="22"/>
                <w:szCs w:val="22"/>
                <w:lang w:val="es-US"/>
              </w:rPr>
              <w:t>7</w:t>
            </w:r>
          </w:p>
        </w:tc>
        <w:tc>
          <w:tcPr>
            <w:tcW w:w="1559" w:type="dxa"/>
          </w:tcPr>
          <w:p w14:paraId="299F1B6C" w14:textId="77777777" w:rsidR="0060265D" w:rsidRPr="00CC1AB8" w:rsidRDefault="0060265D" w:rsidP="0060265D">
            <w:pPr>
              <w:contextualSpacing/>
              <w:jc w:val="center"/>
              <w:rPr>
                <w:rFonts w:eastAsia="Yu Mincho"/>
                <w:sz w:val="22"/>
                <w:szCs w:val="22"/>
                <w:lang w:val="es-US"/>
              </w:rPr>
            </w:pPr>
            <w:r w:rsidRPr="00CC1AB8">
              <w:rPr>
                <w:rFonts w:eastAsia="Yu Mincho"/>
                <w:sz w:val="22"/>
                <w:szCs w:val="22"/>
                <w:lang w:val="es-US"/>
              </w:rPr>
              <w:t>9</w:t>
            </w:r>
          </w:p>
        </w:tc>
      </w:tr>
      <w:tr w:rsidR="0060265D" w:rsidRPr="00CC1AB8" w14:paraId="7389D6DB" w14:textId="77777777" w:rsidTr="00515B5E">
        <w:tc>
          <w:tcPr>
            <w:tcW w:w="1558" w:type="dxa"/>
          </w:tcPr>
          <w:p w14:paraId="0BC7B9DB" w14:textId="74C7C0BD" w:rsidR="0060265D" w:rsidRPr="00CC1AB8" w:rsidRDefault="0060265D" w:rsidP="0060265D">
            <w:pPr>
              <w:contextualSpacing/>
              <w:rPr>
                <w:rFonts w:eastAsia="Yu Mincho"/>
                <w:sz w:val="22"/>
                <w:szCs w:val="22"/>
                <w:lang w:val="es-US"/>
              </w:rPr>
            </w:pPr>
            <w:r w:rsidRPr="00CC1AB8">
              <w:rPr>
                <w:rFonts w:eastAsia="Yu Mincho"/>
                <w:sz w:val="22"/>
                <w:szCs w:val="22"/>
                <w:lang w:val="es-US"/>
              </w:rPr>
              <w:t>Sanciones impuestas</w:t>
            </w:r>
            <w:r w:rsidRPr="00CC1AB8">
              <w:rPr>
                <w:rFonts w:eastAsia="Yu Mincho"/>
                <w:sz w:val="22"/>
                <w:szCs w:val="22"/>
                <w:vertAlign w:val="superscript"/>
                <w:lang w:val="es-US"/>
              </w:rPr>
              <w:footnoteReference w:id="95"/>
            </w:r>
          </w:p>
        </w:tc>
        <w:tc>
          <w:tcPr>
            <w:tcW w:w="1558" w:type="dxa"/>
          </w:tcPr>
          <w:p w14:paraId="0831C67A" w14:textId="77777777" w:rsidR="0060265D" w:rsidRPr="00CC1AB8" w:rsidRDefault="0060265D" w:rsidP="0060265D">
            <w:pPr>
              <w:contextualSpacing/>
              <w:jc w:val="center"/>
              <w:rPr>
                <w:rFonts w:eastAsia="Yu Mincho"/>
                <w:sz w:val="22"/>
                <w:szCs w:val="22"/>
                <w:lang w:val="es-US"/>
              </w:rPr>
            </w:pPr>
            <w:r w:rsidRPr="00CC1AB8">
              <w:rPr>
                <w:rFonts w:eastAsia="Yu Mincho"/>
                <w:sz w:val="22"/>
                <w:szCs w:val="22"/>
                <w:lang w:val="es-US"/>
              </w:rPr>
              <w:t>$2,515,975,000</w:t>
            </w:r>
          </w:p>
        </w:tc>
        <w:tc>
          <w:tcPr>
            <w:tcW w:w="1558" w:type="dxa"/>
          </w:tcPr>
          <w:p w14:paraId="7897E778" w14:textId="77777777" w:rsidR="0060265D" w:rsidRPr="00CC1AB8" w:rsidRDefault="0060265D" w:rsidP="0060265D">
            <w:pPr>
              <w:contextualSpacing/>
              <w:jc w:val="center"/>
              <w:rPr>
                <w:rFonts w:eastAsia="Yu Mincho"/>
                <w:sz w:val="22"/>
                <w:szCs w:val="22"/>
                <w:lang w:val="es-US"/>
              </w:rPr>
            </w:pPr>
            <w:r w:rsidRPr="00CC1AB8">
              <w:rPr>
                <w:rFonts w:eastAsia="Yu Mincho"/>
                <w:sz w:val="22"/>
                <w:szCs w:val="22"/>
                <w:lang w:val="es-US"/>
              </w:rPr>
              <w:t>$1,508,050,000</w:t>
            </w:r>
          </w:p>
          <w:p w14:paraId="7697ECCA" w14:textId="77777777" w:rsidR="0060265D" w:rsidRPr="00CC1AB8" w:rsidRDefault="0060265D" w:rsidP="0060265D">
            <w:pPr>
              <w:contextualSpacing/>
              <w:jc w:val="center"/>
              <w:rPr>
                <w:rFonts w:eastAsia="Yu Mincho"/>
                <w:sz w:val="22"/>
                <w:szCs w:val="22"/>
                <w:lang w:val="es-US"/>
              </w:rPr>
            </w:pPr>
          </w:p>
        </w:tc>
        <w:tc>
          <w:tcPr>
            <w:tcW w:w="1558" w:type="dxa"/>
          </w:tcPr>
          <w:p w14:paraId="3D63E783" w14:textId="77777777" w:rsidR="0060265D" w:rsidRPr="00CC1AB8" w:rsidRDefault="0060265D" w:rsidP="0060265D">
            <w:pPr>
              <w:contextualSpacing/>
              <w:jc w:val="center"/>
              <w:rPr>
                <w:rFonts w:eastAsia="Yu Mincho"/>
                <w:sz w:val="22"/>
                <w:szCs w:val="22"/>
                <w:lang w:val="es-US"/>
              </w:rPr>
            </w:pPr>
            <w:r w:rsidRPr="00CC1AB8">
              <w:rPr>
                <w:rFonts w:eastAsia="Yu Mincho"/>
                <w:sz w:val="22"/>
                <w:szCs w:val="22"/>
                <w:lang w:val="es-US"/>
              </w:rPr>
              <w:t>$185,029,0000</w:t>
            </w:r>
          </w:p>
        </w:tc>
        <w:tc>
          <w:tcPr>
            <w:tcW w:w="1559" w:type="dxa"/>
          </w:tcPr>
          <w:p w14:paraId="3CB5563F" w14:textId="77777777" w:rsidR="0060265D" w:rsidRPr="00CC1AB8" w:rsidRDefault="0060265D" w:rsidP="0060265D">
            <w:pPr>
              <w:contextualSpacing/>
              <w:jc w:val="center"/>
              <w:rPr>
                <w:rFonts w:eastAsia="Yu Mincho"/>
                <w:sz w:val="22"/>
                <w:szCs w:val="22"/>
                <w:lang w:val="es-US"/>
              </w:rPr>
            </w:pPr>
            <w:r w:rsidRPr="00CC1AB8">
              <w:rPr>
                <w:rFonts w:eastAsia="Yu Mincho"/>
                <w:sz w:val="22"/>
                <w:szCs w:val="22"/>
                <w:lang w:val="es-US"/>
              </w:rPr>
              <w:t>$523,300,000</w:t>
            </w:r>
          </w:p>
        </w:tc>
        <w:tc>
          <w:tcPr>
            <w:tcW w:w="1559" w:type="dxa"/>
          </w:tcPr>
          <w:p w14:paraId="13BA7792" w14:textId="77777777" w:rsidR="0060265D" w:rsidRPr="00CC1AB8" w:rsidRDefault="0060265D" w:rsidP="0060265D">
            <w:pPr>
              <w:contextualSpacing/>
              <w:jc w:val="center"/>
              <w:rPr>
                <w:rFonts w:eastAsia="Yu Mincho"/>
                <w:sz w:val="22"/>
                <w:szCs w:val="22"/>
                <w:lang w:val="es-US"/>
              </w:rPr>
            </w:pPr>
            <w:r w:rsidRPr="00CC1AB8">
              <w:rPr>
                <w:rFonts w:eastAsia="Yu Mincho"/>
                <w:sz w:val="22"/>
                <w:szCs w:val="22"/>
                <w:lang w:val="es-US"/>
              </w:rPr>
              <w:t>$267,650,000</w:t>
            </w:r>
          </w:p>
        </w:tc>
      </w:tr>
    </w:tbl>
    <w:p w14:paraId="380C39E2" w14:textId="77777777" w:rsidR="004325B1" w:rsidRPr="00CC1AB8" w:rsidRDefault="004325B1" w:rsidP="004325B1">
      <w:pPr>
        <w:pStyle w:val="ListParagraph"/>
        <w:rPr>
          <w:b/>
          <w:bCs/>
          <w:lang w:val="es-US"/>
        </w:rPr>
      </w:pPr>
    </w:p>
    <w:p w14:paraId="5413B72E" w14:textId="04070A98" w:rsidR="00425F88" w:rsidRPr="00CC1AB8" w:rsidRDefault="004537F4" w:rsidP="00425F88">
      <w:pPr>
        <w:pStyle w:val="ListParagraph"/>
        <w:numPr>
          <w:ilvl w:val="0"/>
          <w:numId w:val="1"/>
        </w:numPr>
        <w:jc w:val="both"/>
        <w:rPr>
          <w:lang w:val="es-US"/>
        </w:rPr>
      </w:pPr>
      <w:r w:rsidRPr="00CC1AB8">
        <w:rPr>
          <w:lang w:val="es-US"/>
        </w:rPr>
        <w:t>El Comité también observa que la SEC publica comunicados de prensa o de litigios en su sitio web sobre las acciones de aplicación que ha emprendido la SEC, incluidas las relativas a violaciones de la FCPA, de las cuales se proporcionó una lista de casos relevantes como parte de la Respuesta al Cuestionario</w:t>
      </w:r>
      <w:r w:rsidR="00425F88" w:rsidRPr="00CC1AB8">
        <w:rPr>
          <w:rStyle w:val="FootnoteReference"/>
          <w:lang w:val="es-US"/>
        </w:rPr>
        <w:footnoteReference w:id="96"/>
      </w:r>
      <w:r w:rsidRPr="00CC1AB8">
        <w:rPr>
          <w:lang w:val="es-US"/>
        </w:rPr>
        <w:t>.</w:t>
      </w:r>
    </w:p>
    <w:p w14:paraId="532F61D4" w14:textId="77777777" w:rsidR="00A6697C" w:rsidRPr="00CC1AB8" w:rsidRDefault="00A6697C" w:rsidP="00A6697C">
      <w:pPr>
        <w:pStyle w:val="ListParagraph"/>
        <w:ind w:left="10"/>
        <w:jc w:val="both"/>
        <w:rPr>
          <w:lang w:val="es-US"/>
        </w:rPr>
      </w:pPr>
    </w:p>
    <w:p w14:paraId="6A969551" w14:textId="77777777" w:rsidR="00DA309A" w:rsidRPr="00CC1AB8" w:rsidRDefault="00DA309A" w:rsidP="00DA309A">
      <w:pPr>
        <w:pStyle w:val="ListParagraph"/>
        <w:numPr>
          <w:ilvl w:val="0"/>
          <w:numId w:val="1"/>
        </w:numPr>
        <w:jc w:val="both"/>
        <w:rPr>
          <w:lang w:val="es-US"/>
        </w:rPr>
      </w:pPr>
      <w:r w:rsidRPr="00CC1AB8">
        <w:rPr>
          <w:lang w:val="es-US"/>
        </w:rPr>
        <w:t>A este respecto, el Comité reconoce que el Estado analizado mantiene resultados sobre la aplicación de la ley por violación del delito de libros y registros en lo que se refiere al soborno en el extranjero. El Comité observa, sin embargo, que la disposición sobre libros y registros introducida por la FCPA no se ha utilizado únicamente en casos de soborno en el extranjero, sino también en casos que no implicaban soborno y estaban relacionados con transacciones nacionales, como se indica en los ejemplos que figuran en los comunicados de litigios de la SEC disponibles en línea.</w:t>
      </w:r>
    </w:p>
    <w:p w14:paraId="2DEB36FE" w14:textId="77777777" w:rsidR="00DA309A" w:rsidRPr="00CC1AB8" w:rsidRDefault="00DA309A" w:rsidP="00DA309A">
      <w:pPr>
        <w:pStyle w:val="ListParagraph"/>
        <w:rPr>
          <w:lang w:val="es-US"/>
        </w:rPr>
      </w:pPr>
    </w:p>
    <w:p w14:paraId="1EF923E5" w14:textId="066FDCC5" w:rsidR="00A6697C" w:rsidRPr="00CC1AB8" w:rsidRDefault="00DA309A" w:rsidP="00DA309A">
      <w:pPr>
        <w:pStyle w:val="ListParagraph"/>
        <w:numPr>
          <w:ilvl w:val="0"/>
          <w:numId w:val="1"/>
        </w:numPr>
        <w:jc w:val="both"/>
        <w:rPr>
          <w:lang w:val="es-US"/>
        </w:rPr>
      </w:pPr>
      <w:r w:rsidRPr="00CC1AB8">
        <w:rPr>
          <w:lang w:val="es-US"/>
        </w:rPr>
        <w:t xml:space="preserve">En este sentido, el Comité advierte que las disposiciones pertinentes se encuentran en la sección 13(b)(2)(A) de la Ley de </w:t>
      </w:r>
      <w:r w:rsidRPr="00CC1AB8">
        <w:rPr>
          <w:iCs/>
          <w:lang w:val="es-US"/>
        </w:rPr>
        <w:t>Valores y Bolsa</w:t>
      </w:r>
      <w:r w:rsidRPr="00CC1AB8">
        <w:rPr>
          <w:i/>
          <w:iCs/>
          <w:lang w:val="es-US"/>
        </w:rPr>
        <w:t xml:space="preserve"> </w:t>
      </w:r>
      <w:r w:rsidRPr="00CC1AB8">
        <w:rPr>
          <w:lang w:val="es-US"/>
        </w:rPr>
        <w:t xml:space="preserve">de 1934, que establece que los emisores, las empresas que están obligadas a presentar informes a la SEC o que tienen valores registrados en la SEC, deben </w:t>
      </w:r>
      <w:r w:rsidRPr="00CC1AB8">
        <w:rPr>
          <w:i/>
          <w:lang w:val="es-US"/>
        </w:rPr>
        <w:t>“hacer y mantener libros, registros y cuentas que, con un detalle razonable, reflejen con precisión y equidad las transacciones y disposiciones de los activos del emisor”</w:t>
      </w:r>
      <w:r w:rsidRPr="00CC1AB8">
        <w:rPr>
          <w:lang w:val="es-US"/>
        </w:rPr>
        <w:t>. Además, la sección 13(b)(2)(B) establece que los emisores también deben elaborar y mantener un sistema de controles contables internos que ofrezca garantías razonables suficientes de que</w:t>
      </w:r>
      <w:r w:rsidR="00DA4CF9" w:rsidRPr="00CC1AB8">
        <w:rPr>
          <w:rStyle w:val="FootnoteReference"/>
          <w:lang w:val="es-US"/>
        </w:rPr>
        <w:footnoteReference w:id="97"/>
      </w:r>
      <w:r w:rsidRPr="00CC1AB8">
        <w:rPr>
          <w:lang w:val="es-US"/>
        </w:rPr>
        <w:t>:</w:t>
      </w:r>
      <w:r w:rsidR="00FC2581">
        <w:rPr>
          <w:lang w:val="es-US"/>
        </w:rPr>
        <w:t xml:space="preserve"> </w:t>
      </w:r>
    </w:p>
    <w:p w14:paraId="6D4FC952" w14:textId="77777777" w:rsidR="00C01CCE" w:rsidRPr="00CC1AB8" w:rsidRDefault="00C01CCE" w:rsidP="00C01CCE">
      <w:pPr>
        <w:pStyle w:val="ListParagraph"/>
        <w:rPr>
          <w:lang w:val="es-US"/>
        </w:rPr>
      </w:pPr>
    </w:p>
    <w:p w14:paraId="59E5C82E" w14:textId="77777777" w:rsidR="006E53C5" w:rsidRPr="00CC1AB8" w:rsidRDefault="006E53C5" w:rsidP="006E53C5">
      <w:pPr>
        <w:pStyle w:val="ListParagraph"/>
        <w:numPr>
          <w:ilvl w:val="0"/>
          <w:numId w:val="17"/>
        </w:numPr>
        <w:ind w:left="900" w:hanging="540"/>
        <w:jc w:val="both"/>
        <w:rPr>
          <w:lang w:val="es-US"/>
        </w:rPr>
      </w:pPr>
      <w:r w:rsidRPr="00CC1AB8">
        <w:rPr>
          <w:lang w:val="es-US"/>
        </w:rPr>
        <w:t>Las transacciones se ejecutan de acuerdo con la autorización general o específica de la dirección.</w:t>
      </w:r>
    </w:p>
    <w:p w14:paraId="5F3D6234" w14:textId="202B2B73" w:rsidR="006E53C5" w:rsidRPr="00CC1AB8" w:rsidRDefault="006E53C5" w:rsidP="006E53C5">
      <w:pPr>
        <w:pStyle w:val="ListParagraph"/>
        <w:numPr>
          <w:ilvl w:val="0"/>
          <w:numId w:val="17"/>
        </w:numPr>
        <w:ind w:left="900" w:hanging="540"/>
        <w:jc w:val="both"/>
        <w:rPr>
          <w:lang w:val="es-US"/>
        </w:rPr>
      </w:pPr>
      <w:r w:rsidRPr="00CC1AB8">
        <w:rPr>
          <w:lang w:val="es-US"/>
        </w:rPr>
        <w:t>Las transacciones se registran según sea necesario (i) para permitir la preparación de estados financieros de conformidad con los principios contables generalmente aceptados o cualquier otro criterio aplicable a dichos estados y (</w:t>
      </w:r>
      <w:proofErr w:type="spellStart"/>
      <w:r w:rsidRPr="00CC1AB8">
        <w:rPr>
          <w:lang w:val="es-US"/>
        </w:rPr>
        <w:t>ii</w:t>
      </w:r>
      <w:proofErr w:type="spellEnd"/>
      <w:r w:rsidRPr="00CC1AB8">
        <w:rPr>
          <w:lang w:val="es-US"/>
        </w:rPr>
        <w:t>) para mantener la responsabilidad de los activos.</w:t>
      </w:r>
    </w:p>
    <w:p w14:paraId="50ED4865" w14:textId="332EAB54" w:rsidR="006E53C5" w:rsidRPr="00CC1AB8" w:rsidRDefault="006E53C5" w:rsidP="006E53C5">
      <w:pPr>
        <w:pStyle w:val="ListParagraph"/>
        <w:numPr>
          <w:ilvl w:val="0"/>
          <w:numId w:val="17"/>
        </w:numPr>
        <w:ind w:left="900" w:hanging="540"/>
        <w:jc w:val="both"/>
        <w:rPr>
          <w:lang w:val="es-US"/>
        </w:rPr>
      </w:pPr>
      <w:r w:rsidRPr="00CC1AB8">
        <w:rPr>
          <w:lang w:val="es-US"/>
        </w:rPr>
        <w:t>El acceso a los activos solo se permite de acuerdo con la autorización general o específica de la dirección.</w:t>
      </w:r>
    </w:p>
    <w:p w14:paraId="3F9FB782" w14:textId="3B4AB5C6" w:rsidR="00C01CCE" w:rsidRPr="00CC1AB8" w:rsidRDefault="006E53C5" w:rsidP="006E53C5">
      <w:pPr>
        <w:pStyle w:val="ListParagraph"/>
        <w:numPr>
          <w:ilvl w:val="0"/>
          <w:numId w:val="17"/>
        </w:numPr>
        <w:jc w:val="both"/>
        <w:rPr>
          <w:lang w:val="es-US"/>
        </w:rPr>
      </w:pPr>
      <w:r w:rsidRPr="00CC1AB8">
        <w:rPr>
          <w:lang w:val="es-US"/>
        </w:rPr>
        <w:t xml:space="preserve">La contabilidad registrada de los activos se compara con los activos existentes a intervalos razonables y se toman las medidas adecuadas con respecto a cualquier </w:t>
      </w:r>
      <w:r w:rsidR="00614821" w:rsidRPr="00CC1AB8">
        <w:rPr>
          <w:lang w:val="es-US"/>
        </w:rPr>
        <w:t>diferencia.</w:t>
      </w:r>
    </w:p>
    <w:p w14:paraId="2B26589B" w14:textId="77777777" w:rsidR="00C01CCE" w:rsidRPr="00CC1AB8" w:rsidRDefault="00C01CCE" w:rsidP="00C01CCE">
      <w:pPr>
        <w:jc w:val="both"/>
        <w:rPr>
          <w:lang w:val="es-US"/>
        </w:rPr>
      </w:pPr>
    </w:p>
    <w:p w14:paraId="26EB3614" w14:textId="7C5ECDF7" w:rsidR="00795A82" w:rsidRPr="00CC1AB8" w:rsidRDefault="00233A76" w:rsidP="00795A82">
      <w:pPr>
        <w:pStyle w:val="ListParagraph"/>
        <w:numPr>
          <w:ilvl w:val="0"/>
          <w:numId w:val="1"/>
        </w:numPr>
        <w:jc w:val="both"/>
        <w:rPr>
          <w:lang w:val="es-US"/>
        </w:rPr>
      </w:pPr>
      <w:r w:rsidRPr="00CC1AB8">
        <w:rPr>
          <w:lang w:val="es-US"/>
        </w:rPr>
        <w:t xml:space="preserve">El Comité también toma nota de que existen disposiciones pertinentes en la Ley Sarbanes Oxley, en particular la sección 802(a), que prevé sanciones penales, incluidas multas y/o penas de prisión, para cualquier persona que, </w:t>
      </w:r>
      <w:r w:rsidRPr="00CC1AB8">
        <w:rPr>
          <w:i/>
          <w:lang w:val="es-US"/>
        </w:rPr>
        <w:t>“deliberadamente altere, destruya, mutile, oculte, encubra, falsifique o haga una entrada falsa en cualquier registro, documento u objeto tangible con la intención de impedir, obstruir o influir en la investigación o la correcta administración de cualquier asunto dentro de la jurisdicción de cualquier departamento o agencia de Estados Unidos…</w:t>
      </w:r>
      <w:r w:rsidR="00DA4CF9" w:rsidRPr="00CC1AB8">
        <w:rPr>
          <w:rStyle w:val="FootnoteReference"/>
          <w:lang w:val="es-US"/>
        </w:rPr>
        <w:footnoteReference w:id="98"/>
      </w:r>
      <w:r w:rsidR="00F02DA1" w:rsidRPr="00CC1AB8">
        <w:rPr>
          <w:iCs/>
          <w:lang w:val="es-US"/>
        </w:rPr>
        <w:t>”.</w:t>
      </w:r>
    </w:p>
    <w:p w14:paraId="44EF04AD" w14:textId="4BE5FC1C" w:rsidR="003A0F19" w:rsidRDefault="003A0F19" w:rsidP="003A0F19">
      <w:pPr>
        <w:pStyle w:val="ListParagraph"/>
        <w:ind w:left="10"/>
        <w:jc w:val="both"/>
        <w:rPr>
          <w:lang w:val="es-US"/>
        </w:rPr>
      </w:pPr>
    </w:p>
    <w:p w14:paraId="54195068" w14:textId="480FE60A" w:rsidR="00894137" w:rsidRPr="00CC1AB8" w:rsidRDefault="00894137" w:rsidP="00894137">
      <w:pPr>
        <w:pStyle w:val="ListParagraph"/>
        <w:numPr>
          <w:ilvl w:val="0"/>
          <w:numId w:val="1"/>
        </w:numPr>
        <w:jc w:val="both"/>
        <w:rPr>
          <w:lang w:val="es-US"/>
        </w:rPr>
      </w:pPr>
      <w:r w:rsidRPr="00CC1AB8">
        <w:rPr>
          <w:lang w:val="es-US"/>
        </w:rPr>
        <w:t>Durante la visita in situ, los representantes del Departamento de Justicia señalaron las dificultades para mantener resultados sobre las violaciones nacionales del delito de libros y registros</w:t>
      </w:r>
      <w:r w:rsidR="00F27F0A">
        <w:rPr>
          <w:lang w:val="es-US"/>
        </w:rPr>
        <w:t>. También se señaló</w:t>
      </w:r>
      <w:r w:rsidRPr="00CC1AB8">
        <w:rPr>
          <w:lang w:val="es-US"/>
        </w:rPr>
        <w:t xml:space="preserve"> que es posible que las violaciones del delito de libros y registros que implican soborno nacional no se clasifiquen como tales, sino como fraude. Con respecto al Departamento de Justicia, si bien todas las investigaciones de delitos de la FCPA pasan por la Sección de </w:t>
      </w:r>
      <w:r w:rsidR="00F2674E" w:rsidRPr="002C3094">
        <w:rPr>
          <w:lang w:val="es-US"/>
        </w:rPr>
        <w:t>Fraude</w:t>
      </w:r>
      <w:r w:rsidR="00F2674E">
        <w:rPr>
          <w:lang w:val="es-US"/>
        </w:rPr>
        <w:t xml:space="preserve"> </w:t>
      </w:r>
      <w:r w:rsidRPr="00CC1AB8">
        <w:rPr>
          <w:lang w:val="es-US"/>
        </w:rPr>
        <w:t xml:space="preserve">en Washington D.C., los delitos de soborno interno que involucran libros y registros no están centralizados, los casos pueden ocurrir en cualquiera de las 93 Fiscalías ubicadas en Estados Unidos y las estadísticas se encontrarían localmente en esas Fiscalías. </w:t>
      </w:r>
    </w:p>
    <w:p w14:paraId="6A2E93EC" w14:textId="77777777" w:rsidR="00894137" w:rsidRPr="00CC1AB8" w:rsidRDefault="00894137" w:rsidP="00894137">
      <w:pPr>
        <w:pStyle w:val="ListParagraph"/>
        <w:ind w:left="10"/>
        <w:jc w:val="both"/>
        <w:rPr>
          <w:lang w:val="es-US"/>
        </w:rPr>
      </w:pPr>
    </w:p>
    <w:p w14:paraId="48B5B783" w14:textId="0CCC39AD" w:rsidR="00DA4CF9" w:rsidRPr="00CC1AB8" w:rsidRDefault="00894137" w:rsidP="00894137">
      <w:pPr>
        <w:pStyle w:val="ListParagraph"/>
        <w:numPr>
          <w:ilvl w:val="0"/>
          <w:numId w:val="1"/>
        </w:numPr>
        <w:jc w:val="both"/>
        <w:rPr>
          <w:lang w:val="es-US"/>
        </w:rPr>
      </w:pPr>
      <w:r w:rsidRPr="00CC1AB8">
        <w:rPr>
          <w:lang w:val="es-US"/>
        </w:rPr>
        <w:t xml:space="preserve">Sin embargo, el Comité estima que el Estado analizado debería considerar la posibilidad de </w:t>
      </w:r>
      <w:r w:rsidR="00BA7A1C">
        <w:rPr>
          <w:b/>
          <w:bCs/>
          <w:u w:val="single"/>
          <w:lang w:val="es-US"/>
        </w:rPr>
        <w:t>p</w:t>
      </w:r>
      <w:r w:rsidR="00BA7A1C" w:rsidRPr="00FD71D9">
        <w:rPr>
          <w:b/>
          <w:bCs/>
          <w:u w:val="single"/>
          <w:lang w:val="es-US"/>
        </w:rPr>
        <w:t>ublicar información sobre casos involucrando</w:t>
      </w:r>
      <w:r w:rsidR="00BA7A1C" w:rsidRPr="00600BD3" w:rsidDel="00600BD3">
        <w:rPr>
          <w:lang w:val="es-US"/>
        </w:rPr>
        <w:t xml:space="preserve"> </w:t>
      </w:r>
      <w:r w:rsidRPr="00CC1AB8">
        <w:rPr>
          <w:lang w:val="es-US"/>
        </w:rPr>
        <w:t xml:space="preserve">violaciones de los delitos de libros y registros que involucran actos de corrupción realizados a nivel nacional, como el soborno, a fin de identificar retos y recomendar medidas correctivas cuando proceda. El Comité formulará recomendaciones. (Véanse las </w:t>
      </w:r>
      <w:r w:rsidRPr="00CC1AB8">
        <w:rPr>
          <w:rFonts w:eastAsia="Times New Roman"/>
          <w:lang w:val="es-US"/>
        </w:rPr>
        <w:t>recomendaciones</w:t>
      </w:r>
      <w:r w:rsidRPr="00CC1AB8">
        <w:rPr>
          <w:lang w:val="es-US"/>
        </w:rPr>
        <w:t xml:space="preserve"> 2.4.6, 2.4.7 y 2.4.8 de la sección</w:t>
      </w:r>
      <w:r w:rsidRPr="00CC1AB8">
        <w:rPr>
          <w:rFonts w:eastAsia="Times New Roman"/>
          <w:lang w:val="es-US"/>
        </w:rPr>
        <w:t xml:space="preserve"> </w:t>
      </w:r>
      <w:r w:rsidRPr="00CC1AB8">
        <w:rPr>
          <w:lang w:val="es-US"/>
        </w:rPr>
        <w:t>2.4 del Capítulo II del presente Informe)</w:t>
      </w:r>
    </w:p>
    <w:p w14:paraId="62153681" w14:textId="77777777" w:rsidR="00DA4CF9" w:rsidRPr="00282A68" w:rsidRDefault="00DA4CF9" w:rsidP="00DA4CF9">
      <w:pPr>
        <w:pStyle w:val="ListParagraph"/>
        <w:rPr>
          <w:lang w:val="es-US"/>
        </w:rPr>
      </w:pPr>
    </w:p>
    <w:p w14:paraId="2615A8B9" w14:textId="316EF3B9" w:rsidR="00875899" w:rsidRPr="00282A68" w:rsidRDefault="00875899" w:rsidP="004F0439">
      <w:pPr>
        <w:numPr>
          <w:ilvl w:val="1"/>
          <w:numId w:val="6"/>
        </w:numPr>
        <w:jc w:val="both"/>
        <w:rPr>
          <w:sz w:val="22"/>
          <w:szCs w:val="22"/>
          <w:lang w:val="es-US"/>
        </w:rPr>
      </w:pPr>
      <w:r w:rsidRPr="00282A68">
        <w:rPr>
          <w:b/>
          <w:sz w:val="22"/>
          <w:szCs w:val="22"/>
          <w:lang w:val="es-US"/>
        </w:rPr>
        <w:t xml:space="preserve"> </w:t>
      </w:r>
      <w:r w:rsidR="004D7787" w:rsidRPr="00282A68">
        <w:rPr>
          <w:b/>
          <w:sz w:val="22"/>
          <w:szCs w:val="22"/>
          <w:lang w:val="es-US"/>
        </w:rPr>
        <w:t>Recomendaciones</w:t>
      </w:r>
      <w:r w:rsidR="00894137" w:rsidRPr="00282A68">
        <w:rPr>
          <w:b/>
          <w:sz w:val="22"/>
          <w:szCs w:val="22"/>
          <w:lang w:val="es-US"/>
        </w:rPr>
        <w:t>.</w:t>
      </w:r>
      <w:r w:rsidRPr="00282A68">
        <w:rPr>
          <w:sz w:val="22"/>
          <w:szCs w:val="22"/>
          <w:lang w:val="es-US"/>
        </w:rPr>
        <w:t xml:space="preserve"> </w:t>
      </w:r>
    </w:p>
    <w:p w14:paraId="3A1FD31C" w14:textId="77777777" w:rsidR="00875899" w:rsidRPr="00282A68" w:rsidRDefault="00875899" w:rsidP="00DA4CF9">
      <w:pPr>
        <w:pStyle w:val="ListParagraph"/>
        <w:ind w:left="10"/>
        <w:jc w:val="both"/>
        <w:rPr>
          <w:lang w:val="es-US"/>
        </w:rPr>
      </w:pPr>
    </w:p>
    <w:p w14:paraId="181B1584" w14:textId="332962C9" w:rsidR="00DA4CF9" w:rsidRPr="00282A68" w:rsidRDefault="004D7787" w:rsidP="00875899">
      <w:pPr>
        <w:pStyle w:val="ListParagraph"/>
        <w:numPr>
          <w:ilvl w:val="0"/>
          <w:numId w:val="1"/>
        </w:numPr>
        <w:jc w:val="both"/>
        <w:rPr>
          <w:lang w:val="es-US"/>
        </w:rPr>
      </w:pPr>
      <w:r w:rsidRPr="00282A68">
        <w:rPr>
          <w:lang w:val="es-US"/>
        </w:rPr>
        <w:t>En vista de las observaciones formuladas en las secciones 2.1 y 2.3 del capítulo II de este Informe, el Comité sugiere que el Estado analizado considere las siguientes recomendaciones</w:t>
      </w:r>
      <w:r w:rsidR="00875899" w:rsidRPr="00282A68">
        <w:rPr>
          <w:lang w:val="es-US"/>
        </w:rPr>
        <w:t>:</w:t>
      </w:r>
    </w:p>
    <w:p w14:paraId="0112F4AC" w14:textId="77777777" w:rsidR="00875899" w:rsidRPr="00282A68" w:rsidRDefault="00875899" w:rsidP="00875899">
      <w:pPr>
        <w:pStyle w:val="ListParagraph"/>
        <w:ind w:left="10"/>
        <w:jc w:val="both"/>
        <w:rPr>
          <w:lang w:val="es-US"/>
        </w:rPr>
      </w:pPr>
    </w:p>
    <w:p w14:paraId="1282DCE3" w14:textId="1C474460" w:rsidR="00875899" w:rsidRPr="00282A68" w:rsidRDefault="00875899" w:rsidP="00875899">
      <w:pPr>
        <w:pStyle w:val="ListParagraph"/>
        <w:ind w:left="690" w:hanging="680"/>
        <w:jc w:val="both"/>
        <w:rPr>
          <w:lang w:val="es-US"/>
        </w:rPr>
      </w:pPr>
      <w:r w:rsidRPr="00282A68">
        <w:rPr>
          <w:lang w:val="es-US"/>
        </w:rPr>
        <w:t>2.4.1</w:t>
      </w:r>
      <w:r w:rsidRPr="00282A68">
        <w:rPr>
          <w:lang w:val="es-US"/>
        </w:rPr>
        <w:tab/>
      </w:r>
      <w:r w:rsidR="00DC72CD" w:rsidRPr="00282A68">
        <w:rPr>
          <w:lang w:val="es-US"/>
        </w:rPr>
        <w:t>Considerar adoptar, a través de los medios que estime apropiados, cualquier medida adicional que pudiera ser beneficiosa a fin de promover aún más que la confidencialidad profesional no constituya un obstáculo para que los auditores</w:t>
      </w:r>
      <w:r w:rsidR="00684758">
        <w:rPr>
          <w:lang w:val="es-US"/>
        </w:rPr>
        <w:t xml:space="preserve"> del sector privado</w:t>
      </w:r>
      <w:r w:rsidR="00DC72CD" w:rsidRPr="00282A68">
        <w:rPr>
          <w:lang w:val="es-US"/>
        </w:rPr>
        <w:t xml:space="preserve"> cuyas actividades estén regidas por el AICPA y su Código de Conducta notifiquen a las autoridades correspondientes cualquier acto de corrupción de que tengan conocimiento en el ejercicio de su</w:t>
      </w:r>
      <w:r w:rsidR="00E836BF">
        <w:rPr>
          <w:lang w:val="es-US"/>
        </w:rPr>
        <w:t>s</w:t>
      </w:r>
      <w:r w:rsidR="00DC72CD" w:rsidRPr="00282A68">
        <w:rPr>
          <w:lang w:val="es-US"/>
        </w:rPr>
        <w:t xml:space="preserve"> </w:t>
      </w:r>
      <w:r w:rsidR="00E836BF" w:rsidRPr="007F44AB">
        <w:rPr>
          <w:b/>
          <w:bCs/>
          <w:u w:val="single"/>
          <w:lang w:val="es-US"/>
        </w:rPr>
        <w:t>funciones</w:t>
      </w:r>
      <w:r w:rsidRPr="00282A68">
        <w:rPr>
          <w:lang w:val="es-US"/>
        </w:rPr>
        <w:t xml:space="preserve">. </w:t>
      </w:r>
      <w:r w:rsidR="00DC72CD" w:rsidRPr="00282A68">
        <w:rPr>
          <w:lang w:val="es-US"/>
        </w:rPr>
        <w:t>(véase el párrafo 7</w:t>
      </w:r>
      <w:r w:rsidR="002E7B4E">
        <w:rPr>
          <w:lang w:val="es-US"/>
        </w:rPr>
        <w:t>8</w:t>
      </w:r>
      <w:r w:rsidR="00DC72CD" w:rsidRPr="00282A68">
        <w:rPr>
          <w:lang w:val="es-US"/>
        </w:rPr>
        <w:t xml:space="preserve"> de la sección </w:t>
      </w:r>
      <w:r w:rsidR="00543B51" w:rsidRPr="00282A68">
        <w:rPr>
          <w:lang w:val="es-US"/>
        </w:rPr>
        <w:t>2</w:t>
      </w:r>
      <w:r w:rsidR="00DC72CD" w:rsidRPr="00282A68">
        <w:rPr>
          <w:lang w:val="es-US"/>
        </w:rPr>
        <w:t>.1 del Capítulo II del presente Informe)</w:t>
      </w:r>
    </w:p>
    <w:p w14:paraId="0AE1BFDF" w14:textId="77777777" w:rsidR="002A6BA4" w:rsidRPr="00282A68" w:rsidRDefault="002A6BA4" w:rsidP="00875899">
      <w:pPr>
        <w:pStyle w:val="ListParagraph"/>
        <w:ind w:left="690" w:hanging="680"/>
        <w:jc w:val="both"/>
        <w:rPr>
          <w:lang w:val="es-US"/>
        </w:rPr>
      </w:pPr>
    </w:p>
    <w:p w14:paraId="09FDE56E" w14:textId="428C5A52" w:rsidR="002A6BA4" w:rsidRPr="00282A68" w:rsidRDefault="002A6BA4" w:rsidP="00875899">
      <w:pPr>
        <w:pStyle w:val="ListParagraph"/>
        <w:ind w:left="690" w:hanging="680"/>
        <w:jc w:val="both"/>
        <w:rPr>
          <w:lang w:val="es-US"/>
        </w:rPr>
      </w:pPr>
      <w:r w:rsidRPr="00282A68">
        <w:rPr>
          <w:lang w:val="es-US"/>
        </w:rPr>
        <w:t>2.4.2</w:t>
      </w:r>
      <w:r w:rsidRPr="00282A68">
        <w:rPr>
          <w:lang w:val="es-US"/>
        </w:rPr>
        <w:tab/>
      </w:r>
      <w:r w:rsidR="000F5FB4">
        <w:rPr>
          <w:lang w:val="es-US"/>
        </w:rPr>
        <w:t>Alentar la adopción de</w:t>
      </w:r>
      <w:r w:rsidR="00543B51" w:rsidRPr="00282A68">
        <w:rPr>
          <w:lang w:val="es-US"/>
        </w:rPr>
        <w:t xml:space="preserve"> métodos de revisión, incluidas inspecciones contables y análisis de información periódicamente solicitada, </w:t>
      </w:r>
      <w:r w:rsidR="001D0161" w:rsidRPr="00282A68">
        <w:rPr>
          <w:lang w:val="es-US"/>
        </w:rPr>
        <w:t>para</w:t>
      </w:r>
      <w:r w:rsidR="00A60C27" w:rsidRPr="00282A68">
        <w:rPr>
          <w:lang w:val="es-US"/>
        </w:rPr>
        <w:t xml:space="preserve"> ayudar a</w:t>
      </w:r>
      <w:r w:rsidR="001D0161" w:rsidRPr="00282A68">
        <w:rPr>
          <w:lang w:val="es-US"/>
        </w:rPr>
        <w:t xml:space="preserve"> facilitar la detección por parte de los </w:t>
      </w:r>
      <w:r w:rsidR="00910021">
        <w:rPr>
          <w:lang w:val="es-US"/>
        </w:rPr>
        <w:t xml:space="preserve">auditores </w:t>
      </w:r>
      <w:r w:rsidR="00AE4B99">
        <w:rPr>
          <w:lang w:val="es-US"/>
        </w:rPr>
        <w:t xml:space="preserve">del sector privado </w:t>
      </w:r>
      <w:r w:rsidR="00A60C27" w:rsidRPr="00282A68">
        <w:rPr>
          <w:lang w:val="es-US"/>
        </w:rPr>
        <w:t>de</w:t>
      </w:r>
      <w:r w:rsidR="00543B51" w:rsidRPr="00282A68">
        <w:rPr>
          <w:lang w:val="es-US"/>
        </w:rPr>
        <w:t xml:space="preserve"> anomalías en registros contables, que puedan indicar el pago de sumas por corrupción</w:t>
      </w:r>
      <w:r w:rsidR="00D43978" w:rsidRPr="00282A68">
        <w:rPr>
          <w:i/>
          <w:iCs/>
          <w:lang w:val="es-US"/>
        </w:rPr>
        <w:t xml:space="preserve">. </w:t>
      </w:r>
      <w:r w:rsidRPr="00282A68">
        <w:rPr>
          <w:lang w:val="es-US"/>
        </w:rPr>
        <w:t>(</w:t>
      </w:r>
      <w:r w:rsidR="00D43978" w:rsidRPr="00282A68">
        <w:rPr>
          <w:lang w:val="es-US"/>
        </w:rPr>
        <w:t>véase el párrafo 10</w:t>
      </w:r>
      <w:r w:rsidR="002E7B4E">
        <w:rPr>
          <w:lang w:val="es-US"/>
        </w:rPr>
        <w:t>2</w:t>
      </w:r>
      <w:r w:rsidR="00D43978" w:rsidRPr="00282A68">
        <w:rPr>
          <w:lang w:val="es-US"/>
        </w:rPr>
        <w:t xml:space="preserve"> de la sección 2.1 del Capítulo II del presente Informe</w:t>
      </w:r>
      <w:r w:rsidRPr="00282A68">
        <w:rPr>
          <w:lang w:val="es-US"/>
        </w:rPr>
        <w:t>)</w:t>
      </w:r>
    </w:p>
    <w:p w14:paraId="06CEE6BA" w14:textId="77777777" w:rsidR="002A6BA4" w:rsidRPr="00282A68" w:rsidRDefault="002A6BA4" w:rsidP="00875899">
      <w:pPr>
        <w:pStyle w:val="ListParagraph"/>
        <w:ind w:left="690" w:hanging="680"/>
        <w:jc w:val="both"/>
        <w:rPr>
          <w:lang w:val="es-US"/>
        </w:rPr>
      </w:pPr>
    </w:p>
    <w:p w14:paraId="2E3279D0" w14:textId="5C2D46A7" w:rsidR="002A6BA4" w:rsidRPr="00282A68" w:rsidRDefault="002A6BA4" w:rsidP="00875899">
      <w:pPr>
        <w:pStyle w:val="ListParagraph"/>
        <w:ind w:left="690" w:hanging="680"/>
        <w:jc w:val="both"/>
        <w:rPr>
          <w:lang w:val="es-US"/>
        </w:rPr>
      </w:pPr>
      <w:r w:rsidRPr="00282A68">
        <w:rPr>
          <w:lang w:val="es-US"/>
        </w:rPr>
        <w:t>2.4.3</w:t>
      </w:r>
      <w:r w:rsidRPr="00282A68">
        <w:rPr>
          <w:lang w:val="es-US"/>
        </w:rPr>
        <w:tab/>
      </w:r>
      <w:r w:rsidR="00AE4B99">
        <w:rPr>
          <w:lang w:val="es-US"/>
        </w:rPr>
        <w:t>Alentar la adopción de</w:t>
      </w:r>
      <w:r w:rsidR="00B97237" w:rsidRPr="00282A68">
        <w:rPr>
          <w:lang w:val="es-US"/>
        </w:rPr>
        <w:t xml:space="preserve"> tácticas de investigación, tales como seguimiento de pagos, cruces de información y de cuentas, y solicitudes de información a entidades financieras, con el fin de</w:t>
      </w:r>
      <w:r w:rsidR="00A32C34" w:rsidRPr="00282A68">
        <w:rPr>
          <w:lang w:val="es-US"/>
        </w:rPr>
        <w:t xml:space="preserve"> ayudar a los auditores</w:t>
      </w:r>
      <w:r w:rsidR="00AE4B99">
        <w:rPr>
          <w:lang w:val="es-US"/>
        </w:rPr>
        <w:t xml:space="preserve"> del sector privado</w:t>
      </w:r>
      <w:r w:rsidR="00D51DAE" w:rsidRPr="00282A68">
        <w:rPr>
          <w:lang w:val="es-US"/>
        </w:rPr>
        <w:t xml:space="preserve"> a detectar </w:t>
      </w:r>
      <w:r w:rsidR="00C034FB" w:rsidRPr="00282A68">
        <w:rPr>
          <w:lang w:val="es-US"/>
        </w:rPr>
        <w:t xml:space="preserve">anomalías en registros contables que puedan indicar pagos de sumas por </w:t>
      </w:r>
      <w:r w:rsidR="00614BD2" w:rsidRPr="00282A68">
        <w:rPr>
          <w:lang w:val="es-US"/>
        </w:rPr>
        <w:t>corrupción. (véase el párrafo 10</w:t>
      </w:r>
      <w:r w:rsidR="00DC7521">
        <w:rPr>
          <w:lang w:val="es-US"/>
        </w:rPr>
        <w:t>6</w:t>
      </w:r>
      <w:r w:rsidR="00614BD2" w:rsidRPr="00282A68">
        <w:rPr>
          <w:lang w:val="es-US"/>
        </w:rPr>
        <w:t xml:space="preserve"> de la sección 2.1 del Capítulo II del presente Informe)</w:t>
      </w:r>
    </w:p>
    <w:p w14:paraId="614A5990" w14:textId="77777777" w:rsidR="00D35F7E" w:rsidRPr="00282A68" w:rsidRDefault="00D35F7E" w:rsidP="00875899">
      <w:pPr>
        <w:pStyle w:val="ListParagraph"/>
        <w:ind w:left="690" w:hanging="680"/>
        <w:jc w:val="both"/>
        <w:rPr>
          <w:lang w:val="es-US"/>
        </w:rPr>
      </w:pPr>
    </w:p>
    <w:p w14:paraId="43228824" w14:textId="1CF247B0" w:rsidR="00D35F7E" w:rsidRDefault="00D35F7E" w:rsidP="00875899">
      <w:pPr>
        <w:pStyle w:val="ListParagraph"/>
        <w:ind w:left="690" w:hanging="680"/>
        <w:jc w:val="both"/>
        <w:rPr>
          <w:lang w:val="es-US"/>
        </w:rPr>
      </w:pPr>
      <w:r w:rsidRPr="00282A68">
        <w:rPr>
          <w:lang w:val="es-US"/>
        </w:rPr>
        <w:t>2.4.4</w:t>
      </w:r>
      <w:r w:rsidRPr="00282A68">
        <w:rPr>
          <w:lang w:val="es-US"/>
        </w:rPr>
        <w:tab/>
      </w:r>
      <w:r w:rsidR="00614BD2" w:rsidRPr="00282A68">
        <w:rPr>
          <w:lang w:val="es-US"/>
        </w:rPr>
        <w:t>Adoptar manuales, guías o lineamientos que orienten a los órganos y entidades de control que aún no los tengan, sobre la manera de examinar registros contables a fin de detectar sumas pagadas por corrupción</w:t>
      </w:r>
      <w:r w:rsidR="00A9499D" w:rsidRPr="00282A68">
        <w:rPr>
          <w:lang w:val="es-US"/>
        </w:rPr>
        <w:t>. (véase el párrafo 1</w:t>
      </w:r>
      <w:r w:rsidR="00A72CF0" w:rsidRPr="00282A68">
        <w:rPr>
          <w:lang w:val="es-US"/>
        </w:rPr>
        <w:t>1</w:t>
      </w:r>
      <w:r w:rsidR="00DC7521">
        <w:rPr>
          <w:lang w:val="es-US"/>
        </w:rPr>
        <w:t>3</w:t>
      </w:r>
      <w:r w:rsidR="00A9499D" w:rsidRPr="00282A68">
        <w:rPr>
          <w:lang w:val="es-US"/>
        </w:rPr>
        <w:t xml:space="preserve"> de la sección 2.1 del Capítulo II del presente Informe)</w:t>
      </w:r>
    </w:p>
    <w:p w14:paraId="1007A816" w14:textId="77777777" w:rsidR="00CD28A8" w:rsidRPr="00282A68" w:rsidRDefault="00CD28A8" w:rsidP="00875899">
      <w:pPr>
        <w:pStyle w:val="ListParagraph"/>
        <w:ind w:left="690" w:hanging="680"/>
        <w:jc w:val="both"/>
        <w:rPr>
          <w:lang w:val="es-US"/>
        </w:rPr>
      </w:pPr>
    </w:p>
    <w:p w14:paraId="39FB9FCE" w14:textId="568EBCA3" w:rsidR="002A6BA4" w:rsidRPr="00282A68" w:rsidRDefault="002A6BA4" w:rsidP="00875899">
      <w:pPr>
        <w:pStyle w:val="ListParagraph"/>
        <w:ind w:left="690" w:hanging="680"/>
        <w:jc w:val="both"/>
        <w:rPr>
          <w:lang w:val="es-US"/>
        </w:rPr>
      </w:pPr>
      <w:r w:rsidRPr="00282A68">
        <w:rPr>
          <w:lang w:val="es-US"/>
        </w:rPr>
        <w:t>2.4.</w:t>
      </w:r>
      <w:r w:rsidR="00D35F7E" w:rsidRPr="00282A68">
        <w:rPr>
          <w:lang w:val="es-US"/>
        </w:rPr>
        <w:t>5</w:t>
      </w:r>
      <w:r w:rsidRPr="00282A68">
        <w:rPr>
          <w:lang w:val="es-US"/>
        </w:rPr>
        <w:tab/>
      </w:r>
      <w:r w:rsidR="0088210D" w:rsidRPr="00D067A0">
        <w:rPr>
          <w:lang w:val="es-US"/>
        </w:rPr>
        <w:t xml:space="preserve">Alentar, según sea necesario, </w:t>
      </w:r>
      <w:r w:rsidR="00C5008E" w:rsidRPr="00282A68">
        <w:rPr>
          <w:lang w:val="es-US"/>
        </w:rPr>
        <w:t xml:space="preserve">mecanismos de coordinación institucional que permitan a </w:t>
      </w:r>
      <w:r w:rsidR="008B54B5" w:rsidRPr="00282A68">
        <w:rPr>
          <w:lang w:val="es-US"/>
        </w:rPr>
        <w:t>los auditores</w:t>
      </w:r>
      <w:r w:rsidR="00AE4B99">
        <w:rPr>
          <w:lang w:val="es-US"/>
        </w:rPr>
        <w:t xml:space="preserve"> del sector privado</w:t>
      </w:r>
      <w:r w:rsidR="00C5008E" w:rsidRPr="00282A68">
        <w:rPr>
          <w:lang w:val="es-US"/>
        </w:rPr>
        <w:t xml:space="preserve"> obtener fácil y oportunamente la colaboración necesaria de otras instituciones, para verificar la veracidad de los registros contables y de los comprobantes con los que estos se fundamenten, o para establecer su autenticidad.</w:t>
      </w:r>
      <w:r w:rsidR="009C1E1F" w:rsidRPr="00282A68">
        <w:rPr>
          <w:lang w:val="es-US"/>
        </w:rPr>
        <w:t xml:space="preserve"> (</w:t>
      </w:r>
      <w:r w:rsidR="008B54B5" w:rsidRPr="00282A68">
        <w:rPr>
          <w:lang w:val="es-US"/>
        </w:rPr>
        <w:t>véase el párrafo 12</w:t>
      </w:r>
      <w:r w:rsidR="00DC7521">
        <w:rPr>
          <w:lang w:val="es-US"/>
        </w:rPr>
        <w:t>4</w:t>
      </w:r>
      <w:r w:rsidR="008B54B5" w:rsidRPr="00282A68">
        <w:rPr>
          <w:lang w:val="es-US"/>
        </w:rPr>
        <w:t xml:space="preserve"> de la sección 2.1 del Capítulo II del presente Informe</w:t>
      </w:r>
      <w:r w:rsidR="009C1E1F" w:rsidRPr="00282A68">
        <w:rPr>
          <w:lang w:val="es-US"/>
        </w:rPr>
        <w:t>)</w:t>
      </w:r>
    </w:p>
    <w:p w14:paraId="7D0B857E" w14:textId="77777777" w:rsidR="0049565B" w:rsidRPr="00282A68" w:rsidRDefault="0049565B" w:rsidP="00875899">
      <w:pPr>
        <w:pStyle w:val="ListParagraph"/>
        <w:ind w:left="690" w:hanging="680"/>
        <w:jc w:val="both"/>
        <w:rPr>
          <w:lang w:val="es-US"/>
        </w:rPr>
      </w:pPr>
    </w:p>
    <w:p w14:paraId="4EC92504" w14:textId="11240974" w:rsidR="009C1E1F" w:rsidRDefault="009C1E1F" w:rsidP="00875899">
      <w:pPr>
        <w:pStyle w:val="ListParagraph"/>
        <w:ind w:left="690" w:hanging="680"/>
        <w:jc w:val="both"/>
        <w:rPr>
          <w:lang w:val="es-US"/>
        </w:rPr>
      </w:pPr>
      <w:r w:rsidRPr="00282A68">
        <w:rPr>
          <w:lang w:val="es-US"/>
        </w:rPr>
        <w:t>2.4.</w:t>
      </w:r>
      <w:r w:rsidR="00D35F7E" w:rsidRPr="00282A68">
        <w:rPr>
          <w:lang w:val="es-US"/>
        </w:rPr>
        <w:t>6</w:t>
      </w:r>
      <w:r w:rsidRPr="00282A68">
        <w:rPr>
          <w:lang w:val="es-US"/>
        </w:rPr>
        <w:tab/>
      </w:r>
      <w:r w:rsidR="00600BD3" w:rsidRPr="00FD71D9">
        <w:rPr>
          <w:b/>
          <w:bCs/>
          <w:u w:val="single"/>
          <w:lang w:val="es-US"/>
        </w:rPr>
        <w:t>Publicar información sobre casos involucrando</w:t>
      </w:r>
      <w:r w:rsidR="00600BD3" w:rsidRPr="00600BD3" w:rsidDel="00600BD3">
        <w:rPr>
          <w:lang w:val="es-US"/>
        </w:rPr>
        <w:t xml:space="preserve"> </w:t>
      </w:r>
      <w:r w:rsidR="00981148" w:rsidRPr="00CC1AB8">
        <w:rPr>
          <w:lang w:val="es-US"/>
        </w:rPr>
        <w:t>violaciones de la sección 13(b)(2)(A) de la Ley de Valores y Bolsa de 1934, que establece que los emisores deben elaborar y llevar libros, registros y cuentas que, con un grado de detalle razonable, reflejen con precisión y equidad las transacciones y disposiciones de los activos del emisor, en lo que se refiere a un</w:t>
      </w:r>
      <w:r w:rsidR="00A1731C">
        <w:rPr>
          <w:lang w:val="es-US"/>
        </w:rPr>
        <w:t xml:space="preserve"> delito penal de</w:t>
      </w:r>
      <w:r w:rsidR="00981148" w:rsidRPr="00CC1AB8">
        <w:rPr>
          <w:lang w:val="es-US"/>
        </w:rPr>
        <w:t xml:space="preserve"> acto de corrupción realizado a nivel nacional, como el soborno, a fin de identificar retos y recomendar medidas correctivas cuando proceda. (véase el párrafo 1</w:t>
      </w:r>
      <w:r w:rsidR="00DC7521">
        <w:rPr>
          <w:lang w:val="es-US"/>
        </w:rPr>
        <w:t>40</w:t>
      </w:r>
      <w:r w:rsidR="00981148" w:rsidRPr="00CC1AB8">
        <w:rPr>
          <w:lang w:val="es-US"/>
        </w:rPr>
        <w:t xml:space="preserve"> de la sección 2.3 del Capítulo II del presente Informe)</w:t>
      </w:r>
    </w:p>
    <w:p w14:paraId="076D6A2C" w14:textId="77777777" w:rsidR="00D067A0" w:rsidRPr="00CC1AB8" w:rsidRDefault="00D067A0" w:rsidP="00875899">
      <w:pPr>
        <w:pStyle w:val="ListParagraph"/>
        <w:ind w:left="690" w:hanging="680"/>
        <w:jc w:val="both"/>
        <w:rPr>
          <w:lang w:val="es-US"/>
        </w:rPr>
      </w:pPr>
    </w:p>
    <w:p w14:paraId="38FED5D9" w14:textId="2E8B55F9" w:rsidR="00802243" w:rsidRPr="00CC1AB8" w:rsidRDefault="00802243" w:rsidP="00875899">
      <w:pPr>
        <w:pStyle w:val="ListParagraph"/>
        <w:ind w:left="690" w:hanging="680"/>
        <w:jc w:val="both"/>
        <w:rPr>
          <w:lang w:val="es-US"/>
        </w:rPr>
      </w:pPr>
      <w:r w:rsidRPr="00CC1AB8">
        <w:rPr>
          <w:lang w:val="es-US"/>
        </w:rPr>
        <w:t>2.4.</w:t>
      </w:r>
      <w:r w:rsidR="00D35F7E" w:rsidRPr="00CC1AB8">
        <w:rPr>
          <w:lang w:val="es-US"/>
        </w:rPr>
        <w:t>7</w:t>
      </w:r>
      <w:r w:rsidRPr="00CC1AB8">
        <w:rPr>
          <w:lang w:val="es-US"/>
        </w:rPr>
        <w:tab/>
      </w:r>
      <w:r w:rsidR="00B442DE" w:rsidRPr="00FD71D9">
        <w:rPr>
          <w:b/>
          <w:bCs/>
          <w:u w:val="single"/>
          <w:lang w:val="es-US"/>
        </w:rPr>
        <w:t>Publicar información sobre casos involucrando</w:t>
      </w:r>
      <w:r w:rsidR="00B442DE" w:rsidRPr="00600BD3" w:rsidDel="00600BD3">
        <w:rPr>
          <w:lang w:val="es-US"/>
        </w:rPr>
        <w:t xml:space="preserve"> </w:t>
      </w:r>
      <w:r w:rsidR="00284D9B" w:rsidRPr="00CC1AB8">
        <w:rPr>
          <w:lang w:val="es-US"/>
        </w:rPr>
        <w:t xml:space="preserve">violaciones de la sección 13(b)(2)(B) de la Ley de Valores y Bolsa de 1934, que establece que los emisores deben elaborar y mantener un sistema de controles contables internos en lo que se refiere a </w:t>
      </w:r>
      <w:r w:rsidR="007B1331">
        <w:rPr>
          <w:lang w:val="es-US"/>
        </w:rPr>
        <w:t>un delito penal de</w:t>
      </w:r>
      <w:r w:rsidR="00284D9B" w:rsidRPr="00CC1AB8">
        <w:rPr>
          <w:lang w:val="es-US"/>
        </w:rPr>
        <w:t xml:space="preserve"> acto de corrupción a nivel nacional, como el soborno, a fin de identificar retos y recomendar medidas correctivas cuando proceda</w:t>
      </w:r>
      <w:r w:rsidR="00B817CB" w:rsidRPr="00CC1AB8">
        <w:rPr>
          <w:lang w:val="es-US"/>
        </w:rPr>
        <w:t>.</w:t>
      </w:r>
      <w:r w:rsidR="00284D9B" w:rsidRPr="00CC1AB8">
        <w:rPr>
          <w:lang w:val="es-US"/>
        </w:rPr>
        <w:t xml:space="preserve"> (véase el párrafo 1</w:t>
      </w:r>
      <w:r w:rsidR="00EA3E34">
        <w:rPr>
          <w:lang w:val="es-US"/>
        </w:rPr>
        <w:t>40</w:t>
      </w:r>
      <w:r w:rsidR="00284D9B" w:rsidRPr="00CC1AB8">
        <w:rPr>
          <w:lang w:val="es-US"/>
        </w:rPr>
        <w:t xml:space="preserve"> de la sección 2.3 del </w:t>
      </w:r>
      <w:r w:rsidR="00284D9B" w:rsidRPr="00CC1AB8">
        <w:rPr>
          <w:bCs/>
          <w:iCs/>
          <w:lang w:val="es-US"/>
        </w:rPr>
        <w:t>Capítulo</w:t>
      </w:r>
      <w:r w:rsidR="00284D9B" w:rsidRPr="00CC1AB8">
        <w:rPr>
          <w:lang w:val="es-US"/>
        </w:rPr>
        <w:t xml:space="preserve"> II del presente Informe)</w:t>
      </w:r>
    </w:p>
    <w:p w14:paraId="782BB1FB" w14:textId="77777777" w:rsidR="00802243" w:rsidRPr="00CC1AB8" w:rsidRDefault="00802243" w:rsidP="00875899">
      <w:pPr>
        <w:pStyle w:val="ListParagraph"/>
        <w:ind w:left="690" w:hanging="680"/>
        <w:jc w:val="both"/>
        <w:rPr>
          <w:lang w:val="es-US"/>
        </w:rPr>
      </w:pPr>
    </w:p>
    <w:p w14:paraId="6F8A85C8" w14:textId="326DF917" w:rsidR="00A30424" w:rsidRPr="00282A68" w:rsidRDefault="00802243" w:rsidP="00A30424">
      <w:pPr>
        <w:pStyle w:val="ListParagraph"/>
        <w:ind w:left="690" w:hanging="680"/>
        <w:jc w:val="both"/>
        <w:rPr>
          <w:lang w:val="es-US"/>
        </w:rPr>
      </w:pPr>
      <w:r w:rsidRPr="00CC1AB8">
        <w:rPr>
          <w:lang w:val="es-US"/>
        </w:rPr>
        <w:t>2.4.</w:t>
      </w:r>
      <w:r w:rsidR="00D35F7E" w:rsidRPr="00CC1AB8">
        <w:rPr>
          <w:lang w:val="es-US"/>
        </w:rPr>
        <w:t>8</w:t>
      </w:r>
      <w:r w:rsidRPr="00CC1AB8">
        <w:rPr>
          <w:lang w:val="es-US"/>
        </w:rPr>
        <w:tab/>
      </w:r>
      <w:r w:rsidR="005267B8" w:rsidRPr="00FD71D9">
        <w:rPr>
          <w:b/>
          <w:bCs/>
          <w:u w:val="single"/>
          <w:lang w:val="es-US"/>
        </w:rPr>
        <w:t>Publicar información sobre casos involucrando</w:t>
      </w:r>
      <w:r w:rsidR="005267B8" w:rsidRPr="00600BD3" w:rsidDel="00600BD3">
        <w:rPr>
          <w:lang w:val="es-US"/>
        </w:rPr>
        <w:t xml:space="preserve"> </w:t>
      </w:r>
      <w:r w:rsidR="007B568A" w:rsidRPr="00CC1AB8">
        <w:rPr>
          <w:lang w:val="es-US"/>
        </w:rPr>
        <w:t>violaciones de la sección 802(a) de la Ley Sarbanes Oxley, que prevé sanciones penales, incluidas multas y/o penas de prisión, para cualquier persona que deliberadamente altere, destruya, mutile, oculte, encubra, falsifique o haga una entrada falsa en cualquier registro, documento u objeto tangible con la intención de impedir, obstruir o influir en la investigación o la correcta administración de cualquier asunto dentro de la jurisdicción de cualquier departamento o agencia de Estados Unidos en lo que se refiere a un acto de corrupción a nivel nacional, como el soborno, a fin de identificar retos y recomendar medidas correctivas cuando proceda. (véase el párrafo 1</w:t>
      </w:r>
      <w:r w:rsidR="00EA3E34">
        <w:rPr>
          <w:lang w:val="es-US"/>
        </w:rPr>
        <w:t>40</w:t>
      </w:r>
      <w:r w:rsidR="007B568A" w:rsidRPr="00CC1AB8">
        <w:rPr>
          <w:lang w:val="es-US"/>
        </w:rPr>
        <w:t xml:space="preserve"> de la sección 2.3 del </w:t>
      </w:r>
      <w:r w:rsidR="007B568A" w:rsidRPr="00CC1AB8">
        <w:rPr>
          <w:bCs/>
          <w:iCs/>
          <w:lang w:val="es-US"/>
        </w:rPr>
        <w:t>Capítulo</w:t>
      </w:r>
      <w:r w:rsidR="007B568A" w:rsidRPr="00CC1AB8">
        <w:rPr>
          <w:lang w:val="es-US"/>
        </w:rPr>
        <w:t xml:space="preserve"> II del presente Informe)</w:t>
      </w:r>
    </w:p>
    <w:p w14:paraId="79F68B38" w14:textId="77777777" w:rsidR="00A30424" w:rsidRPr="00282A68" w:rsidRDefault="00A30424" w:rsidP="00A30424">
      <w:pPr>
        <w:pStyle w:val="ListParagraph"/>
        <w:ind w:left="10"/>
        <w:jc w:val="both"/>
        <w:rPr>
          <w:lang w:val="es-US"/>
        </w:rPr>
      </w:pPr>
    </w:p>
    <w:p w14:paraId="0247DF21" w14:textId="19BF4DEA" w:rsidR="00A30424" w:rsidRPr="00282A68" w:rsidRDefault="004A50AC" w:rsidP="004F0439">
      <w:pPr>
        <w:pStyle w:val="ListParagraph"/>
        <w:numPr>
          <w:ilvl w:val="0"/>
          <w:numId w:val="6"/>
        </w:numPr>
        <w:jc w:val="both"/>
        <w:rPr>
          <w:rFonts w:eastAsia="Times New Roman"/>
          <w:b/>
          <w:lang w:val="es-US" w:eastAsia="es-ES"/>
        </w:rPr>
      </w:pPr>
      <w:r w:rsidRPr="00282A68">
        <w:rPr>
          <w:b/>
          <w:bCs/>
          <w:lang w:val="es-US"/>
        </w:rPr>
        <w:t>SOBORNO TRANSNACIONAL (ARTÍCULO VIII DE LA CONVENCIÓN)</w:t>
      </w:r>
      <w:r w:rsidR="00A30424" w:rsidRPr="00282A68">
        <w:rPr>
          <w:b/>
          <w:lang w:val="es-US"/>
        </w:rPr>
        <w:t>.</w:t>
      </w:r>
    </w:p>
    <w:p w14:paraId="1A47AB2A" w14:textId="77777777" w:rsidR="00A30424" w:rsidRPr="00282A68" w:rsidRDefault="00A30424" w:rsidP="00A30424">
      <w:pPr>
        <w:pStyle w:val="ListParagraph"/>
        <w:ind w:left="360"/>
        <w:jc w:val="both"/>
        <w:rPr>
          <w:rFonts w:eastAsia="Times New Roman"/>
          <w:b/>
          <w:lang w:val="es-US" w:eastAsia="es-ES"/>
        </w:rPr>
      </w:pPr>
    </w:p>
    <w:p w14:paraId="4A7E2A40" w14:textId="226629B9" w:rsidR="00A30424" w:rsidRPr="00282A68" w:rsidRDefault="00450392" w:rsidP="004F0439">
      <w:pPr>
        <w:pStyle w:val="ListParagraph"/>
        <w:numPr>
          <w:ilvl w:val="1"/>
          <w:numId w:val="13"/>
        </w:numPr>
        <w:ind w:left="720"/>
        <w:jc w:val="both"/>
        <w:rPr>
          <w:b/>
          <w:lang w:val="es-US" w:eastAsia="es-ES"/>
        </w:rPr>
      </w:pPr>
      <w:r w:rsidRPr="00450392">
        <w:rPr>
          <w:b/>
          <w:bCs/>
          <w:lang w:val="es-ES_tradnl"/>
        </w:rPr>
        <w:t>Seguimiento de la implementación de las recomendaciones formuladas en la Tercera Ronda</w:t>
      </w:r>
      <w:r w:rsidR="00A30424" w:rsidRPr="00282A68">
        <w:rPr>
          <w:b/>
          <w:lang w:val="es-US" w:eastAsia="es-ES"/>
        </w:rPr>
        <w:t>.</w:t>
      </w:r>
    </w:p>
    <w:p w14:paraId="6527A85F" w14:textId="77777777" w:rsidR="00A30424" w:rsidRPr="00282A68" w:rsidRDefault="00A30424" w:rsidP="00A30424">
      <w:pPr>
        <w:jc w:val="both"/>
        <w:rPr>
          <w:b/>
          <w:sz w:val="22"/>
          <w:szCs w:val="22"/>
          <w:lang w:val="es-US" w:eastAsia="es-ES"/>
        </w:rPr>
      </w:pPr>
    </w:p>
    <w:p w14:paraId="3D733D85" w14:textId="3270F6A2" w:rsidR="00A30424" w:rsidRPr="00282A68" w:rsidRDefault="006D2159" w:rsidP="00A30424">
      <w:pPr>
        <w:jc w:val="both"/>
        <w:textAlignment w:val="baseline"/>
        <w:rPr>
          <w:bCs/>
          <w:sz w:val="22"/>
          <w:szCs w:val="22"/>
          <w:u w:val="single"/>
          <w:lang w:val="es-US"/>
        </w:rPr>
      </w:pPr>
      <w:r w:rsidRPr="00282A68">
        <w:rPr>
          <w:sz w:val="22"/>
          <w:szCs w:val="22"/>
          <w:u w:val="single"/>
          <w:lang w:val="es-US" w:eastAsia="fr-CA"/>
        </w:rPr>
        <w:t>Recomendación</w:t>
      </w:r>
      <w:r w:rsidRPr="00282A68">
        <w:rPr>
          <w:bCs/>
          <w:sz w:val="22"/>
          <w:szCs w:val="22"/>
          <w:u w:val="single"/>
          <w:lang w:val="es-US" w:eastAsia="fr-CA"/>
        </w:rPr>
        <w:t xml:space="preserve"> sugerida por el Comité</w:t>
      </w:r>
      <w:r w:rsidR="00A30424" w:rsidRPr="00282A68">
        <w:rPr>
          <w:bCs/>
          <w:sz w:val="22"/>
          <w:szCs w:val="22"/>
          <w:u w:val="single"/>
          <w:lang w:val="es-US"/>
        </w:rPr>
        <w:t xml:space="preserve">:  </w:t>
      </w:r>
    </w:p>
    <w:p w14:paraId="090BFE92" w14:textId="77777777" w:rsidR="00A30424" w:rsidRPr="00282A68" w:rsidRDefault="00A30424" w:rsidP="00A30424">
      <w:pPr>
        <w:jc w:val="both"/>
        <w:textAlignment w:val="baseline"/>
        <w:rPr>
          <w:bCs/>
          <w:sz w:val="22"/>
          <w:szCs w:val="22"/>
          <w:u w:val="single"/>
          <w:lang w:val="es-US"/>
        </w:rPr>
      </w:pPr>
    </w:p>
    <w:p w14:paraId="2C31E60E" w14:textId="4CEEAEE6" w:rsidR="00A30424" w:rsidRPr="00282A68" w:rsidRDefault="00E940D9" w:rsidP="00811C97">
      <w:pPr>
        <w:pStyle w:val="ListParagraph"/>
        <w:ind w:left="10"/>
        <w:jc w:val="both"/>
        <w:rPr>
          <w:i/>
          <w:iCs/>
          <w:lang w:val="es-US"/>
        </w:rPr>
      </w:pPr>
      <w:r w:rsidRPr="00282A68">
        <w:rPr>
          <w:i/>
          <w:iCs/>
          <w:lang w:val="es-US"/>
        </w:rPr>
        <w:t>Considerar emprender un examen periódico de sus políticas y enfoques sobre los pagos de facilitación a fin de combatir eficazmente el fenómeno y seguir alentando a las empresas a prohibir o desalentar el uso</w:t>
      </w:r>
      <w:r w:rsidR="00811C97" w:rsidRPr="00282A68">
        <w:rPr>
          <w:i/>
          <w:iCs/>
          <w:lang w:val="es-US"/>
        </w:rPr>
        <w:t xml:space="preserve"> </w:t>
      </w:r>
      <w:r w:rsidRPr="00282A68">
        <w:rPr>
          <w:i/>
          <w:iCs/>
          <w:lang w:val="es-US"/>
        </w:rPr>
        <w:t>de los pagos de facilitación a través de los controles internos, programas o medidas de ética y de cumplimiento de estas por parte de las empresas</w:t>
      </w:r>
      <w:r w:rsidR="00A30424" w:rsidRPr="00282A68">
        <w:rPr>
          <w:i/>
          <w:iCs/>
          <w:lang w:val="es-US"/>
        </w:rPr>
        <w:t>.</w:t>
      </w:r>
    </w:p>
    <w:p w14:paraId="115377B6" w14:textId="77777777" w:rsidR="00A30424" w:rsidRPr="00282A68" w:rsidRDefault="00A30424" w:rsidP="00A30424">
      <w:pPr>
        <w:pStyle w:val="Cuerpo"/>
        <w:jc w:val="both"/>
        <w:rPr>
          <w:rFonts w:cs="Times New Roman"/>
          <w:i/>
          <w:sz w:val="22"/>
          <w:szCs w:val="22"/>
          <w:lang w:val="es-US"/>
        </w:rPr>
      </w:pPr>
      <w:r w:rsidRPr="00282A68">
        <w:rPr>
          <w:rFonts w:cs="Times New Roman"/>
          <w:i/>
          <w:sz w:val="22"/>
          <w:szCs w:val="22"/>
          <w:lang w:val="es-US"/>
        </w:rPr>
        <w:t xml:space="preserve">  </w:t>
      </w:r>
    </w:p>
    <w:p w14:paraId="4A2445AD" w14:textId="06EBE919" w:rsidR="00A30424" w:rsidRPr="00282A68" w:rsidRDefault="00D36BEF" w:rsidP="00A30424">
      <w:pPr>
        <w:pStyle w:val="ListParagraph"/>
        <w:numPr>
          <w:ilvl w:val="0"/>
          <w:numId w:val="1"/>
        </w:numPr>
        <w:jc w:val="both"/>
        <w:rPr>
          <w:lang w:val="es-US"/>
        </w:rPr>
      </w:pPr>
      <w:r w:rsidRPr="00282A68">
        <w:rPr>
          <w:rFonts w:eastAsiaTheme="minorHAnsi"/>
          <w:bCs/>
          <w:iCs/>
          <w:lang w:val="es-US"/>
        </w:rPr>
        <w:t>Con respecto a la medida anterior, en su Respuesta, el Estado analizado presenta información y nuevos desarrollos. En este sentido, el Comité observa los siguientes como pasos que lo llevan a concluir que la medida se ha considerado satisfactoriamente</w:t>
      </w:r>
      <w:r w:rsidR="0044463E" w:rsidRPr="00282A68">
        <w:rPr>
          <w:rStyle w:val="FootnoteReference"/>
          <w:lang w:val="es-US"/>
        </w:rPr>
        <w:footnoteReference w:id="99"/>
      </w:r>
      <w:r w:rsidRPr="00282A68">
        <w:rPr>
          <w:rFonts w:eastAsiaTheme="minorHAnsi"/>
          <w:bCs/>
          <w:iCs/>
          <w:lang w:val="es-US"/>
        </w:rPr>
        <w:t>:</w:t>
      </w:r>
    </w:p>
    <w:p w14:paraId="76FBA299" w14:textId="77777777" w:rsidR="00A07412" w:rsidRPr="00282A68" w:rsidRDefault="00A07412" w:rsidP="00A07412">
      <w:pPr>
        <w:pStyle w:val="ListParagraph"/>
        <w:ind w:left="10"/>
        <w:jc w:val="both"/>
        <w:rPr>
          <w:lang w:val="es-US"/>
        </w:rPr>
      </w:pPr>
    </w:p>
    <w:p w14:paraId="1FCC2687" w14:textId="611CBE86" w:rsidR="00CF638C" w:rsidRPr="00CC1AB8" w:rsidRDefault="00CF638C" w:rsidP="00CF638C">
      <w:pPr>
        <w:pStyle w:val="ListParagraph"/>
        <w:numPr>
          <w:ilvl w:val="0"/>
          <w:numId w:val="1"/>
        </w:numPr>
        <w:jc w:val="both"/>
        <w:rPr>
          <w:rFonts w:eastAsiaTheme="minorHAnsi"/>
          <w:bCs/>
          <w:iCs/>
          <w:lang w:val="es-US"/>
        </w:rPr>
      </w:pPr>
      <w:r w:rsidRPr="00CC1AB8">
        <w:rPr>
          <w:rFonts w:eastAsiaTheme="minorHAnsi"/>
          <w:bCs/>
          <w:iCs/>
          <w:lang w:val="es-US"/>
        </w:rPr>
        <w:t>–</w:t>
      </w:r>
      <w:r w:rsidR="00A07412" w:rsidRPr="00CC1AB8">
        <w:rPr>
          <w:rFonts w:eastAsiaTheme="minorHAnsi"/>
          <w:bCs/>
          <w:iCs/>
          <w:lang w:val="es-US"/>
        </w:rPr>
        <w:t xml:space="preserve"> </w:t>
      </w:r>
      <w:r w:rsidR="00A37D5B" w:rsidRPr="00CC1AB8">
        <w:rPr>
          <w:rFonts w:eastAsiaTheme="minorHAnsi"/>
          <w:bCs/>
          <w:iCs/>
          <w:lang w:val="es-US"/>
        </w:rPr>
        <w:t xml:space="preserve">El Tratado entre México, Estados Unidos, y Canadá, que se firmó el 30 de noviembre de 2018, contiene un capítulo dedicado a la lucha contra la corrupción que incluye un texto que establece que “las Partes reconocen los efectos nocivos de los pagos de facilitación”. El </w:t>
      </w:r>
      <w:r w:rsidR="00765D93" w:rsidRPr="00CC1AB8">
        <w:rPr>
          <w:rFonts w:eastAsiaTheme="minorHAnsi"/>
          <w:bCs/>
          <w:iCs/>
          <w:lang w:val="es-US"/>
        </w:rPr>
        <w:t xml:space="preserve">tratado </w:t>
      </w:r>
      <w:r w:rsidR="00A37D5B" w:rsidRPr="00CC1AB8">
        <w:rPr>
          <w:rFonts w:eastAsiaTheme="minorHAnsi"/>
          <w:bCs/>
          <w:iCs/>
          <w:lang w:val="es-US"/>
        </w:rPr>
        <w:t xml:space="preserve">compromete a cada parte, “de conformidad con sus leyes y regulaciones” a “(a) </w:t>
      </w:r>
      <w:r w:rsidR="00C3423B" w:rsidRPr="00CC1AB8">
        <w:rPr>
          <w:rFonts w:eastAsiaTheme="minorHAnsi"/>
          <w:bCs/>
          <w:iCs/>
          <w:lang w:val="es-US"/>
        </w:rPr>
        <w:t>alentar</w:t>
      </w:r>
      <w:r w:rsidR="00A37D5B" w:rsidRPr="00CC1AB8">
        <w:rPr>
          <w:rFonts w:eastAsiaTheme="minorHAnsi"/>
          <w:bCs/>
          <w:iCs/>
          <w:lang w:val="es-US"/>
        </w:rPr>
        <w:t xml:space="preserve"> a las empresas a prohibir o desalentar el uso de pagos de facilitación; y (b) tomar medidas para concientizar a sus funcionarios públicos sobre sus leyes sobre cohecho, con miras a detener la solicitud y la aceptación de pagos de facilitación</w:t>
      </w:r>
      <w:r w:rsidRPr="00CC1AB8">
        <w:rPr>
          <w:rStyle w:val="FootnoteReference"/>
          <w:rFonts w:eastAsiaTheme="minorHAnsi"/>
          <w:bCs/>
          <w:iCs/>
          <w:lang w:val="es-US"/>
        </w:rPr>
        <w:footnoteReference w:id="100"/>
      </w:r>
      <w:r w:rsidR="00A37D5B" w:rsidRPr="00CC1AB8">
        <w:rPr>
          <w:rFonts w:eastAsiaTheme="minorHAnsi"/>
          <w:bCs/>
          <w:iCs/>
          <w:lang w:val="es-US"/>
        </w:rPr>
        <w:t>”.</w:t>
      </w:r>
      <w:r w:rsidR="00D17B50" w:rsidRPr="00CC1AB8">
        <w:rPr>
          <w:rFonts w:eastAsiaTheme="minorHAnsi"/>
          <w:bCs/>
          <w:iCs/>
          <w:lang w:val="es-US"/>
        </w:rPr>
        <w:t xml:space="preserve"> </w:t>
      </w:r>
    </w:p>
    <w:p w14:paraId="0C617E59" w14:textId="77777777" w:rsidR="00CF638C" w:rsidRPr="00CC1AB8" w:rsidRDefault="00CF638C" w:rsidP="00CF638C">
      <w:pPr>
        <w:pStyle w:val="ListParagraph"/>
        <w:rPr>
          <w:lang w:val="es-US"/>
        </w:rPr>
      </w:pPr>
    </w:p>
    <w:p w14:paraId="32D67E69" w14:textId="77777777" w:rsidR="008841A5" w:rsidRPr="00CC1AB8" w:rsidRDefault="00282BB9" w:rsidP="008841A5">
      <w:pPr>
        <w:pStyle w:val="ListParagraph"/>
        <w:numPr>
          <w:ilvl w:val="0"/>
          <w:numId w:val="1"/>
        </w:numPr>
        <w:jc w:val="both"/>
        <w:rPr>
          <w:lang w:val="es-US"/>
        </w:rPr>
      </w:pPr>
      <w:r w:rsidRPr="00CC1AB8">
        <w:rPr>
          <w:lang w:val="es-US"/>
        </w:rPr>
        <w:t>–</w:t>
      </w:r>
      <w:r w:rsidR="00CF638C" w:rsidRPr="00CC1AB8">
        <w:rPr>
          <w:lang w:val="es-US"/>
        </w:rPr>
        <w:t xml:space="preserve"> </w:t>
      </w:r>
      <w:r w:rsidR="008841A5" w:rsidRPr="00CC1AB8">
        <w:rPr>
          <w:rFonts w:eastAsia="Times New Roman"/>
          <w:bCs/>
          <w:iCs/>
          <w:lang w:val="es-US"/>
        </w:rPr>
        <w:t>El personal del Departamento de Justicia ha participado en conferencias públicas en las que recalca sistemáticamente que, aunque los pagos de facilitación están excluidos en virtud de las disposiciones de lucha contra el soborno de la FCPA, dichos pagos pueden constituir la base de otra violación de la ley, incluido el fraude electrónico o, si no se registran adecuadamente, de las disposiciones sobre libros y registros de la FCPA. El Departamento de Comercio les transmite el mismo mensaje a las empresas durante las capacitaciones sobre la FCPA</w:t>
      </w:r>
      <w:r w:rsidR="008841A5" w:rsidRPr="00CC1AB8">
        <w:rPr>
          <w:lang w:val="es-US"/>
        </w:rPr>
        <w:t xml:space="preserve">. </w:t>
      </w:r>
    </w:p>
    <w:p w14:paraId="69BC5623" w14:textId="77777777" w:rsidR="008841A5" w:rsidRPr="00CC1AB8" w:rsidRDefault="008841A5" w:rsidP="008841A5">
      <w:pPr>
        <w:pStyle w:val="ListParagraph"/>
        <w:rPr>
          <w:rFonts w:eastAsia="Times New Roman"/>
          <w:bCs/>
          <w:iCs/>
          <w:lang w:val="es-US"/>
        </w:rPr>
      </w:pPr>
    </w:p>
    <w:p w14:paraId="79416E4E" w14:textId="77777777" w:rsidR="008841A5" w:rsidRPr="00CC1AB8" w:rsidRDefault="008841A5" w:rsidP="008841A5">
      <w:pPr>
        <w:pStyle w:val="ListParagraph"/>
        <w:numPr>
          <w:ilvl w:val="0"/>
          <w:numId w:val="1"/>
        </w:numPr>
        <w:jc w:val="both"/>
        <w:rPr>
          <w:rFonts w:eastAsia="Times New Roman"/>
          <w:bCs/>
          <w:iCs/>
          <w:lang w:val="es-US"/>
        </w:rPr>
      </w:pPr>
      <w:r w:rsidRPr="00CC1AB8">
        <w:rPr>
          <w:lang w:val="es-US"/>
        </w:rPr>
        <w:t>–</w:t>
      </w:r>
      <w:r w:rsidRPr="00CC1AB8">
        <w:rPr>
          <w:rFonts w:eastAsia="Times New Roman"/>
          <w:bCs/>
          <w:iCs/>
          <w:lang w:val="es-US"/>
        </w:rPr>
        <w:t xml:space="preserve"> Las discusiones sobre los pagos de facilitación surgen en el curso normal de las mesas redondas o presentaciones realizadas por personal gubernamental en conferencias sobre la FCPA. Por ejemplo, el Departamento de Justicia y la SEC suelen participar en la conferencia anual sobre la FCPA del American </w:t>
      </w:r>
      <w:proofErr w:type="spellStart"/>
      <w:r w:rsidRPr="00CC1AB8">
        <w:rPr>
          <w:rFonts w:eastAsia="Times New Roman"/>
          <w:bCs/>
          <w:iCs/>
          <w:lang w:val="es-US"/>
        </w:rPr>
        <w:t>Conference</w:t>
      </w:r>
      <w:proofErr w:type="spellEnd"/>
      <w:r w:rsidRPr="00CC1AB8">
        <w:rPr>
          <w:rFonts w:eastAsia="Times New Roman"/>
          <w:bCs/>
          <w:iCs/>
          <w:lang w:val="es-US"/>
        </w:rPr>
        <w:t xml:space="preserve"> </w:t>
      </w:r>
      <w:proofErr w:type="spellStart"/>
      <w:r w:rsidRPr="00CC1AB8">
        <w:rPr>
          <w:rFonts w:eastAsia="Times New Roman"/>
          <w:bCs/>
          <w:iCs/>
          <w:lang w:val="es-US"/>
        </w:rPr>
        <w:t>Institute</w:t>
      </w:r>
      <w:proofErr w:type="spellEnd"/>
      <w:r w:rsidRPr="00CC1AB8">
        <w:rPr>
          <w:rFonts w:eastAsia="Times New Roman"/>
          <w:bCs/>
          <w:iCs/>
          <w:lang w:val="es-US"/>
        </w:rPr>
        <w:t xml:space="preserve"> en </w:t>
      </w:r>
      <w:proofErr w:type="spellStart"/>
      <w:r w:rsidRPr="00CC1AB8">
        <w:rPr>
          <w:rFonts w:eastAsia="Times New Roman"/>
          <w:bCs/>
          <w:iCs/>
          <w:lang w:val="es-US"/>
        </w:rPr>
        <w:t>National</w:t>
      </w:r>
      <w:proofErr w:type="spellEnd"/>
      <w:r w:rsidRPr="00CC1AB8">
        <w:rPr>
          <w:rFonts w:eastAsia="Times New Roman"/>
          <w:bCs/>
          <w:iCs/>
          <w:lang w:val="es-US"/>
        </w:rPr>
        <w:t xml:space="preserve"> Harbor, Maryland, a la que asisten aproximadamente 800 personas, entre ellas abogados especializados en delitos de cuello blanco, abogados internos y personal de cumplimiento, ejecutivos de empresas, abogados gubernamentales y representantes de organizaciones no gubernamentales. </w:t>
      </w:r>
    </w:p>
    <w:p w14:paraId="5E318E43" w14:textId="77777777" w:rsidR="008841A5" w:rsidRPr="00CC1AB8" w:rsidRDefault="008841A5" w:rsidP="008841A5">
      <w:pPr>
        <w:pStyle w:val="ListParagraph"/>
        <w:rPr>
          <w:lang w:val="es-US" w:eastAsia="fr-CA"/>
        </w:rPr>
      </w:pPr>
    </w:p>
    <w:p w14:paraId="4E938B5F" w14:textId="6174B16E" w:rsidR="00A65A03" w:rsidRPr="00903FAF" w:rsidRDefault="008841A5" w:rsidP="006D206E">
      <w:pPr>
        <w:pStyle w:val="ListParagraph"/>
        <w:numPr>
          <w:ilvl w:val="0"/>
          <w:numId w:val="1"/>
        </w:numPr>
        <w:jc w:val="both"/>
        <w:rPr>
          <w:rFonts w:eastAsia="Times New Roman"/>
          <w:bCs/>
          <w:iCs/>
          <w:lang w:val="es-US"/>
        </w:rPr>
      </w:pPr>
      <w:r w:rsidRPr="00903FAF">
        <w:rPr>
          <w:rFonts w:eastAsia="Times New Roman"/>
          <w:b/>
          <w:iCs/>
          <w:u w:val="single"/>
          <w:lang w:val="es-US"/>
        </w:rPr>
        <w:t>Además, durante la visita in situ, los representantes del Departamento de Justicia y de la SEC destacaron que</w:t>
      </w:r>
      <w:r w:rsidR="0047400C" w:rsidRPr="00903FAF">
        <w:rPr>
          <w:rFonts w:eastAsia="Times New Roman"/>
          <w:b/>
          <w:iCs/>
          <w:u w:val="single"/>
          <w:lang w:val="es-US"/>
        </w:rPr>
        <w:t xml:space="preserve"> </w:t>
      </w:r>
      <w:r w:rsidR="00711D77" w:rsidRPr="00903FAF">
        <w:rPr>
          <w:rFonts w:eastAsia="Times New Roman"/>
          <w:b/>
          <w:iCs/>
          <w:u w:val="single"/>
          <w:lang w:val="es-US"/>
        </w:rPr>
        <w:t xml:space="preserve">la mayoría de las empresas desaconsejan </w:t>
      </w:r>
      <w:r w:rsidRPr="00903FAF">
        <w:rPr>
          <w:rFonts w:eastAsia="Times New Roman"/>
          <w:b/>
          <w:iCs/>
          <w:u w:val="single"/>
          <w:lang w:val="es-US"/>
        </w:rPr>
        <w:t xml:space="preserve">los pagos de facilitación y </w:t>
      </w:r>
      <w:r w:rsidR="006D206E" w:rsidRPr="00903FAF">
        <w:rPr>
          <w:rFonts w:eastAsia="Times New Roman"/>
          <w:b/>
          <w:iCs/>
          <w:u w:val="single"/>
          <w:lang w:val="es-US"/>
        </w:rPr>
        <w:t xml:space="preserve">que el tema </w:t>
      </w:r>
      <w:r w:rsidRPr="00903FAF">
        <w:rPr>
          <w:rFonts w:eastAsia="Times New Roman"/>
          <w:b/>
          <w:iCs/>
          <w:u w:val="single"/>
          <w:lang w:val="es-US"/>
        </w:rPr>
        <w:t>no se plantea con mucha frecuencia</w:t>
      </w:r>
      <w:r w:rsidRPr="00903FAF">
        <w:rPr>
          <w:rFonts w:eastAsia="Times New Roman"/>
          <w:bCs/>
          <w:iCs/>
          <w:lang w:val="es-US"/>
        </w:rPr>
        <w:t>.</w:t>
      </w:r>
      <w:r w:rsidR="00A12F31" w:rsidRPr="00441A76">
        <w:rPr>
          <w:rStyle w:val="FootnoteReference"/>
          <w:rFonts w:eastAsia="Times New Roman"/>
          <w:b/>
          <w:iCs/>
          <w:u w:val="single"/>
          <w:lang w:val="es-US"/>
        </w:rPr>
        <w:footnoteReference w:id="101"/>
      </w:r>
      <w:r w:rsidRPr="00903FAF">
        <w:rPr>
          <w:rFonts w:eastAsia="Times New Roman"/>
          <w:bCs/>
          <w:iCs/>
          <w:lang w:val="es-US"/>
        </w:rPr>
        <w:t xml:space="preserve"> A este respecto, los representantes señalaron que solía ser un problema, pero </w:t>
      </w:r>
      <w:r w:rsidR="004E07FC" w:rsidRPr="00903FAF">
        <w:rPr>
          <w:rFonts w:eastAsia="Times New Roman"/>
          <w:bCs/>
          <w:iCs/>
          <w:lang w:val="es-US"/>
        </w:rPr>
        <w:t xml:space="preserve">que actualmente </w:t>
      </w:r>
      <w:r w:rsidRPr="00903FAF">
        <w:rPr>
          <w:rFonts w:eastAsia="Times New Roman"/>
          <w:bCs/>
          <w:iCs/>
          <w:lang w:val="es-US"/>
        </w:rPr>
        <w:t>la mayoría de las empresas tienen prohibidos los pagos de facilitación, ya que no merece la pena realizar este tipo de pagos, debido a los riesgos de violar la FCPA. También se observó, como se indica en la Respuesta, que</w:t>
      </w:r>
      <w:r w:rsidR="001660C1" w:rsidRPr="00903FAF">
        <w:rPr>
          <w:rFonts w:eastAsia="Times New Roman"/>
          <w:bCs/>
          <w:iCs/>
          <w:lang w:val="es-US"/>
        </w:rPr>
        <w:t>,</w:t>
      </w:r>
      <w:r w:rsidRPr="00903FAF">
        <w:rPr>
          <w:rFonts w:eastAsia="Times New Roman"/>
          <w:bCs/>
          <w:iCs/>
          <w:lang w:val="es-US"/>
        </w:rPr>
        <w:t xml:space="preserve"> si se realiza un pago de facilitación, tendría que quedar registrado en los libros y registros de la empresa y estar bien justificado, por el riesgo de traspasar la delgada línea de lo que se permite en la FCPA. </w:t>
      </w:r>
    </w:p>
    <w:p w14:paraId="549F0C85" w14:textId="77777777" w:rsidR="008841A5" w:rsidRPr="00243D97" w:rsidRDefault="008841A5" w:rsidP="008841A5">
      <w:pPr>
        <w:pStyle w:val="ListParagraph"/>
        <w:rPr>
          <w:rFonts w:eastAsia="Times New Roman"/>
          <w:bCs/>
          <w:iCs/>
          <w:lang w:val="es-US"/>
        </w:rPr>
      </w:pPr>
    </w:p>
    <w:p w14:paraId="74B0347D" w14:textId="77777777" w:rsidR="008841A5" w:rsidRPr="00CC1AB8" w:rsidRDefault="008841A5" w:rsidP="008841A5">
      <w:pPr>
        <w:pStyle w:val="ListParagraph"/>
        <w:numPr>
          <w:ilvl w:val="0"/>
          <w:numId w:val="1"/>
        </w:numPr>
        <w:jc w:val="both"/>
        <w:rPr>
          <w:rFonts w:eastAsia="Times New Roman"/>
          <w:bCs/>
          <w:iCs/>
          <w:lang w:val="es-US"/>
        </w:rPr>
      </w:pPr>
      <w:r w:rsidRPr="00CC1AB8">
        <w:rPr>
          <w:rFonts w:eastAsia="Times New Roman"/>
          <w:bCs/>
          <w:iCs/>
          <w:lang w:val="es-US"/>
        </w:rPr>
        <w:t>En vista de lo anterior, el Comité toma nota de la consideración satisfactoria de la recomendación por el Estado analizado.</w:t>
      </w:r>
    </w:p>
    <w:p w14:paraId="26DA8803" w14:textId="77777777" w:rsidR="008841A5" w:rsidRPr="00CC1AB8" w:rsidRDefault="008841A5" w:rsidP="008841A5">
      <w:pPr>
        <w:pStyle w:val="ListParagraph"/>
        <w:rPr>
          <w:vertAlign w:val="superscript"/>
          <w:lang w:val="es-US"/>
        </w:rPr>
      </w:pPr>
    </w:p>
    <w:p w14:paraId="3F7258E4" w14:textId="5D304C17" w:rsidR="00A30658" w:rsidRPr="00CC1AB8" w:rsidRDefault="008841A5" w:rsidP="008841A5">
      <w:pPr>
        <w:pStyle w:val="ListParagraph"/>
        <w:numPr>
          <w:ilvl w:val="0"/>
          <w:numId w:val="1"/>
        </w:numPr>
        <w:jc w:val="both"/>
        <w:rPr>
          <w:rFonts w:eastAsiaTheme="minorHAnsi"/>
          <w:bCs/>
          <w:iCs/>
          <w:lang w:val="es-US"/>
        </w:rPr>
      </w:pPr>
      <w:r w:rsidRPr="00CC1AB8">
        <w:rPr>
          <w:rFonts w:eastAsia="Times New Roman"/>
          <w:bCs/>
          <w:iCs/>
          <w:lang w:val="es-US"/>
        </w:rPr>
        <w:t>El Comité tiene observaciones adicionales al respecto. Como se señaló en el Informe de la Tercera Ronda de Estados Unidos, el Artículo VIII de la Convención Interamericana contra la Corrupción no contiene excepciones para los pagos de facilitación. En este sentido, el Comité reitera la observación formulada al respecto en lo relativo al tema de la deducción de impuestos</w:t>
      </w:r>
      <w:r w:rsidR="00A30658" w:rsidRPr="00CC1AB8">
        <w:rPr>
          <w:rStyle w:val="FootnoteReference"/>
          <w:lang w:val="es-US"/>
        </w:rPr>
        <w:footnoteReference w:id="102"/>
      </w:r>
      <w:r w:rsidR="00880EC6" w:rsidRPr="00CC1AB8">
        <w:rPr>
          <w:rFonts w:eastAsia="Times New Roman"/>
          <w:bCs/>
          <w:iCs/>
          <w:lang w:val="es-US"/>
        </w:rPr>
        <w:t>:</w:t>
      </w:r>
    </w:p>
    <w:p w14:paraId="20C8F447" w14:textId="77777777" w:rsidR="00A30658" w:rsidRPr="00CC1AB8" w:rsidRDefault="00A30658" w:rsidP="00A30658">
      <w:pPr>
        <w:pStyle w:val="ListParagraph"/>
        <w:rPr>
          <w:lang w:val="es-US"/>
        </w:rPr>
      </w:pPr>
    </w:p>
    <w:p w14:paraId="1C4AAA06" w14:textId="500CC800" w:rsidR="00A30658" w:rsidRPr="00CC1AB8" w:rsidRDefault="00880EC6" w:rsidP="00A30658">
      <w:pPr>
        <w:pStyle w:val="ListParagraph"/>
        <w:numPr>
          <w:ilvl w:val="0"/>
          <w:numId w:val="1"/>
        </w:numPr>
        <w:jc w:val="both"/>
        <w:rPr>
          <w:rFonts w:eastAsiaTheme="minorHAnsi"/>
          <w:bCs/>
          <w:iCs/>
          <w:lang w:val="es-US"/>
        </w:rPr>
      </w:pPr>
      <w:r w:rsidRPr="00CC1AB8">
        <w:rPr>
          <w:lang w:val="es-US"/>
        </w:rPr>
        <w:t>“</w:t>
      </w:r>
      <w:r w:rsidRPr="00CC1AB8">
        <w:rPr>
          <w:i/>
          <w:iCs/>
          <w:lang w:val="es-US"/>
        </w:rPr>
        <w:t>[E]l Comité toma nota de que los pagos para facilitación en general se consideran como un soborno ilegal en los países en que se efectúan. En forma similar toma nota de que la principal norma legal interna sobre soborno existente en el país analizado, la sección 201 del título 18 del USC, examinada en el Informe sobre Estados Unidos para la Segunda Ronda de Análisis, no contiene una excepción de ese tipo relativa a facilitación o agilización de pagos efectuados a funcionarios o empleados de gobiernos nacionales</w:t>
      </w:r>
      <w:r w:rsidR="00A30658" w:rsidRPr="00CC1AB8">
        <w:rPr>
          <w:i/>
          <w:iCs/>
          <w:lang w:val="es-US"/>
        </w:rPr>
        <w:t>.”</w:t>
      </w:r>
    </w:p>
    <w:p w14:paraId="5E84D23D" w14:textId="77777777" w:rsidR="00A30658" w:rsidRPr="00CC1AB8" w:rsidRDefault="00A30658" w:rsidP="00A30658">
      <w:pPr>
        <w:pStyle w:val="ListParagraph"/>
        <w:rPr>
          <w:rFonts w:eastAsiaTheme="minorHAnsi"/>
          <w:bCs/>
          <w:iCs/>
          <w:lang w:val="es-US"/>
        </w:rPr>
      </w:pPr>
    </w:p>
    <w:p w14:paraId="2565604A" w14:textId="77777777" w:rsidR="00CE6007" w:rsidRPr="00CC1AB8" w:rsidRDefault="00CE6007" w:rsidP="00CE6007">
      <w:pPr>
        <w:pStyle w:val="ListParagraph"/>
        <w:numPr>
          <w:ilvl w:val="0"/>
          <w:numId w:val="1"/>
        </w:numPr>
        <w:jc w:val="both"/>
        <w:rPr>
          <w:rFonts w:eastAsia="Times New Roman"/>
          <w:bCs/>
          <w:iCs/>
          <w:lang w:val="es-US"/>
        </w:rPr>
      </w:pPr>
      <w:r w:rsidRPr="00CC1AB8">
        <w:rPr>
          <w:rFonts w:eastAsia="Times New Roman"/>
          <w:bCs/>
          <w:iCs/>
          <w:lang w:val="es-US"/>
        </w:rPr>
        <w:t>Durante la visita in situ, los representantes del Departamento de Justicia y de la SEC indicaron que desconocen si existe alguna propuesta legislativa o intención de eliminar la excepción del pago de facilitación. A este respecto, los representantes señalaron que la FCPA fue la primera legislación de este tipo en el mundo y, dado que la mayoría de las jurisdicciones nacionales en aquel momento no disponían de legislación de lucha contra el soborno, la exclusión del pago de facilitación podría dejar a las empresas estadounidenses en desventaja al realizar negocios en el extranjero.</w:t>
      </w:r>
    </w:p>
    <w:p w14:paraId="3D2BB11A" w14:textId="77777777" w:rsidR="00CE6007" w:rsidRPr="00CC1AB8" w:rsidRDefault="00CE6007" w:rsidP="00CE6007">
      <w:pPr>
        <w:pStyle w:val="ListParagraph"/>
        <w:rPr>
          <w:rFonts w:eastAsia="Times New Roman"/>
          <w:bCs/>
          <w:iCs/>
          <w:lang w:val="es-US"/>
        </w:rPr>
      </w:pPr>
    </w:p>
    <w:p w14:paraId="7F64F12A" w14:textId="03A873FD" w:rsidR="00A30658" w:rsidRPr="00CC1AB8" w:rsidRDefault="00CE6007" w:rsidP="00CE6007">
      <w:pPr>
        <w:pStyle w:val="ListParagraph"/>
        <w:numPr>
          <w:ilvl w:val="0"/>
          <w:numId w:val="1"/>
        </w:numPr>
        <w:jc w:val="both"/>
        <w:rPr>
          <w:rFonts w:eastAsiaTheme="minorHAnsi"/>
          <w:bCs/>
          <w:iCs/>
          <w:lang w:val="es-US"/>
        </w:rPr>
      </w:pPr>
      <w:r w:rsidRPr="00CC1AB8">
        <w:rPr>
          <w:rFonts w:eastAsia="Times New Roman"/>
          <w:bCs/>
          <w:iCs/>
          <w:lang w:val="es-US"/>
        </w:rPr>
        <w:t>A este respecto, el Comité señala que en el Informe de la Cámara de Representantes de Estados Unidos se manifestó, con respecto a los pagos de facilitación al examinar la FCPA, que</w:t>
      </w:r>
      <w:r w:rsidR="000972F5" w:rsidRPr="00CC1AB8">
        <w:rPr>
          <w:rStyle w:val="FootnoteReference"/>
          <w:rFonts w:eastAsiaTheme="minorHAnsi"/>
          <w:bCs/>
          <w:iCs/>
          <w:lang w:val="es-US"/>
        </w:rPr>
        <w:footnoteReference w:id="103"/>
      </w:r>
      <w:r w:rsidRPr="00CC1AB8">
        <w:rPr>
          <w:rFonts w:eastAsia="Times New Roman"/>
          <w:bCs/>
          <w:iCs/>
          <w:lang w:val="es-US"/>
        </w:rPr>
        <w:t>:</w:t>
      </w:r>
    </w:p>
    <w:p w14:paraId="6003C791" w14:textId="77777777" w:rsidR="000972F5" w:rsidRPr="00CC1AB8" w:rsidRDefault="000972F5" w:rsidP="000972F5">
      <w:pPr>
        <w:pStyle w:val="ListParagraph"/>
        <w:rPr>
          <w:rFonts w:eastAsiaTheme="minorHAnsi"/>
          <w:bCs/>
          <w:iCs/>
          <w:lang w:val="es-US"/>
        </w:rPr>
      </w:pPr>
    </w:p>
    <w:p w14:paraId="340C8980" w14:textId="043F9692" w:rsidR="000972F5" w:rsidRPr="00CC1AB8" w:rsidRDefault="000972F5" w:rsidP="00A30658">
      <w:pPr>
        <w:pStyle w:val="ListParagraph"/>
        <w:numPr>
          <w:ilvl w:val="0"/>
          <w:numId w:val="1"/>
        </w:numPr>
        <w:jc w:val="both"/>
        <w:rPr>
          <w:rFonts w:eastAsiaTheme="minorHAnsi"/>
          <w:bCs/>
          <w:iCs/>
          <w:lang w:val="es-US"/>
        </w:rPr>
      </w:pPr>
      <w:r w:rsidRPr="00CC1AB8">
        <w:rPr>
          <w:rFonts w:eastAsiaTheme="minorHAnsi"/>
          <w:bCs/>
          <w:iCs/>
          <w:lang w:val="es-US"/>
        </w:rPr>
        <w:t>“</w:t>
      </w:r>
      <w:r w:rsidR="0082422C" w:rsidRPr="00CC1AB8">
        <w:rPr>
          <w:rFonts w:eastAsiaTheme="minorHAnsi"/>
          <w:bCs/>
          <w:i/>
          <w:lang w:val="es-US"/>
        </w:rPr>
        <w:t>Aunque los pagos efectuados para garantizar o acelerar el correcto desempeño de las funciones de un funcionario extranjero pueden ser reprensibles en Estados Unidos, la comisión reconoce que no necesariamente se consideran así en otras partes del mundo y que no es factible que Estados Unidos intente erradicar unilateralmente todos esos pagos</w:t>
      </w:r>
      <w:r w:rsidRPr="00CC1AB8">
        <w:rPr>
          <w:rFonts w:eastAsiaTheme="minorHAnsi"/>
          <w:bCs/>
          <w:iCs/>
          <w:lang w:val="es-US"/>
        </w:rPr>
        <w:t>.”</w:t>
      </w:r>
    </w:p>
    <w:p w14:paraId="775CF0E1" w14:textId="77777777" w:rsidR="000972F5" w:rsidRPr="00CC1AB8" w:rsidRDefault="000972F5" w:rsidP="000972F5">
      <w:pPr>
        <w:pStyle w:val="ListParagraph"/>
        <w:rPr>
          <w:rFonts w:eastAsiaTheme="minorHAnsi"/>
          <w:bCs/>
          <w:iCs/>
          <w:lang w:val="es-US"/>
        </w:rPr>
      </w:pPr>
    </w:p>
    <w:p w14:paraId="5673E64B" w14:textId="77777777" w:rsidR="00071061" w:rsidRPr="00CC1AB8" w:rsidRDefault="00071061" w:rsidP="00071061">
      <w:pPr>
        <w:pStyle w:val="ListParagraph"/>
        <w:numPr>
          <w:ilvl w:val="0"/>
          <w:numId w:val="1"/>
        </w:numPr>
        <w:jc w:val="both"/>
        <w:rPr>
          <w:rFonts w:eastAsia="Times New Roman"/>
          <w:bCs/>
          <w:iCs/>
          <w:lang w:val="es-US"/>
        </w:rPr>
      </w:pPr>
      <w:r w:rsidRPr="00CC1AB8">
        <w:rPr>
          <w:rFonts w:eastAsia="Times New Roman"/>
          <w:bCs/>
          <w:iCs/>
          <w:lang w:val="es-US"/>
        </w:rPr>
        <w:t xml:space="preserve">No obstante, el Comité observa que desde la aprobación de la FCPA se han producido importantes acontecimientos nacionales, regionales e internacionales a este respecto que han hecho que la justificación de esta excepción ya no sea válida. </w:t>
      </w:r>
    </w:p>
    <w:p w14:paraId="3756BCFD" w14:textId="77777777" w:rsidR="00071061" w:rsidRPr="00CC1AB8" w:rsidRDefault="00071061" w:rsidP="00071061">
      <w:pPr>
        <w:pStyle w:val="ListParagraph"/>
        <w:rPr>
          <w:rFonts w:eastAsia="Times New Roman"/>
          <w:bCs/>
          <w:iCs/>
          <w:lang w:val="es-US"/>
        </w:rPr>
      </w:pPr>
    </w:p>
    <w:p w14:paraId="159D0569" w14:textId="77777777" w:rsidR="00071061" w:rsidRPr="00CC1AB8" w:rsidRDefault="00071061" w:rsidP="00071061">
      <w:pPr>
        <w:pStyle w:val="ListParagraph"/>
        <w:numPr>
          <w:ilvl w:val="0"/>
          <w:numId w:val="1"/>
        </w:numPr>
        <w:jc w:val="both"/>
        <w:rPr>
          <w:rFonts w:eastAsia="Times New Roman"/>
          <w:bCs/>
          <w:iCs/>
          <w:lang w:val="es-US"/>
        </w:rPr>
      </w:pPr>
      <w:r w:rsidRPr="00CC1AB8">
        <w:rPr>
          <w:rFonts w:eastAsia="Times New Roman"/>
          <w:bCs/>
          <w:iCs/>
          <w:lang w:val="es-US"/>
        </w:rPr>
        <w:t xml:space="preserve">Solo dentro del sistema interamericano, la Convención Interamericana contra la Corrupción, el primer tratado de este tipo y ratificado por los 34 Estados Miembros de la OEA, exige la tipificación como delito de los actos de corrupción, incluido el soborno, haciendo ilegales los pagos de facilitación si se llevan a cabo en los países en los que se pagan, incluido, como se ha señalado anteriormente, Estados Unidos. </w:t>
      </w:r>
    </w:p>
    <w:p w14:paraId="43E55C45" w14:textId="77777777" w:rsidR="00071061" w:rsidRPr="00CC1AB8" w:rsidRDefault="00071061" w:rsidP="00071061">
      <w:pPr>
        <w:pStyle w:val="ListParagraph"/>
        <w:rPr>
          <w:rFonts w:eastAsia="Times New Roman"/>
          <w:bCs/>
          <w:iCs/>
          <w:lang w:val="es-US"/>
        </w:rPr>
      </w:pPr>
    </w:p>
    <w:p w14:paraId="7B7C8034" w14:textId="07A24F82" w:rsidR="001F254C" w:rsidRPr="00CC1AB8" w:rsidRDefault="00071061" w:rsidP="00071061">
      <w:pPr>
        <w:pStyle w:val="ListParagraph"/>
        <w:numPr>
          <w:ilvl w:val="0"/>
          <w:numId w:val="1"/>
        </w:numPr>
        <w:jc w:val="both"/>
        <w:rPr>
          <w:rFonts w:eastAsiaTheme="minorHAnsi"/>
          <w:bCs/>
          <w:iCs/>
          <w:lang w:val="es-US"/>
        </w:rPr>
      </w:pPr>
      <w:r w:rsidRPr="00CC1AB8">
        <w:rPr>
          <w:rFonts w:eastAsia="Times New Roman"/>
          <w:bCs/>
          <w:iCs/>
          <w:lang w:val="es-US"/>
        </w:rPr>
        <w:t>Como se demostró en el Informe Hemisférico de la Segunda y Quinta Rondas del MESICIC, que abordó el tema de los Actos de Corrupción, todos los países han tipificado el soborno dentro de su legislación nacional y las recomendaciones más comunes han consistido en ajustar esas disposiciones para que cumplan con los elementos que contiene el Artículo VI de la Convención</w:t>
      </w:r>
      <w:r w:rsidR="005D5E99" w:rsidRPr="00CC1AB8">
        <w:rPr>
          <w:rStyle w:val="FootnoteReference"/>
          <w:rFonts w:eastAsiaTheme="minorHAnsi"/>
          <w:bCs/>
          <w:iCs/>
          <w:lang w:val="es-US"/>
        </w:rPr>
        <w:footnoteReference w:id="104"/>
      </w:r>
      <w:r w:rsidR="007F626A" w:rsidRPr="00CC1AB8">
        <w:rPr>
          <w:rFonts w:eastAsia="Times New Roman"/>
          <w:bCs/>
          <w:iCs/>
          <w:lang w:val="es-US"/>
        </w:rPr>
        <w:t>.</w:t>
      </w:r>
      <w:r w:rsidR="00994590" w:rsidRPr="00CC1AB8">
        <w:rPr>
          <w:rFonts w:eastAsiaTheme="minorHAnsi"/>
          <w:bCs/>
          <w:iCs/>
          <w:lang w:val="es-US"/>
        </w:rPr>
        <w:t xml:space="preserve"> </w:t>
      </w:r>
    </w:p>
    <w:p w14:paraId="45038187" w14:textId="77777777" w:rsidR="00994590" w:rsidRPr="00CC1AB8" w:rsidRDefault="00994590" w:rsidP="00994590">
      <w:pPr>
        <w:pStyle w:val="ListParagraph"/>
        <w:rPr>
          <w:rFonts w:eastAsiaTheme="minorHAnsi"/>
          <w:bCs/>
          <w:iCs/>
          <w:lang w:val="es-US"/>
        </w:rPr>
      </w:pPr>
    </w:p>
    <w:p w14:paraId="233E6A43" w14:textId="38B56DC7" w:rsidR="00E15638" w:rsidRPr="00CC1AB8" w:rsidRDefault="00E15638" w:rsidP="00E15638">
      <w:pPr>
        <w:pStyle w:val="ListParagraph"/>
        <w:numPr>
          <w:ilvl w:val="0"/>
          <w:numId w:val="1"/>
        </w:numPr>
        <w:jc w:val="both"/>
        <w:rPr>
          <w:rFonts w:eastAsia="Times New Roman"/>
          <w:bCs/>
          <w:iCs/>
          <w:lang w:val="es-US"/>
        </w:rPr>
      </w:pPr>
      <w:r w:rsidRPr="00CC1AB8">
        <w:rPr>
          <w:rFonts w:eastAsia="Times New Roman"/>
          <w:bCs/>
          <w:iCs/>
          <w:lang w:val="es-US"/>
        </w:rPr>
        <w:t xml:space="preserve">El Comité también toma nota de que no existe una excepción de este tipo en ningún otro país de la región. A este respecto, si bien el Tratado Comercial entre Estados Unidos México y Canadá señala los efectos nocivos de los pagos de facilitación y compromete a cada una de las partes a </w:t>
      </w:r>
      <w:r w:rsidR="0022373C" w:rsidRPr="00CC1AB8">
        <w:rPr>
          <w:rFonts w:eastAsia="Times New Roman"/>
          <w:bCs/>
          <w:iCs/>
          <w:lang w:val="es-US"/>
        </w:rPr>
        <w:t>alentar</w:t>
      </w:r>
      <w:r w:rsidRPr="00CC1AB8">
        <w:rPr>
          <w:rFonts w:eastAsia="Times New Roman"/>
          <w:bCs/>
          <w:iCs/>
          <w:lang w:val="es-US"/>
        </w:rPr>
        <w:t xml:space="preserve"> a las empresas a prohibir o desalentar el uso de los pagos de facilitación y a adoptar medidas para concientizar a sus funcionarios públicos sobre sus leyes en materia de soborno con miras a poner fin a la solicitud y aceptación de pagos de facilitación, en la práctica esto solo es aplicable a Estados Unidos, dado que es el único país que permite dicha excepción. </w:t>
      </w:r>
    </w:p>
    <w:p w14:paraId="2C7F5EFD" w14:textId="77777777" w:rsidR="00E15638" w:rsidRPr="00CC1AB8" w:rsidRDefault="00E15638" w:rsidP="00E15638">
      <w:pPr>
        <w:pStyle w:val="ListParagraph"/>
        <w:rPr>
          <w:rFonts w:eastAsia="Times New Roman"/>
          <w:bCs/>
          <w:iCs/>
          <w:lang w:val="es-US"/>
        </w:rPr>
      </w:pPr>
    </w:p>
    <w:p w14:paraId="7A1A1799" w14:textId="2B9E24C3" w:rsidR="00994590" w:rsidRPr="00CC1AB8" w:rsidRDefault="00E15638" w:rsidP="00E15638">
      <w:pPr>
        <w:pStyle w:val="ListParagraph"/>
        <w:numPr>
          <w:ilvl w:val="0"/>
          <w:numId w:val="1"/>
        </w:numPr>
        <w:jc w:val="both"/>
        <w:rPr>
          <w:rFonts w:eastAsiaTheme="minorHAnsi"/>
          <w:bCs/>
          <w:iCs/>
          <w:lang w:val="es-US"/>
        </w:rPr>
      </w:pPr>
      <w:r w:rsidRPr="00CC1AB8">
        <w:rPr>
          <w:rFonts w:eastAsia="Times New Roman"/>
          <w:bCs/>
          <w:iCs/>
          <w:lang w:val="es-US"/>
        </w:rPr>
        <w:t>En vista de lo anterior, con los desarrollos nacionales, regionales e internacionales que han superado la justificación inicial para incluir los pagos de facilitación como una excepción en la FCPA y en razón de los cuales todos los países de la región tratan estos pagos como un delito penal, además de que el Estado analizado ha asumido la posición de desalentar también el uso de tales pagos, el Comité estima que el Estado analizado puede considerar medidas legislativas para eliminar esta excepción en su legislación. El Comité formulará una recomendación</w:t>
      </w:r>
      <w:r w:rsidR="0022373C" w:rsidRPr="00CC1AB8">
        <w:rPr>
          <w:rFonts w:eastAsia="Times New Roman"/>
          <w:bCs/>
          <w:iCs/>
          <w:lang w:val="es-US"/>
        </w:rPr>
        <w:t>.</w:t>
      </w:r>
      <w:r w:rsidRPr="00CC1AB8">
        <w:rPr>
          <w:rFonts w:eastAsia="Times New Roman"/>
          <w:bCs/>
          <w:iCs/>
          <w:lang w:val="es-US"/>
        </w:rPr>
        <w:t xml:space="preserve"> (</w:t>
      </w:r>
      <w:r w:rsidR="00914CEC" w:rsidRPr="00CC1AB8">
        <w:rPr>
          <w:rFonts w:eastAsia="Times New Roman"/>
          <w:bCs/>
          <w:iCs/>
          <w:lang w:val="es-US"/>
        </w:rPr>
        <w:t>V</w:t>
      </w:r>
      <w:r w:rsidRPr="00CC1AB8">
        <w:rPr>
          <w:rFonts w:eastAsia="Times New Roman"/>
          <w:bCs/>
          <w:iCs/>
          <w:lang w:val="es-US"/>
        </w:rPr>
        <w:t xml:space="preserve">éase la </w:t>
      </w:r>
      <w:r w:rsidR="0022373C" w:rsidRPr="00CC1AB8">
        <w:rPr>
          <w:rFonts w:eastAsia="Times New Roman"/>
          <w:lang w:val="es-US"/>
        </w:rPr>
        <w:t>R</w:t>
      </w:r>
      <w:r w:rsidRPr="00CC1AB8">
        <w:rPr>
          <w:rFonts w:eastAsia="Times New Roman"/>
          <w:lang w:val="es-US"/>
        </w:rPr>
        <w:t>ecomendación</w:t>
      </w:r>
      <w:r w:rsidRPr="00CC1AB8">
        <w:rPr>
          <w:rFonts w:eastAsia="Times New Roman"/>
          <w:bCs/>
          <w:iCs/>
          <w:lang w:val="es-US"/>
        </w:rPr>
        <w:t xml:space="preserve"> 3.4.1 en </w:t>
      </w:r>
      <w:r w:rsidRPr="00CC1AB8">
        <w:rPr>
          <w:lang w:val="es-US"/>
        </w:rPr>
        <w:t>la sección</w:t>
      </w:r>
      <w:r w:rsidRPr="00CC1AB8">
        <w:rPr>
          <w:rFonts w:eastAsia="Times New Roman"/>
          <w:lang w:val="es-US"/>
        </w:rPr>
        <w:t xml:space="preserve"> </w:t>
      </w:r>
      <w:r w:rsidRPr="00CC1AB8">
        <w:rPr>
          <w:rFonts w:eastAsia="Times New Roman"/>
          <w:bCs/>
          <w:iCs/>
          <w:lang w:val="es-US"/>
        </w:rPr>
        <w:t>3.4 del Capítulo II del presente Informe)</w:t>
      </w:r>
    </w:p>
    <w:p w14:paraId="434092C1" w14:textId="77777777" w:rsidR="00994590" w:rsidRPr="00282A68" w:rsidRDefault="00994590" w:rsidP="00994590">
      <w:pPr>
        <w:pStyle w:val="ListParagraph"/>
        <w:rPr>
          <w:rFonts w:eastAsiaTheme="minorHAnsi"/>
          <w:bCs/>
          <w:iCs/>
          <w:lang w:val="es-US"/>
        </w:rPr>
      </w:pPr>
    </w:p>
    <w:p w14:paraId="7EB0B20E" w14:textId="0316862B" w:rsidR="008C43BD" w:rsidRPr="00282A68" w:rsidRDefault="00FB1AF8" w:rsidP="008C43BD">
      <w:pPr>
        <w:pStyle w:val="ListParagraph"/>
        <w:numPr>
          <w:ilvl w:val="1"/>
          <w:numId w:val="4"/>
        </w:numPr>
        <w:jc w:val="both"/>
        <w:rPr>
          <w:b/>
          <w:lang w:val="es-US" w:eastAsia="es-ES"/>
        </w:rPr>
      </w:pPr>
      <w:r w:rsidRPr="00282A68">
        <w:rPr>
          <w:b/>
          <w:bCs/>
          <w:lang w:val="es-US"/>
        </w:rPr>
        <w:t>Desarrollos nuevos respecto a la disposición de la Convención sobre el soborno transnacional</w:t>
      </w:r>
      <w:r w:rsidR="008C43BD" w:rsidRPr="00282A68">
        <w:rPr>
          <w:b/>
          <w:lang w:val="es-US" w:eastAsia="es-ES"/>
        </w:rPr>
        <w:t>.</w:t>
      </w:r>
    </w:p>
    <w:p w14:paraId="5BABB0A1" w14:textId="77777777" w:rsidR="008C43BD" w:rsidRPr="00282A68" w:rsidRDefault="008C43BD" w:rsidP="008C43BD">
      <w:pPr>
        <w:jc w:val="both"/>
        <w:rPr>
          <w:b/>
          <w:sz w:val="22"/>
          <w:szCs w:val="22"/>
          <w:lang w:val="es-US" w:eastAsia="es-ES"/>
        </w:rPr>
      </w:pPr>
    </w:p>
    <w:p w14:paraId="64A3FFC1" w14:textId="6B9A09A8" w:rsidR="008C43BD" w:rsidRPr="00282A68" w:rsidRDefault="00C55620" w:rsidP="008C43BD">
      <w:pPr>
        <w:pStyle w:val="ListParagraph"/>
        <w:numPr>
          <w:ilvl w:val="2"/>
          <w:numId w:val="4"/>
        </w:numPr>
        <w:ind w:left="1440"/>
        <w:jc w:val="both"/>
        <w:rPr>
          <w:rFonts w:eastAsia="Times New Roman"/>
          <w:b/>
          <w:lang w:val="es-US" w:eastAsia="es-ES"/>
        </w:rPr>
      </w:pPr>
      <w:r w:rsidRPr="00282A68">
        <w:rPr>
          <w:b/>
          <w:bCs/>
          <w:lang w:val="es-US"/>
        </w:rPr>
        <w:t>Desarrollos relativos al marco normativo</w:t>
      </w:r>
      <w:r w:rsidR="008C43BD" w:rsidRPr="00282A68">
        <w:rPr>
          <w:b/>
          <w:bCs/>
          <w:lang w:val="es-US"/>
        </w:rPr>
        <w:t>.</w:t>
      </w:r>
    </w:p>
    <w:p w14:paraId="29948F0C" w14:textId="77777777" w:rsidR="00994590" w:rsidRPr="00282A68" w:rsidRDefault="00994590" w:rsidP="00994590">
      <w:pPr>
        <w:pStyle w:val="ListParagraph"/>
        <w:ind w:left="10"/>
        <w:jc w:val="both"/>
        <w:rPr>
          <w:rFonts w:eastAsiaTheme="minorHAnsi"/>
          <w:bCs/>
          <w:iCs/>
          <w:lang w:val="es-US"/>
        </w:rPr>
      </w:pPr>
    </w:p>
    <w:p w14:paraId="3FC452EF" w14:textId="286B5641" w:rsidR="00A30424" w:rsidRPr="00282A68" w:rsidRDefault="00352C94" w:rsidP="008C43BD">
      <w:pPr>
        <w:pStyle w:val="ListParagraph"/>
        <w:numPr>
          <w:ilvl w:val="0"/>
          <w:numId w:val="1"/>
        </w:numPr>
        <w:jc w:val="both"/>
        <w:rPr>
          <w:rFonts w:eastAsiaTheme="minorHAnsi"/>
          <w:bCs/>
          <w:iCs/>
          <w:lang w:val="es-US"/>
        </w:rPr>
      </w:pPr>
      <w:bookmarkStart w:id="20" w:name="_Hlk156471653"/>
      <w:r w:rsidRPr="00282A68">
        <w:rPr>
          <w:lang w:val="es-US"/>
        </w:rPr>
        <w:t>El Estado analizado señala que no tiene nada que informar sobre nuevos desarrollos respecto al marco normativo</w:t>
      </w:r>
      <w:bookmarkEnd w:id="20"/>
      <w:r w:rsidR="008C43BD" w:rsidRPr="00282A68">
        <w:rPr>
          <w:lang w:val="es-US"/>
        </w:rPr>
        <w:t>.</w:t>
      </w:r>
      <w:r w:rsidR="008C43BD" w:rsidRPr="00282A68">
        <w:rPr>
          <w:rStyle w:val="FootnoteReference"/>
          <w:lang w:val="es-US"/>
        </w:rPr>
        <w:footnoteReference w:id="105"/>
      </w:r>
    </w:p>
    <w:p w14:paraId="598965E0" w14:textId="77777777" w:rsidR="00802243" w:rsidRPr="00282A68" w:rsidRDefault="00802243" w:rsidP="00A30658">
      <w:pPr>
        <w:ind w:left="10"/>
        <w:jc w:val="both"/>
        <w:rPr>
          <w:rFonts w:eastAsiaTheme="minorHAnsi"/>
          <w:bCs/>
          <w:iCs/>
          <w:lang w:val="es-US"/>
        </w:rPr>
      </w:pPr>
    </w:p>
    <w:p w14:paraId="4B0FDC6B" w14:textId="43A778D5" w:rsidR="008C43BD" w:rsidRPr="00282A68" w:rsidRDefault="00E74602" w:rsidP="008C43BD">
      <w:pPr>
        <w:pStyle w:val="ListParagraph"/>
        <w:numPr>
          <w:ilvl w:val="2"/>
          <w:numId w:val="4"/>
        </w:numPr>
        <w:ind w:left="1440"/>
        <w:jc w:val="both"/>
        <w:rPr>
          <w:b/>
          <w:u w:color="000000"/>
          <w:lang w:val="es-US"/>
        </w:rPr>
      </w:pPr>
      <w:r w:rsidRPr="00282A68">
        <w:rPr>
          <w:b/>
          <w:bCs/>
          <w:iCs/>
          <w:lang w:val="es-US"/>
        </w:rPr>
        <w:t>Desarrollos nuevos relativos a aspectos tecnológicos</w:t>
      </w:r>
      <w:r w:rsidR="008C43BD" w:rsidRPr="00282A68">
        <w:rPr>
          <w:b/>
          <w:u w:color="000000"/>
          <w:lang w:val="es-US"/>
        </w:rPr>
        <w:t xml:space="preserve">. </w:t>
      </w:r>
    </w:p>
    <w:p w14:paraId="214697E2" w14:textId="77777777" w:rsidR="008C43BD" w:rsidRPr="00282A68" w:rsidRDefault="008C43BD" w:rsidP="008C43BD">
      <w:pPr>
        <w:jc w:val="both"/>
        <w:rPr>
          <w:b/>
          <w:sz w:val="22"/>
          <w:szCs w:val="22"/>
          <w:u w:color="000000"/>
          <w:lang w:val="es-US"/>
        </w:rPr>
      </w:pPr>
    </w:p>
    <w:p w14:paraId="66D808F2" w14:textId="5C54BC1C" w:rsidR="008C43BD" w:rsidRPr="00282A68" w:rsidRDefault="00352C94" w:rsidP="008C43BD">
      <w:pPr>
        <w:pStyle w:val="ListParagraph"/>
        <w:numPr>
          <w:ilvl w:val="0"/>
          <w:numId w:val="1"/>
        </w:numPr>
        <w:jc w:val="both"/>
        <w:rPr>
          <w:lang w:val="es-US"/>
        </w:rPr>
      </w:pPr>
      <w:bookmarkStart w:id="21" w:name="_Hlk156471673"/>
      <w:r w:rsidRPr="00282A68">
        <w:rPr>
          <w:lang w:val="es-US"/>
        </w:rPr>
        <w:t>El Estado analizado señala que no tiene nada que informar sobre nuevos desarrollos respecto a aspectos tecnológicos</w:t>
      </w:r>
      <w:bookmarkEnd w:id="21"/>
      <w:r w:rsidR="008C43BD" w:rsidRPr="00282A68">
        <w:rPr>
          <w:lang w:val="es-US"/>
        </w:rPr>
        <w:t>.</w:t>
      </w:r>
      <w:r w:rsidR="008C43BD" w:rsidRPr="00282A68">
        <w:rPr>
          <w:rStyle w:val="FootnoteReference"/>
          <w:lang w:val="es-US"/>
        </w:rPr>
        <w:footnoteReference w:id="106"/>
      </w:r>
    </w:p>
    <w:p w14:paraId="181DD20C" w14:textId="77777777" w:rsidR="008C43BD" w:rsidRPr="00282A68" w:rsidRDefault="008C43BD" w:rsidP="00A30658">
      <w:pPr>
        <w:ind w:left="10"/>
        <w:jc w:val="both"/>
        <w:rPr>
          <w:rFonts w:eastAsiaTheme="minorHAnsi"/>
          <w:bCs/>
          <w:iCs/>
          <w:lang w:val="es-US"/>
        </w:rPr>
      </w:pPr>
    </w:p>
    <w:p w14:paraId="4E415941" w14:textId="203513E6" w:rsidR="008C43BD" w:rsidRPr="00282A68" w:rsidRDefault="00352C94" w:rsidP="008C43BD">
      <w:pPr>
        <w:pStyle w:val="ListParagraph"/>
        <w:numPr>
          <w:ilvl w:val="1"/>
          <w:numId w:val="4"/>
        </w:numPr>
        <w:jc w:val="both"/>
        <w:rPr>
          <w:b/>
          <w:lang w:val="es-US" w:eastAsia="es-ES"/>
        </w:rPr>
      </w:pPr>
      <w:r w:rsidRPr="00282A68">
        <w:rPr>
          <w:b/>
          <w:bCs/>
          <w:iCs/>
          <w:lang w:val="es-US"/>
        </w:rPr>
        <w:t>Resultados</w:t>
      </w:r>
      <w:r w:rsidR="008C43BD" w:rsidRPr="00282A68">
        <w:rPr>
          <w:b/>
          <w:iCs/>
          <w:lang w:val="es-US" w:eastAsia="es-ES"/>
        </w:rPr>
        <w:t>.</w:t>
      </w:r>
    </w:p>
    <w:p w14:paraId="3408B978" w14:textId="77777777" w:rsidR="008C43BD" w:rsidRPr="00282A68" w:rsidRDefault="008C43BD" w:rsidP="008C43BD">
      <w:pPr>
        <w:jc w:val="both"/>
        <w:rPr>
          <w:b/>
          <w:lang w:val="es-US" w:eastAsia="es-ES"/>
        </w:rPr>
      </w:pPr>
    </w:p>
    <w:p w14:paraId="51D965C1" w14:textId="6F6A0AAB" w:rsidR="008C43BD" w:rsidRPr="00282A68" w:rsidRDefault="00E77CE5" w:rsidP="008C43BD">
      <w:pPr>
        <w:pStyle w:val="ListParagraph"/>
        <w:numPr>
          <w:ilvl w:val="0"/>
          <w:numId w:val="1"/>
        </w:numPr>
        <w:jc w:val="both"/>
        <w:rPr>
          <w:rFonts w:eastAsiaTheme="minorHAnsi"/>
          <w:bCs/>
          <w:iCs/>
          <w:lang w:val="es-US"/>
        </w:rPr>
      </w:pPr>
      <w:r w:rsidRPr="00282A68">
        <w:rPr>
          <w:rFonts w:eastAsiaTheme="minorHAnsi"/>
          <w:bCs/>
          <w:iCs/>
          <w:lang w:val="es-US"/>
        </w:rPr>
        <w:t>En su Respuesta al cuestionario, el Estado analizado señaló que no tenía nada que informar</w:t>
      </w:r>
      <w:r w:rsidR="008C43BD" w:rsidRPr="00282A68">
        <w:rPr>
          <w:rFonts w:eastAsiaTheme="minorHAnsi"/>
          <w:bCs/>
          <w:iCs/>
          <w:lang w:val="es-US"/>
        </w:rPr>
        <w:t>.</w:t>
      </w:r>
      <w:r w:rsidR="008C43BD" w:rsidRPr="00282A68">
        <w:rPr>
          <w:rStyle w:val="FootnoteReference"/>
          <w:rFonts w:eastAsiaTheme="minorHAnsi"/>
          <w:bCs/>
          <w:iCs/>
          <w:lang w:val="es-US"/>
        </w:rPr>
        <w:footnoteReference w:id="107"/>
      </w:r>
    </w:p>
    <w:p w14:paraId="7B59A2FA" w14:textId="77777777" w:rsidR="008C43BD" w:rsidRPr="00282A68" w:rsidRDefault="008C43BD" w:rsidP="008C43BD">
      <w:pPr>
        <w:pStyle w:val="ListParagraph"/>
        <w:ind w:left="10"/>
        <w:jc w:val="both"/>
        <w:rPr>
          <w:rFonts w:eastAsiaTheme="minorHAnsi"/>
          <w:bCs/>
          <w:iCs/>
          <w:lang w:val="es-US"/>
        </w:rPr>
      </w:pPr>
    </w:p>
    <w:p w14:paraId="5B1447C8" w14:textId="5DE9F043" w:rsidR="00F80692" w:rsidRPr="005B0F18" w:rsidRDefault="000E4387" w:rsidP="00F80692">
      <w:pPr>
        <w:pStyle w:val="ListParagraph"/>
        <w:numPr>
          <w:ilvl w:val="0"/>
          <w:numId w:val="1"/>
        </w:numPr>
        <w:jc w:val="both"/>
        <w:rPr>
          <w:rFonts w:eastAsiaTheme="minorHAnsi"/>
          <w:bCs/>
          <w:iCs/>
          <w:lang w:val="es-US"/>
        </w:rPr>
      </w:pPr>
      <w:r w:rsidRPr="005B0F18">
        <w:rPr>
          <w:rFonts w:eastAsiaTheme="minorHAnsi"/>
          <w:bCs/>
          <w:iCs/>
          <w:lang w:val="es-US"/>
        </w:rPr>
        <w:t>Sin embargo, durante la visita in situ, el representante de la SEC y del Departamento de Justicia señal</w:t>
      </w:r>
      <w:r w:rsidR="009163FC" w:rsidRPr="005B0F18">
        <w:rPr>
          <w:rFonts w:eastAsiaTheme="minorHAnsi"/>
          <w:bCs/>
          <w:iCs/>
          <w:lang w:val="es-US"/>
        </w:rPr>
        <w:t>aron</w:t>
      </w:r>
      <w:r w:rsidRPr="005B0F18">
        <w:rPr>
          <w:rFonts w:eastAsiaTheme="minorHAnsi"/>
          <w:bCs/>
          <w:iCs/>
          <w:lang w:val="es-US"/>
        </w:rPr>
        <w:t xml:space="preserve"> que sí publican en línea los resultados de sus acciones de aplicación y enjuiciamientos. A este respecto, el Comité toma nota de los resultados de las acciones de aplicación de la FCPA de la SEC que se expusieron en la sección 2.3, relativa a los resultados del Capítulo sobre el Párrafo 10 del Artículo III, de la Convención, Prevención del soborno de funcionarios públicos nacionales y extranjeros</w:t>
      </w:r>
      <w:r w:rsidR="008C43BD" w:rsidRPr="005B0F18">
        <w:rPr>
          <w:rFonts w:eastAsiaTheme="minorHAnsi"/>
          <w:bCs/>
          <w:iCs/>
          <w:lang w:val="es-US"/>
        </w:rPr>
        <w:t>.</w:t>
      </w:r>
      <w:r w:rsidR="008C43BD" w:rsidRPr="005B0F18">
        <w:rPr>
          <w:rStyle w:val="FootnoteReference"/>
          <w:rFonts w:eastAsiaTheme="minorHAnsi"/>
          <w:bCs/>
          <w:iCs/>
          <w:lang w:val="es-US"/>
        </w:rPr>
        <w:footnoteReference w:id="108"/>
      </w:r>
    </w:p>
    <w:p w14:paraId="7F907621" w14:textId="77777777" w:rsidR="00084665" w:rsidRPr="005B0F18" w:rsidRDefault="00084665" w:rsidP="008C43BD">
      <w:pPr>
        <w:pStyle w:val="ListParagraph"/>
        <w:rPr>
          <w:rFonts w:eastAsiaTheme="minorHAnsi"/>
          <w:bCs/>
          <w:iCs/>
          <w:lang w:val="es-US"/>
        </w:rPr>
      </w:pPr>
    </w:p>
    <w:p w14:paraId="32080A18" w14:textId="4D233E8F" w:rsidR="00A66642" w:rsidRPr="005B0F18" w:rsidRDefault="005E6964" w:rsidP="00A66642">
      <w:pPr>
        <w:pStyle w:val="ListParagraph"/>
        <w:numPr>
          <w:ilvl w:val="0"/>
          <w:numId w:val="1"/>
        </w:numPr>
        <w:jc w:val="both"/>
        <w:rPr>
          <w:rFonts w:eastAsiaTheme="minorHAnsi"/>
          <w:bCs/>
          <w:iCs/>
          <w:lang w:val="es-US"/>
        </w:rPr>
      </w:pPr>
      <w:r w:rsidRPr="005B0F18">
        <w:rPr>
          <w:rFonts w:eastAsiaTheme="minorHAnsi"/>
          <w:bCs/>
          <w:iCs/>
          <w:lang w:val="es-US"/>
        </w:rPr>
        <w:t>En cuanto a los resultados que mantiene el Departamento de Justicia, se señaló que su sección de Fraude de la División Penal publica anualmente un resumen del año (</w:t>
      </w:r>
      <w:proofErr w:type="spellStart"/>
      <w:r w:rsidRPr="005B0F18">
        <w:rPr>
          <w:rFonts w:eastAsiaTheme="minorHAnsi"/>
          <w:bCs/>
          <w:iCs/>
          <w:lang w:val="es-US"/>
        </w:rPr>
        <w:t>Year</w:t>
      </w:r>
      <w:proofErr w:type="spellEnd"/>
      <w:r w:rsidRPr="005B0F18">
        <w:rPr>
          <w:rFonts w:eastAsiaTheme="minorHAnsi"/>
          <w:bCs/>
          <w:iCs/>
          <w:lang w:val="es-US"/>
        </w:rPr>
        <w:t xml:space="preserve"> in </w:t>
      </w:r>
      <w:proofErr w:type="spellStart"/>
      <w:r w:rsidRPr="005B0F18">
        <w:rPr>
          <w:rFonts w:eastAsiaTheme="minorHAnsi"/>
          <w:bCs/>
          <w:iCs/>
          <w:lang w:val="es-US"/>
        </w:rPr>
        <w:t>Review</w:t>
      </w:r>
      <w:proofErr w:type="spellEnd"/>
      <w:r w:rsidRPr="005B0F18">
        <w:rPr>
          <w:rFonts w:eastAsiaTheme="minorHAnsi"/>
          <w:bCs/>
          <w:iCs/>
          <w:lang w:val="es-US"/>
        </w:rPr>
        <w:t>) de la Sección de Fraude sobre el trabajo realizado, que incluye el de la Unidad de la FCPA</w:t>
      </w:r>
      <w:r w:rsidRPr="005B0F18">
        <w:rPr>
          <w:rFonts w:eastAsiaTheme="minorHAnsi"/>
          <w:bCs/>
          <w:iCs/>
          <w:vertAlign w:val="superscript"/>
          <w:lang w:val="es-US"/>
        </w:rPr>
        <w:footnoteReference w:id="109"/>
      </w:r>
      <w:r w:rsidRPr="005B0F18">
        <w:rPr>
          <w:rFonts w:eastAsiaTheme="minorHAnsi"/>
          <w:bCs/>
          <w:iCs/>
          <w:lang w:val="es-US"/>
        </w:rPr>
        <w:t>. El informe publicado más reciente corresponde al año 2022</w:t>
      </w:r>
      <w:r w:rsidR="00A66642" w:rsidRPr="005B0F18">
        <w:rPr>
          <w:rFonts w:eastAsiaTheme="minorHAnsi"/>
          <w:bCs/>
          <w:iCs/>
          <w:lang w:val="es-US"/>
        </w:rPr>
        <w:t>.</w:t>
      </w:r>
      <w:r w:rsidR="00A66642" w:rsidRPr="005B0F18">
        <w:rPr>
          <w:rStyle w:val="FootnoteReference"/>
          <w:rFonts w:eastAsiaTheme="minorHAnsi"/>
          <w:bCs/>
          <w:iCs/>
          <w:lang w:val="es-US"/>
        </w:rPr>
        <w:footnoteReference w:id="110"/>
      </w:r>
      <w:r w:rsidR="00A66642" w:rsidRPr="005B0F18">
        <w:rPr>
          <w:rFonts w:eastAsiaTheme="minorHAnsi"/>
          <w:bCs/>
          <w:iCs/>
          <w:lang w:val="es-US"/>
        </w:rPr>
        <w:t xml:space="preserve"> </w:t>
      </w:r>
    </w:p>
    <w:p w14:paraId="4725B9D6" w14:textId="77777777" w:rsidR="00A66642" w:rsidRPr="005B0F18" w:rsidRDefault="00A66642" w:rsidP="00A66642">
      <w:pPr>
        <w:pStyle w:val="ListParagraph"/>
        <w:ind w:left="10"/>
        <w:jc w:val="both"/>
        <w:rPr>
          <w:rFonts w:eastAsiaTheme="minorHAnsi"/>
          <w:bCs/>
          <w:iCs/>
          <w:lang w:val="es-US"/>
        </w:rPr>
      </w:pPr>
    </w:p>
    <w:p w14:paraId="7DA1DC8C" w14:textId="7B1DED03" w:rsidR="00A66642" w:rsidRPr="005B0F18" w:rsidRDefault="001B23F3" w:rsidP="00A66642">
      <w:pPr>
        <w:pStyle w:val="ListParagraph"/>
        <w:numPr>
          <w:ilvl w:val="0"/>
          <w:numId w:val="1"/>
        </w:numPr>
        <w:jc w:val="both"/>
        <w:rPr>
          <w:rFonts w:eastAsiaTheme="minorHAnsi"/>
          <w:bCs/>
          <w:iCs/>
          <w:lang w:val="es-US"/>
        </w:rPr>
      </w:pPr>
      <w:r w:rsidRPr="005B0F18">
        <w:rPr>
          <w:rFonts w:eastAsiaTheme="minorHAnsi"/>
          <w:bCs/>
          <w:iCs/>
          <w:lang w:val="es-US"/>
        </w:rPr>
        <w:t>A este respecto, el resumen indicó que la Unidad de la FCPA acusó a 22 individuos y condenó a 18, de los cuales 15 se declararon culpables y 3 fueron condenados en juicio</w:t>
      </w:r>
      <w:r w:rsidRPr="005B0F18">
        <w:rPr>
          <w:rFonts w:eastAsiaTheme="minorHAnsi"/>
          <w:bCs/>
          <w:iCs/>
          <w:vertAlign w:val="superscript"/>
          <w:lang w:val="es-US"/>
        </w:rPr>
        <w:footnoteReference w:id="111"/>
      </w:r>
      <w:r w:rsidRPr="005B0F18">
        <w:rPr>
          <w:rFonts w:eastAsiaTheme="minorHAnsi"/>
          <w:bCs/>
          <w:iCs/>
          <w:lang w:val="es-US"/>
        </w:rPr>
        <w:t>. También señaló que hubo 5 resoluciones corporativas por las que se impusieron multas de más de 1.360 millones de dólares con respecto a los montos monetarios globales totales, más de 859,6 millones de dólares con respecto a los montos monetarios totales de Estados Unidos y más de 606,5 millones de dólares con respecto a los montos monetarios penales totales de Estados Unidos</w:t>
      </w:r>
      <w:r w:rsidR="00E71351" w:rsidRPr="005B0F18">
        <w:rPr>
          <w:rFonts w:eastAsiaTheme="minorHAnsi"/>
          <w:bCs/>
          <w:iCs/>
          <w:lang w:val="es-US"/>
        </w:rPr>
        <w:t>.</w:t>
      </w:r>
      <w:r w:rsidR="00E71351" w:rsidRPr="005B0F18">
        <w:rPr>
          <w:rStyle w:val="FootnoteReference"/>
          <w:rFonts w:eastAsiaTheme="minorHAnsi"/>
          <w:bCs/>
          <w:iCs/>
          <w:lang w:val="es-US"/>
        </w:rPr>
        <w:footnoteReference w:id="112"/>
      </w:r>
    </w:p>
    <w:p w14:paraId="63C892D6" w14:textId="77777777" w:rsidR="00974D56" w:rsidRPr="005B0F18" w:rsidRDefault="00974D56" w:rsidP="00974D56">
      <w:pPr>
        <w:pStyle w:val="ListParagraph"/>
        <w:rPr>
          <w:rFonts w:eastAsiaTheme="minorHAnsi"/>
          <w:bCs/>
          <w:iCs/>
          <w:lang w:val="es-US"/>
        </w:rPr>
      </w:pPr>
    </w:p>
    <w:p w14:paraId="304AB18F" w14:textId="3DB950EA" w:rsidR="003D1E8F" w:rsidRPr="005B0F18" w:rsidRDefault="00104C35" w:rsidP="003D1E8F">
      <w:pPr>
        <w:pStyle w:val="ListParagraph"/>
        <w:numPr>
          <w:ilvl w:val="0"/>
          <w:numId w:val="1"/>
        </w:numPr>
        <w:jc w:val="both"/>
        <w:rPr>
          <w:rFonts w:eastAsiaTheme="minorHAnsi"/>
          <w:bCs/>
          <w:iCs/>
          <w:lang w:val="es-US"/>
        </w:rPr>
      </w:pPr>
      <w:r w:rsidRPr="005B0F18">
        <w:rPr>
          <w:rFonts w:eastAsiaTheme="minorHAnsi"/>
          <w:bCs/>
          <w:iCs/>
          <w:lang w:val="es-US"/>
        </w:rPr>
        <w:t>El resumen también proporciona información detallada sobre resoluciones empresariales significativas declinaciones de la política de aplicación empresarial juicios, declaraciones de culpabilidad y sentencias significativas y acusaciones y declaraciones de culpabilidad individuales significativas</w:t>
      </w:r>
      <w:r w:rsidR="003D1E8F" w:rsidRPr="005B0F18">
        <w:rPr>
          <w:rStyle w:val="FootnoteReference"/>
          <w:rFonts w:eastAsiaTheme="minorHAnsi"/>
          <w:bCs/>
          <w:iCs/>
          <w:lang w:val="es-US"/>
        </w:rPr>
        <w:footnoteReference w:id="113"/>
      </w:r>
      <w:r w:rsidR="0021192D" w:rsidRPr="005B0F18">
        <w:rPr>
          <w:rFonts w:eastAsiaTheme="minorHAnsi"/>
          <w:bCs/>
          <w:iCs/>
          <w:lang w:val="es-US"/>
        </w:rPr>
        <w:t>.</w:t>
      </w:r>
      <w:r w:rsidR="00974D56" w:rsidRPr="005B0F18">
        <w:rPr>
          <w:rFonts w:eastAsiaTheme="minorHAnsi"/>
          <w:bCs/>
          <w:iCs/>
          <w:lang w:val="es-US"/>
        </w:rPr>
        <w:t xml:space="preserve">  </w:t>
      </w:r>
    </w:p>
    <w:p w14:paraId="3C8A8C66" w14:textId="77777777" w:rsidR="003D1E8F" w:rsidRPr="005B0F18" w:rsidRDefault="003D1E8F" w:rsidP="003D1E8F">
      <w:pPr>
        <w:pStyle w:val="ListParagraph"/>
        <w:rPr>
          <w:rFonts w:eastAsiaTheme="minorHAnsi"/>
          <w:bCs/>
          <w:iCs/>
          <w:lang w:val="es-US"/>
        </w:rPr>
      </w:pPr>
    </w:p>
    <w:p w14:paraId="09421EDF" w14:textId="29334A62" w:rsidR="008C43BD" w:rsidRPr="005B0F18" w:rsidRDefault="0021192D" w:rsidP="003D1E8F">
      <w:pPr>
        <w:pStyle w:val="ListParagraph"/>
        <w:numPr>
          <w:ilvl w:val="0"/>
          <w:numId w:val="1"/>
        </w:numPr>
        <w:jc w:val="both"/>
        <w:rPr>
          <w:rFonts w:eastAsiaTheme="minorHAnsi"/>
          <w:bCs/>
          <w:iCs/>
          <w:lang w:val="es-US"/>
        </w:rPr>
      </w:pPr>
      <w:r w:rsidRPr="005B0F18">
        <w:rPr>
          <w:rFonts w:eastAsiaTheme="minorHAnsi"/>
          <w:bCs/>
          <w:iCs/>
          <w:lang w:val="es-US"/>
        </w:rPr>
        <w:t>Además, la Sección de Fraude mantiene un sitio web sobre la FCPA</w:t>
      </w:r>
      <w:r w:rsidR="00995DFC" w:rsidRPr="005B0F18">
        <w:rPr>
          <w:rStyle w:val="FootnoteReference"/>
          <w:rFonts w:eastAsiaTheme="minorHAnsi"/>
          <w:bCs/>
          <w:iCs/>
          <w:lang w:val="es-US"/>
        </w:rPr>
        <w:footnoteReference w:id="114"/>
      </w:r>
      <w:r w:rsidRPr="005B0F18">
        <w:rPr>
          <w:rFonts w:eastAsiaTheme="minorHAnsi"/>
          <w:bCs/>
          <w:iCs/>
          <w:lang w:val="es-US"/>
        </w:rPr>
        <w:t>,</w:t>
      </w:r>
      <w:r w:rsidR="00995DFC" w:rsidRPr="005B0F18">
        <w:rPr>
          <w:rFonts w:eastAsiaTheme="minorHAnsi"/>
          <w:bCs/>
          <w:iCs/>
          <w:lang w:val="es-US"/>
        </w:rPr>
        <w:t xml:space="preserve"> </w:t>
      </w:r>
      <w:r w:rsidR="00786BB4" w:rsidRPr="005B0F18">
        <w:rPr>
          <w:rFonts w:eastAsiaTheme="minorHAnsi"/>
          <w:bCs/>
          <w:iCs/>
          <w:lang w:val="es-US"/>
        </w:rPr>
        <w:t>que incluye las acciones de aplicación de la FCPA. Estas acciones de aplicación se enumeran tanto alfabéticamente como cronológicamente y también se pueden consultar por acciones de aplicación corporativas o acciones de aplicación individuales</w:t>
      </w:r>
      <w:r w:rsidR="00995DFC" w:rsidRPr="005B0F18">
        <w:rPr>
          <w:rStyle w:val="FootnoteReference"/>
          <w:rFonts w:eastAsiaTheme="minorHAnsi"/>
          <w:bCs/>
          <w:iCs/>
          <w:lang w:val="es-US"/>
        </w:rPr>
        <w:footnoteReference w:id="115"/>
      </w:r>
      <w:r w:rsidR="00786BB4" w:rsidRPr="005B0F18">
        <w:rPr>
          <w:rFonts w:eastAsiaTheme="minorHAnsi"/>
          <w:bCs/>
          <w:iCs/>
          <w:lang w:val="es-US"/>
        </w:rPr>
        <w:t>.</w:t>
      </w:r>
    </w:p>
    <w:p w14:paraId="249DB8B5" w14:textId="77777777" w:rsidR="00995DFC" w:rsidRPr="005B0F18" w:rsidRDefault="00995DFC" w:rsidP="00995DFC">
      <w:pPr>
        <w:pStyle w:val="ListParagraph"/>
        <w:ind w:left="10"/>
        <w:jc w:val="both"/>
        <w:rPr>
          <w:rFonts w:eastAsiaTheme="minorHAnsi"/>
          <w:bCs/>
          <w:iCs/>
          <w:lang w:val="es-US"/>
        </w:rPr>
      </w:pPr>
    </w:p>
    <w:p w14:paraId="219F1FBE" w14:textId="77777777" w:rsidR="00BD252E" w:rsidRDefault="00BD252E" w:rsidP="00BD252E">
      <w:pPr>
        <w:pStyle w:val="ListParagraph"/>
        <w:numPr>
          <w:ilvl w:val="0"/>
          <w:numId w:val="1"/>
        </w:numPr>
        <w:jc w:val="both"/>
        <w:rPr>
          <w:lang w:val="es-US"/>
        </w:rPr>
      </w:pPr>
      <w:r w:rsidRPr="005B0F18">
        <w:rPr>
          <w:rFonts w:eastAsia="Times New Roman"/>
          <w:bCs/>
          <w:iCs/>
          <w:lang w:val="es-US"/>
        </w:rPr>
        <w:t>A este respecto, el Comité reconoce los esfuerzos del Estado analizado por hacer cumplir la FCPA.</w:t>
      </w:r>
      <w:r w:rsidRPr="005B0F18">
        <w:rPr>
          <w:lang w:val="es-US"/>
        </w:rPr>
        <w:t xml:space="preserve"> </w:t>
      </w:r>
    </w:p>
    <w:p w14:paraId="365723DD" w14:textId="77777777" w:rsidR="006077BB" w:rsidRPr="006077BB" w:rsidRDefault="006077BB" w:rsidP="006077BB">
      <w:pPr>
        <w:pStyle w:val="ListParagraph"/>
        <w:rPr>
          <w:lang w:val="es-US"/>
        </w:rPr>
      </w:pPr>
    </w:p>
    <w:p w14:paraId="73C4D897" w14:textId="60C45101" w:rsidR="006077BB" w:rsidRDefault="006077BB" w:rsidP="006077BB">
      <w:pPr>
        <w:pStyle w:val="ListParagraph"/>
        <w:numPr>
          <w:ilvl w:val="0"/>
          <w:numId w:val="1"/>
        </w:numPr>
        <w:jc w:val="both"/>
        <w:rPr>
          <w:lang w:val="es-US"/>
        </w:rPr>
      </w:pPr>
      <w:r>
        <w:rPr>
          <w:color w:val="000000"/>
          <w:lang w:val="es-ES_tradnl"/>
        </w:rPr>
        <w:t xml:space="preserve">El Comité </w:t>
      </w:r>
      <w:r w:rsidR="00DA7EAC">
        <w:rPr>
          <w:color w:val="000000"/>
          <w:lang w:val="es-ES_tradnl"/>
        </w:rPr>
        <w:t xml:space="preserve">también </w:t>
      </w:r>
      <w:r>
        <w:rPr>
          <w:color w:val="000000"/>
          <w:lang w:val="es-ES_tradnl"/>
        </w:rPr>
        <w:t>toma nota que</w:t>
      </w:r>
      <w:r>
        <w:rPr>
          <w:rFonts w:hint="eastAsia"/>
          <w:color w:val="000000"/>
          <w:lang w:val="es-ES_tradnl"/>
        </w:rPr>
        <w:t xml:space="preserve"> el Estado analizado observa que, debido a la existencia de otros instrumentos disponibles, Estados Unidos rara vez formula o recibe solicitudes de asistencia mutua en materia penal o extradición con base en la Convención Interamericana contra la Corrupción. Normalmente, la asistencia en asuntos relacionados con corrupción se solicita con base en tratados bilaterales, la Convención de las Naciones Unidas contra la Corrupción o la Convención para combatir el cohecho de la Organización para la Cooperación y el Desarrollo Económicos.</w:t>
      </w:r>
    </w:p>
    <w:p w14:paraId="709177D0" w14:textId="77777777" w:rsidR="00BD252E" w:rsidRPr="00DA7EAC" w:rsidRDefault="00BD252E" w:rsidP="00DA7EAC">
      <w:pPr>
        <w:rPr>
          <w:bCs/>
          <w:iCs/>
          <w:lang w:val="es-US"/>
        </w:rPr>
      </w:pPr>
    </w:p>
    <w:p w14:paraId="5CAAFFD5" w14:textId="35C4548A" w:rsidR="00BB60E0" w:rsidRPr="004F1924" w:rsidRDefault="00BD252E" w:rsidP="004F1924">
      <w:pPr>
        <w:pStyle w:val="ListParagraph"/>
        <w:numPr>
          <w:ilvl w:val="0"/>
          <w:numId w:val="1"/>
        </w:numPr>
        <w:jc w:val="both"/>
        <w:rPr>
          <w:b/>
          <w:bCs/>
          <w:color w:val="000000"/>
          <w:lang w:val="es-ES"/>
        </w:rPr>
      </w:pPr>
      <w:r w:rsidRPr="005B0F18">
        <w:rPr>
          <w:rFonts w:eastAsia="Times New Roman"/>
          <w:bCs/>
          <w:iCs/>
          <w:lang w:val="es-US"/>
        </w:rPr>
        <w:t xml:space="preserve">Sin embargo, el Comité toma nota de que, durante la visita in situ, el Estado analizado expuso las dificultades para mantener resultados con respecto a la asistencia y cooperación prestadas a otros Estados Miembros en materia de soborno transnacional. Representantes de la Oficina de Asuntos Internacionales </w:t>
      </w:r>
      <w:r w:rsidR="005B5F67" w:rsidRPr="00B10962">
        <w:rPr>
          <w:rFonts w:eastAsia="Times New Roman"/>
          <w:bCs/>
          <w:iCs/>
          <w:lang w:val="es-US"/>
        </w:rPr>
        <w:t>(OIA)</w:t>
      </w:r>
      <w:r w:rsidR="005B5F67" w:rsidRPr="005B5F67">
        <w:rPr>
          <w:rFonts w:eastAsia="Times New Roman"/>
          <w:bCs/>
          <w:iCs/>
          <w:lang w:val="es-US"/>
        </w:rPr>
        <w:t xml:space="preserve"> </w:t>
      </w:r>
      <w:r w:rsidRPr="005B0F18">
        <w:rPr>
          <w:rFonts w:eastAsia="Times New Roman"/>
          <w:bCs/>
          <w:iCs/>
          <w:lang w:val="es-US"/>
        </w:rPr>
        <w:t xml:space="preserve">del Departamento de Justicia </w:t>
      </w:r>
      <w:r w:rsidRPr="00B10962">
        <w:rPr>
          <w:rFonts w:eastAsia="Times New Roman"/>
          <w:bCs/>
          <w:iCs/>
          <w:lang w:val="es-US"/>
        </w:rPr>
        <w:t xml:space="preserve">señalaron </w:t>
      </w:r>
      <w:r w:rsidR="00536617" w:rsidRPr="00B10962">
        <w:rPr>
          <w:rFonts w:eastAsia="Times New Roman"/>
          <w:bCs/>
          <w:iCs/>
          <w:lang w:val="es-US"/>
        </w:rPr>
        <w:t>que no se hace un seguimiento de las solicitudes de asistencia mutua en materia penal en relación con casos de corrupción porque: (1)</w:t>
      </w:r>
      <w:r w:rsidR="00130FD3" w:rsidRPr="00B10962">
        <w:rPr>
          <w:rFonts w:eastAsia="Times New Roman"/>
          <w:bCs/>
          <w:iCs/>
          <w:lang w:val="es-US"/>
        </w:rPr>
        <w:t xml:space="preserve"> no existe ningún requisito legal </w:t>
      </w:r>
      <w:r w:rsidR="009E2143" w:rsidRPr="00B10962">
        <w:rPr>
          <w:rFonts w:eastAsia="Times New Roman"/>
          <w:bCs/>
          <w:iCs/>
          <w:lang w:val="es-US"/>
        </w:rPr>
        <w:t>para dicho seguimiento según la legislación nacional</w:t>
      </w:r>
      <w:r w:rsidR="00536617" w:rsidRPr="00B10962">
        <w:rPr>
          <w:rFonts w:eastAsia="Times New Roman"/>
          <w:bCs/>
          <w:iCs/>
          <w:lang w:val="es-US"/>
        </w:rPr>
        <w:t xml:space="preserve">, (2) este tipo de seguimiento exigiría recursos considerables, (3) no existe ninguna orientación específica sobre a qué se le debería dar seguimiento, lo cual daría lugar a estadísticas inexactas y (4) dichas estadísticas, especialmente si son inexactas, no serían indicativas de la asistencia que se haya prestado o recibido a través de solicitudes de asistencia mutua en materia penal. Con respecto a la inexactitud de las estadísticas, la Oficina de Auditoría Interna señaló, por ejemplo, que en muchos casos de corrupción se investigan delitos de fraude, declaraciones falsas y lavado de dinero, pero no todos los casos de fraude, declaraciones falsas o lavado de dinero se relacionan con corrupción y, por ende, una búsqueda en la base de datos de todas las solicitudes relativas a esos delitos daría lugar a estadísticas inexactas. Para identificar con cierta exactitud los casos de corrupción se requeriría un análisis manual caso por caso, para lo cual la Oficina de Auditoría Interna no dispone de </w:t>
      </w:r>
      <w:r w:rsidR="009E2143" w:rsidRPr="00B10962">
        <w:rPr>
          <w:rFonts w:eastAsia="Times New Roman"/>
          <w:bCs/>
          <w:iCs/>
          <w:lang w:val="es-US"/>
        </w:rPr>
        <w:t>recursos.</w:t>
      </w:r>
      <w:r w:rsidRPr="009E2143">
        <w:rPr>
          <w:rFonts w:eastAsia="Times New Roman"/>
          <w:bCs/>
          <w:iCs/>
          <w:lang w:val="es-US"/>
        </w:rPr>
        <w:t xml:space="preserve"> En consecuencia, no se pudieron proporcionar resultados sobre el número de solicitudes de asistencia y cooperación recibidas de los Estados Miembros de la Convención sobre este delito, ni sobre las solicitudes de asistencia y cooperación formuladas por el Estado analizado a los Estados Miembros de la Convención</w:t>
      </w:r>
      <w:r w:rsidR="004F1924">
        <w:rPr>
          <w:rFonts w:eastAsia="Times New Roman"/>
          <w:bCs/>
          <w:iCs/>
          <w:lang w:val="es-US"/>
        </w:rPr>
        <w:t>.</w:t>
      </w:r>
    </w:p>
    <w:p w14:paraId="52698947" w14:textId="77777777" w:rsidR="004F1924" w:rsidRPr="007D6A15" w:rsidRDefault="004F1924" w:rsidP="004F1924">
      <w:pPr>
        <w:pStyle w:val="ListParagraph"/>
        <w:ind w:left="10"/>
        <w:jc w:val="both"/>
        <w:rPr>
          <w:b/>
          <w:bCs/>
          <w:color w:val="000000"/>
          <w:lang w:val="es-ES"/>
        </w:rPr>
      </w:pPr>
    </w:p>
    <w:p w14:paraId="375CA680" w14:textId="42F9DD12" w:rsidR="00E64E36" w:rsidRDefault="00816515" w:rsidP="0045493C">
      <w:pPr>
        <w:pStyle w:val="ListParagraph"/>
        <w:numPr>
          <w:ilvl w:val="0"/>
          <w:numId w:val="1"/>
        </w:numPr>
        <w:jc w:val="both"/>
        <w:rPr>
          <w:rFonts w:eastAsiaTheme="minorHAnsi"/>
          <w:bCs/>
          <w:iCs/>
          <w:lang w:val="es-US"/>
        </w:rPr>
      </w:pPr>
      <w:r>
        <w:rPr>
          <w:rFonts w:eastAsiaTheme="minorHAnsi"/>
          <w:bCs/>
          <w:iCs/>
          <w:lang w:val="es-US"/>
        </w:rPr>
        <w:t>El</w:t>
      </w:r>
      <w:r w:rsidR="002301CE" w:rsidRPr="005B0F18">
        <w:rPr>
          <w:rFonts w:eastAsiaTheme="minorHAnsi"/>
          <w:bCs/>
          <w:iCs/>
          <w:lang w:val="es-US"/>
        </w:rPr>
        <w:t xml:space="preserve"> Comité </w:t>
      </w:r>
      <w:r w:rsidR="00E37673">
        <w:rPr>
          <w:rFonts w:eastAsiaTheme="minorHAnsi"/>
          <w:bCs/>
          <w:iCs/>
          <w:lang w:val="es-US"/>
        </w:rPr>
        <w:t>observa, sin embargo,</w:t>
      </w:r>
      <w:r w:rsidR="002301CE" w:rsidRPr="005B0F18">
        <w:rPr>
          <w:rFonts w:eastAsiaTheme="minorHAnsi"/>
          <w:bCs/>
          <w:iCs/>
          <w:lang w:val="es-US"/>
        </w:rPr>
        <w:t xml:space="preserve"> que el Estado analizado </w:t>
      </w:r>
      <w:r w:rsidR="00E37673">
        <w:rPr>
          <w:rFonts w:eastAsiaTheme="minorHAnsi"/>
          <w:bCs/>
          <w:iCs/>
          <w:lang w:val="es-US"/>
        </w:rPr>
        <w:t>ha podido realizar</w:t>
      </w:r>
      <w:r w:rsidR="002301CE" w:rsidRPr="005B0F18">
        <w:rPr>
          <w:rFonts w:eastAsiaTheme="minorHAnsi"/>
          <w:bCs/>
          <w:iCs/>
          <w:lang w:val="es-US"/>
        </w:rPr>
        <w:t xml:space="preserve"> un seguimiento de la asistencia y la cooperación que se prestan o se solicitan en relación con delitos de corrupción o soborno, en particular los contemplados en la FCPA</w:t>
      </w:r>
      <w:r w:rsidR="009C19C1">
        <w:rPr>
          <w:rFonts w:eastAsiaTheme="minorHAnsi"/>
          <w:bCs/>
          <w:iCs/>
          <w:lang w:val="es-US"/>
        </w:rPr>
        <w:t>, en otros mecanismos internacionales anticorrupción</w:t>
      </w:r>
      <w:r w:rsidR="00BA0F95" w:rsidRPr="005B0F18">
        <w:rPr>
          <w:rStyle w:val="FootnoteReference"/>
          <w:lang w:val="es-US"/>
        </w:rPr>
        <w:footnoteReference w:id="116"/>
      </w:r>
      <w:r w:rsidR="009C19C1">
        <w:rPr>
          <w:rFonts w:eastAsiaTheme="minorHAnsi"/>
          <w:bCs/>
          <w:iCs/>
          <w:lang w:val="es-US"/>
        </w:rPr>
        <w:t>.</w:t>
      </w:r>
    </w:p>
    <w:p w14:paraId="089B9CED" w14:textId="77777777" w:rsidR="00DA3443" w:rsidRPr="00DA3443" w:rsidRDefault="00DA3443" w:rsidP="00DA3443">
      <w:pPr>
        <w:pStyle w:val="ListParagraph"/>
        <w:rPr>
          <w:rFonts w:eastAsiaTheme="minorHAnsi"/>
          <w:bCs/>
          <w:iCs/>
          <w:lang w:val="es-US"/>
        </w:rPr>
      </w:pPr>
    </w:p>
    <w:p w14:paraId="10566094" w14:textId="51F8637A" w:rsidR="00E64E36" w:rsidRDefault="00EF68B9" w:rsidP="0045493C">
      <w:pPr>
        <w:pStyle w:val="ListParagraph"/>
        <w:numPr>
          <w:ilvl w:val="0"/>
          <w:numId w:val="1"/>
        </w:numPr>
        <w:jc w:val="both"/>
        <w:rPr>
          <w:rFonts w:eastAsiaTheme="minorHAnsi"/>
          <w:bCs/>
          <w:iCs/>
          <w:lang w:val="es-US"/>
        </w:rPr>
      </w:pPr>
      <w:r w:rsidRPr="005B0F18">
        <w:rPr>
          <w:rFonts w:eastAsiaTheme="minorHAnsi"/>
          <w:bCs/>
          <w:iCs/>
          <w:lang w:val="es-US"/>
        </w:rPr>
        <w:t xml:space="preserve">En vista de lo anterior, el Comité estima que el Estado analizado debería considerar la posibilidad de </w:t>
      </w:r>
      <w:r w:rsidR="008F32B7">
        <w:rPr>
          <w:rFonts w:eastAsiaTheme="minorHAnsi"/>
          <w:b/>
          <w:iCs/>
          <w:u w:val="single"/>
          <w:lang w:val="es-US"/>
        </w:rPr>
        <w:t xml:space="preserve">recopilar </w:t>
      </w:r>
      <w:r w:rsidR="003170D5">
        <w:rPr>
          <w:rFonts w:eastAsiaTheme="minorHAnsi"/>
          <w:b/>
          <w:iCs/>
          <w:u w:val="single"/>
          <w:lang w:val="es-US"/>
        </w:rPr>
        <w:t>estadísticas</w:t>
      </w:r>
      <w:r w:rsidRPr="005B0F18">
        <w:rPr>
          <w:rFonts w:eastAsiaTheme="minorHAnsi"/>
          <w:bCs/>
          <w:iCs/>
          <w:lang w:val="es-US"/>
        </w:rPr>
        <w:t xml:space="preserve"> sobre el número de solicitudes de asistencia y cooperación que reciba de los Estados Parte de la Convención con respecto al delito de soborno transnacional. Asimismo, el Estado analizado debería considerar la posibilidad de </w:t>
      </w:r>
      <w:bookmarkStart w:id="22" w:name="_Hlk156470402"/>
      <w:r w:rsidR="00232F04">
        <w:rPr>
          <w:rFonts w:eastAsiaTheme="minorHAnsi"/>
          <w:b/>
          <w:iCs/>
          <w:u w:val="single"/>
          <w:lang w:val="es-US"/>
        </w:rPr>
        <w:t xml:space="preserve">recopilar </w:t>
      </w:r>
      <w:r w:rsidR="003170D5">
        <w:rPr>
          <w:rFonts w:eastAsiaTheme="minorHAnsi"/>
          <w:b/>
          <w:iCs/>
          <w:u w:val="single"/>
          <w:lang w:val="es-US"/>
        </w:rPr>
        <w:t>estadísticas</w:t>
      </w:r>
      <w:r w:rsidRPr="005B0F18">
        <w:rPr>
          <w:rFonts w:eastAsiaTheme="minorHAnsi"/>
          <w:bCs/>
          <w:iCs/>
          <w:lang w:val="es-US"/>
        </w:rPr>
        <w:t xml:space="preserve"> sobre el número de solicitudes de asistencia y cooperación que formule a los Estados Parte de la Convención con respecto al delito de soborno transnacional</w:t>
      </w:r>
      <w:bookmarkEnd w:id="22"/>
      <w:r w:rsidRPr="005B0F18">
        <w:rPr>
          <w:rFonts w:eastAsiaTheme="minorHAnsi"/>
          <w:bCs/>
          <w:iCs/>
          <w:lang w:val="es-US"/>
        </w:rPr>
        <w:t>. El Comité formulará recomendaciones. (Véanse las recomendaciones 3.4.2 y 3.4.3 en la sección 3.4 del Capítulo II del presente Informe)</w:t>
      </w:r>
      <w:r w:rsidR="00E64E36" w:rsidRPr="005B0F18">
        <w:rPr>
          <w:rFonts w:eastAsiaTheme="minorHAnsi"/>
          <w:bCs/>
          <w:iCs/>
          <w:lang w:val="es-US"/>
        </w:rPr>
        <w:t xml:space="preserve"> </w:t>
      </w:r>
    </w:p>
    <w:p w14:paraId="27C233D6" w14:textId="77777777" w:rsidR="000B322C" w:rsidRPr="00FE4F87" w:rsidRDefault="000B322C" w:rsidP="00FE4F87">
      <w:pPr>
        <w:rPr>
          <w:rFonts w:eastAsiaTheme="minorHAnsi"/>
          <w:bCs/>
          <w:iCs/>
          <w:lang w:val="es-US"/>
        </w:rPr>
      </w:pPr>
    </w:p>
    <w:p w14:paraId="33AA590B" w14:textId="626B6705" w:rsidR="00984667" w:rsidRPr="00282A68" w:rsidRDefault="00EF68B9" w:rsidP="00984667">
      <w:pPr>
        <w:pStyle w:val="ListParagraph"/>
        <w:numPr>
          <w:ilvl w:val="1"/>
          <w:numId w:val="4"/>
        </w:numPr>
        <w:jc w:val="both"/>
        <w:rPr>
          <w:b/>
          <w:lang w:val="es-US" w:eastAsia="es-ES"/>
        </w:rPr>
      </w:pPr>
      <w:r w:rsidRPr="00282A68">
        <w:rPr>
          <w:b/>
          <w:iCs/>
          <w:lang w:val="es-US" w:eastAsia="es-ES"/>
        </w:rPr>
        <w:t>Recomendaciones</w:t>
      </w:r>
      <w:r w:rsidR="00984667" w:rsidRPr="00282A68">
        <w:rPr>
          <w:b/>
          <w:lang w:val="es-US" w:eastAsia="es-ES"/>
        </w:rPr>
        <w:t>.</w:t>
      </w:r>
    </w:p>
    <w:p w14:paraId="2926D79C" w14:textId="77777777" w:rsidR="00984667" w:rsidRPr="00282A68" w:rsidRDefault="00984667" w:rsidP="00984667">
      <w:pPr>
        <w:ind w:left="900"/>
        <w:jc w:val="both"/>
        <w:rPr>
          <w:b/>
          <w:sz w:val="22"/>
          <w:szCs w:val="22"/>
          <w:lang w:val="es-US" w:eastAsia="es-ES"/>
        </w:rPr>
      </w:pPr>
    </w:p>
    <w:p w14:paraId="522A42A1" w14:textId="67942BCD" w:rsidR="00984667" w:rsidRPr="00282A68" w:rsidRDefault="00077D4A" w:rsidP="00984667">
      <w:pPr>
        <w:pStyle w:val="ListParagraph"/>
        <w:numPr>
          <w:ilvl w:val="0"/>
          <w:numId w:val="1"/>
        </w:numPr>
        <w:suppressAutoHyphens/>
        <w:jc w:val="both"/>
        <w:rPr>
          <w:lang w:val="es-US"/>
        </w:rPr>
      </w:pPr>
      <w:r w:rsidRPr="00282A68">
        <w:rPr>
          <w:lang w:val="es-US"/>
        </w:rPr>
        <w:t>En vista de las observaciones formuladas en las secciones 3.1 y 3.3 del capítulo II de este informe, el Comité sugiere que el Estado analizado considere las siguientes recomendaciones</w:t>
      </w:r>
      <w:r w:rsidR="00984667" w:rsidRPr="00282A68">
        <w:rPr>
          <w:lang w:val="es-US"/>
        </w:rPr>
        <w:t>:</w:t>
      </w:r>
    </w:p>
    <w:p w14:paraId="144BEE13" w14:textId="77777777" w:rsidR="00E64E36" w:rsidRPr="00282A68" w:rsidRDefault="00E64E36" w:rsidP="00E64E36">
      <w:pPr>
        <w:pStyle w:val="ListParagraph"/>
        <w:suppressAutoHyphens/>
        <w:ind w:left="10"/>
        <w:jc w:val="both"/>
        <w:rPr>
          <w:lang w:val="es-US"/>
        </w:rPr>
      </w:pPr>
    </w:p>
    <w:p w14:paraId="527AAB44" w14:textId="0705BBE1" w:rsidR="00E64E36" w:rsidRPr="005B0F18" w:rsidRDefault="009B1DC0" w:rsidP="00E64E36">
      <w:pPr>
        <w:pStyle w:val="ListParagraph"/>
        <w:numPr>
          <w:ilvl w:val="2"/>
          <w:numId w:val="4"/>
        </w:numPr>
        <w:suppressAutoHyphens/>
        <w:jc w:val="both"/>
        <w:rPr>
          <w:color w:val="000000" w:themeColor="text1"/>
          <w:lang w:val="es-US"/>
        </w:rPr>
      </w:pPr>
      <w:r w:rsidRPr="005B0F18">
        <w:rPr>
          <w:bCs/>
          <w:iCs/>
          <w:lang w:val="es-US"/>
        </w:rPr>
        <w:t xml:space="preserve">Considerar la posibilidad de tomar las medidas legislativas necesarias para eliminar la excepción de los pagos de facilitación en la Ley de Prácticas Corruptas en el Extranjero. </w:t>
      </w:r>
      <w:bookmarkStart w:id="23" w:name="_Hlk156470461"/>
      <w:r w:rsidRPr="005B0F18">
        <w:rPr>
          <w:bCs/>
          <w:iCs/>
          <w:lang w:val="es-US"/>
        </w:rPr>
        <w:t xml:space="preserve">(véase el </w:t>
      </w:r>
      <w:r w:rsidRPr="005B0F18">
        <w:rPr>
          <w:lang w:val="es-US"/>
        </w:rPr>
        <w:t>párrafo</w:t>
      </w:r>
      <w:r w:rsidRPr="005B0F18">
        <w:rPr>
          <w:bCs/>
          <w:iCs/>
          <w:lang w:val="es-US"/>
        </w:rPr>
        <w:t xml:space="preserve"> 15</w:t>
      </w:r>
      <w:r w:rsidR="00EA3E34">
        <w:rPr>
          <w:bCs/>
          <w:iCs/>
          <w:lang w:val="es-US"/>
        </w:rPr>
        <w:t>7</w:t>
      </w:r>
      <w:r w:rsidRPr="005B0F18">
        <w:rPr>
          <w:bCs/>
          <w:iCs/>
          <w:lang w:val="es-US"/>
        </w:rPr>
        <w:t xml:space="preserve"> de la sección 3.1 del Capítulo II del presente Informe)</w:t>
      </w:r>
      <w:bookmarkEnd w:id="23"/>
    </w:p>
    <w:p w14:paraId="3EE398D0" w14:textId="77777777" w:rsidR="00E64E36" w:rsidRPr="00282A68" w:rsidRDefault="00E64E36" w:rsidP="00E64E36">
      <w:pPr>
        <w:pStyle w:val="ListParagraph"/>
        <w:suppressAutoHyphens/>
        <w:ind w:left="1620"/>
        <w:jc w:val="both"/>
        <w:rPr>
          <w:color w:val="000000" w:themeColor="text1"/>
          <w:lang w:val="es-US"/>
        </w:rPr>
      </w:pPr>
    </w:p>
    <w:p w14:paraId="0C1BFC3F" w14:textId="286985C8" w:rsidR="00E64E36" w:rsidRPr="00282A68" w:rsidRDefault="006933D2" w:rsidP="00E64E36">
      <w:pPr>
        <w:pStyle w:val="ListParagraph"/>
        <w:numPr>
          <w:ilvl w:val="2"/>
          <w:numId w:val="4"/>
        </w:numPr>
        <w:suppressAutoHyphens/>
        <w:jc w:val="both"/>
        <w:rPr>
          <w:lang w:val="es-US"/>
        </w:rPr>
      </w:pPr>
      <w:r w:rsidRPr="00F27EFB">
        <w:rPr>
          <w:b/>
          <w:iCs/>
          <w:u w:val="single"/>
          <w:lang w:val="es-US"/>
        </w:rPr>
        <w:t>Recopilar estadísticas</w:t>
      </w:r>
      <w:r w:rsidRPr="006933D2" w:rsidDel="006933D2">
        <w:rPr>
          <w:bCs/>
          <w:iCs/>
          <w:lang w:val="es-US"/>
        </w:rPr>
        <w:t xml:space="preserve"> </w:t>
      </w:r>
      <w:r w:rsidR="008E54A4" w:rsidRPr="00282A68">
        <w:rPr>
          <w:bCs/>
          <w:iCs/>
          <w:lang w:val="es-US"/>
        </w:rPr>
        <w:t xml:space="preserve">sobre el número de solicitudes de asistencia y cooperación que reciba de los Estados Parte de la Convención </w:t>
      </w:r>
      <w:r w:rsidR="00532256" w:rsidRPr="00282A68">
        <w:rPr>
          <w:bCs/>
          <w:iCs/>
          <w:lang w:val="es-US"/>
        </w:rPr>
        <w:t xml:space="preserve">Interamericana contra la Corrupción </w:t>
      </w:r>
      <w:r w:rsidR="008E54A4" w:rsidRPr="00282A68">
        <w:rPr>
          <w:bCs/>
          <w:iCs/>
          <w:lang w:val="es-US"/>
        </w:rPr>
        <w:t>con respecto al delito de soborno transnacional</w:t>
      </w:r>
      <w:r w:rsidR="00A95246" w:rsidRPr="00282A68">
        <w:rPr>
          <w:bCs/>
          <w:iCs/>
          <w:lang w:val="es-US"/>
        </w:rPr>
        <w:t xml:space="preserve">. (véase el </w:t>
      </w:r>
      <w:r w:rsidR="00A95246" w:rsidRPr="00282A68">
        <w:rPr>
          <w:lang w:val="es-US"/>
        </w:rPr>
        <w:t>párrafo</w:t>
      </w:r>
      <w:r w:rsidR="00A95246" w:rsidRPr="00282A68">
        <w:rPr>
          <w:bCs/>
          <w:iCs/>
          <w:lang w:val="es-US"/>
        </w:rPr>
        <w:t xml:space="preserve"> 1</w:t>
      </w:r>
      <w:r w:rsidR="00CB5180">
        <w:rPr>
          <w:bCs/>
          <w:iCs/>
          <w:lang w:val="es-US"/>
        </w:rPr>
        <w:t>70</w:t>
      </w:r>
      <w:r w:rsidR="00A95246" w:rsidRPr="00282A68">
        <w:rPr>
          <w:bCs/>
          <w:iCs/>
          <w:lang w:val="es-US"/>
        </w:rPr>
        <w:t xml:space="preserve"> de la sección 3.</w:t>
      </w:r>
      <w:r w:rsidR="00EA3E34">
        <w:rPr>
          <w:bCs/>
          <w:iCs/>
          <w:lang w:val="es-US"/>
        </w:rPr>
        <w:t xml:space="preserve">3 </w:t>
      </w:r>
      <w:r w:rsidR="00A95246" w:rsidRPr="00282A68">
        <w:rPr>
          <w:bCs/>
          <w:iCs/>
          <w:lang w:val="es-US"/>
        </w:rPr>
        <w:t>del Capítulo II del presente Informe)</w:t>
      </w:r>
    </w:p>
    <w:p w14:paraId="366EB45B" w14:textId="77777777" w:rsidR="009E194C" w:rsidRPr="00282A68" w:rsidRDefault="009E194C" w:rsidP="009E194C">
      <w:pPr>
        <w:pStyle w:val="ListParagraph"/>
        <w:rPr>
          <w:lang w:val="es-US"/>
        </w:rPr>
      </w:pPr>
    </w:p>
    <w:p w14:paraId="779551C4" w14:textId="269E868C" w:rsidR="009E194C" w:rsidRPr="00282A68" w:rsidRDefault="00296787" w:rsidP="009E194C">
      <w:pPr>
        <w:pStyle w:val="ListParagraph"/>
        <w:numPr>
          <w:ilvl w:val="2"/>
          <w:numId w:val="4"/>
        </w:numPr>
        <w:suppressAutoHyphens/>
        <w:jc w:val="both"/>
        <w:rPr>
          <w:lang w:val="es-US"/>
        </w:rPr>
      </w:pPr>
      <w:r w:rsidRPr="00F27EFB">
        <w:rPr>
          <w:b/>
          <w:iCs/>
          <w:u w:val="single"/>
          <w:lang w:val="es-US"/>
        </w:rPr>
        <w:t>Recopilar estadísticas</w:t>
      </w:r>
      <w:r w:rsidR="00F27EFB">
        <w:rPr>
          <w:bCs/>
          <w:iCs/>
          <w:lang w:val="es-US"/>
        </w:rPr>
        <w:t xml:space="preserve"> </w:t>
      </w:r>
      <w:r w:rsidR="00532256" w:rsidRPr="00282A68">
        <w:rPr>
          <w:bCs/>
          <w:iCs/>
          <w:lang w:val="es-US"/>
        </w:rPr>
        <w:t>sobre el número de solicitudes de asistencia y cooperación que formule a los Estados Parte de la Convención Interamericana contra la Corrupción con respecto al delito de soborno transnacional</w:t>
      </w:r>
      <w:r w:rsidR="009E194C" w:rsidRPr="00282A68">
        <w:rPr>
          <w:bCs/>
          <w:iCs/>
          <w:lang w:val="es-US"/>
        </w:rPr>
        <w:t>.</w:t>
      </w:r>
      <w:r w:rsidR="00A95246" w:rsidRPr="00282A68">
        <w:rPr>
          <w:rFonts w:eastAsia="Times New Roman"/>
          <w:bCs/>
          <w:iCs/>
          <w:sz w:val="24"/>
          <w:szCs w:val="24"/>
          <w:lang w:val="es-US"/>
        </w:rPr>
        <w:t xml:space="preserve"> </w:t>
      </w:r>
      <w:r w:rsidR="00A95246" w:rsidRPr="00282A68">
        <w:rPr>
          <w:bCs/>
          <w:iCs/>
          <w:color w:val="000000" w:themeColor="text1"/>
          <w:lang w:val="es-US"/>
        </w:rPr>
        <w:t xml:space="preserve">(véase el </w:t>
      </w:r>
      <w:r w:rsidR="00A95246" w:rsidRPr="00282A68">
        <w:rPr>
          <w:color w:val="000000" w:themeColor="text1"/>
          <w:lang w:val="es-US"/>
        </w:rPr>
        <w:t>párrafo</w:t>
      </w:r>
      <w:r w:rsidR="00A95246" w:rsidRPr="00282A68">
        <w:rPr>
          <w:bCs/>
          <w:iCs/>
          <w:color w:val="000000" w:themeColor="text1"/>
          <w:lang w:val="es-US"/>
        </w:rPr>
        <w:t xml:space="preserve"> 1</w:t>
      </w:r>
      <w:r w:rsidR="00CB5180">
        <w:rPr>
          <w:bCs/>
          <w:iCs/>
          <w:color w:val="000000" w:themeColor="text1"/>
          <w:lang w:val="es-US"/>
        </w:rPr>
        <w:t>70</w:t>
      </w:r>
      <w:r w:rsidR="00A95246" w:rsidRPr="00282A68">
        <w:rPr>
          <w:bCs/>
          <w:iCs/>
          <w:color w:val="000000" w:themeColor="text1"/>
          <w:lang w:val="es-US"/>
        </w:rPr>
        <w:t xml:space="preserve"> de la sección 3.</w:t>
      </w:r>
      <w:r w:rsidR="00EA3E34">
        <w:rPr>
          <w:bCs/>
          <w:iCs/>
          <w:color w:val="000000" w:themeColor="text1"/>
          <w:lang w:val="es-US"/>
        </w:rPr>
        <w:t>3</w:t>
      </w:r>
      <w:r w:rsidR="00A95246" w:rsidRPr="00282A68">
        <w:rPr>
          <w:bCs/>
          <w:iCs/>
          <w:color w:val="000000" w:themeColor="text1"/>
          <w:lang w:val="es-US"/>
        </w:rPr>
        <w:t xml:space="preserve"> del Capítulo II del presente Informe)</w:t>
      </w:r>
    </w:p>
    <w:p w14:paraId="5B82D1BE" w14:textId="77777777" w:rsidR="009E194C" w:rsidRPr="00282A68" w:rsidRDefault="009E194C" w:rsidP="009E194C">
      <w:pPr>
        <w:suppressAutoHyphens/>
        <w:jc w:val="both"/>
        <w:rPr>
          <w:lang w:val="es-US"/>
        </w:rPr>
      </w:pPr>
    </w:p>
    <w:p w14:paraId="39AE6024" w14:textId="5A1D6EFF" w:rsidR="00984667" w:rsidRPr="00282A68" w:rsidRDefault="00F20C28" w:rsidP="004F0439">
      <w:pPr>
        <w:pStyle w:val="ListParagraph"/>
        <w:numPr>
          <w:ilvl w:val="0"/>
          <w:numId w:val="7"/>
        </w:numPr>
        <w:ind w:left="360"/>
        <w:jc w:val="both"/>
        <w:rPr>
          <w:rFonts w:eastAsia="Times New Roman"/>
          <w:b/>
          <w:lang w:val="es-US" w:eastAsia="es-ES"/>
        </w:rPr>
      </w:pPr>
      <w:r w:rsidRPr="00282A68">
        <w:rPr>
          <w:b/>
          <w:lang w:val="es-US"/>
        </w:rPr>
        <w:t>ENRIQUECIMIENTO ILÍCITO (ARTÍCULO IX DE LA CONVENCIÓN)</w:t>
      </w:r>
      <w:r w:rsidR="00984667" w:rsidRPr="00282A68">
        <w:rPr>
          <w:b/>
          <w:spacing w:val="-2"/>
          <w:lang w:val="es-US"/>
        </w:rPr>
        <w:t>.</w:t>
      </w:r>
    </w:p>
    <w:p w14:paraId="71AB0AD5" w14:textId="77777777" w:rsidR="00984667" w:rsidRPr="00282A68" w:rsidRDefault="00984667" w:rsidP="00984667">
      <w:pPr>
        <w:pStyle w:val="ListParagraph"/>
        <w:ind w:left="360"/>
        <w:jc w:val="both"/>
        <w:rPr>
          <w:rFonts w:eastAsia="Times New Roman"/>
          <w:b/>
          <w:lang w:val="es-US" w:eastAsia="es-ES"/>
        </w:rPr>
      </w:pPr>
    </w:p>
    <w:p w14:paraId="49CB91B4" w14:textId="5820DC73" w:rsidR="00984667" w:rsidRPr="00282A68" w:rsidRDefault="0007261C" w:rsidP="004F0439">
      <w:pPr>
        <w:pStyle w:val="ListParagraph"/>
        <w:numPr>
          <w:ilvl w:val="1"/>
          <w:numId w:val="7"/>
        </w:numPr>
        <w:jc w:val="both"/>
        <w:rPr>
          <w:b/>
          <w:lang w:val="es-US" w:eastAsia="es-ES"/>
        </w:rPr>
      </w:pPr>
      <w:r w:rsidRPr="0007261C">
        <w:rPr>
          <w:b/>
          <w:lang w:val="es-US"/>
        </w:rPr>
        <w:t>Seguimiento de la implementación de las recomendaciones formuladas en la Tercera Ronda</w:t>
      </w:r>
      <w:r w:rsidR="00984667" w:rsidRPr="00282A68">
        <w:rPr>
          <w:b/>
          <w:lang w:val="es-US"/>
        </w:rPr>
        <w:t>.</w:t>
      </w:r>
    </w:p>
    <w:p w14:paraId="21A177B1" w14:textId="77777777" w:rsidR="00984667" w:rsidRPr="00282A68" w:rsidRDefault="00984667" w:rsidP="00984667">
      <w:pPr>
        <w:pStyle w:val="ListParagraph"/>
        <w:ind w:left="10"/>
        <w:jc w:val="both"/>
        <w:rPr>
          <w:lang w:val="es-US"/>
        </w:rPr>
      </w:pPr>
    </w:p>
    <w:p w14:paraId="4A7977D9" w14:textId="79B59D9A" w:rsidR="00984667" w:rsidRPr="005B0F18" w:rsidRDefault="009F3B06" w:rsidP="00337CBC">
      <w:pPr>
        <w:pStyle w:val="ListParagraph"/>
        <w:numPr>
          <w:ilvl w:val="0"/>
          <w:numId w:val="1"/>
        </w:numPr>
        <w:suppressAutoHyphens/>
        <w:jc w:val="both"/>
        <w:rPr>
          <w:lang w:val="es-US"/>
        </w:rPr>
      </w:pPr>
      <w:r w:rsidRPr="005B0F18">
        <w:rPr>
          <w:rFonts w:eastAsiaTheme="minorHAnsi"/>
          <w:bCs/>
          <w:iCs/>
          <w:lang w:val="es-US"/>
        </w:rPr>
        <w:t>Estados Unidos no ha tipificado como delito el enriquecimiento ilícito, previsto en el Artículo IX de la Convención, por considerar que impone la carga de la prueba al acusado, lo cual es incompatible con la Constitución de Estados Unidos y los principios fundamentales del sistema jurídico de ese país, por lo que formuló una reserva con respecto a este Artículo de la Convención al depositar su instrumento de ratificación. El Comité tomó nota de la explicación que ofreció el Estado analizado en el Informe de la Tercera Ronda y no formuló recomendaciones al respecto</w:t>
      </w:r>
      <w:r w:rsidR="00984667" w:rsidRPr="005B0F18">
        <w:rPr>
          <w:rStyle w:val="FootnoteReference"/>
          <w:lang w:val="es-US"/>
        </w:rPr>
        <w:footnoteReference w:id="117"/>
      </w:r>
      <w:r w:rsidR="000A367F" w:rsidRPr="005B0F18">
        <w:rPr>
          <w:rFonts w:eastAsiaTheme="minorHAnsi"/>
          <w:bCs/>
          <w:iCs/>
          <w:lang w:val="es-US"/>
        </w:rPr>
        <w:t>.</w:t>
      </w:r>
    </w:p>
    <w:p w14:paraId="1616E58D" w14:textId="0771119E" w:rsidR="00740632" w:rsidRPr="005B0F18" w:rsidRDefault="00740632" w:rsidP="00740632">
      <w:pPr>
        <w:pStyle w:val="ListParagraph"/>
        <w:suppressAutoHyphens/>
        <w:ind w:left="10"/>
        <w:jc w:val="both"/>
        <w:rPr>
          <w:lang w:val="es-US"/>
        </w:rPr>
      </w:pPr>
    </w:p>
    <w:p w14:paraId="27281DA4" w14:textId="3624C810" w:rsidR="00984667" w:rsidRPr="005B0F18" w:rsidRDefault="00E61786" w:rsidP="004F0439">
      <w:pPr>
        <w:pStyle w:val="ListParagraph"/>
        <w:numPr>
          <w:ilvl w:val="1"/>
          <w:numId w:val="7"/>
        </w:numPr>
        <w:jc w:val="both"/>
        <w:rPr>
          <w:rFonts w:eastAsia="Times New Roman"/>
          <w:b/>
          <w:lang w:val="es-US" w:eastAsia="es-ES"/>
        </w:rPr>
      </w:pPr>
      <w:r w:rsidRPr="005B0F18">
        <w:rPr>
          <w:b/>
          <w:lang w:val="es-US"/>
        </w:rPr>
        <w:t>Desarrollos nuevos respecto a la disposición de la Convención sobre Enriquecimiento Ilícito</w:t>
      </w:r>
      <w:r w:rsidR="00984667" w:rsidRPr="005B0F18">
        <w:rPr>
          <w:b/>
          <w:lang w:val="es-US"/>
        </w:rPr>
        <w:t xml:space="preserve">. </w:t>
      </w:r>
    </w:p>
    <w:p w14:paraId="4905D3CD" w14:textId="77777777" w:rsidR="00984667" w:rsidRPr="005B0F18" w:rsidRDefault="00984667" w:rsidP="00984667">
      <w:pPr>
        <w:jc w:val="both"/>
        <w:rPr>
          <w:rFonts w:eastAsiaTheme="minorEastAsia"/>
          <w:color w:val="000000" w:themeColor="text1"/>
          <w:sz w:val="22"/>
          <w:szCs w:val="22"/>
          <w:lang w:val="es-US"/>
        </w:rPr>
      </w:pPr>
    </w:p>
    <w:p w14:paraId="7F9B344A" w14:textId="19C188C6" w:rsidR="00984667" w:rsidRPr="005B0F18" w:rsidRDefault="00DA056A" w:rsidP="004F0439">
      <w:pPr>
        <w:pStyle w:val="ListParagraph"/>
        <w:numPr>
          <w:ilvl w:val="2"/>
          <w:numId w:val="7"/>
        </w:numPr>
        <w:ind w:left="1440"/>
        <w:jc w:val="both"/>
        <w:rPr>
          <w:rFonts w:eastAsia="Times New Roman"/>
          <w:b/>
          <w:lang w:val="es-US" w:eastAsia="es-ES"/>
        </w:rPr>
      </w:pPr>
      <w:r w:rsidRPr="005B0F18">
        <w:rPr>
          <w:b/>
          <w:lang w:val="es-US"/>
        </w:rPr>
        <w:t>Desarrollos relativos al marco normativo</w:t>
      </w:r>
      <w:r w:rsidR="00984667" w:rsidRPr="005B0F18">
        <w:rPr>
          <w:b/>
          <w:lang w:val="es-US" w:eastAsia="es-ES"/>
        </w:rPr>
        <w:t>.</w:t>
      </w:r>
    </w:p>
    <w:p w14:paraId="0031EC67" w14:textId="77777777" w:rsidR="00984667" w:rsidRPr="005B0F18" w:rsidRDefault="00984667" w:rsidP="00984667">
      <w:pPr>
        <w:jc w:val="both"/>
        <w:rPr>
          <w:b/>
          <w:sz w:val="22"/>
          <w:szCs w:val="22"/>
          <w:lang w:val="es-US" w:eastAsia="es-ES"/>
        </w:rPr>
      </w:pPr>
    </w:p>
    <w:p w14:paraId="1646E617" w14:textId="3C4A05D2" w:rsidR="00984667" w:rsidRPr="005B0F18" w:rsidRDefault="000A367F" w:rsidP="00984667">
      <w:pPr>
        <w:pStyle w:val="ListParagraph"/>
        <w:numPr>
          <w:ilvl w:val="0"/>
          <w:numId w:val="1"/>
        </w:numPr>
        <w:suppressAutoHyphens/>
        <w:jc w:val="both"/>
        <w:rPr>
          <w:lang w:val="es-US"/>
        </w:rPr>
      </w:pPr>
      <w:r w:rsidRPr="005B0F18">
        <w:rPr>
          <w:rFonts w:eastAsiaTheme="minorHAnsi"/>
          <w:bCs/>
          <w:iCs/>
          <w:lang w:val="es-US"/>
        </w:rPr>
        <w:t>El Estado analizado señala que no tiene nada que informar sobre nuevos desarrollos respecto al marco normativo</w:t>
      </w:r>
      <w:r w:rsidR="00984667" w:rsidRPr="005B0F18">
        <w:rPr>
          <w:rStyle w:val="FootnoteReference"/>
          <w:lang w:val="es-US"/>
        </w:rPr>
        <w:footnoteReference w:id="118"/>
      </w:r>
      <w:r w:rsidRPr="005B0F18">
        <w:rPr>
          <w:rFonts w:eastAsiaTheme="minorHAnsi"/>
          <w:bCs/>
          <w:iCs/>
          <w:lang w:val="es-US"/>
        </w:rPr>
        <w:t>.</w:t>
      </w:r>
      <w:r w:rsidR="00984667" w:rsidRPr="005B0F18">
        <w:rPr>
          <w:lang w:val="es-US"/>
        </w:rPr>
        <w:t xml:space="preserve"> </w:t>
      </w:r>
    </w:p>
    <w:p w14:paraId="38F5BC73" w14:textId="77777777" w:rsidR="00984667" w:rsidRPr="005B0F18" w:rsidRDefault="00984667" w:rsidP="00984667">
      <w:pPr>
        <w:pStyle w:val="ListParagraph"/>
        <w:ind w:left="10"/>
        <w:jc w:val="both"/>
        <w:rPr>
          <w:lang w:val="es-US"/>
        </w:rPr>
      </w:pPr>
    </w:p>
    <w:p w14:paraId="464B638C" w14:textId="5DFB9A3D" w:rsidR="00984667" w:rsidRPr="005B0F18" w:rsidRDefault="00984667" w:rsidP="00984667">
      <w:pPr>
        <w:suppressAutoHyphens/>
        <w:autoSpaceDE w:val="0"/>
        <w:autoSpaceDN w:val="0"/>
        <w:adjustRightInd w:val="0"/>
        <w:ind w:left="1440" w:hanging="720"/>
        <w:contextualSpacing/>
        <w:jc w:val="both"/>
        <w:rPr>
          <w:b/>
          <w:sz w:val="22"/>
          <w:szCs w:val="22"/>
          <w:lang w:val="es-US"/>
        </w:rPr>
      </w:pPr>
      <w:r w:rsidRPr="005B0F18">
        <w:rPr>
          <w:b/>
          <w:sz w:val="22"/>
          <w:szCs w:val="22"/>
          <w:lang w:val="es-US"/>
        </w:rPr>
        <w:t xml:space="preserve">4.2.2. </w:t>
      </w:r>
      <w:r w:rsidR="004C2684" w:rsidRPr="005B0F18">
        <w:rPr>
          <w:b/>
          <w:sz w:val="22"/>
          <w:szCs w:val="22"/>
          <w:lang w:val="es-US"/>
        </w:rPr>
        <w:t>Desarrollos nuevos relativos a aspectos tecnológicos</w:t>
      </w:r>
      <w:r w:rsidRPr="005B0F18">
        <w:rPr>
          <w:b/>
          <w:sz w:val="22"/>
          <w:szCs w:val="22"/>
          <w:lang w:val="es-US"/>
        </w:rPr>
        <w:t xml:space="preserve">. </w:t>
      </w:r>
    </w:p>
    <w:p w14:paraId="5536C0C2" w14:textId="77777777" w:rsidR="00984667" w:rsidRPr="005B0F18" w:rsidRDefault="00984667" w:rsidP="00984667">
      <w:pPr>
        <w:suppressAutoHyphens/>
        <w:autoSpaceDE w:val="0"/>
        <w:autoSpaceDN w:val="0"/>
        <w:adjustRightInd w:val="0"/>
        <w:contextualSpacing/>
        <w:jc w:val="both"/>
        <w:rPr>
          <w:sz w:val="22"/>
          <w:szCs w:val="22"/>
          <w:lang w:val="es-US"/>
        </w:rPr>
      </w:pPr>
    </w:p>
    <w:p w14:paraId="308DB695" w14:textId="4312B296" w:rsidR="00984667" w:rsidRPr="005B0F18" w:rsidRDefault="000A367F" w:rsidP="00984667">
      <w:pPr>
        <w:pStyle w:val="ListParagraph"/>
        <w:numPr>
          <w:ilvl w:val="0"/>
          <w:numId w:val="1"/>
        </w:numPr>
        <w:suppressAutoHyphens/>
        <w:jc w:val="both"/>
        <w:rPr>
          <w:lang w:val="es-US"/>
        </w:rPr>
      </w:pPr>
      <w:r w:rsidRPr="005B0F18">
        <w:rPr>
          <w:rFonts w:eastAsiaTheme="minorHAnsi"/>
          <w:bCs/>
          <w:iCs/>
          <w:lang w:val="es-US"/>
        </w:rPr>
        <w:t>El Estado analizado señala que no tiene nada que informar sobre nuevos desarrollos respecto a aspectos tecnológicos</w:t>
      </w:r>
      <w:r w:rsidR="00984667" w:rsidRPr="005B0F18">
        <w:rPr>
          <w:rStyle w:val="FootnoteReference"/>
          <w:lang w:val="es-US"/>
        </w:rPr>
        <w:footnoteReference w:id="119"/>
      </w:r>
      <w:r w:rsidRPr="005B0F18">
        <w:rPr>
          <w:rFonts w:eastAsiaTheme="minorHAnsi"/>
          <w:bCs/>
          <w:iCs/>
          <w:lang w:val="es-US"/>
        </w:rPr>
        <w:t>.</w:t>
      </w:r>
    </w:p>
    <w:p w14:paraId="47A23F61" w14:textId="77777777" w:rsidR="00984667" w:rsidRPr="005B0F18" w:rsidRDefault="00984667" w:rsidP="00984667">
      <w:pPr>
        <w:pStyle w:val="ListParagraph"/>
        <w:ind w:left="10"/>
        <w:jc w:val="both"/>
        <w:rPr>
          <w:lang w:val="es-US"/>
        </w:rPr>
      </w:pPr>
    </w:p>
    <w:p w14:paraId="3666507E" w14:textId="39794D9F" w:rsidR="00984667" w:rsidRPr="005B0F18" w:rsidRDefault="00251FD0" w:rsidP="004F0439">
      <w:pPr>
        <w:pStyle w:val="ListParagraph"/>
        <w:numPr>
          <w:ilvl w:val="1"/>
          <w:numId w:val="7"/>
        </w:numPr>
        <w:jc w:val="both"/>
        <w:rPr>
          <w:b/>
          <w:lang w:val="es-US" w:eastAsia="es-ES"/>
        </w:rPr>
      </w:pPr>
      <w:r w:rsidRPr="005B0F18">
        <w:rPr>
          <w:b/>
          <w:lang w:val="es-US" w:eastAsia="es-ES"/>
        </w:rPr>
        <w:t>Resultados</w:t>
      </w:r>
      <w:r w:rsidR="00984667" w:rsidRPr="005B0F18">
        <w:rPr>
          <w:b/>
          <w:lang w:val="es-US" w:eastAsia="es-ES"/>
        </w:rPr>
        <w:t>.</w:t>
      </w:r>
    </w:p>
    <w:p w14:paraId="1B05D562" w14:textId="0B927E07" w:rsidR="00984667" w:rsidRPr="005B0F18" w:rsidRDefault="000A367F" w:rsidP="00984667">
      <w:pPr>
        <w:pStyle w:val="ListParagraph"/>
        <w:numPr>
          <w:ilvl w:val="0"/>
          <w:numId w:val="1"/>
        </w:numPr>
        <w:suppressAutoHyphens/>
        <w:jc w:val="both"/>
        <w:rPr>
          <w:lang w:val="es-US"/>
        </w:rPr>
      </w:pPr>
      <w:r w:rsidRPr="005B0F18">
        <w:rPr>
          <w:lang w:val="es-US"/>
        </w:rPr>
        <w:t>En su Respuesta al Cuestionario, el Estado analizado no facilitó ningún resultado</w:t>
      </w:r>
      <w:r w:rsidR="00984667" w:rsidRPr="005B0F18">
        <w:rPr>
          <w:rStyle w:val="FootnoteReference"/>
          <w:lang w:val="es-US"/>
        </w:rPr>
        <w:footnoteReference w:id="120"/>
      </w:r>
      <w:r w:rsidRPr="005B0F18">
        <w:rPr>
          <w:lang w:val="es-US"/>
        </w:rPr>
        <w:t>.</w:t>
      </w:r>
      <w:r w:rsidR="00984667" w:rsidRPr="005B0F18">
        <w:rPr>
          <w:rStyle w:val="FootnoteReference"/>
          <w:lang w:val="es-US"/>
        </w:rPr>
        <w:t xml:space="preserve"> </w:t>
      </w:r>
      <w:r w:rsidR="00A90752" w:rsidRPr="005B0F18">
        <w:rPr>
          <w:lang w:val="es-US"/>
        </w:rPr>
        <w:t xml:space="preserve">No obstante, el Comité observa que </w:t>
      </w:r>
      <w:r w:rsidR="00023615" w:rsidRPr="008F5249">
        <w:rPr>
          <w:lang w:val="es-US"/>
        </w:rPr>
        <w:t>el Articulo IX de</w:t>
      </w:r>
      <w:r w:rsidR="00023615">
        <w:rPr>
          <w:lang w:val="es-US"/>
        </w:rPr>
        <w:t xml:space="preserve"> </w:t>
      </w:r>
      <w:r w:rsidR="00A90752" w:rsidRPr="005B0F18">
        <w:rPr>
          <w:lang w:val="es-US"/>
        </w:rPr>
        <w:t>la Convención dispone que todo Estado Parte que no haya tipificado como delito el enriquecimiento ilícito, como es el caso de Estados Unidos,</w:t>
      </w:r>
      <w:r w:rsidR="00C82D9A">
        <w:rPr>
          <w:lang w:val="es-US"/>
        </w:rPr>
        <w:t xml:space="preserve"> “</w:t>
      </w:r>
      <w:r w:rsidR="00C82D9A" w:rsidRPr="008F5249">
        <w:rPr>
          <w:lang w:val="es-US"/>
        </w:rPr>
        <w:t>brindará la asistencia y cooperación previstas en esta Convención, en relación con este delito, en la medida en que sus leyes lo permitan</w:t>
      </w:r>
      <w:r w:rsidR="00C82D9A" w:rsidRPr="00C82D9A">
        <w:rPr>
          <w:lang w:val="es-US"/>
        </w:rPr>
        <w:t>.”</w:t>
      </w:r>
      <w:r w:rsidR="00A90752" w:rsidRPr="005B0F18">
        <w:rPr>
          <w:lang w:val="es-US"/>
        </w:rPr>
        <w:t xml:space="preserve"> </w:t>
      </w:r>
    </w:p>
    <w:p w14:paraId="49D7C62D" w14:textId="77777777" w:rsidR="00984667" w:rsidRPr="005B0F18" w:rsidRDefault="00984667" w:rsidP="00984667">
      <w:pPr>
        <w:suppressAutoHyphens/>
        <w:ind w:left="10"/>
        <w:contextualSpacing/>
        <w:jc w:val="both"/>
        <w:rPr>
          <w:sz w:val="22"/>
          <w:szCs w:val="22"/>
          <w:lang w:val="es-US"/>
        </w:rPr>
      </w:pPr>
    </w:p>
    <w:p w14:paraId="75DA8150" w14:textId="62B1017A" w:rsidR="00984667" w:rsidRPr="005B0F18" w:rsidRDefault="007317ED" w:rsidP="00984667">
      <w:pPr>
        <w:pStyle w:val="ListParagraph"/>
        <w:numPr>
          <w:ilvl w:val="0"/>
          <w:numId w:val="1"/>
        </w:numPr>
        <w:suppressAutoHyphens/>
        <w:jc w:val="both"/>
        <w:rPr>
          <w:lang w:val="es-US"/>
        </w:rPr>
      </w:pPr>
      <w:r w:rsidRPr="005B0F18">
        <w:rPr>
          <w:lang w:val="es-US"/>
        </w:rPr>
        <w:t>El Comité observa que</w:t>
      </w:r>
      <w:r w:rsidR="00DB1C0D" w:rsidRPr="005B0F18">
        <w:rPr>
          <w:lang w:val="es-US"/>
        </w:rPr>
        <w:t>,</w:t>
      </w:r>
      <w:r w:rsidRPr="005B0F18">
        <w:rPr>
          <w:lang w:val="es-US"/>
        </w:rPr>
        <w:t xml:space="preserve"> en el Informe de la Tercera Ronda, el Estado analizado señaló lo siguiente, que conserva su relevancia</w:t>
      </w:r>
      <w:r w:rsidR="00984667" w:rsidRPr="005B0F18">
        <w:rPr>
          <w:rStyle w:val="FootnoteReference"/>
          <w:lang w:val="es-US"/>
        </w:rPr>
        <w:footnoteReference w:id="121"/>
      </w:r>
      <w:r w:rsidRPr="005B0F18">
        <w:rPr>
          <w:lang w:val="es-US"/>
        </w:rPr>
        <w:t>:</w:t>
      </w:r>
    </w:p>
    <w:p w14:paraId="5A9FD984" w14:textId="77777777" w:rsidR="00984667" w:rsidRPr="005B0F18" w:rsidRDefault="00984667" w:rsidP="00984667">
      <w:pPr>
        <w:pStyle w:val="ListParagraph"/>
        <w:rPr>
          <w:lang w:val="es-US"/>
        </w:rPr>
      </w:pPr>
    </w:p>
    <w:p w14:paraId="416875BE" w14:textId="7A358BE7" w:rsidR="00984667" w:rsidRPr="005B0F18" w:rsidRDefault="00984667" w:rsidP="00984667">
      <w:pPr>
        <w:pStyle w:val="ListParagraph"/>
        <w:numPr>
          <w:ilvl w:val="0"/>
          <w:numId w:val="1"/>
        </w:numPr>
        <w:suppressAutoHyphens/>
        <w:jc w:val="both"/>
        <w:rPr>
          <w:lang w:val="es-US"/>
        </w:rPr>
      </w:pPr>
      <w:r w:rsidRPr="005B0F18">
        <w:rPr>
          <w:lang w:val="es-US"/>
        </w:rPr>
        <w:t>“</w:t>
      </w:r>
      <w:r w:rsidR="00986F98" w:rsidRPr="005B0F18">
        <w:rPr>
          <w:i/>
          <w:iCs/>
          <w:lang w:val="es-US"/>
        </w:rPr>
        <w:t xml:space="preserve">Los Estados Unidos de América pretenden brindar asistencia y cooperación a los otros </w:t>
      </w:r>
      <w:r w:rsidR="004478FB" w:rsidRPr="005B0F18">
        <w:rPr>
          <w:i/>
          <w:iCs/>
          <w:lang w:val="es-US"/>
        </w:rPr>
        <w:t>Estados Parte</w:t>
      </w:r>
      <w:r w:rsidR="00986F98" w:rsidRPr="005B0F18">
        <w:rPr>
          <w:i/>
          <w:iCs/>
          <w:lang w:val="es-US"/>
        </w:rPr>
        <w:t xml:space="preserve">, de conformidad con el párrafo 3 del artículo IX de la Convención </w:t>
      </w:r>
      <w:r w:rsidR="00B85709" w:rsidRPr="005B0F18">
        <w:rPr>
          <w:i/>
          <w:iCs/>
          <w:lang w:val="es-US"/>
        </w:rPr>
        <w:t>(</w:t>
      </w:r>
      <w:r w:rsidR="00AB4B39" w:rsidRPr="005B0F18">
        <w:rPr>
          <w:i/>
          <w:iCs/>
          <w:lang w:val="es-US"/>
        </w:rPr>
        <w:t>…</w:t>
      </w:r>
      <w:r w:rsidR="00B85709" w:rsidRPr="005B0F18">
        <w:rPr>
          <w:i/>
          <w:iCs/>
          <w:lang w:val="es-US"/>
        </w:rPr>
        <w:t>)</w:t>
      </w:r>
      <w:r w:rsidR="00E13BDE" w:rsidRPr="005B0F18">
        <w:rPr>
          <w:lang w:val="es-US"/>
        </w:rPr>
        <w:t xml:space="preserve"> </w:t>
      </w:r>
      <w:r w:rsidR="0031766E" w:rsidRPr="005B0F18">
        <w:rPr>
          <w:i/>
          <w:iCs/>
          <w:lang w:val="es-US"/>
        </w:rPr>
        <w:t>La Autoridad Central de Estados Unidos para asistencia judicial mutua en materia penal es la Oficina de Asuntos Internacionales (OIA) que pertenece a la División de lo Penal del Departamento. La OIA mantiene registros de más de 50.000 asuntos de asistencia judicial mutua, más de 40.000 de los cuales se han completado y cerrado. Muchos códigos del sistema podrían comprender soborno de un funcionario público y enriquecimiento ilícito, y no resulta claro, de la base de datos, qué casos se refieren específicamente a los delitos cubiertos por las disposiciones sobre corrupción de la Convención. Esos delitos podrían codificarse como soborno, defraudación, evasión tributaria, corrupción de funcionarios, funcionarios públicos corruptos extranjeros y conductas previstas en la Ley de Prácticas Corruptas en el Extranjero</w:t>
      </w:r>
      <w:r w:rsidR="00E13BDE" w:rsidRPr="005B0F18">
        <w:rPr>
          <w:lang w:val="es-US"/>
        </w:rPr>
        <w:t>.</w:t>
      </w:r>
      <w:r w:rsidRPr="005B0F18">
        <w:rPr>
          <w:lang w:val="es-US"/>
        </w:rPr>
        <w:t>”</w:t>
      </w:r>
    </w:p>
    <w:p w14:paraId="5F79DD3A" w14:textId="77777777" w:rsidR="00984667" w:rsidRPr="005B0F18" w:rsidRDefault="00984667" w:rsidP="00984667">
      <w:pPr>
        <w:pStyle w:val="ListParagraph"/>
        <w:rPr>
          <w:lang w:val="es-US"/>
        </w:rPr>
      </w:pPr>
    </w:p>
    <w:p w14:paraId="6128E6CA" w14:textId="692C82EA" w:rsidR="00984667" w:rsidRPr="005B0F18" w:rsidRDefault="00520AE5" w:rsidP="00984667">
      <w:pPr>
        <w:pStyle w:val="ListParagraph"/>
        <w:numPr>
          <w:ilvl w:val="0"/>
          <w:numId w:val="1"/>
        </w:numPr>
        <w:suppressAutoHyphens/>
        <w:jc w:val="both"/>
        <w:rPr>
          <w:lang w:val="es-US"/>
        </w:rPr>
      </w:pPr>
      <w:r w:rsidRPr="005B0F18">
        <w:rPr>
          <w:bCs/>
          <w:iCs/>
          <w:lang w:val="es-US"/>
        </w:rPr>
        <w:t xml:space="preserve">El Comité toma nota de que los representantes de la Oficina de Asuntos Internacionales del Departamento de Justicia también señalaron durante la visita in situ la dificultad que se expuso en el Informe de la Tercera Ronda en relación con </w:t>
      </w:r>
      <w:r w:rsidR="003170D5">
        <w:rPr>
          <w:b/>
          <w:iCs/>
          <w:u w:val="single"/>
          <w:lang w:val="es-US"/>
        </w:rPr>
        <w:t>la recopilación</w:t>
      </w:r>
      <w:r w:rsidRPr="005B0F18">
        <w:rPr>
          <w:bCs/>
          <w:iCs/>
          <w:lang w:val="es-US"/>
        </w:rPr>
        <w:t xml:space="preserve"> de </w:t>
      </w:r>
      <w:r w:rsidR="00360BBF">
        <w:rPr>
          <w:b/>
          <w:iCs/>
          <w:u w:val="single"/>
          <w:lang w:val="es-US"/>
        </w:rPr>
        <w:t>estadísticas</w:t>
      </w:r>
      <w:r w:rsidRPr="005B0F18">
        <w:rPr>
          <w:bCs/>
          <w:iCs/>
          <w:lang w:val="es-US"/>
        </w:rPr>
        <w:t xml:space="preserve"> sobre asistencia y cooperación. El Comité observa, sin embargo, que, a pesar de estos desafíos, el Estado analizado pudo compilar estadísticas en relación con el soborno transnacional, como se indicó en la consideración del tema anterior, y también podría </w:t>
      </w:r>
      <w:r w:rsidR="003170D5">
        <w:rPr>
          <w:b/>
          <w:iCs/>
          <w:u w:val="single"/>
          <w:lang w:val="es-US"/>
        </w:rPr>
        <w:t>recopilar</w:t>
      </w:r>
      <w:r w:rsidRPr="005B0F18">
        <w:rPr>
          <w:bCs/>
          <w:iCs/>
          <w:lang w:val="es-US"/>
        </w:rPr>
        <w:t xml:space="preserve"> </w:t>
      </w:r>
      <w:r w:rsidR="00360BBF">
        <w:rPr>
          <w:b/>
          <w:iCs/>
          <w:u w:val="single"/>
          <w:lang w:val="es-US"/>
        </w:rPr>
        <w:t>estadísticas</w:t>
      </w:r>
      <w:r w:rsidRPr="005B0F18">
        <w:rPr>
          <w:bCs/>
          <w:iCs/>
          <w:lang w:val="es-US"/>
        </w:rPr>
        <w:t xml:space="preserve"> sobre asistencia y cooperación en relación con el enriquecimiento ilícito. En vista de lo anterior, el Comité formulará una recomendación al respecto. (Véase la </w:t>
      </w:r>
      <w:r w:rsidRPr="005B0F18">
        <w:rPr>
          <w:lang w:val="es-US"/>
        </w:rPr>
        <w:t>Recomendación</w:t>
      </w:r>
      <w:r w:rsidRPr="005B0F18">
        <w:rPr>
          <w:bCs/>
          <w:iCs/>
          <w:lang w:val="es-US"/>
        </w:rPr>
        <w:t xml:space="preserve"> única en la sección 4.4 del Capítulo II del presente Informe).</w:t>
      </w:r>
    </w:p>
    <w:p w14:paraId="792AC2B9" w14:textId="77777777" w:rsidR="00984667" w:rsidRPr="00282A68" w:rsidRDefault="00984667" w:rsidP="00984667">
      <w:pPr>
        <w:pStyle w:val="ListParagraph"/>
        <w:rPr>
          <w:lang w:val="es-US"/>
        </w:rPr>
      </w:pPr>
    </w:p>
    <w:p w14:paraId="787D3042" w14:textId="714E482F" w:rsidR="00984667" w:rsidRPr="00282A68" w:rsidRDefault="002C3BBE" w:rsidP="004F0439">
      <w:pPr>
        <w:pStyle w:val="ListParagraph"/>
        <w:numPr>
          <w:ilvl w:val="1"/>
          <w:numId w:val="7"/>
        </w:numPr>
        <w:jc w:val="both"/>
        <w:rPr>
          <w:b/>
          <w:bCs/>
          <w:lang w:val="es-US"/>
        </w:rPr>
      </w:pPr>
      <w:r w:rsidRPr="00282A68">
        <w:rPr>
          <w:b/>
          <w:lang w:val="es-US" w:eastAsia="es-ES"/>
        </w:rPr>
        <w:t>Recomendación</w:t>
      </w:r>
    </w:p>
    <w:p w14:paraId="75B15A52" w14:textId="77777777" w:rsidR="00984667" w:rsidRPr="00282A68" w:rsidRDefault="00984667" w:rsidP="00984667">
      <w:pPr>
        <w:jc w:val="both"/>
        <w:rPr>
          <w:b/>
          <w:bCs/>
          <w:sz w:val="22"/>
          <w:szCs w:val="22"/>
          <w:lang w:val="es-US"/>
        </w:rPr>
      </w:pPr>
    </w:p>
    <w:p w14:paraId="2FE2EFDB" w14:textId="3A1C01BA" w:rsidR="00984667" w:rsidRPr="00282A68" w:rsidRDefault="00F11C66" w:rsidP="00984667">
      <w:pPr>
        <w:pStyle w:val="ListParagraph"/>
        <w:numPr>
          <w:ilvl w:val="0"/>
          <w:numId w:val="1"/>
        </w:numPr>
        <w:suppressAutoHyphens/>
        <w:jc w:val="both"/>
        <w:rPr>
          <w:lang w:val="es-US"/>
        </w:rPr>
      </w:pPr>
      <w:r w:rsidRPr="00282A68">
        <w:rPr>
          <w:lang w:val="es-US"/>
        </w:rPr>
        <w:t>En vista de las observaciones formuladas en la sección 4.3 del capítulo II de este informe, el Comité sugiere que el Estado analizado considere la siguiente recomendación</w:t>
      </w:r>
      <w:r w:rsidR="00984667" w:rsidRPr="00282A68">
        <w:rPr>
          <w:lang w:val="es-US"/>
        </w:rPr>
        <w:t xml:space="preserve">: </w:t>
      </w:r>
    </w:p>
    <w:p w14:paraId="301865F9" w14:textId="77777777" w:rsidR="00984667" w:rsidRPr="00282A68" w:rsidRDefault="00984667" w:rsidP="00984667">
      <w:pPr>
        <w:pStyle w:val="ListParagraph"/>
        <w:suppressAutoHyphens/>
        <w:ind w:left="10"/>
        <w:jc w:val="both"/>
        <w:rPr>
          <w:lang w:val="es-US"/>
        </w:rPr>
      </w:pPr>
    </w:p>
    <w:p w14:paraId="036AFC03" w14:textId="68042AB1" w:rsidR="00984667" w:rsidRPr="00282A68" w:rsidRDefault="005262A8" w:rsidP="00EC692D">
      <w:pPr>
        <w:pStyle w:val="ListParagraph"/>
        <w:numPr>
          <w:ilvl w:val="1"/>
          <w:numId w:val="1"/>
        </w:numPr>
        <w:suppressAutoHyphens/>
        <w:jc w:val="both"/>
        <w:rPr>
          <w:color w:val="000000" w:themeColor="text1"/>
          <w:lang w:val="es-US"/>
        </w:rPr>
      </w:pPr>
      <w:r w:rsidRPr="004665BA">
        <w:rPr>
          <w:b/>
          <w:iCs/>
          <w:u w:val="single"/>
          <w:lang w:val="es-US"/>
        </w:rPr>
        <w:t>Recopilar estadísticas</w:t>
      </w:r>
      <w:r w:rsidRPr="006933D2" w:rsidDel="006933D2">
        <w:rPr>
          <w:bCs/>
          <w:iCs/>
          <w:lang w:val="es-US"/>
        </w:rPr>
        <w:t xml:space="preserve"> </w:t>
      </w:r>
      <w:r w:rsidR="0036641D" w:rsidRPr="00282A68">
        <w:rPr>
          <w:lang w:val="es-US"/>
        </w:rPr>
        <w:t>sobre la prestación de asistencia y cooperación a los Estados Parte de la Convención Interamericana contra la Corrupción en relación con el delito de enriquecimiento ilícito</w:t>
      </w:r>
      <w:r w:rsidR="00984667" w:rsidRPr="00282A68">
        <w:rPr>
          <w:lang w:val="es-US"/>
        </w:rPr>
        <w:t xml:space="preserve">. </w:t>
      </w:r>
      <w:r w:rsidR="0036641D" w:rsidRPr="00282A68">
        <w:rPr>
          <w:bCs/>
          <w:iCs/>
          <w:color w:val="000000" w:themeColor="text1"/>
          <w:lang w:val="es-US"/>
        </w:rPr>
        <w:t xml:space="preserve">(véase el </w:t>
      </w:r>
      <w:r w:rsidR="0036641D" w:rsidRPr="00282A68">
        <w:rPr>
          <w:color w:val="000000" w:themeColor="text1"/>
          <w:lang w:val="es-US"/>
        </w:rPr>
        <w:t>párrafo</w:t>
      </w:r>
      <w:r w:rsidR="0036641D" w:rsidRPr="00282A68">
        <w:rPr>
          <w:bCs/>
          <w:iCs/>
          <w:color w:val="000000" w:themeColor="text1"/>
          <w:lang w:val="es-US"/>
        </w:rPr>
        <w:t xml:space="preserve"> 17</w:t>
      </w:r>
      <w:r w:rsidR="00CB5180">
        <w:rPr>
          <w:bCs/>
          <w:iCs/>
          <w:color w:val="000000" w:themeColor="text1"/>
          <w:lang w:val="es-US"/>
        </w:rPr>
        <w:t>8</w:t>
      </w:r>
      <w:r w:rsidR="0036641D" w:rsidRPr="00282A68">
        <w:rPr>
          <w:bCs/>
          <w:iCs/>
          <w:color w:val="000000" w:themeColor="text1"/>
          <w:lang w:val="es-US"/>
        </w:rPr>
        <w:t xml:space="preserve"> de la sección </w:t>
      </w:r>
      <w:r w:rsidR="005F2DEB" w:rsidRPr="00282A68">
        <w:rPr>
          <w:bCs/>
          <w:iCs/>
          <w:color w:val="000000" w:themeColor="text1"/>
          <w:lang w:val="es-US"/>
        </w:rPr>
        <w:t>4</w:t>
      </w:r>
      <w:r w:rsidR="0036641D" w:rsidRPr="00282A68">
        <w:rPr>
          <w:bCs/>
          <w:iCs/>
          <w:color w:val="000000" w:themeColor="text1"/>
          <w:lang w:val="es-US"/>
        </w:rPr>
        <w:t>.</w:t>
      </w:r>
      <w:r w:rsidR="005F2DEB" w:rsidRPr="00282A68">
        <w:rPr>
          <w:bCs/>
          <w:iCs/>
          <w:color w:val="000000" w:themeColor="text1"/>
          <w:lang w:val="es-US"/>
        </w:rPr>
        <w:t>3</w:t>
      </w:r>
      <w:r w:rsidR="0036641D" w:rsidRPr="00282A68">
        <w:rPr>
          <w:bCs/>
          <w:iCs/>
          <w:color w:val="000000" w:themeColor="text1"/>
          <w:lang w:val="es-US"/>
        </w:rPr>
        <w:t xml:space="preserve"> del Capítulo II del presente Informe)</w:t>
      </w:r>
    </w:p>
    <w:p w14:paraId="3445E9E2" w14:textId="77777777" w:rsidR="00984667" w:rsidRPr="00282A68" w:rsidRDefault="00984667" w:rsidP="00984667">
      <w:pPr>
        <w:pStyle w:val="ListParagraph"/>
        <w:suppressAutoHyphens/>
        <w:ind w:left="10"/>
        <w:jc w:val="both"/>
        <w:rPr>
          <w:color w:val="000000" w:themeColor="text1"/>
          <w:lang w:val="es-US"/>
        </w:rPr>
      </w:pPr>
    </w:p>
    <w:p w14:paraId="3E641645" w14:textId="273B52E5" w:rsidR="00984667" w:rsidRPr="00282A68" w:rsidRDefault="00104E77" w:rsidP="004F0439">
      <w:pPr>
        <w:pStyle w:val="ListParagraph"/>
        <w:numPr>
          <w:ilvl w:val="0"/>
          <w:numId w:val="8"/>
        </w:numPr>
        <w:ind w:left="360"/>
        <w:jc w:val="both"/>
        <w:rPr>
          <w:bCs/>
          <w:lang w:val="es-US"/>
        </w:rPr>
      </w:pPr>
      <w:r w:rsidRPr="00282A68">
        <w:rPr>
          <w:b/>
          <w:lang w:val="es-US"/>
        </w:rPr>
        <w:t>NOTIFICACIÓN DE LA TIPIFICACIÓN COMO DELITO DEL SOBORNO TRANSNACIONAL Y EL ENRIQUECIMIENTO ILÍCITO (Artículo IX DE LA CONVENCIÓN)</w:t>
      </w:r>
    </w:p>
    <w:p w14:paraId="20B723D1" w14:textId="77777777" w:rsidR="00984667" w:rsidRPr="00282A68" w:rsidRDefault="00984667" w:rsidP="00984667">
      <w:pPr>
        <w:jc w:val="both"/>
        <w:rPr>
          <w:bCs/>
          <w:sz w:val="22"/>
          <w:szCs w:val="22"/>
          <w:lang w:val="es-US"/>
        </w:rPr>
      </w:pPr>
    </w:p>
    <w:p w14:paraId="2CE5DF18" w14:textId="5E7626A8" w:rsidR="00984667" w:rsidRPr="00282A68" w:rsidRDefault="006608D8" w:rsidP="00984667">
      <w:pPr>
        <w:pStyle w:val="ListParagraph"/>
        <w:numPr>
          <w:ilvl w:val="0"/>
          <w:numId w:val="1"/>
        </w:numPr>
        <w:suppressAutoHyphens/>
        <w:jc w:val="both"/>
        <w:rPr>
          <w:color w:val="000000" w:themeColor="text1"/>
          <w:lang w:val="es-US"/>
        </w:rPr>
      </w:pPr>
      <w:r w:rsidRPr="00282A68">
        <w:rPr>
          <w:lang w:val="es-US"/>
        </w:rPr>
        <w:t>No se formularon recomendaciones al Estado analizado en relación con esta disposición de la Convención</w:t>
      </w:r>
      <w:r w:rsidR="00984667" w:rsidRPr="00282A68">
        <w:rPr>
          <w:color w:val="000000" w:themeColor="text1"/>
          <w:lang w:val="es-US"/>
        </w:rPr>
        <w:t xml:space="preserve">. </w:t>
      </w:r>
    </w:p>
    <w:p w14:paraId="2131DC1D" w14:textId="77777777" w:rsidR="00984667" w:rsidRPr="00282A68" w:rsidRDefault="00984667" w:rsidP="00984667">
      <w:pPr>
        <w:pStyle w:val="ListParagraph"/>
        <w:suppressAutoHyphens/>
        <w:ind w:left="10"/>
        <w:jc w:val="both"/>
        <w:rPr>
          <w:color w:val="000000" w:themeColor="text1"/>
          <w:lang w:val="es-US"/>
        </w:rPr>
      </w:pPr>
    </w:p>
    <w:p w14:paraId="17005BB6" w14:textId="3AE5708F" w:rsidR="00984667" w:rsidRPr="00282A68" w:rsidRDefault="00983758" w:rsidP="004F0439">
      <w:pPr>
        <w:pStyle w:val="ListParagraph"/>
        <w:numPr>
          <w:ilvl w:val="0"/>
          <w:numId w:val="8"/>
        </w:numPr>
        <w:ind w:left="360"/>
        <w:jc w:val="both"/>
        <w:rPr>
          <w:b/>
          <w:spacing w:val="-2"/>
          <w:lang w:val="es-US"/>
        </w:rPr>
      </w:pPr>
      <w:r w:rsidRPr="00282A68">
        <w:rPr>
          <w:b/>
          <w:lang w:val="es-US"/>
        </w:rPr>
        <w:t>EXTRADICIÓN (Artículo XIII DE LA CONVENCIÓN)</w:t>
      </w:r>
      <w:r w:rsidR="00984667" w:rsidRPr="00282A68">
        <w:rPr>
          <w:b/>
          <w:lang w:val="es-US"/>
        </w:rPr>
        <w:t>.</w:t>
      </w:r>
    </w:p>
    <w:p w14:paraId="03CB2106" w14:textId="77777777" w:rsidR="00984667" w:rsidRPr="00282A68" w:rsidRDefault="00984667" w:rsidP="00984667">
      <w:pPr>
        <w:pStyle w:val="ListParagraph"/>
        <w:ind w:left="360"/>
        <w:jc w:val="both"/>
        <w:rPr>
          <w:b/>
          <w:spacing w:val="-2"/>
          <w:lang w:val="es-US"/>
        </w:rPr>
      </w:pPr>
    </w:p>
    <w:p w14:paraId="22BE96BC" w14:textId="222A0925" w:rsidR="00984667" w:rsidRPr="00282A68" w:rsidRDefault="00E603CC" w:rsidP="004F0439">
      <w:pPr>
        <w:pStyle w:val="ListParagraph"/>
        <w:numPr>
          <w:ilvl w:val="1"/>
          <w:numId w:val="9"/>
        </w:numPr>
        <w:ind w:left="720"/>
        <w:jc w:val="both"/>
        <w:rPr>
          <w:b/>
          <w:lang w:val="es-US" w:eastAsia="es-ES"/>
        </w:rPr>
      </w:pPr>
      <w:r w:rsidRPr="00282A68">
        <w:rPr>
          <w:b/>
          <w:bCs/>
          <w:lang w:val="es-US"/>
        </w:rPr>
        <w:t>Seguimiento de la implementación de las recomendaciones formuladas en la Tercera Ronda</w:t>
      </w:r>
      <w:r w:rsidR="00984667" w:rsidRPr="00282A68">
        <w:rPr>
          <w:b/>
          <w:bCs/>
          <w:lang w:val="es-US"/>
        </w:rPr>
        <w:t>.</w:t>
      </w:r>
    </w:p>
    <w:p w14:paraId="04A95C94" w14:textId="77777777" w:rsidR="00984667" w:rsidRPr="00282A68" w:rsidRDefault="00984667" w:rsidP="00984667">
      <w:pPr>
        <w:jc w:val="both"/>
        <w:rPr>
          <w:b/>
          <w:sz w:val="22"/>
          <w:szCs w:val="22"/>
          <w:lang w:val="es-US" w:eastAsia="es-ES"/>
        </w:rPr>
      </w:pPr>
    </w:p>
    <w:p w14:paraId="59F92FBB" w14:textId="5BA21594" w:rsidR="00984667" w:rsidRPr="00282A68" w:rsidRDefault="00E603CC" w:rsidP="00984667">
      <w:pPr>
        <w:pStyle w:val="ListParagraph"/>
        <w:numPr>
          <w:ilvl w:val="0"/>
          <w:numId w:val="1"/>
        </w:numPr>
        <w:suppressAutoHyphens/>
        <w:jc w:val="both"/>
        <w:rPr>
          <w:color w:val="000000" w:themeColor="text1"/>
          <w:lang w:val="es-US"/>
        </w:rPr>
      </w:pPr>
      <w:r w:rsidRPr="00282A68">
        <w:rPr>
          <w:lang w:val="es-US"/>
        </w:rPr>
        <w:t>No se formularon recomendaciones al Estado analizado en relación con esta disposición de la Convención</w:t>
      </w:r>
      <w:r w:rsidR="00984667" w:rsidRPr="00282A68">
        <w:rPr>
          <w:color w:val="000000" w:themeColor="text1"/>
          <w:lang w:val="es-US"/>
        </w:rPr>
        <w:t xml:space="preserve">. </w:t>
      </w:r>
    </w:p>
    <w:p w14:paraId="3D4AD0C6" w14:textId="69E1ABC8" w:rsidR="00984667" w:rsidRPr="00282A68" w:rsidRDefault="00984667" w:rsidP="00984667">
      <w:pPr>
        <w:suppressAutoHyphens/>
        <w:ind w:left="10"/>
        <w:jc w:val="both"/>
        <w:rPr>
          <w:rFonts w:eastAsiaTheme="minorHAnsi"/>
          <w:bCs/>
          <w:iCs/>
          <w:lang w:val="es-US"/>
        </w:rPr>
      </w:pPr>
      <w:r w:rsidRPr="00282A68">
        <w:rPr>
          <w:rFonts w:eastAsiaTheme="minorHAnsi"/>
          <w:bCs/>
          <w:iCs/>
          <w:lang w:val="es-US"/>
        </w:rPr>
        <w:t xml:space="preserve"> </w:t>
      </w:r>
    </w:p>
    <w:p w14:paraId="7A3815EA" w14:textId="74A85D15" w:rsidR="00984667" w:rsidRPr="00282A68" w:rsidRDefault="00960C7A" w:rsidP="004F0439">
      <w:pPr>
        <w:pStyle w:val="ListParagraph"/>
        <w:numPr>
          <w:ilvl w:val="1"/>
          <w:numId w:val="10"/>
        </w:numPr>
        <w:ind w:left="720"/>
        <w:jc w:val="both"/>
        <w:rPr>
          <w:rFonts w:eastAsia="Times New Roman"/>
          <w:b/>
          <w:lang w:val="es-US" w:eastAsia="es-ES"/>
        </w:rPr>
      </w:pPr>
      <w:r w:rsidRPr="00282A68">
        <w:rPr>
          <w:b/>
          <w:bCs/>
          <w:lang w:val="es-US"/>
        </w:rPr>
        <w:t>Desarrollos nuevos respecto a la disposición de la Convención sobre la extradición</w:t>
      </w:r>
      <w:r w:rsidR="00984667" w:rsidRPr="00282A68">
        <w:rPr>
          <w:b/>
          <w:lang w:val="es-US"/>
        </w:rPr>
        <w:t xml:space="preserve">. </w:t>
      </w:r>
    </w:p>
    <w:p w14:paraId="54ADB7FB" w14:textId="77777777" w:rsidR="00984667" w:rsidRPr="00282A68" w:rsidRDefault="00984667" w:rsidP="00984667">
      <w:pPr>
        <w:jc w:val="both"/>
        <w:rPr>
          <w:rFonts w:eastAsiaTheme="minorEastAsia"/>
          <w:color w:val="000000" w:themeColor="text1"/>
          <w:sz w:val="22"/>
          <w:szCs w:val="22"/>
          <w:lang w:val="es-US"/>
        </w:rPr>
      </w:pPr>
    </w:p>
    <w:p w14:paraId="2777E955" w14:textId="074102F2" w:rsidR="00984667" w:rsidRPr="00282A68" w:rsidRDefault="000870F9" w:rsidP="004F0439">
      <w:pPr>
        <w:pStyle w:val="ListParagraph"/>
        <w:numPr>
          <w:ilvl w:val="2"/>
          <w:numId w:val="10"/>
        </w:numPr>
        <w:ind w:left="1440"/>
        <w:jc w:val="both"/>
        <w:rPr>
          <w:rFonts w:eastAsia="Times New Roman"/>
          <w:b/>
          <w:lang w:val="es-US" w:eastAsia="es-ES"/>
        </w:rPr>
      </w:pPr>
      <w:r w:rsidRPr="00282A68">
        <w:rPr>
          <w:b/>
          <w:bCs/>
          <w:lang w:val="es-US"/>
        </w:rPr>
        <w:t>Desarrollos relativos al marco normativo</w:t>
      </w:r>
      <w:r w:rsidR="00984667" w:rsidRPr="00282A68">
        <w:rPr>
          <w:b/>
          <w:lang w:val="es-US" w:eastAsia="es-ES"/>
        </w:rPr>
        <w:t>.</w:t>
      </w:r>
    </w:p>
    <w:p w14:paraId="3E3F30DB" w14:textId="77777777" w:rsidR="00984667" w:rsidRPr="00282A68" w:rsidRDefault="00984667" w:rsidP="00984667">
      <w:pPr>
        <w:jc w:val="both"/>
        <w:rPr>
          <w:b/>
          <w:sz w:val="22"/>
          <w:szCs w:val="22"/>
          <w:lang w:val="es-US" w:eastAsia="es-ES"/>
        </w:rPr>
      </w:pPr>
    </w:p>
    <w:p w14:paraId="19420645" w14:textId="552B0401" w:rsidR="00984667" w:rsidRPr="00282A68" w:rsidRDefault="007317ED" w:rsidP="00984667">
      <w:pPr>
        <w:pStyle w:val="ListParagraph"/>
        <w:numPr>
          <w:ilvl w:val="0"/>
          <w:numId w:val="1"/>
        </w:numPr>
        <w:suppressAutoHyphens/>
        <w:jc w:val="both"/>
        <w:rPr>
          <w:lang w:val="es-US"/>
        </w:rPr>
      </w:pPr>
      <w:r w:rsidRPr="00282A68">
        <w:rPr>
          <w:rFonts w:eastAsiaTheme="minorHAnsi"/>
          <w:bCs/>
          <w:iCs/>
          <w:lang w:val="es-US"/>
        </w:rPr>
        <w:t>El Estado analizado señala que no tiene nada que informar sobre nuevos desarrollos respecto al marco normativo</w:t>
      </w:r>
      <w:r w:rsidR="00984667" w:rsidRPr="00282A68">
        <w:rPr>
          <w:lang w:val="es-US"/>
        </w:rPr>
        <w:t>.</w:t>
      </w:r>
    </w:p>
    <w:p w14:paraId="14F74E33" w14:textId="77777777" w:rsidR="00984667" w:rsidRPr="00282A68" w:rsidRDefault="00984667" w:rsidP="00984667">
      <w:pPr>
        <w:suppressAutoHyphens/>
        <w:contextualSpacing/>
        <w:jc w:val="both"/>
        <w:rPr>
          <w:sz w:val="22"/>
          <w:szCs w:val="22"/>
          <w:lang w:val="es-US"/>
        </w:rPr>
      </w:pPr>
    </w:p>
    <w:p w14:paraId="6E7FB8CA" w14:textId="13C43BDB" w:rsidR="00984667" w:rsidRPr="00282A68" w:rsidRDefault="005F3A73" w:rsidP="004F0439">
      <w:pPr>
        <w:pStyle w:val="ListParagraph"/>
        <w:numPr>
          <w:ilvl w:val="2"/>
          <w:numId w:val="10"/>
        </w:numPr>
        <w:ind w:left="1440"/>
        <w:jc w:val="both"/>
        <w:rPr>
          <w:b/>
          <w:lang w:val="es-US" w:eastAsia="es-ES"/>
        </w:rPr>
      </w:pPr>
      <w:r w:rsidRPr="00282A68">
        <w:rPr>
          <w:b/>
          <w:bCs/>
          <w:iCs/>
          <w:lang w:val="es-US"/>
        </w:rPr>
        <w:t>Desarrollos nuevos relativos a aspectos tecnológicos</w:t>
      </w:r>
      <w:r w:rsidR="00984667" w:rsidRPr="00282A68">
        <w:rPr>
          <w:b/>
          <w:lang w:val="es-US" w:eastAsia="es-ES"/>
        </w:rPr>
        <w:t>.</w:t>
      </w:r>
    </w:p>
    <w:p w14:paraId="34E11B6A" w14:textId="77777777" w:rsidR="00984667" w:rsidRPr="00282A68" w:rsidRDefault="00984667" w:rsidP="00984667">
      <w:pPr>
        <w:suppressAutoHyphens/>
        <w:contextualSpacing/>
        <w:jc w:val="both"/>
        <w:rPr>
          <w:sz w:val="22"/>
          <w:szCs w:val="22"/>
          <w:lang w:val="es-US"/>
        </w:rPr>
      </w:pPr>
    </w:p>
    <w:p w14:paraId="3AE578EA" w14:textId="556203E0" w:rsidR="00984667" w:rsidRPr="00282A68" w:rsidRDefault="007317ED" w:rsidP="00984667">
      <w:pPr>
        <w:pStyle w:val="ListParagraph"/>
        <w:numPr>
          <w:ilvl w:val="0"/>
          <w:numId w:val="1"/>
        </w:numPr>
        <w:suppressAutoHyphens/>
        <w:jc w:val="both"/>
        <w:rPr>
          <w:lang w:val="es-US"/>
        </w:rPr>
      </w:pPr>
      <w:r w:rsidRPr="00282A68">
        <w:rPr>
          <w:rFonts w:eastAsiaTheme="minorHAnsi"/>
          <w:bCs/>
          <w:iCs/>
          <w:lang w:val="es-US"/>
        </w:rPr>
        <w:t>El Estado analizado señala que no tiene nada que informar sobre nuevos desarrollos respecto a aspectos tecnológicos</w:t>
      </w:r>
      <w:r w:rsidR="00984667" w:rsidRPr="00282A68">
        <w:rPr>
          <w:lang w:val="es-US"/>
        </w:rPr>
        <w:t>.</w:t>
      </w:r>
    </w:p>
    <w:p w14:paraId="105C86D2" w14:textId="77777777" w:rsidR="00984667" w:rsidRPr="00282A68" w:rsidRDefault="00984667" w:rsidP="00984667">
      <w:pPr>
        <w:suppressAutoHyphens/>
        <w:ind w:left="10"/>
        <w:contextualSpacing/>
        <w:jc w:val="both"/>
        <w:rPr>
          <w:sz w:val="22"/>
          <w:szCs w:val="22"/>
          <w:lang w:val="es-US"/>
        </w:rPr>
      </w:pPr>
    </w:p>
    <w:p w14:paraId="48ACE9A6" w14:textId="2F8D4B57" w:rsidR="00984667" w:rsidRPr="00282A68" w:rsidRDefault="00DB752F" w:rsidP="004F0439">
      <w:pPr>
        <w:pStyle w:val="ListParagraph"/>
        <w:numPr>
          <w:ilvl w:val="1"/>
          <w:numId w:val="10"/>
        </w:numPr>
        <w:ind w:left="720"/>
        <w:jc w:val="both"/>
        <w:rPr>
          <w:b/>
          <w:lang w:val="es-US" w:eastAsia="es-ES"/>
        </w:rPr>
      </w:pPr>
      <w:r w:rsidRPr="00282A68">
        <w:rPr>
          <w:b/>
          <w:lang w:val="es-US" w:eastAsia="es-ES"/>
        </w:rPr>
        <w:t>Resultados</w:t>
      </w:r>
      <w:r w:rsidR="00984667" w:rsidRPr="00282A68">
        <w:rPr>
          <w:b/>
          <w:lang w:val="es-US" w:eastAsia="es-ES"/>
        </w:rPr>
        <w:t>.</w:t>
      </w:r>
    </w:p>
    <w:p w14:paraId="2C8C6A76" w14:textId="77777777" w:rsidR="00984667" w:rsidRPr="00282A68" w:rsidRDefault="00984667" w:rsidP="00984667">
      <w:pPr>
        <w:jc w:val="both"/>
        <w:rPr>
          <w:b/>
          <w:sz w:val="22"/>
          <w:szCs w:val="22"/>
          <w:lang w:val="es-US" w:eastAsia="es-ES"/>
        </w:rPr>
      </w:pPr>
    </w:p>
    <w:p w14:paraId="21DCEC96" w14:textId="17FB7FCD" w:rsidR="00984667" w:rsidRPr="00C82D9A" w:rsidRDefault="00101273" w:rsidP="00984667">
      <w:pPr>
        <w:pStyle w:val="ListParagraph"/>
        <w:numPr>
          <w:ilvl w:val="0"/>
          <w:numId w:val="1"/>
        </w:numPr>
        <w:suppressAutoHyphens/>
        <w:jc w:val="both"/>
        <w:rPr>
          <w:iCs/>
          <w:lang w:val="es-US"/>
        </w:rPr>
      </w:pPr>
      <w:r w:rsidRPr="005B0F18">
        <w:rPr>
          <w:bCs/>
          <w:iCs/>
          <w:lang w:val="es-US"/>
        </w:rPr>
        <w:t>El Comité observa que el Estado analizado no proporcionó resultados en materia de extradición. A este respecto, durante la visita in situ, el representante de la Oficina de Asuntos Internacionales del Departamento de Justicia expresó la dificultad de dar seguimiento a las solicitudes de extradición por actos de corrupción, dada la manera en que se ingresan las solicitudes en su sistema de gestión de casos. Esto ya se había señalado en el Informe de la Tercera Ronda, en el que el Estado analizado señaló lo siguiente</w:t>
      </w:r>
      <w:r w:rsidR="00074A1E" w:rsidRPr="005B0F18">
        <w:rPr>
          <w:rStyle w:val="FootnoteReference"/>
          <w:iCs/>
          <w:lang w:val="es-US"/>
        </w:rPr>
        <w:footnoteReference w:id="122"/>
      </w:r>
      <w:r w:rsidRPr="005B0F18">
        <w:rPr>
          <w:bCs/>
          <w:iCs/>
          <w:lang w:val="es-US"/>
        </w:rPr>
        <w:t>:</w:t>
      </w:r>
    </w:p>
    <w:p w14:paraId="56E7AC8F" w14:textId="77777777" w:rsidR="00C82D9A" w:rsidRDefault="00C82D9A" w:rsidP="00C82D9A">
      <w:pPr>
        <w:pStyle w:val="ListParagraph"/>
        <w:suppressAutoHyphens/>
        <w:ind w:left="10"/>
        <w:jc w:val="both"/>
        <w:rPr>
          <w:bCs/>
          <w:iCs/>
          <w:lang w:val="es-US"/>
        </w:rPr>
      </w:pPr>
    </w:p>
    <w:p w14:paraId="665C7B8E" w14:textId="73ADE9B6" w:rsidR="00EC692D" w:rsidRPr="00050783" w:rsidRDefault="00EC692D" w:rsidP="00984667">
      <w:pPr>
        <w:pStyle w:val="ListParagraph"/>
        <w:numPr>
          <w:ilvl w:val="0"/>
          <w:numId w:val="1"/>
        </w:numPr>
        <w:suppressAutoHyphens/>
        <w:jc w:val="both"/>
        <w:rPr>
          <w:iCs/>
          <w:lang w:val="es-US"/>
        </w:rPr>
      </w:pPr>
      <w:r w:rsidRPr="00282A68">
        <w:rPr>
          <w:lang w:val="es-US"/>
        </w:rPr>
        <w:t>“</w:t>
      </w:r>
      <w:r w:rsidR="00CA0469" w:rsidRPr="00282A68">
        <w:rPr>
          <w:i/>
          <w:iCs/>
          <w:lang w:val="es-US"/>
        </w:rPr>
        <w:t>[L</w:t>
      </w:r>
      <w:r w:rsidR="00441C4A" w:rsidRPr="00282A68">
        <w:rPr>
          <w:i/>
          <w:iCs/>
          <w:lang w:val="es-US"/>
        </w:rPr>
        <w:t>]</w:t>
      </w:r>
      <w:r w:rsidR="00CA0469" w:rsidRPr="00282A68">
        <w:rPr>
          <w:i/>
          <w:iCs/>
          <w:lang w:val="es-US"/>
        </w:rPr>
        <w:t>os delitos de corrupción pueden codificarse en el sistema electrónico de gestión de casos de la OIA como soborno, defraudación, evasión impositiva, corrupción de funcionarios, funcionarios públicos extranjeros corruptos, y casos de la Ley de Prácticas Corruptas en el Extranjero. El universo de delitos de corrupción manejados por la OIA puede ser mayor de lo que indican las estadísticas aquí incluidas, ya que los casos pueden codificarse como fraude, en cuya hipótesis hay más de 800 casos de extradición pendientes</w:t>
      </w:r>
      <w:r w:rsidR="00074A1E" w:rsidRPr="00282A68">
        <w:rPr>
          <w:lang w:val="es-US"/>
        </w:rPr>
        <w:t>.”</w:t>
      </w:r>
    </w:p>
    <w:p w14:paraId="75B39999" w14:textId="77777777" w:rsidR="00050783" w:rsidRDefault="00050783" w:rsidP="00050783">
      <w:pPr>
        <w:pStyle w:val="ListParagraph"/>
        <w:suppressAutoHyphens/>
        <w:ind w:left="10"/>
        <w:jc w:val="both"/>
        <w:rPr>
          <w:lang w:val="es-US"/>
        </w:rPr>
      </w:pPr>
    </w:p>
    <w:p w14:paraId="7466F5E3" w14:textId="0CAAB9EE" w:rsidR="00050783" w:rsidRPr="00282A68" w:rsidRDefault="00050783" w:rsidP="00050783">
      <w:pPr>
        <w:pStyle w:val="ListParagraph"/>
        <w:numPr>
          <w:ilvl w:val="0"/>
          <w:numId w:val="1"/>
        </w:numPr>
        <w:suppressAutoHyphens/>
        <w:jc w:val="both"/>
        <w:rPr>
          <w:iCs/>
          <w:lang w:val="es-US"/>
        </w:rPr>
      </w:pPr>
      <w:r>
        <w:rPr>
          <w:iCs/>
          <w:lang w:val="es-US"/>
        </w:rPr>
        <w:t>E</w:t>
      </w:r>
      <w:r w:rsidRPr="00050783">
        <w:rPr>
          <w:iCs/>
          <w:lang w:val="es-US"/>
        </w:rPr>
        <w:t>l</w:t>
      </w:r>
      <w:r w:rsidRPr="00994E1C">
        <w:rPr>
          <w:color w:val="000000"/>
          <w:lang w:val="es-ES_tradnl"/>
        </w:rPr>
        <w:t xml:space="preserve"> Estado analizado también indicó que desde el </w:t>
      </w:r>
      <w:r w:rsidR="00FA0B15">
        <w:rPr>
          <w:color w:val="000000"/>
          <w:lang w:val="es-ES_tradnl"/>
        </w:rPr>
        <w:t>I</w:t>
      </w:r>
      <w:r w:rsidRPr="00994E1C">
        <w:rPr>
          <w:color w:val="000000"/>
          <w:lang w:val="es-ES_tradnl"/>
        </w:rPr>
        <w:t>nforme de la Tercera Ronda el sistema de seguimiento de casos que mantiene la Oficina de Asuntos Internacionales del Departamento de Justicia ha cambiado y no puede captar fielmente los casos de corrupción</w:t>
      </w:r>
      <w:r>
        <w:rPr>
          <w:color w:val="000000"/>
          <w:lang w:val="es-ES_tradnl"/>
        </w:rPr>
        <w:t>.</w:t>
      </w:r>
    </w:p>
    <w:p w14:paraId="1083F3CA" w14:textId="77777777" w:rsidR="00074A1E" w:rsidRPr="00282A68" w:rsidRDefault="00074A1E" w:rsidP="00074A1E">
      <w:pPr>
        <w:pStyle w:val="ListParagraph"/>
        <w:rPr>
          <w:iCs/>
          <w:lang w:val="es-US"/>
        </w:rPr>
      </w:pPr>
    </w:p>
    <w:p w14:paraId="21821235" w14:textId="47A5D740" w:rsidR="00074A1E" w:rsidRPr="005B0F18" w:rsidRDefault="00050783" w:rsidP="00074A1E">
      <w:pPr>
        <w:pStyle w:val="ListParagraph"/>
        <w:numPr>
          <w:ilvl w:val="0"/>
          <w:numId w:val="1"/>
        </w:numPr>
        <w:suppressAutoHyphens/>
        <w:jc w:val="both"/>
        <w:rPr>
          <w:lang w:val="es-US"/>
        </w:rPr>
      </w:pPr>
      <w:r w:rsidRPr="00050783">
        <w:rPr>
          <w:bCs/>
          <w:iCs/>
          <w:lang w:val="es-US"/>
        </w:rPr>
        <w:t>A pesar de estas dificultades</w:t>
      </w:r>
      <w:r w:rsidR="008E4B2D" w:rsidRPr="005B0F18">
        <w:rPr>
          <w:bCs/>
          <w:iCs/>
          <w:lang w:val="es-US"/>
        </w:rPr>
        <w:t xml:space="preserve">, el Comité estima conveniente que el Estado analizado considere </w:t>
      </w:r>
      <w:r w:rsidR="00DB3799">
        <w:rPr>
          <w:b/>
          <w:iCs/>
          <w:u w:val="single"/>
          <w:lang w:val="es-US"/>
        </w:rPr>
        <w:t>recopilar estadísticas</w:t>
      </w:r>
      <w:r w:rsidR="008E4B2D" w:rsidRPr="005B0F18">
        <w:rPr>
          <w:bCs/>
          <w:iCs/>
          <w:lang w:val="es-US"/>
        </w:rPr>
        <w:t xml:space="preserve">, como se </w:t>
      </w:r>
      <w:r w:rsidR="002D739D" w:rsidRPr="005B0F18">
        <w:rPr>
          <w:bCs/>
          <w:iCs/>
          <w:lang w:val="es-US"/>
        </w:rPr>
        <w:t>suministró en la</w:t>
      </w:r>
      <w:r w:rsidR="008E4B2D" w:rsidRPr="005B0F18">
        <w:rPr>
          <w:bCs/>
          <w:iCs/>
          <w:lang w:val="es-US"/>
        </w:rPr>
        <w:t xml:space="preserve"> Tercera Ronda, en relación con las solicitudes de extradición recibidas de los Estados Parte de la Convención, así como las presentadas a los Estados Parte de la Convención. El Comité formulará recomendaciones al respecto. (Véanse las </w:t>
      </w:r>
      <w:r w:rsidR="008E4B2D" w:rsidRPr="005B0F18">
        <w:rPr>
          <w:iCs/>
          <w:lang w:val="es-US"/>
        </w:rPr>
        <w:t>recomendaciones</w:t>
      </w:r>
      <w:r w:rsidR="008E4B2D" w:rsidRPr="005B0F18">
        <w:rPr>
          <w:bCs/>
          <w:iCs/>
          <w:lang w:val="es-US"/>
        </w:rPr>
        <w:t xml:space="preserve"> 6.4.1 y 6.4.2 en la sección 4.4 del Capítulo II del presente Informe).</w:t>
      </w:r>
    </w:p>
    <w:p w14:paraId="336D076A" w14:textId="77777777" w:rsidR="00984667" w:rsidRPr="005B0F18" w:rsidRDefault="00984667" w:rsidP="00984667">
      <w:pPr>
        <w:rPr>
          <w:rFonts w:eastAsiaTheme="minorEastAsia"/>
          <w:color w:val="000000" w:themeColor="text1"/>
          <w:sz w:val="22"/>
          <w:szCs w:val="22"/>
          <w:lang w:val="es-US"/>
        </w:rPr>
      </w:pPr>
    </w:p>
    <w:p w14:paraId="78C24DF0" w14:textId="32D8A57E" w:rsidR="00984667" w:rsidRPr="005B0F18" w:rsidRDefault="0032552E" w:rsidP="004F0439">
      <w:pPr>
        <w:pStyle w:val="ListParagraph"/>
        <w:numPr>
          <w:ilvl w:val="1"/>
          <w:numId w:val="10"/>
        </w:numPr>
        <w:ind w:left="720"/>
        <w:jc w:val="both"/>
        <w:rPr>
          <w:b/>
          <w:lang w:val="es-US" w:eastAsia="es-ES"/>
        </w:rPr>
      </w:pPr>
      <w:r w:rsidRPr="005B0F18">
        <w:rPr>
          <w:b/>
          <w:lang w:val="es-US" w:eastAsia="es-ES"/>
        </w:rPr>
        <w:t>Recomendaciones</w:t>
      </w:r>
      <w:r w:rsidR="00984667" w:rsidRPr="005B0F18">
        <w:rPr>
          <w:b/>
          <w:lang w:val="es-US" w:eastAsia="es-ES"/>
        </w:rPr>
        <w:t>.</w:t>
      </w:r>
    </w:p>
    <w:p w14:paraId="5134E79F" w14:textId="77777777" w:rsidR="00984667" w:rsidRPr="005B0F18" w:rsidRDefault="00984667" w:rsidP="00984667">
      <w:pPr>
        <w:pStyle w:val="ListParagraph"/>
        <w:rPr>
          <w:color w:val="000000" w:themeColor="text1"/>
          <w:lang w:val="es-US"/>
        </w:rPr>
      </w:pPr>
    </w:p>
    <w:p w14:paraId="75A6AD21" w14:textId="0FF9E4C8" w:rsidR="00984667" w:rsidRPr="005B0F18" w:rsidRDefault="001A20A7" w:rsidP="00984667">
      <w:pPr>
        <w:pStyle w:val="ListParagraph"/>
        <w:numPr>
          <w:ilvl w:val="0"/>
          <w:numId w:val="1"/>
        </w:numPr>
        <w:suppressAutoHyphens/>
        <w:jc w:val="both"/>
        <w:rPr>
          <w:bCs/>
          <w:lang w:val="es-US"/>
        </w:rPr>
      </w:pPr>
      <w:r w:rsidRPr="005B0F18">
        <w:rPr>
          <w:iCs/>
          <w:lang w:val="es-US"/>
        </w:rPr>
        <w:t>En vista de las observaciones formuladas en la sección 6.3 del capítulo II de este informe, el Comité sugiere que el Estado analizado considere las siguientes recomendaciones</w:t>
      </w:r>
      <w:r w:rsidR="00984667" w:rsidRPr="005B0F18">
        <w:rPr>
          <w:lang w:val="es-US"/>
        </w:rPr>
        <w:t>:</w:t>
      </w:r>
    </w:p>
    <w:p w14:paraId="164CBA2F" w14:textId="77777777" w:rsidR="00984667" w:rsidRPr="005B0F18" w:rsidRDefault="00984667" w:rsidP="00984667">
      <w:pPr>
        <w:pStyle w:val="ListParagraph"/>
        <w:ind w:left="10"/>
        <w:jc w:val="both"/>
        <w:rPr>
          <w:lang w:val="es-US"/>
        </w:rPr>
      </w:pPr>
    </w:p>
    <w:p w14:paraId="188F65D5" w14:textId="252BDC68" w:rsidR="00984667" w:rsidRPr="005B0F18" w:rsidRDefault="00395244" w:rsidP="004F0439">
      <w:pPr>
        <w:pStyle w:val="ListParagraph"/>
        <w:numPr>
          <w:ilvl w:val="2"/>
          <w:numId w:val="15"/>
        </w:numPr>
        <w:ind w:left="1440"/>
        <w:jc w:val="both"/>
        <w:rPr>
          <w:bCs/>
          <w:lang w:val="es-US"/>
        </w:rPr>
      </w:pPr>
      <w:r w:rsidRPr="00D85301">
        <w:rPr>
          <w:b/>
          <w:iCs/>
          <w:u w:val="single"/>
          <w:lang w:val="es-US"/>
        </w:rPr>
        <w:t>Recopilar estadísticas</w:t>
      </w:r>
      <w:r w:rsidRPr="006933D2" w:rsidDel="006933D2">
        <w:rPr>
          <w:bCs/>
          <w:iCs/>
          <w:lang w:val="es-US"/>
        </w:rPr>
        <w:t xml:space="preserve"> </w:t>
      </w:r>
      <w:r w:rsidR="00CB7881" w:rsidRPr="005B0F18">
        <w:rPr>
          <w:lang w:val="es-US"/>
        </w:rPr>
        <w:t>cuando Estados Unidos recibe una solicitud de extradición de un Estado Parte de la Convención Interamericana contra la Corrupción</w:t>
      </w:r>
      <w:r w:rsidR="002A5E94" w:rsidRPr="005B0F18">
        <w:rPr>
          <w:lang w:val="es-US"/>
        </w:rPr>
        <w:t>.</w:t>
      </w:r>
      <w:r w:rsidR="00984667" w:rsidRPr="005B0F18">
        <w:rPr>
          <w:lang w:val="es-US"/>
        </w:rPr>
        <w:t xml:space="preserve"> </w:t>
      </w:r>
      <w:r w:rsidR="0083418B" w:rsidRPr="005B0F18">
        <w:rPr>
          <w:bCs/>
          <w:iCs/>
          <w:color w:val="000000" w:themeColor="text1"/>
          <w:lang w:val="es-US"/>
        </w:rPr>
        <w:t xml:space="preserve">(véase el </w:t>
      </w:r>
      <w:r w:rsidR="0083418B" w:rsidRPr="005B0F18">
        <w:rPr>
          <w:color w:val="000000" w:themeColor="text1"/>
          <w:lang w:val="es-US"/>
        </w:rPr>
        <w:t>párrafo</w:t>
      </w:r>
      <w:r w:rsidR="0083418B" w:rsidRPr="005B0F18">
        <w:rPr>
          <w:bCs/>
          <w:iCs/>
          <w:color w:val="000000" w:themeColor="text1"/>
          <w:lang w:val="es-US"/>
        </w:rPr>
        <w:t xml:space="preserve"> 18</w:t>
      </w:r>
      <w:r w:rsidR="00CB5180">
        <w:rPr>
          <w:bCs/>
          <w:iCs/>
          <w:color w:val="000000" w:themeColor="text1"/>
          <w:lang w:val="es-US"/>
        </w:rPr>
        <w:t>7</w:t>
      </w:r>
      <w:r w:rsidR="0083418B" w:rsidRPr="005B0F18">
        <w:rPr>
          <w:bCs/>
          <w:iCs/>
          <w:color w:val="000000" w:themeColor="text1"/>
          <w:lang w:val="es-US"/>
        </w:rPr>
        <w:t xml:space="preserve"> de la sección 6.</w:t>
      </w:r>
      <w:r w:rsidR="00BD0793">
        <w:rPr>
          <w:bCs/>
          <w:iCs/>
          <w:color w:val="000000" w:themeColor="text1"/>
          <w:lang w:val="es-US"/>
        </w:rPr>
        <w:t>3</w:t>
      </w:r>
      <w:r w:rsidR="0083418B" w:rsidRPr="005B0F18">
        <w:rPr>
          <w:bCs/>
          <w:iCs/>
          <w:color w:val="000000" w:themeColor="text1"/>
          <w:lang w:val="es-US"/>
        </w:rPr>
        <w:t xml:space="preserve"> del Capítulo II del presente Informe)</w:t>
      </w:r>
    </w:p>
    <w:p w14:paraId="50425E2A" w14:textId="77777777" w:rsidR="00984667" w:rsidRPr="005B0F18" w:rsidRDefault="00984667" w:rsidP="00984667">
      <w:pPr>
        <w:pStyle w:val="ListParagraph"/>
        <w:ind w:left="1440"/>
        <w:jc w:val="both"/>
        <w:rPr>
          <w:bCs/>
          <w:lang w:val="es-US"/>
        </w:rPr>
      </w:pPr>
    </w:p>
    <w:p w14:paraId="5289C58A" w14:textId="653DECAB" w:rsidR="00074A1E" w:rsidRPr="005B0F18" w:rsidRDefault="00395244" w:rsidP="004F0439">
      <w:pPr>
        <w:pStyle w:val="ListParagraph"/>
        <w:numPr>
          <w:ilvl w:val="2"/>
          <w:numId w:val="15"/>
        </w:numPr>
        <w:ind w:left="1440"/>
        <w:jc w:val="both"/>
        <w:rPr>
          <w:bCs/>
          <w:lang w:val="es-US"/>
        </w:rPr>
      </w:pPr>
      <w:r w:rsidRPr="00D85301">
        <w:rPr>
          <w:b/>
          <w:iCs/>
          <w:u w:val="single"/>
          <w:lang w:val="es-US"/>
        </w:rPr>
        <w:t>Recopilar estadística</w:t>
      </w:r>
      <w:r w:rsidR="00D85301" w:rsidRPr="00D85301">
        <w:rPr>
          <w:b/>
          <w:iCs/>
          <w:u w:val="single"/>
          <w:lang w:val="es-US"/>
        </w:rPr>
        <w:t>s</w:t>
      </w:r>
      <w:r w:rsidR="0083418B" w:rsidRPr="005B0F18">
        <w:rPr>
          <w:lang w:val="es-US"/>
        </w:rPr>
        <w:t xml:space="preserve"> cuando Estados Unidos realiza una solicitud de extradición a un Estado Parte de la Convención Interamericana contra la Corrupción</w:t>
      </w:r>
      <w:r w:rsidR="00074A1E" w:rsidRPr="005B0F18">
        <w:rPr>
          <w:lang w:val="es-US"/>
        </w:rPr>
        <w:t xml:space="preserve">. </w:t>
      </w:r>
      <w:r w:rsidR="0083418B" w:rsidRPr="005B0F18">
        <w:rPr>
          <w:bCs/>
          <w:iCs/>
          <w:color w:val="000000" w:themeColor="text1"/>
          <w:lang w:val="es-US"/>
        </w:rPr>
        <w:t xml:space="preserve">(véase el </w:t>
      </w:r>
      <w:r w:rsidR="0083418B" w:rsidRPr="005B0F18">
        <w:rPr>
          <w:color w:val="000000" w:themeColor="text1"/>
          <w:lang w:val="es-US"/>
        </w:rPr>
        <w:t>párrafo</w:t>
      </w:r>
      <w:r w:rsidR="0083418B" w:rsidRPr="005B0F18">
        <w:rPr>
          <w:bCs/>
          <w:iCs/>
          <w:color w:val="000000" w:themeColor="text1"/>
          <w:lang w:val="es-US"/>
        </w:rPr>
        <w:t xml:space="preserve"> 18</w:t>
      </w:r>
      <w:r w:rsidR="00CB5180">
        <w:rPr>
          <w:bCs/>
          <w:iCs/>
          <w:color w:val="000000" w:themeColor="text1"/>
          <w:lang w:val="es-US"/>
        </w:rPr>
        <w:t>7</w:t>
      </w:r>
      <w:r w:rsidR="0083418B" w:rsidRPr="005B0F18">
        <w:rPr>
          <w:bCs/>
          <w:iCs/>
          <w:color w:val="000000" w:themeColor="text1"/>
          <w:lang w:val="es-US"/>
        </w:rPr>
        <w:t xml:space="preserve"> de la sección 6.</w:t>
      </w:r>
      <w:r w:rsidR="00BD0793">
        <w:rPr>
          <w:bCs/>
          <w:iCs/>
          <w:color w:val="000000" w:themeColor="text1"/>
          <w:lang w:val="es-US"/>
        </w:rPr>
        <w:t>3</w:t>
      </w:r>
      <w:r w:rsidR="0083418B" w:rsidRPr="005B0F18">
        <w:rPr>
          <w:bCs/>
          <w:iCs/>
          <w:color w:val="000000" w:themeColor="text1"/>
          <w:lang w:val="es-US"/>
        </w:rPr>
        <w:t xml:space="preserve"> del Capítulo II del presente Informe)</w:t>
      </w:r>
    </w:p>
    <w:p w14:paraId="70C7EFF0" w14:textId="77777777" w:rsidR="00984667" w:rsidRPr="00282A68" w:rsidRDefault="00984667" w:rsidP="00984667">
      <w:pPr>
        <w:rPr>
          <w:iCs/>
          <w:sz w:val="22"/>
          <w:szCs w:val="22"/>
          <w:lang w:val="es-US"/>
        </w:rPr>
      </w:pPr>
    </w:p>
    <w:p w14:paraId="319F5268" w14:textId="6D2135A2" w:rsidR="009A5A72" w:rsidRPr="00282A68" w:rsidRDefault="00B633E8" w:rsidP="009A5A72">
      <w:pPr>
        <w:numPr>
          <w:ilvl w:val="0"/>
          <w:numId w:val="3"/>
        </w:numPr>
        <w:tabs>
          <w:tab w:val="clear" w:pos="1080"/>
          <w:tab w:val="num" w:pos="360"/>
        </w:tabs>
        <w:ind w:left="360" w:hanging="360"/>
        <w:jc w:val="both"/>
        <w:rPr>
          <w:b/>
          <w:sz w:val="22"/>
          <w:szCs w:val="22"/>
          <w:lang w:val="es-US"/>
        </w:rPr>
      </w:pPr>
      <w:r w:rsidRPr="00282A68">
        <w:rPr>
          <w:b/>
          <w:sz w:val="22"/>
          <w:szCs w:val="22"/>
          <w:lang w:val="es-US"/>
        </w:rPr>
        <w:t>ANÁLISIS, CONCLUSIONES Y RECOMENDACIONES DE LA IMPLEMENTACIÓN POR EL ESTADO PARTE DE LA DISPOSICIÓN DE LA CONVENCIÓN SELECCIONADA PARA LA SEXTA RONDA</w:t>
      </w:r>
      <w:r w:rsidR="009A5A72" w:rsidRPr="00282A68">
        <w:rPr>
          <w:b/>
          <w:sz w:val="22"/>
          <w:szCs w:val="22"/>
          <w:lang w:val="es-US"/>
        </w:rPr>
        <w:t xml:space="preserve"> </w:t>
      </w:r>
    </w:p>
    <w:p w14:paraId="48293067" w14:textId="375E6434" w:rsidR="009A5A72" w:rsidRPr="00282A68" w:rsidRDefault="009A5A72" w:rsidP="009A5A72">
      <w:pPr>
        <w:suppressAutoHyphens/>
        <w:spacing w:before="220" w:after="220"/>
        <w:ind w:right="-29"/>
        <w:jc w:val="both"/>
        <w:rPr>
          <w:b/>
          <w:sz w:val="22"/>
          <w:szCs w:val="22"/>
          <w:lang w:val="es-US"/>
        </w:rPr>
      </w:pPr>
      <w:r w:rsidRPr="00282A68">
        <w:rPr>
          <w:b/>
          <w:sz w:val="22"/>
          <w:szCs w:val="22"/>
          <w:lang w:val="es-US"/>
        </w:rPr>
        <w:t xml:space="preserve">1. </w:t>
      </w:r>
      <w:r w:rsidR="00E10EEB" w:rsidRPr="00282A68">
        <w:rPr>
          <w:b/>
          <w:sz w:val="22"/>
          <w:szCs w:val="22"/>
          <w:lang w:val="es-US"/>
        </w:rPr>
        <w:t>SECRETO BANCARIO (ARTÍCULO XVI DE LA CONVENCIÓN)</w:t>
      </w:r>
      <w:r w:rsidRPr="00282A68">
        <w:rPr>
          <w:b/>
          <w:sz w:val="22"/>
          <w:szCs w:val="22"/>
          <w:lang w:val="es-US"/>
        </w:rPr>
        <w:t xml:space="preserve"> </w:t>
      </w:r>
    </w:p>
    <w:p w14:paraId="6F32CA57" w14:textId="5E993165" w:rsidR="009A5A72" w:rsidRPr="00282A68" w:rsidRDefault="009A5A72" w:rsidP="009A5A72">
      <w:pPr>
        <w:suppressAutoHyphens/>
        <w:spacing w:before="220" w:after="220"/>
        <w:ind w:left="720" w:right="-29" w:hanging="360"/>
        <w:jc w:val="both"/>
        <w:rPr>
          <w:sz w:val="22"/>
          <w:szCs w:val="22"/>
          <w:u w:val="single"/>
          <w:lang w:val="es-US"/>
        </w:rPr>
      </w:pPr>
      <w:r w:rsidRPr="00282A68">
        <w:rPr>
          <w:b/>
          <w:sz w:val="22"/>
          <w:szCs w:val="22"/>
          <w:lang w:val="es-US"/>
        </w:rPr>
        <w:t xml:space="preserve">1.1 </w:t>
      </w:r>
      <w:r w:rsidR="006E290C" w:rsidRPr="00282A68">
        <w:rPr>
          <w:b/>
          <w:bCs/>
          <w:sz w:val="22"/>
          <w:szCs w:val="22"/>
          <w:lang w:val="es-US"/>
        </w:rPr>
        <w:t>Existencia y previsiones de un marco jurídico y/o de otras medidas</w:t>
      </w:r>
    </w:p>
    <w:p w14:paraId="0A894D2A" w14:textId="2B22BA32" w:rsidR="009A5A72" w:rsidRPr="00282A68" w:rsidRDefault="0081045D" w:rsidP="009A5A72">
      <w:pPr>
        <w:pStyle w:val="ListParagraph"/>
        <w:numPr>
          <w:ilvl w:val="0"/>
          <w:numId w:val="1"/>
        </w:numPr>
        <w:suppressAutoHyphens/>
        <w:jc w:val="both"/>
        <w:rPr>
          <w:lang w:val="es-US"/>
        </w:rPr>
      </w:pPr>
      <w:r w:rsidRPr="00282A68">
        <w:rPr>
          <w:lang w:val="es-US"/>
        </w:rPr>
        <w:t>Estados Unidos cuenta con un conjunto de disposiciones relacionadas con el secreto bancario, entre las que destacan las siguientes</w:t>
      </w:r>
      <w:r w:rsidR="009A5A72" w:rsidRPr="00282A68">
        <w:rPr>
          <w:lang w:val="es-US"/>
        </w:rPr>
        <w:t>:</w:t>
      </w:r>
      <w:r w:rsidR="009A5A72" w:rsidRPr="00282A68">
        <w:rPr>
          <w:rStyle w:val="FootnoteReference"/>
          <w:lang w:val="es-US"/>
        </w:rPr>
        <w:footnoteReference w:id="123"/>
      </w:r>
    </w:p>
    <w:p w14:paraId="50620AC4" w14:textId="77777777" w:rsidR="009A5A72" w:rsidRPr="00282A68" w:rsidRDefault="009A5A72" w:rsidP="009A5A72">
      <w:pPr>
        <w:pStyle w:val="ListParagraph"/>
        <w:suppressAutoHyphens/>
        <w:ind w:left="10"/>
        <w:jc w:val="both"/>
        <w:rPr>
          <w:lang w:val="es-US"/>
        </w:rPr>
      </w:pPr>
    </w:p>
    <w:p w14:paraId="34F9404B" w14:textId="0C7F7671" w:rsidR="008F1B5A" w:rsidRDefault="009A5A72" w:rsidP="0025276D">
      <w:pPr>
        <w:pStyle w:val="ListParagraph"/>
        <w:numPr>
          <w:ilvl w:val="0"/>
          <w:numId w:val="1"/>
        </w:numPr>
        <w:suppressAutoHyphens/>
        <w:jc w:val="both"/>
        <w:rPr>
          <w:lang w:val="es-US"/>
        </w:rPr>
      </w:pPr>
      <w:r w:rsidRPr="005B0F18">
        <w:rPr>
          <w:lang w:val="es-US"/>
        </w:rPr>
        <w:t xml:space="preserve">– </w:t>
      </w:r>
      <w:r w:rsidR="00254787" w:rsidRPr="005B0F18">
        <w:rPr>
          <w:bCs/>
          <w:iCs/>
          <w:lang w:val="es-US"/>
        </w:rPr>
        <w:t>La Ley sobre el Derecho a la Privacidad Financiera (</w:t>
      </w:r>
      <w:proofErr w:type="spellStart"/>
      <w:r w:rsidR="00254787" w:rsidRPr="005B0F18">
        <w:rPr>
          <w:bCs/>
          <w:iCs/>
          <w:lang w:val="es-US"/>
        </w:rPr>
        <w:t>Right</w:t>
      </w:r>
      <w:proofErr w:type="spellEnd"/>
      <w:r w:rsidR="00254787" w:rsidRPr="005B0F18">
        <w:rPr>
          <w:bCs/>
          <w:iCs/>
          <w:lang w:val="es-US"/>
        </w:rPr>
        <w:t xml:space="preserve"> </w:t>
      </w:r>
      <w:proofErr w:type="spellStart"/>
      <w:r w:rsidR="00254787" w:rsidRPr="005B0F18">
        <w:rPr>
          <w:bCs/>
          <w:iCs/>
          <w:lang w:val="es-US"/>
        </w:rPr>
        <w:t>to</w:t>
      </w:r>
      <w:proofErr w:type="spellEnd"/>
      <w:r w:rsidR="00254787" w:rsidRPr="005B0F18">
        <w:rPr>
          <w:bCs/>
          <w:iCs/>
          <w:lang w:val="es-US"/>
        </w:rPr>
        <w:t xml:space="preserve"> </w:t>
      </w:r>
      <w:proofErr w:type="spellStart"/>
      <w:r w:rsidR="00254787" w:rsidRPr="005B0F18">
        <w:rPr>
          <w:bCs/>
          <w:iCs/>
          <w:lang w:val="es-US"/>
        </w:rPr>
        <w:t>Financial</w:t>
      </w:r>
      <w:proofErr w:type="spellEnd"/>
      <w:r w:rsidR="00254787" w:rsidRPr="005B0F18">
        <w:rPr>
          <w:bCs/>
          <w:iCs/>
          <w:lang w:val="es-US"/>
        </w:rPr>
        <w:t xml:space="preserve"> </w:t>
      </w:r>
      <w:proofErr w:type="spellStart"/>
      <w:r w:rsidR="00254787" w:rsidRPr="005B0F18">
        <w:rPr>
          <w:bCs/>
          <w:iCs/>
          <w:lang w:val="es-US"/>
        </w:rPr>
        <w:t>Privacy</w:t>
      </w:r>
      <w:proofErr w:type="spellEnd"/>
      <w:r w:rsidR="00254787" w:rsidRPr="005B0F18">
        <w:rPr>
          <w:bCs/>
          <w:iCs/>
          <w:lang w:val="es-US"/>
        </w:rPr>
        <w:t xml:space="preserve"> </w:t>
      </w:r>
      <w:proofErr w:type="spellStart"/>
      <w:r w:rsidR="00254787" w:rsidRPr="005B0F18">
        <w:rPr>
          <w:bCs/>
          <w:iCs/>
          <w:lang w:val="es-US"/>
        </w:rPr>
        <w:t>Act</w:t>
      </w:r>
      <w:proofErr w:type="spellEnd"/>
      <w:r w:rsidR="00254787" w:rsidRPr="005B0F18">
        <w:rPr>
          <w:bCs/>
          <w:iCs/>
          <w:lang w:val="es-US"/>
        </w:rPr>
        <w:t>)</w:t>
      </w:r>
      <w:r w:rsidR="00BD697E" w:rsidRPr="005B0F18">
        <w:rPr>
          <w:rStyle w:val="FootnoteReference"/>
          <w:lang w:val="es-US"/>
        </w:rPr>
        <w:footnoteReference w:id="124"/>
      </w:r>
      <w:r w:rsidR="00254787" w:rsidRPr="005B0F18">
        <w:rPr>
          <w:bCs/>
          <w:iCs/>
          <w:lang w:val="es-US"/>
        </w:rPr>
        <w:t>,</w:t>
      </w:r>
      <w:r w:rsidR="008F1B5A" w:rsidRPr="005B0F18">
        <w:rPr>
          <w:lang w:val="es-US"/>
        </w:rPr>
        <w:t xml:space="preserve"> </w:t>
      </w:r>
      <w:r w:rsidR="00064C16" w:rsidRPr="005B0F18">
        <w:rPr>
          <w:bCs/>
          <w:iCs/>
          <w:lang w:val="es-US"/>
        </w:rPr>
        <w:t xml:space="preserve">de acuerdo con </w:t>
      </w:r>
      <w:r w:rsidR="00064C16" w:rsidRPr="005B0F18">
        <w:rPr>
          <w:lang w:val="es-US"/>
        </w:rPr>
        <w:t>la Sección</w:t>
      </w:r>
      <w:r w:rsidR="00064C16" w:rsidRPr="005B0F18">
        <w:rPr>
          <w:bCs/>
          <w:iCs/>
          <w:lang w:val="es-US"/>
        </w:rPr>
        <w:t xml:space="preserve"> 3402 del Título 12 del Código de Estados Unidos (U.S.C.), establece que ninguna autoridad gubernamental podrá acceder a los registros financieros de ningún cliente de una institución financiera ni obtener copias de ellos o de la información contenida en ellos, excepto si estos registros financieros están razonablemente descritos y autorizados por el cliente o se obtienen mediante una citación administrativa, una orden de</w:t>
      </w:r>
      <w:r w:rsidR="00064C16" w:rsidRPr="0054512D">
        <w:rPr>
          <w:b/>
          <w:iCs/>
          <w:u w:val="single"/>
          <w:lang w:val="es-US"/>
        </w:rPr>
        <w:t xml:space="preserve"> </w:t>
      </w:r>
      <w:r w:rsidR="008E2ED3" w:rsidRPr="0054512D">
        <w:rPr>
          <w:b/>
          <w:iCs/>
          <w:u w:val="single"/>
          <w:lang w:val="es-US"/>
        </w:rPr>
        <w:t>registro</w:t>
      </w:r>
      <w:r w:rsidR="00064C16" w:rsidRPr="005B0F18">
        <w:rPr>
          <w:bCs/>
          <w:iCs/>
          <w:lang w:val="es-US"/>
        </w:rPr>
        <w:t xml:space="preserve">, una </w:t>
      </w:r>
      <w:r w:rsidR="00B17B89" w:rsidRPr="00B17B89">
        <w:rPr>
          <w:b/>
          <w:iCs/>
          <w:u w:val="single"/>
          <w:lang w:val="es-US"/>
        </w:rPr>
        <w:t>autorización</w:t>
      </w:r>
      <w:r w:rsidR="00064C16" w:rsidRPr="005B0F18">
        <w:rPr>
          <w:bCs/>
          <w:iCs/>
          <w:lang w:val="es-US"/>
        </w:rPr>
        <w:t xml:space="preserve"> judicial o una solicitud formal por escrito</w:t>
      </w:r>
      <w:r w:rsidR="0025276D" w:rsidRPr="005B0F18">
        <w:rPr>
          <w:rStyle w:val="FootnoteReference"/>
          <w:lang w:val="es-US"/>
        </w:rPr>
        <w:footnoteReference w:id="125"/>
      </w:r>
      <w:r w:rsidR="00064C16" w:rsidRPr="005B0F18">
        <w:rPr>
          <w:bCs/>
          <w:iCs/>
          <w:lang w:val="es-US"/>
        </w:rPr>
        <w:t>.</w:t>
      </w:r>
      <w:r w:rsidR="00BD697E" w:rsidRPr="005B0F18">
        <w:rPr>
          <w:lang w:val="es-US"/>
        </w:rPr>
        <w:t xml:space="preserve"> </w:t>
      </w:r>
    </w:p>
    <w:p w14:paraId="735BDEE3" w14:textId="77777777" w:rsidR="000D0179" w:rsidRPr="000D0179" w:rsidRDefault="000D0179" w:rsidP="000D0179">
      <w:pPr>
        <w:pStyle w:val="ListParagraph"/>
        <w:rPr>
          <w:lang w:val="es-US"/>
        </w:rPr>
      </w:pPr>
    </w:p>
    <w:p w14:paraId="46C096C2" w14:textId="657E58B5" w:rsidR="000C064F" w:rsidRPr="000D0179" w:rsidRDefault="000D0179" w:rsidP="000D0179">
      <w:pPr>
        <w:pStyle w:val="ListParagraph"/>
        <w:numPr>
          <w:ilvl w:val="0"/>
          <w:numId w:val="1"/>
        </w:numPr>
        <w:suppressAutoHyphens/>
        <w:spacing w:before="60" w:after="60"/>
        <w:jc w:val="both"/>
        <w:rPr>
          <w:lang w:val="es-US"/>
        </w:rPr>
      </w:pPr>
      <w:r w:rsidRPr="000D0179">
        <w:rPr>
          <w:bCs/>
          <w:iCs/>
          <w:lang w:val="es-US"/>
        </w:rPr>
        <w:t>A este respecto, el Estado analizado señala que ha adoptado ante sus tribunales la postura de que no se puede negar la asistencia con base en las disposiciones sobre privacidad de la legislación bancaria</w:t>
      </w:r>
      <w:r w:rsidRPr="000D0179">
        <w:rPr>
          <w:rStyle w:val="FootnoteReference"/>
          <w:lang w:val="es-US"/>
        </w:rPr>
        <w:footnoteReference w:id="126"/>
      </w:r>
      <w:r w:rsidRPr="000D0179">
        <w:rPr>
          <w:bCs/>
          <w:iCs/>
          <w:lang w:val="es-US"/>
        </w:rPr>
        <w:t>,</w:t>
      </w:r>
      <w:r w:rsidRPr="000D0179">
        <w:rPr>
          <w:lang w:val="es-US"/>
        </w:rPr>
        <w:t xml:space="preserve"> </w:t>
      </w:r>
      <w:r w:rsidRPr="000D0179">
        <w:rPr>
          <w:bCs/>
          <w:iCs/>
          <w:lang w:val="es-US"/>
        </w:rPr>
        <w:t xml:space="preserve">ya que la jurisprudencia sostiene que la Ley sobre el Derecho a la Privacidad Financiera no se aplica a la ejecución de solicitudes extranjeras de asistencia mutua en materia penal: Young v. U.S. </w:t>
      </w:r>
      <w:proofErr w:type="spellStart"/>
      <w:r w:rsidRPr="000D0179">
        <w:rPr>
          <w:bCs/>
          <w:iCs/>
          <w:lang w:val="es-US"/>
        </w:rPr>
        <w:t>Dept</w:t>
      </w:r>
      <w:proofErr w:type="spellEnd"/>
      <w:r w:rsidRPr="000D0179">
        <w:rPr>
          <w:bCs/>
          <w:iCs/>
          <w:lang w:val="es-US"/>
        </w:rPr>
        <w:t xml:space="preserve">. of </w:t>
      </w:r>
      <w:proofErr w:type="spellStart"/>
      <w:r w:rsidRPr="000D0179">
        <w:rPr>
          <w:bCs/>
          <w:iCs/>
          <w:lang w:val="es-US"/>
        </w:rPr>
        <w:t>Justice</w:t>
      </w:r>
      <w:proofErr w:type="spellEnd"/>
      <w:r w:rsidRPr="000D0179">
        <w:rPr>
          <w:bCs/>
          <w:iCs/>
          <w:lang w:val="es-US"/>
        </w:rPr>
        <w:t xml:space="preserve">, 882 F.2 d 633, 639 (2d Cir. 1989), </w:t>
      </w:r>
      <w:proofErr w:type="spellStart"/>
      <w:r w:rsidRPr="000D0179">
        <w:rPr>
          <w:bCs/>
          <w:iCs/>
          <w:lang w:val="es-US"/>
        </w:rPr>
        <w:t>cert</w:t>
      </w:r>
      <w:proofErr w:type="spellEnd"/>
      <w:r w:rsidRPr="000D0179">
        <w:rPr>
          <w:bCs/>
          <w:iCs/>
          <w:lang w:val="es-US"/>
        </w:rPr>
        <w:t xml:space="preserve">. </w:t>
      </w:r>
      <w:proofErr w:type="spellStart"/>
      <w:r w:rsidRPr="000D0179">
        <w:rPr>
          <w:bCs/>
          <w:iCs/>
          <w:lang w:val="es-US"/>
        </w:rPr>
        <w:t>denied</w:t>
      </w:r>
      <w:proofErr w:type="spellEnd"/>
      <w:r w:rsidRPr="000D0179">
        <w:rPr>
          <w:bCs/>
          <w:iCs/>
          <w:lang w:val="es-US"/>
        </w:rPr>
        <w:t xml:space="preserve">, 493 U.S. 1072 (1990); e In re </w:t>
      </w:r>
      <w:proofErr w:type="spellStart"/>
      <w:r w:rsidRPr="000D0179">
        <w:rPr>
          <w:bCs/>
          <w:iCs/>
          <w:lang w:val="es-US"/>
        </w:rPr>
        <w:t>Letters</w:t>
      </w:r>
      <w:proofErr w:type="spellEnd"/>
      <w:r w:rsidRPr="000D0179">
        <w:rPr>
          <w:bCs/>
          <w:iCs/>
          <w:lang w:val="es-US"/>
        </w:rPr>
        <w:t xml:space="preserve"> of </w:t>
      </w:r>
      <w:proofErr w:type="spellStart"/>
      <w:r w:rsidRPr="000D0179">
        <w:rPr>
          <w:bCs/>
          <w:iCs/>
          <w:lang w:val="es-US"/>
        </w:rPr>
        <w:t>Request</w:t>
      </w:r>
      <w:proofErr w:type="spellEnd"/>
      <w:r w:rsidRPr="000D0179">
        <w:rPr>
          <w:bCs/>
          <w:iCs/>
          <w:lang w:val="es-US"/>
        </w:rPr>
        <w:t xml:space="preserve"> </w:t>
      </w:r>
      <w:proofErr w:type="spellStart"/>
      <w:r w:rsidRPr="000D0179">
        <w:rPr>
          <w:bCs/>
          <w:iCs/>
          <w:lang w:val="es-US"/>
        </w:rPr>
        <w:t>from</w:t>
      </w:r>
      <w:proofErr w:type="spellEnd"/>
      <w:r w:rsidRPr="000D0179">
        <w:rPr>
          <w:bCs/>
          <w:iCs/>
          <w:lang w:val="es-US"/>
        </w:rPr>
        <w:t xml:space="preserve"> the Supreme </w:t>
      </w:r>
      <w:proofErr w:type="spellStart"/>
      <w:r w:rsidRPr="000D0179">
        <w:rPr>
          <w:bCs/>
          <w:iCs/>
          <w:lang w:val="es-US"/>
        </w:rPr>
        <w:t>Court</w:t>
      </w:r>
      <w:proofErr w:type="spellEnd"/>
      <w:r w:rsidRPr="000D0179">
        <w:rPr>
          <w:bCs/>
          <w:iCs/>
          <w:lang w:val="es-US"/>
        </w:rPr>
        <w:t xml:space="preserve"> of Hong Kong, 821 F. </w:t>
      </w:r>
      <w:proofErr w:type="spellStart"/>
      <w:r w:rsidRPr="000D0179">
        <w:rPr>
          <w:bCs/>
          <w:iCs/>
          <w:lang w:val="es-US"/>
        </w:rPr>
        <w:t>Supp</w:t>
      </w:r>
      <w:proofErr w:type="spellEnd"/>
      <w:r w:rsidRPr="000D0179">
        <w:rPr>
          <w:bCs/>
          <w:iCs/>
          <w:lang w:val="es-US"/>
        </w:rPr>
        <w:t xml:space="preserve">. 204, 211 (S.D.N.Y. 1993); In re </w:t>
      </w:r>
      <w:proofErr w:type="spellStart"/>
      <w:r w:rsidRPr="000D0179">
        <w:rPr>
          <w:bCs/>
          <w:iCs/>
          <w:lang w:val="es-US"/>
        </w:rPr>
        <w:t>Letter</w:t>
      </w:r>
      <w:proofErr w:type="spellEnd"/>
      <w:r w:rsidRPr="000D0179">
        <w:rPr>
          <w:bCs/>
          <w:iCs/>
          <w:lang w:val="es-US"/>
        </w:rPr>
        <w:t xml:space="preserve"> of </w:t>
      </w:r>
      <w:proofErr w:type="spellStart"/>
      <w:r w:rsidRPr="000D0179">
        <w:rPr>
          <w:bCs/>
          <w:iCs/>
          <w:lang w:val="es-US"/>
        </w:rPr>
        <w:t>Request</w:t>
      </w:r>
      <w:proofErr w:type="spellEnd"/>
      <w:r w:rsidRPr="000D0179">
        <w:rPr>
          <w:bCs/>
          <w:iCs/>
          <w:lang w:val="es-US"/>
        </w:rPr>
        <w:t xml:space="preserve"> </w:t>
      </w:r>
      <w:proofErr w:type="spellStart"/>
      <w:r w:rsidRPr="000D0179">
        <w:rPr>
          <w:bCs/>
          <w:iCs/>
          <w:lang w:val="es-US"/>
        </w:rPr>
        <w:t>for</w:t>
      </w:r>
      <w:proofErr w:type="spellEnd"/>
      <w:r w:rsidRPr="000D0179">
        <w:rPr>
          <w:bCs/>
          <w:iCs/>
          <w:lang w:val="es-US"/>
        </w:rPr>
        <w:t xml:space="preserve"> Judicial </w:t>
      </w:r>
      <w:proofErr w:type="spellStart"/>
      <w:r w:rsidRPr="000D0179">
        <w:rPr>
          <w:bCs/>
          <w:iCs/>
          <w:lang w:val="es-US"/>
        </w:rPr>
        <w:t>Assistance</w:t>
      </w:r>
      <w:proofErr w:type="spellEnd"/>
      <w:r w:rsidRPr="000D0179">
        <w:rPr>
          <w:bCs/>
          <w:iCs/>
          <w:lang w:val="es-US"/>
        </w:rPr>
        <w:t xml:space="preserve"> </w:t>
      </w:r>
      <w:proofErr w:type="spellStart"/>
      <w:r w:rsidRPr="000D0179">
        <w:rPr>
          <w:bCs/>
          <w:iCs/>
          <w:lang w:val="es-US"/>
        </w:rPr>
        <w:t>from</w:t>
      </w:r>
      <w:proofErr w:type="spellEnd"/>
      <w:r w:rsidRPr="000D0179">
        <w:rPr>
          <w:bCs/>
          <w:iCs/>
          <w:lang w:val="es-US"/>
        </w:rPr>
        <w:t xml:space="preserve"> the Tribunal Civil de Port-Au Prince, </w:t>
      </w:r>
      <w:proofErr w:type="spellStart"/>
      <w:r w:rsidRPr="000D0179">
        <w:rPr>
          <w:bCs/>
          <w:iCs/>
          <w:lang w:val="es-US"/>
        </w:rPr>
        <w:t>Republic</w:t>
      </w:r>
      <w:proofErr w:type="spellEnd"/>
      <w:r w:rsidRPr="000D0179">
        <w:rPr>
          <w:bCs/>
          <w:iCs/>
          <w:lang w:val="es-US"/>
        </w:rPr>
        <w:t xml:space="preserve"> of </w:t>
      </w:r>
      <w:proofErr w:type="spellStart"/>
      <w:r w:rsidRPr="000D0179">
        <w:rPr>
          <w:bCs/>
          <w:iCs/>
          <w:lang w:val="es-US"/>
        </w:rPr>
        <w:t>Haiti</w:t>
      </w:r>
      <w:proofErr w:type="spellEnd"/>
      <w:r w:rsidRPr="000D0179">
        <w:rPr>
          <w:bCs/>
          <w:iCs/>
          <w:lang w:val="es-US"/>
        </w:rPr>
        <w:t xml:space="preserve">, 669 F. </w:t>
      </w:r>
      <w:proofErr w:type="spellStart"/>
      <w:r w:rsidRPr="000D0179">
        <w:rPr>
          <w:bCs/>
          <w:iCs/>
          <w:lang w:val="es-US"/>
        </w:rPr>
        <w:t>Supp</w:t>
      </w:r>
      <w:proofErr w:type="spellEnd"/>
      <w:r w:rsidRPr="000D0179">
        <w:rPr>
          <w:bCs/>
          <w:iCs/>
          <w:lang w:val="es-US"/>
        </w:rPr>
        <w:t>. 403, 407 (S.D. Fla. 1987</w:t>
      </w:r>
      <w:r w:rsidRPr="000D0179">
        <w:rPr>
          <w:lang w:val="es-US"/>
        </w:rPr>
        <w:t>)</w:t>
      </w:r>
      <w:r w:rsidRPr="000D0179">
        <w:rPr>
          <w:rStyle w:val="FootnoteReference"/>
          <w:lang w:val="es-US"/>
        </w:rPr>
        <w:footnoteReference w:id="127"/>
      </w:r>
      <w:r w:rsidRPr="000D0179">
        <w:rPr>
          <w:lang w:val="es-US"/>
        </w:rPr>
        <w:t>.</w:t>
      </w:r>
    </w:p>
    <w:p w14:paraId="024086F6" w14:textId="77777777" w:rsidR="003B731A" w:rsidRDefault="003B731A" w:rsidP="003B731A">
      <w:pPr>
        <w:pStyle w:val="ListParagraph"/>
        <w:suppressAutoHyphens/>
        <w:spacing w:before="60" w:after="60"/>
        <w:ind w:left="10"/>
        <w:jc w:val="both"/>
        <w:rPr>
          <w:lang w:val="es-US"/>
        </w:rPr>
      </w:pPr>
      <w:bookmarkStart w:id="24" w:name="a_3_D"/>
      <w:bookmarkStart w:id="25" w:name="a_2"/>
      <w:bookmarkEnd w:id="24"/>
      <w:bookmarkEnd w:id="25"/>
    </w:p>
    <w:p w14:paraId="047C9AE0" w14:textId="58C7C0E9" w:rsidR="00C673B9" w:rsidRDefault="000628A8" w:rsidP="003F0765">
      <w:pPr>
        <w:pStyle w:val="ListParagraph"/>
        <w:numPr>
          <w:ilvl w:val="0"/>
          <w:numId w:val="1"/>
        </w:numPr>
        <w:suppressAutoHyphens/>
        <w:spacing w:before="60" w:after="60"/>
        <w:jc w:val="both"/>
        <w:rPr>
          <w:lang w:val="es-US"/>
        </w:rPr>
      </w:pPr>
      <w:r w:rsidRPr="005B0F18">
        <w:rPr>
          <w:lang w:val="es-US"/>
        </w:rPr>
        <w:t>–</w:t>
      </w:r>
      <w:r w:rsidR="00584AC6" w:rsidRPr="005B0F18">
        <w:rPr>
          <w:lang w:val="es-US"/>
        </w:rPr>
        <w:t xml:space="preserve"> </w:t>
      </w:r>
      <w:r w:rsidR="00C673B9">
        <w:rPr>
          <w:iCs/>
          <w:color w:val="000000"/>
          <w:lang w:val="es-ES_tradnl"/>
        </w:rPr>
        <w:t>L</w:t>
      </w:r>
      <w:r w:rsidR="00C673B9" w:rsidRPr="00056604">
        <w:rPr>
          <w:iCs/>
          <w:color w:val="000000"/>
          <w:lang w:val="es-ES_tradnl"/>
        </w:rPr>
        <w:t>a Ley de Eficiencia de las Pruebas Extranjeras</w:t>
      </w:r>
      <w:r w:rsidR="00E93984">
        <w:rPr>
          <w:iCs/>
          <w:color w:val="000000"/>
          <w:lang w:val="es-ES_tradnl"/>
        </w:rPr>
        <w:t xml:space="preserve">, </w:t>
      </w:r>
      <w:r w:rsidR="00E93984" w:rsidRPr="00056604">
        <w:rPr>
          <w:iCs/>
          <w:color w:val="000000"/>
          <w:lang w:val="es-ES_tradnl"/>
        </w:rPr>
        <w:t xml:space="preserve">codificada en el Título 18 del </w:t>
      </w:r>
      <w:r w:rsidR="00B31D59">
        <w:rPr>
          <w:iCs/>
          <w:color w:val="000000"/>
          <w:lang w:val="es-ES_tradnl"/>
        </w:rPr>
        <w:t>U.S.C.</w:t>
      </w:r>
      <w:r w:rsidR="00E93984" w:rsidRPr="00056604">
        <w:rPr>
          <w:iCs/>
          <w:color w:val="000000"/>
          <w:lang w:val="es-ES_tradnl"/>
        </w:rPr>
        <w:t>, sección 3512, que autoriza a un juez federal a emitir “las órdenes que sean necesarias para ejecutar [la] solicitud”, entre ellas: (1) órdenes de registro en virtud de</w:t>
      </w:r>
      <w:r w:rsidR="00B65A9C">
        <w:rPr>
          <w:iCs/>
          <w:color w:val="000000"/>
          <w:lang w:val="es-ES_tradnl"/>
        </w:rPr>
        <w:t xml:space="preserve"> Norma 41 de</w:t>
      </w:r>
      <w:r w:rsidR="00E93984" w:rsidRPr="00056604">
        <w:rPr>
          <w:iCs/>
          <w:color w:val="000000"/>
          <w:lang w:val="es-ES_tradnl"/>
        </w:rPr>
        <w:t xml:space="preserve"> la</w:t>
      </w:r>
      <w:r w:rsidR="00B65A9C">
        <w:rPr>
          <w:iCs/>
          <w:color w:val="000000"/>
          <w:lang w:val="es-ES_tradnl"/>
        </w:rPr>
        <w:t>s</w:t>
      </w:r>
      <w:r w:rsidR="00E93984" w:rsidRPr="00056604">
        <w:rPr>
          <w:iCs/>
          <w:color w:val="000000"/>
          <w:lang w:val="es-ES_tradnl"/>
        </w:rPr>
        <w:t xml:space="preserve"> </w:t>
      </w:r>
      <w:r w:rsidR="00A87407">
        <w:rPr>
          <w:iCs/>
          <w:color w:val="000000"/>
          <w:lang w:val="es-ES_tradnl"/>
        </w:rPr>
        <w:t xml:space="preserve">Normas </w:t>
      </w:r>
      <w:r w:rsidR="009E72C1">
        <w:rPr>
          <w:iCs/>
          <w:color w:val="000000"/>
          <w:lang w:val="es-ES_tradnl"/>
        </w:rPr>
        <w:t>Federales</w:t>
      </w:r>
      <w:r w:rsidR="00A87407">
        <w:rPr>
          <w:iCs/>
          <w:color w:val="000000"/>
          <w:lang w:val="es-ES_tradnl"/>
        </w:rPr>
        <w:t xml:space="preserve"> </w:t>
      </w:r>
      <w:r w:rsidR="009E72C1">
        <w:rPr>
          <w:iCs/>
          <w:color w:val="000000"/>
          <w:lang w:val="es-ES_tradnl"/>
        </w:rPr>
        <w:t>del Procedimiento Penal</w:t>
      </w:r>
      <w:r w:rsidR="00E93984" w:rsidRPr="00056604">
        <w:rPr>
          <w:iCs/>
          <w:color w:val="000000"/>
          <w:lang w:val="es-ES_tradnl"/>
        </w:rPr>
        <w:t xml:space="preserve">, (2) órdenes de registros electrónicos en virtud de 18 U.S.C. </w:t>
      </w:r>
      <w:r w:rsidR="00B31D59">
        <w:rPr>
          <w:iCs/>
          <w:color w:val="000000"/>
          <w:lang w:val="es-ES_tradnl"/>
        </w:rPr>
        <w:t>sección</w:t>
      </w:r>
      <w:r w:rsidR="00E93984" w:rsidRPr="00056604">
        <w:rPr>
          <w:iCs/>
          <w:color w:val="000000"/>
          <w:lang w:val="es-ES_tradnl"/>
        </w:rPr>
        <w:t xml:space="preserve"> 2703, (3) órdenes de registro de dispositivos de identificación de las comunicaciones de entrada y salida en virtud de 18 U.S.C. </w:t>
      </w:r>
      <w:r w:rsidR="00B31D59">
        <w:rPr>
          <w:iCs/>
          <w:color w:val="000000"/>
          <w:lang w:val="es-ES_tradnl"/>
        </w:rPr>
        <w:t>sección</w:t>
      </w:r>
      <w:r w:rsidR="00E93984" w:rsidRPr="00056604">
        <w:rPr>
          <w:iCs/>
          <w:color w:val="000000"/>
          <w:lang w:val="es-ES_tradnl"/>
        </w:rPr>
        <w:t xml:space="preserve"> 3123 y (4) órdenes para designar a una persona para dirigir la toma de testimonios o declaraciones y/o la producción de documentos u otras cosas</w:t>
      </w:r>
      <w:r w:rsidR="00D2419E">
        <w:rPr>
          <w:rStyle w:val="FootnoteReference"/>
          <w:iCs/>
          <w:color w:val="000000"/>
          <w:lang w:val="es-ES_tradnl"/>
        </w:rPr>
        <w:footnoteReference w:id="128"/>
      </w:r>
      <w:r w:rsidR="00412871">
        <w:rPr>
          <w:iCs/>
          <w:color w:val="000000"/>
          <w:lang w:val="es-ES_tradnl"/>
        </w:rPr>
        <w:t>.</w:t>
      </w:r>
      <w:r w:rsidR="00E961B5">
        <w:rPr>
          <w:iCs/>
          <w:color w:val="000000"/>
          <w:lang w:val="es-ES_tradnl"/>
        </w:rPr>
        <w:t xml:space="preserve"> </w:t>
      </w:r>
      <w:r w:rsidR="00E961B5" w:rsidRPr="00E961B5">
        <w:rPr>
          <w:iCs/>
          <w:color w:val="000000"/>
          <w:lang w:val="es-ES_tradnl"/>
        </w:rPr>
        <w:t>Además, un juez federal puede ordenar cualquier procedimiento necesario para facilitar la ejecución de la solicitud, incluyendo cualquier procedimiento solicitado por la autoridad extranjera para facilitar su uso de las pruebas</w:t>
      </w:r>
      <w:r w:rsidR="00466798">
        <w:rPr>
          <w:iCs/>
          <w:color w:val="000000"/>
          <w:lang w:val="es-ES_tradnl"/>
        </w:rPr>
        <w:t xml:space="preserve"> (</w:t>
      </w:r>
      <w:r w:rsidR="00E961B5" w:rsidRPr="00E961B5">
        <w:rPr>
          <w:iCs/>
          <w:color w:val="000000"/>
          <w:lang w:val="es-ES_tradnl"/>
        </w:rPr>
        <w:t xml:space="preserve">18 U.S.C. </w:t>
      </w:r>
      <w:r w:rsidR="00B31D59">
        <w:rPr>
          <w:iCs/>
          <w:color w:val="000000"/>
          <w:lang w:val="es-ES_tradnl"/>
        </w:rPr>
        <w:t>sección</w:t>
      </w:r>
      <w:r w:rsidR="00E961B5" w:rsidRPr="00E961B5">
        <w:rPr>
          <w:iCs/>
          <w:color w:val="000000"/>
          <w:lang w:val="es-ES_tradnl"/>
        </w:rPr>
        <w:t xml:space="preserve"> 3512(a)(1)</w:t>
      </w:r>
      <w:r w:rsidR="00466798">
        <w:rPr>
          <w:iCs/>
          <w:color w:val="000000"/>
          <w:lang w:val="es-ES_tradnl"/>
        </w:rPr>
        <w:t>)</w:t>
      </w:r>
      <w:r w:rsidR="00E961B5" w:rsidRPr="00E961B5">
        <w:rPr>
          <w:iCs/>
          <w:color w:val="000000"/>
          <w:lang w:val="es-ES_tradnl"/>
        </w:rPr>
        <w:t>. La sección 3512 también faculta a cualquier persona designada a dirigir la toma de testimonios o declaraciones y/o la producción de documentos. La persona designada está autorizada para: (1) emitir una orden que requiera la comparecencia de una persona y/o la presentación de documentos u otras cosas, (2) administrar los juramentos necesarios y (3) tomar testimonio o declaraciones y recibir documentos u otras cosas</w:t>
      </w:r>
      <w:r w:rsidR="003E6682">
        <w:rPr>
          <w:iCs/>
          <w:color w:val="000000"/>
          <w:lang w:val="es-ES_tradnl"/>
        </w:rPr>
        <w:t xml:space="preserve"> (</w:t>
      </w:r>
      <w:r w:rsidR="00E961B5" w:rsidRPr="00E961B5">
        <w:rPr>
          <w:iCs/>
          <w:color w:val="000000"/>
          <w:lang w:val="es-ES_tradnl"/>
        </w:rPr>
        <w:t xml:space="preserve">18 U.S.C. </w:t>
      </w:r>
      <w:r w:rsidR="00B31D59">
        <w:rPr>
          <w:iCs/>
          <w:color w:val="000000"/>
          <w:lang w:val="es-ES_tradnl"/>
        </w:rPr>
        <w:t>sección</w:t>
      </w:r>
      <w:r w:rsidR="00E961B5" w:rsidRPr="00E961B5">
        <w:rPr>
          <w:iCs/>
          <w:color w:val="000000"/>
          <w:lang w:val="es-ES_tradnl"/>
        </w:rPr>
        <w:t xml:space="preserve"> 3512(b)(2)</w:t>
      </w:r>
      <w:r w:rsidR="003E6682">
        <w:rPr>
          <w:iCs/>
          <w:color w:val="000000"/>
          <w:lang w:val="es-ES_tradnl"/>
        </w:rPr>
        <w:t>)</w:t>
      </w:r>
      <w:r w:rsidR="00E961B5" w:rsidRPr="00E961B5">
        <w:rPr>
          <w:iCs/>
          <w:color w:val="000000"/>
          <w:lang w:val="es-ES_tradnl"/>
        </w:rPr>
        <w:t>. Para ordenar que una persona comparezca y/o presente documentos u otras cosas, la persona designada, comúnmente denominada “comisionado”, suele utilizar una citación titulada “Citación del comisionado”. Cualquiera de estas citaciones puede ser notificada o ejecutada en cualquier lugar de Estados Unidos</w:t>
      </w:r>
      <w:r w:rsidR="003E6682">
        <w:rPr>
          <w:iCs/>
          <w:color w:val="000000"/>
          <w:lang w:val="es-ES_tradnl"/>
        </w:rPr>
        <w:t xml:space="preserve"> (</w:t>
      </w:r>
      <w:r w:rsidR="00E961B5" w:rsidRPr="00E961B5">
        <w:rPr>
          <w:iCs/>
          <w:color w:val="000000"/>
          <w:lang w:val="es-ES_tradnl"/>
        </w:rPr>
        <w:t xml:space="preserve">18 U.S.C. </w:t>
      </w:r>
      <w:r w:rsidR="003E6682">
        <w:rPr>
          <w:iCs/>
          <w:color w:val="000000"/>
          <w:lang w:val="es-ES_tradnl"/>
        </w:rPr>
        <w:t>sección</w:t>
      </w:r>
      <w:r w:rsidR="00E961B5" w:rsidRPr="00E961B5">
        <w:rPr>
          <w:iCs/>
          <w:color w:val="000000"/>
          <w:lang w:val="es-ES_tradnl"/>
        </w:rPr>
        <w:t xml:space="preserve"> 3512(f)</w:t>
      </w:r>
      <w:r w:rsidR="003E6682">
        <w:rPr>
          <w:iCs/>
          <w:color w:val="000000"/>
          <w:lang w:val="es-ES_tradnl"/>
        </w:rPr>
        <w:t>).</w:t>
      </w:r>
    </w:p>
    <w:p w14:paraId="33613923" w14:textId="77777777" w:rsidR="000D32C5" w:rsidRPr="00110744" w:rsidRDefault="000D32C5" w:rsidP="00110744">
      <w:pPr>
        <w:rPr>
          <w:sz w:val="22"/>
          <w:szCs w:val="22"/>
          <w:lang w:val="es-US"/>
        </w:rPr>
      </w:pPr>
    </w:p>
    <w:p w14:paraId="37501AA5" w14:textId="4C9A8C2E" w:rsidR="000A7991" w:rsidRPr="005B0F18" w:rsidRDefault="00CC2B78" w:rsidP="00593F85">
      <w:pPr>
        <w:pStyle w:val="ListParagraph"/>
        <w:numPr>
          <w:ilvl w:val="0"/>
          <w:numId w:val="1"/>
        </w:numPr>
        <w:suppressAutoHyphens/>
        <w:spacing w:before="60" w:after="60"/>
        <w:jc w:val="both"/>
        <w:rPr>
          <w:lang w:val="es-US"/>
        </w:rPr>
      </w:pPr>
      <w:r w:rsidRPr="005B0F18">
        <w:rPr>
          <w:lang w:val="es-US"/>
        </w:rPr>
        <w:t xml:space="preserve">– </w:t>
      </w:r>
      <w:r w:rsidR="00663997" w:rsidRPr="005B0F18">
        <w:rPr>
          <w:bCs/>
          <w:iCs/>
          <w:lang w:val="es-US"/>
        </w:rPr>
        <w:t>En cuanto a la asistencia prestada a otros Estados Parte de la Convención Interamericana contra la Corrupción, la regla general es que se requiere una solicitud formal de asistencia mutua en materia penal para obtener registros de cuentas bancarias ubicadas en Estados Unidos</w:t>
      </w:r>
      <w:r w:rsidR="0063496B" w:rsidRPr="005B0F18">
        <w:rPr>
          <w:rStyle w:val="FootnoteReference"/>
          <w:lang w:val="es-US"/>
        </w:rPr>
        <w:footnoteReference w:id="129"/>
      </w:r>
      <w:r w:rsidR="00663997" w:rsidRPr="005B0F18">
        <w:rPr>
          <w:bCs/>
          <w:iCs/>
          <w:lang w:val="es-US"/>
        </w:rPr>
        <w:t>.</w:t>
      </w:r>
      <w:r w:rsidR="00B0338A" w:rsidRPr="005B0F18">
        <w:rPr>
          <w:lang w:val="es-US"/>
        </w:rPr>
        <w:t xml:space="preserve"> </w:t>
      </w:r>
      <w:r w:rsidR="008E0416" w:rsidRPr="005B0F18">
        <w:rPr>
          <w:bCs/>
          <w:iCs/>
          <w:lang w:val="es-US"/>
        </w:rPr>
        <w:t xml:space="preserve">En el caso de los </w:t>
      </w:r>
      <w:r w:rsidR="006440C1" w:rsidRPr="005B0F18">
        <w:rPr>
          <w:bCs/>
          <w:iCs/>
          <w:lang w:val="es-US"/>
        </w:rPr>
        <w:t xml:space="preserve">Estados </w:t>
      </w:r>
      <w:r w:rsidR="008E0416" w:rsidRPr="005B0F18">
        <w:rPr>
          <w:bCs/>
          <w:iCs/>
          <w:lang w:val="es-US"/>
        </w:rPr>
        <w:t>que tienen un tratado de asistencia mutua en materia penal con el Estado analizado, las solicitudes se le deben dirigir a la Autoridad Central designada, que es la Oficina de Asuntos Internacionales del Departamento de Justicia, encargada de ayudar a los fiscales, jueces de instrucción y fuerzas del orden extranjeros a obtener información y pruebas ubicadas en Estados Unidos para que se utilicen en investigaciones penales, juicios y procedimientos conexos en un país extranjero</w:t>
      </w:r>
      <w:r w:rsidR="0063496B" w:rsidRPr="005B0F18">
        <w:rPr>
          <w:rStyle w:val="FootnoteReference"/>
          <w:lang w:val="es-US"/>
        </w:rPr>
        <w:footnoteReference w:id="130"/>
      </w:r>
      <w:r w:rsidR="008E0416" w:rsidRPr="005B0F18">
        <w:rPr>
          <w:bCs/>
          <w:iCs/>
          <w:lang w:val="es-US"/>
        </w:rPr>
        <w:t>.</w:t>
      </w:r>
      <w:r w:rsidR="00C95E71" w:rsidRPr="005B0F18">
        <w:rPr>
          <w:lang w:val="es-US"/>
        </w:rPr>
        <w:t xml:space="preserve"> </w:t>
      </w:r>
      <w:r w:rsidR="00047914" w:rsidRPr="005B0F18">
        <w:rPr>
          <w:bCs/>
          <w:iCs/>
          <w:lang w:val="es-US"/>
        </w:rPr>
        <w:t xml:space="preserve">En este sentido, el Estado analizado tiene tratados de asistencia mutua en materia penal con los siguientes Estados Parte de la Convención: Antigua y Barbuda, Argentina, Barbados, Belice, Brasil, Canadá, Dominica, Granada, Jamaica, Las Bahamas, México, Panamá, Saint </w:t>
      </w:r>
      <w:proofErr w:type="spellStart"/>
      <w:r w:rsidR="00047914" w:rsidRPr="005B0F18">
        <w:rPr>
          <w:bCs/>
          <w:iCs/>
          <w:lang w:val="es-US"/>
        </w:rPr>
        <w:t>Kitts</w:t>
      </w:r>
      <w:proofErr w:type="spellEnd"/>
      <w:r w:rsidR="00047914" w:rsidRPr="005B0F18">
        <w:rPr>
          <w:bCs/>
          <w:iCs/>
          <w:lang w:val="es-US"/>
        </w:rPr>
        <w:t xml:space="preserve"> y </w:t>
      </w:r>
      <w:proofErr w:type="spellStart"/>
      <w:r w:rsidR="00047914" w:rsidRPr="005B0F18">
        <w:rPr>
          <w:bCs/>
          <w:iCs/>
          <w:lang w:val="es-US"/>
        </w:rPr>
        <w:t>Nevis</w:t>
      </w:r>
      <w:proofErr w:type="spellEnd"/>
      <w:r w:rsidR="00047914" w:rsidRPr="005B0F18">
        <w:rPr>
          <w:bCs/>
          <w:iCs/>
          <w:lang w:val="es-US"/>
        </w:rPr>
        <w:t>, Santa Lucía, San Vicente y las Granadinas, Trinidad y Tobago, Uruguay y Venezuela</w:t>
      </w:r>
      <w:r w:rsidR="0063496B" w:rsidRPr="005B0F18">
        <w:rPr>
          <w:rStyle w:val="FootnoteReference"/>
          <w:lang w:val="es-US"/>
        </w:rPr>
        <w:footnoteReference w:id="131"/>
      </w:r>
      <w:r w:rsidR="00047914" w:rsidRPr="005B0F18">
        <w:rPr>
          <w:bCs/>
          <w:iCs/>
          <w:lang w:val="es-US"/>
        </w:rPr>
        <w:t>.</w:t>
      </w:r>
    </w:p>
    <w:p w14:paraId="02B4AA93" w14:textId="77777777" w:rsidR="004F51F2" w:rsidRPr="005B0F18" w:rsidRDefault="004F51F2" w:rsidP="004F51F2">
      <w:pPr>
        <w:pStyle w:val="ListParagraph"/>
        <w:rPr>
          <w:lang w:val="es-US"/>
        </w:rPr>
      </w:pPr>
    </w:p>
    <w:p w14:paraId="618D3EF2" w14:textId="7A6C457E" w:rsidR="004F51F2" w:rsidRPr="005B0F18" w:rsidRDefault="00D11F71" w:rsidP="00593F85">
      <w:pPr>
        <w:pStyle w:val="ListParagraph"/>
        <w:numPr>
          <w:ilvl w:val="0"/>
          <w:numId w:val="1"/>
        </w:numPr>
        <w:suppressAutoHyphens/>
        <w:spacing w:before="60" w:after="60"/>
        <w:jc w:val="both"/>
        <w:rPr>
          <w:lang w:val="es-US"/>
        </w:rPr>
      </w:pPr>
      <w:r w:rsidRPr="005B0F18">
        <w:rPr>
          <w:bCs/>
          <w:iCs/>
          <w:lang w:val="es-US"/>
        </w:rPr>
        <w:t xml:space="preserve">En lo que respecta a los Estados Parte que no han suscrito un tratado de asistencia mutua en materia penal con Estados Unidos, la Oficina de Asuntos Internacionales del Departamento de Justicia también puede ejecutar solicitudes de asistencia no contenidas en un tratado sobre la base de la cortesía y la reciprocidad. En ausencia de un tratado bilateral de asistencia mutua en materia penal o de un convenio multilateral aplicable en el que sean parte Estados Unidos y el </w:t>
      </w:r>
      <w:r w:rsidR="00DB297A" w:rsidRPr="005B0F18">
        <w:rPr>
          <w:bCs/>
          <w:iCs/>
          <w:lang w:val="es-US"/>
        </w:rPr>
        <w:t xml:space="preserve">Estado </w:t>
      </w:r>
      <w:r w:rsidR="00F7667A" w:rsidRPr="005B0F18">
        <w:rPr>
          <w:bCs/>
          <w:iCs/>
          <w:lang w:val="es-US"/>
        </w:rPr>
        <w:t>requirente</w:t>
      </w:r>
      <w:r w:rsidRPr="005B0F18">
        <w:rPr>
          <w:bCs/>
          <w:iCs/>
          <w:lang w:val="es-US"/>
        </w:rPr>
        <w:t>, la Oficina acepta solicitudes no contenidas en un tratado en forma de comisiones rogatorias y cartas de solicitud</w:t>
      </w:r>
      <w:r w:rsidR="004F51F2" w:rsidRPr="005B0F18">
        <w:rPr>
          <w:rStyle w:val="FootnoteReference"/>
          <w:lang w:val="es-US"/>
        </w:rPr>
        <w:footnoteReference w:id="132"/>
      </w:r>
      <w:r w:rsidRPr="005B0F18">
        <w:rPr>
          <w:bCs/>
          <w:iCs/>
          <w:lang w:val="es-US"/>
        </w:rPr>
        <w:t>.</w:t>
      </w:r>
      <w:r w:rsidR="004F51F2" w:rsidRPr="005B0F18">
        <w:rPr>
          <w:lang w:val="es-US"/>
        </w:rPr>
        <w:t xml:space="preserve"> </w:t>
      </w:r>
    </w:p>
    <w:p w14:paraId="5A07CD20" w14:textId="77777777" w:rsidR="00C95E71" w:rsidRPr="005B0F18" w:rsidRDefault="00C95E71" w:rsidP="00C95E71">
      <w:pPr>
        <w:pStyle w:val="ListParagraph"/>
        <w:rPr>
          <w:lang w:val="es-US"/>
        </w:rPr>
      </w:pPr>
    </w:p>
    <w:p w14:paraId="30211AE9" w14:textId="563D205A" w:rsidR="00C95E71" w:rsidRPr="005B0F18" w:rsidRDefault="000353B6" w:rsidP="00593F85">
      <w:pPr>
        <w:pStyle w:val="ListParagraph"/>
        <w:numPr>
          <w:ilvl w:val="0"/>
          <w:numId w:val="1"/>
        </w:numPr>
        <w:suppressAutoHyphens/>
        <w:spacing w:before="60" w:after="60"/>
        <w:jc w:val="both"/>
        <w:rPr>
          <w:lang w:val="es-US"/>
        </w:rPr>
      </w:pPr>
      <w:r w:rsidRPr="005B0F18">
        <w:rPr>
          <w:bCs/>
          <w:iCs/>
          <w:lang w:val="es-US"/>
        </w:rPr>
        <w:t>El Estado analizado también tiene un documento en línea en el que pueden encontrarse las preguntas más frecuentes sobre la asistencia jurídica en materia penal</w:t>
      </w:r>
      <w:r w:rsidR="00C50603" w:rsidRPr="005B0F18">
        <w:rPr>
          <w:bCs/>
          <w:iCs/>
          <w:lang w:val="es-US"/>
        </w:rPr>
        <w:t>.</w:t>
      </w:r>
      <w:r w:rsidR="00F76C82" w:rsidRPr="005B0F18">
        <w:rPr>
          <w:rStyle w:val="FootnoteReference"/>
          <w:bCs/>
          <w:iCs/>
          <w:lang w:val="es-US"/>
        </w:rPr>
        <w:footnoteReference w:id="133"/>
      </w:r>
      <w:r w:rsidRPr="005B0F18">
        <w:rPr>
          <w:bCs/>
          <w:iCs/>
          <w:lang w:val="es-US"/>
        </w:rPr>
        <w:t xml:space="preserve"> Este documento, que también está disponible en español, francés y portugués, expone el papel de la Oficina de Asuntos Internacionales del Departamento de Justicia, el tipo de asistencia que puede prestar Estados Unidos y la forma de presentar una solicitud, entre otras cosas</w:t>
      </w:r>
      <w:r w:rsidR="003F5055" w:rsidRPr="005B0F18">
        <w:rPr>
          <w:rStyle w:val="FootnoteReference"/>
          <w:lang w:val="es-US"/>
        </w:rPr>
        <w:footnoteReference w:id="134"/>
      </w:r>
      <w:r w:rsidRPr="005B0F18">
        <w:rPr>
          <w:bCs/>
          <w:iCs/>
          <w:lang w:val="es-US"/>
        </w:rPr>
        <w:t>.</w:t>
      </w:r>
      <w:r w:rsidR="00E826CF" w:rsidRPr="005B0F18">
        <w:rPr>
          <w:lang w:val="es-US"/>
        </w:rPr>
        <w:t xml:space="preserve"> </w:t>
      </w:r>
    </w:p>
    <w:p w14:paraId="68175F4D" w14:textId="77777777" w:rsidR="00E826CF" w:rsidRPr="005B0F18" w:rsidRDefault="00E826CF" w:rsidP="00E826CF">
      <w:pPr>
        <w:pStyle w:val="ListParagraph"/>
        <w:rPr>
          <w:lang w:val="es-US"/>
        </w:rPr>
      </w:pPr>
    </w:p>
    <w:p w14:paraId="489F4DD5" w14:textId="1F57BC00" w:rsidR="00E826CF" w:rsidRPr="005B0F18" w:rsidRDefault="00F020AB" w:rsidP="006125D2">
      <w:pPr>
        <w:pStyle w:val="ListParagraph"/>
        <w:numPr>
          <w:ilvl w:val="0"/>
          <w:numId w:val="1"/>
        </w:numPr>
        <w:suppressAutoHyphens/>
        <w:spacing w:before="60" w:after="60"/>
        <w:jc w:val="both"/>
        <w:rPr>
          <w:lang w:val="es-US"/>
        </w:rPr>
      </w:pPr>
      <w:r w:rsidRPr="005B0F18">
        <w:rPr>
          <w:bCs/>
          <w:iCs/>
          <w:lang w:val="es-US"/>
        </w:rPr>
        <w:t>Los tipos de asistencia que se pueden prestar incluyen, entre otros, la presentación de documentos, registros u otros elementos. Con respecto a la forma de presentar una solicitud a Estados Unidos, el documento incluye una lista de la información que se requiere cuando un país carece de un tratado bilateral de asistencia mutua en materia penal y no se aplica ningún convenio multilateral, la que generalmente también es necesaria para las solicitudes que se presentan con base en un tratado de asistencia mutua en materia penal</w:t>
      </w:r>
      <w:r w:rsidR="00E826CF" w:rsidRPr="005B0F18">
        <w:rPr>
          <w:lang w:val="es-US"/>
        </w:rPr>
        <w:t>.</w:t>
      </w:r>
      <w:r w:rsidR="00E826CF" w:rsidRPr="005B0F18">
        <w:rPr>
          <w:rStyle w:val="FootnoteReference"/>
          <w:lang w:val="es-US"/>
        </w:rPr>
        <w:footnoteReference w:id="135"/>
      </w:r>
      <w:r w:rsidR="00E826CF" w:rsidRPr="005B0F18">
        <w:rPr>
          <w:lang w:val="es-US"/>
        </w:rPr>
        <w:t xml:space="preserve"> </w:t>
      </w:r>
      <w:r w:rsidR="0003656D" w:rsidRPr="005B0F18">
        <w:rPr>
          <w:bCs/>
          <w:iCs/>
          <w:lang w:val="es-US"/>
        </w:rPr>
        <w:t>La información que se requiere incluye, entre otre otros, la identificación de la autoridad competente que lleva a cabo la investigación o el procedimiento al que se refiere la solicitud de asistencia, incluidos su nombre, su cargo oficial y su información de contacto, la descripción del delito al que se refiere la solicitud, incluido el texto de las leyes pertinentes y la pena aplicable, una descripción de los hechos que presuntamente constituyen el delito y una declaración de la finalidad para la que se solicitan las pruebas, la información u otro tipo de asistencia, incluido el nexo entre la asistencia que se solicita y el delito. En la medida en que sea pertinente también se debe proporcionar, entre otras cosas, información sobre la identidad y localización de cualquier persona de la que se estén buscando pruebas, la identidad y localización de una persona a la que se le deban notificar o entregar documentos legales, la relación de la persona con el procedimiento y una descripción de la forma en que se va a realizar la notificación, así como una descripción precisa del lugar o persona que se va a registrar y de los objetos que se van a incautar</w:t>
      </w:r>
      <w:r w:rsidR="003F5055" w:rsidRPr="005B0F18">
        <w:rPr>
          <w:lang w:val="es-US"/>
        </w:rPr>
        <w:t>.</w:t>
      </w:r>
      <w:r w:rsidR="003F5055" w:rsidRPr="005B0F18">
        <w:rPr>
          <w:rStyle w:val="FootnoteReference"/>
          <w:lang w:val="es-US"/>
        </w:rPr>
        <w:footnoteReference w:id="136"/>
      </w:r>
    </w:p>
    <w:p w14:paraId="15206B3D" w14:textId="77777777" w:rsidR="005329CC" w:rsidRPr="005B0F18" w:rsidRDefault="005329CC" w:rsidP="005329CC">
      <w:pPr>
        <w:pStyle w:val="ListParagraph"/>
        <w:suppressAutoHyphens/>
        <w:spacing w:before="60" w:after="60"/>
        <w:ind w:left="10"/>
        <w:jc w:val="both"/>
        <w:rPr>
          <w:lang w:val="es-US"/>
        </w:rPr>
      </w:pPr>
    </w:p>
    <w:p w14:paraId="40EFBFD6" w14:textId="58CF8296" w:rsidR="00E826CF" w:rsidRPr="005B0F18" w:rsidRDefault="00E90E99" w:rsidP="00593F85">
      <w:pPr>
        <w:pStyle w:val="ListParagraph"/>
        <w:numPr>
          <w:ilvl w:val="0"/>
          <w:numId w:val="1"/>
        </w:numPr>
        <w:suppressAutoHyphens/>
        <w:spacing w:before="60" w:after="60"/>
        <w:jc w:val="both"/>
        <w:rPr>
          <w:lang w:val="es-US"/>
        </w:rPr>
      </w:pPr>
      <w:r w:rsidRPr="005B0F18">
        <w:rPr>
          <w:bCs/>
          <w:iCs/>
          <w:lang w:val="es-US"/>
        </w:rPr>
        <w:t xml:space="preserve">También establece que la Oficina de Asuntos Internacionales del Departamento de Justicia revisará la solicitud de asistencia extranjera para determinar si cumple un tratado bilateral de asistencia mutua en materia penal, si procede; si contiene toda la información que se requiere para permitir la identificación y localización de la asistencia o las pruebas que se solicitan; si no está sujeta a un motivo de negación y si contiene información suficiente para cumplir las normas legales estadounidenses para ejecutarse. En el caso de registros bancarios y comerciales, la norma legal estadounidense es la pertinencia y se lleva a cabo mediante </w:t>
      </w:r>
      <w:r w:rsidR="003A33F5" w:rsidRPr="00DB704C">
        <w:rPr>
          <w:b/>
          <w:iCs/>
          <w:u w:val="single"/>
          <w:lang w:val="es-US"/>
        </w:rPr>
        <w:t>autoriza</w:t>
      </w:r>
      <w:r w:rsidRPr="00DB704C">
        <w:rPr>
          <w:b/>
          <w:iCs/>
          <w:u w:val="single"/>
          <w:lang w:val="es-US"/>
        </w:rPr>
        <w:t>ción</w:t>
      </w:r>
      <w:r w:rsidRPr="005B0F18">
        <w:rPr>
          <w:bCs/>
          <w:iCs/>
          <w:lang w:val="es-US"/>
        </w:rPr>
        <w:t xml:space="preserve"> judicial aprobada por un tribunal</w:t>
      </w:r>
      <w:r w:rsidR="005329CC" w:rsidRPr="005B0F18">
        <w:rPr>
          <w:lang w:val="es-US"/>
        </w:rPr>
        <w:t>.</w:t>
      </w:r>
      <w:r w:rsidR="005329CC" w:rsidRPr="005B0F18">
        <w:rPr>
          <w:rStyle w:val="FootnoteReference"/>
          <w:lang w:val="es-US"/>
        </w:rPr>
        <w:footnoteReference w:id="137"/>
      </w:r>
      <w:r w:rsidR="005329CC" w:rsidRPr="005B0F18">
        <w:rPr>
          <w:lang w:val="es-US"/>
        </w:rPr>
        <w:t xml:space="preserve"> </w:t>
      </w:r>
    </w:p>
    <w:p w14:paraId="77331B8D" w14:textId="7F77630E" w:rsidR="005329CC" w:rsidRPr="005B0F18" w:rsidRDefault="00E81687" w:rsidP="00E81687">
      <w:pPr>
        <w:pStyle w:val="ListParagraph"/>
        <w:tabs>
          <w:tab w:val="left" w:pos="3920"/>
        </w:tabs>
        <w:rPr>
          <w:lang w:val="es-US"/>
        </w:rPr>
      </w:pPr>
      <w:r>
        <w:rPr>
          <w:lang w:val="es-US"/>
        </w:rPr>
        <w:tab/>
      </w:r>
    </w:p>
    <w:p w14:paraId="2574DD88" w14:textId="55A39032" w:rsidR="009A5A72" w:rsidRPr="005B0F18" w:rsidRDefault="004128AA" w:rsidP="00BE4A7A">
      <w:pPr>
        <w:pStyle w:val="ListParagraph"/>
        <w:numPr>
          <w:ilvl w:val="0"/>
          <w:numId w:val="1"/>
        </w:numPr>
        <w:suppressAutoHyphens/>
        <w:spacing w:before="60" w:after="60"/>
        <w:jc w:val="both"/>
        <w:rPr>
          <w:lang w:val="es-US"/>
        </w:rPr>
      </w:pPr>
      <w:r w:rsidRPr="005B0F18">
        <w:rPr>
          <w:bCs/>
          <w:iCs/>
          <w:lang w:val="es-US"/>
        </w:rPr>
        <w:t>En cuanto a la obligación de no utilizar la información recibida por Estados Unidos para fines distintos del procedimiento para el que se solicitó la información, el Estado analizado señala que la Oficina de Asuntos Internacionales del Departamento de Justicia, al transmitir las pruebas a los fiscales sobre el terreno, les recuerda el uso de la limitación y la necesidad de que la Oficina se ponga en contacto con sus homólogos extranjeros para obtener el consentimiento del Estado requerido si se desea utilizar las pruebas para otro asunto</w:t>
      </w:r>
      <w:r w:rsidR="00BE4A7A" w:rsidRPr="005B0F18">
        <w:rPr>
          <w:lang w:val="es-US"/>
        </w:rPr>
        <w:t>.</w:t>
      </w:r>
      <w:r w:rsidR="00F67301" w:rsidRPr="005B0F18">
        <w:rPr>
          <w:rStyle w:val="FootnoteReference"/>
          <w:lang w:val="es-US"/>
        </w:rPr>
        <w:footnoteReference w:id="138"/>
      </w:r>
      <w:r w:rsidR="00BE4A7A" w:rsidRPr="005B0F18">
        <w:rPr>
          <w:lang w:val="es-US"/>
        </w:rPr>
        <w:t xml:space="preserve"> </w:t>
      </w:r>
      <w:r w:rsidR="00C370CD" w:rsidRPr="005B0F18">
        <w:rPr>
          <w:bCs/>
          <w:iCs/>
          <w:lang w:val="es-US"/>
        </w:rPr>
        <w:t>Además, Estados Unidos también se guía por las disposiciones de los tratados bilaterales de asistencia mutua en materia penal</w:t>
      </w:r>
      <w:r w:rsidR="00BE4A7A" w:rsidRPr="005B0F18">
        <w:rPr>
          <w:rStyle w:val="FootnoteReference"/>
          <w:lang w:val="es-US"/>
        </w:rPr>
        <w:footnoteReference w:id="139"/>
      </w:r>
      <w:r w:rsidR="00C370CD" w:rsidRPr="005B0F18">
        <w:rPr>
          <w:bCs/>
          <w:iCs/>
          <w:lang w:val="es-US"/>
        </w:rPr>
        <w:t>.</w:t>
      </w:r>
      <w:r w:rsidR="00F90039" w:rsidRPr="005B0F18">
        <w:rPr>
          <w:lang w:val="es-US"/>
        </w:rPr>
        <w:t xml:space="preserve"> </w:t>
      </w:r>
      <w:r w:rsidR="003C7ADD" w:rsidRPr="005B0F18">
        <w:rPr>
          <w:bCs/>
          <w:iCs/>
          <w:lang w:val="es-US"/>
        </w:rPr>
        <w:t>A este respecto, el Comité observa que todos los tratados bilaterales de asistencia en materia penal suscritos por Estados Unidos contienen una disposición sobre la limitación del uso de la información que se reciba, de acuerdo con la cual, en términos generales, el Estado requirente no utilizará ninguna información o prueba que obtenga con base en un tratado en ninguna investigación, enjuiciamiento o procedimiento distinto del descrito en la solicitud sin el consentimiento previo del Estado requerido</w:t>
      </w:r>
      <w:r w:rsidR="00F90039" w:rsidRPr="005B0F18">
        <w:rPr>
          <w:lang w:val="es-US"/>
        </w:rPr>
        <w:t>.</w:t>
      </w:r>
    </w:p>
    <w:p w14:paraId="312B1755" w14:textId="77777777" w:rsidR="00F90039" w:rsidRPr="00282A68" w:rsidRDefault="00F90039" w:rsidP="00F90039">
      <w:pPr>
        <w:pStyle w:val="ListParagraph"/>
        <w:rPr>
          <w:lang w:val="es-US"/>
        </w:rPr>
      </w:pPr>
    </w:p>
    <w:p w14:paraId="5795AB25" w14:textId="7DC44103" w:rsidR="00F90039" w:rsidRPr="00282A68" w:rsidRDefault="00F90039" w:rsidP="00F90039">
      <w:pPr>
        <w:pStyle w:val="ListParagraph"/>
        <w:ind w:hanging="360"/>
        <w:jc w:val="both"/>
        <w:rPr>
          <w:b/>
          <w:color w:val="000000" w:themeColor="text1"/>
          <w:lang w:val="es-US"/>
        </w:rPr>
      </w:pPr>
      <w:r w:rsidRPr="00282A68">
        <w:rPr>
          <w:b/>
          <w:lang w:val="es-US"/>
        </w:rPr>
        <w:t xml:space="preserve">1.2. </w:t>
      </w:r>
      <w:r w:rsidR="00332758" w:rsidRPr="00282A68">
        <w:rPr>
          <w:b/>
          <w:bCs/>
          <w:lang w:val="es-US"/>
        </w:rPr>
        <w:t>Adecuación del marco jurídico y/o de otras medidas</w:t>
      </w:r>
    </w:p>
    <w:p w14:paraId="23D3966B" w14:textId="77777777" w:rsidR="00F90039" w:rsidRPr="00282A68" w:rsidRDefault="00F90039" w:rsidP="00F90039">
      <w:pPr>
        <w:ind w:left="10"/>
        <w:jc w:val="both"/>
        <w:rPr>
          <w:color w:val="000000" w:themeColor="text1"/>
          <w:sz w:val="22"/>
          <w:szCs w:val="22"/>
          <w:lang w:val="es-US"/>
        </w:rPr>
      </w:pPr>
    </w:p>
    <w:p w14:paraId="073E478A" w14:textId="0D862ACC" w:rsidR="00F90039" w:rsidRPr="00282A68" w:rsidRDefault="00375883" w:rsidP="00F90039">
      <w:pPr>
        <w:pStyle w:val="ListParagraph"/>
        <w:numPr>
          <w:ilvl w:val="0"/>
          <w:numId w:val="1"/>
        </w:numPr>
        <w:suppressAutoHyphens/>
        <w:jc w:val="both"/>
        <w:rPr>
          <w:color w:val="000000" w:themeColor="text1"/>
          <w:lang w:val="es-US"/>
        </w:rPr>
      </w:pPr>
      <w:r w:rsidRPr="00282A68">
        <w:rPr>
          <w:lang w:val="es-US"/>
        </w:rPr>
        <w:t>En cuanto a las disposiciones sobre secreto bancario que el Comité ha analizado sobre la base de la información de que dispone, constituyen un conjunto de medidas pertinentes para promover los propósitos de la Convención. No obstante, el Comité considera oportuno formular las siguientes observaciones</w:t>
      </w:r>
      <w:r w:rsidR="00F90039" w:rsidRPr="00282A68">
        <w:rPr>
          <w:lang w:val="es-US"/>
        </w:rPr>
        <w:t>:</w:t>
      </w:r>
    </w:p>
    <w:p w14:paraId="26746F12" w14:textId="77777777" w:rsidR="00F90039" w:rsidRDefault="00F90039" w:rsidP="00F90039">
      <w:pPr>
        <w:pStyle w:val="ListParagraph"/>
        <w:suppressAutoHyphens/>
        <w:ind w:left="10"/>
        <w:jc w:val="both"/>
        <w:rPr>
          <w:color w:val="000000" w:themeColor="text1"/>
          <w:lang w:val="es-US"/>
        </w:rPr>
      </w:pPr>
    </w:p>
    <w:p w14:paraId="3964A247" w14:textId="4467DA96" w:rsidR="00F90039" w:rsidRPr="005B0F18" w:rsidRDefault="008104B0" w:rsidP="00F90039">
      <w:pPr>
        <w:pStyle w:val="ListParagraph"/>
        <w:numPr>
          <w:ilvl w:val="0"/>
          <w:numId w:val="1"/>
        </w:numPr>
        <w:suppressAutoHyphens/>
        <w:jc w:val="both"/>
        <w:rPr>
          <w:color w:val="000000" w:themeColor="text1"/>
          <w:lang w:val="es-US"/>
        </w:rPr>
      </w:pPr>
      <w:r w:rsidRPr="005B0F18">
        <w:rPr>
          <w:bCs/>
          <w:iCs/>
          <w:color w:val="000000" w:themeColor="text1"/>
          <w:lang w:val="es-US"/>
        </w:rPr>
        <w:t>El Comité observa que el uso de la información bancaria o financiera que recibe el Estado analizado es limitado en el sentido de que no puede utilizarse para ningún otro propósito que no sea el descrito en la solicitud</w:t>
      </w:r>
      <w:r w:rsidR="00871D25">
        <w:rPr>
          <w:bCs/>
          <w:iCs/>
          <w:color w:val="000000" w:themeColor="text1"/>
          <w:lang w:val="es-US"/>
        </w:rPr>
        <w:t xml:space="preserve"> </w:t>
      </w:r>
      <w:r w:rsidR="00871D25" w:rsidRPr="000102F1">
        <w:rPr>
          <w:bCs/>
          <w:iCs/>
          <w:color w:val="000000" w:themeColor="text1"/>
          <w:lang w:val="es-US"/>
        </w:rPr>
        <w:t>sin el consentimiento previo de la autoridad central del Estado requerido</w:t>
      </w:r>
      <w:r w:rsidRPr="005B0F18">
        <w:rPr>
          <w:bCs/>
          <w:iCs/>
          <w:color w:val="000000" w:themeColor="text1"/>
          <w:lang w:val="es-US"/>
        </w:rPr>
        <w:t>. El Comité toma nota de que además el Estado analizado es Estado Parte de varias convenciones multilaterales que también limitan el uso de la información que se recibe al respecto, tales como la Convención Interamericana contra la Corrupción y la Convención Interamericana sobre Asistencia Mutua en Materia Penal, entre otras</w:t>
      </w:r>
      <w:r w:rsidR="000D1087" w:rsidRPr="005B0F18">
        <w:rPr>
          <w:color w:val="000000" w:themeColor="text1"/>
          <w:lang w:val="es-US"/>
        </w:rPr>
        <w:t>.</w:t>
      </w:r>
      <w:r w:rsidR="000D1087" w:rsidRPr="005B0F18">
        <w:rPr>
          <w:rStyle w:val="FootnoteReference"/>
          <w:color w:val="000000" w:themeColor="text1"/>
          <w:lang w:val="es-US"/>
        </w:rPr>
        <w:footnoteReference w:id="140"/>
      </w:r>
    </w:p>
    <w:p w14:paraId="3F2EA124" w14:textId="77777777" w:rsidR="00F67301" w:rsidRPr="005B0F18" w:rsidRDefault="00F67301" w:rsidP="00F67301">
      <w:pPr>
        <w:pStyle w:val="ListParagraph"/>
        <w:rPr>
          <w:color w:val="000000" w:themeColor="text1"/>
          <w:lang w:val="es-US"/>
        </w:rPr>
      </w:pPr>
    </w:p>
    <w:p w14:paraId="3D0642E2" w14:textId="5B5BF1AF" w:rsidR="00734707" w:rsidRPr="00DF7F9F" w:rsidRDefault="00654ECF" w:rsidP="009747A0">
      <w:pPr>
        <w:pStyle w:val="ListParagraph"/>
        <w:numPr>
          <w:ilvl w:val="0"/>
          <w:numId w:val="1"/>
        </w:numPr>
        <w:suppressAutoHyphens/>
        <w:jc w:val="both"/>
        <w:rPr>
          <w:lang w:val="es-US"/>
        </w:rPr>
      </w:pPr>
      <w:r w:rsidRPr="00DF7F9F">
        <w:rPr>
          <w:rFonts w:eastAsia="Times New Roman"/>
          <w:bCs/>
          <w:iCs/>
          <w:lang w:val="es-US"/>
        </w:rPr>
        <w:t xml:space="preserve">Además, </w:t>
      </w:r>
      <w:r w:rsidR="00734707" w:rsidRPr="00DF7F9F">
        <w:rPr>
          <w:rFonts w:eastAsia="Times New Roman"/>
          <w:bCs/>
          <w:iCs/>
          <w:lang w:val="es-US"/>
        </w:rPr>
        <w:t xml:space="preserve">el Estado analizado, </w:t>
      </w:r>
      <w:r w:rsidRPr="00DF7F9F">
        <w:rPr>
          <w:rFonts w:eastAsia="Times New Roman"/>
          <w:bCs/>
          <w:iCs/>
          <w:lang w:val="es-US"/>
        </w:rPr>
        <w:t xml:space="preserve">al transferir las pruebas que se obtienen en el extranjero, recuerda a los fiscales el uso de la limitación y la necesidad de </w:t>
      </w:r>
      <w:r w:rsidR="00A715B5" w:rsidRPr="00DF7F9F">
        <w:rPr>
          <w:rFonts w:eastAsia="Times New Roman"/>
          <w:bCs/>
          <w:iCs/>
          <w:lang w:val="es-US"/>
        </w:rPr>
        <w:t>comunicarse</w:t>
      </w:r>
      <w:r w:rsidRPr="00DF7F9F">
        <w:rPr>
          <w:rFonts w:eastAsia="Times New Roman"/>
          <w:bCs/>
          <w:iCs/>
          <w:lang w:val="es-US"/>
        </w:rPr>
        <w:t xml:space="preserve"> con sus homólogos extranjeros para obtener su consentimiento si desean utilizar las pruebas para un asunto diferente. </w:t>
      </w:r>
    </w:p>
    <w:p w14:paraId="047EC762" w14:textId="77777777" w:rsidR="00BC4966" w:rsidRPr="00BC4966" w:rsidRDefault="00BC4966" w:rsidP="00BC4966">
      <w:pPr>
        <w:pStyle w:val="ListParagraph"/>
        <w:suppressAutoHyphens/>
        <w:ind w:left="10"/>
        <w:jc w:val="both"/>
        <w:rPr>
          <w:color w:val="000000" w:themeColor="text1"/>
          <w:lang w:val="es-US"/>
        </w:rPr>
      </w:pPr>
    </w:p>
    <w:p w14:paraId="79092B26" w14:textId="0025CB36" w:rsidR="00F67301" w:rsidRPr="00712D31" w:rsidRDefault="00654ECF" w:rsidP="00654ECF">
      <w:pPr>
        <w:pStyle w:val="ListParagraph"/>
        <w:numPr>
          <w:ilvl w:val="0"/>
          <w:numId w:val="1"/>
        </w:numPr>
        <w:suppressAutoHyphens/>
        <w:jc w:val="both"/>
        <w:rPr>
          <w:color w:val="000000" w:themeColor="text1"/>
          <w:lang w:val="es-US"/>
        </w:rPr>
      </w:pPr>
      <w:r w:rsidRPr="005B0F18">
        <w:rPr>
          <w:rFonts w:eastAsia="Times New Roman"/>
          <w:bCs/>
          <w:iCs/>
          <w:lang w:val="es-US"/>
        </w:rPr>
        <w:t xml:space="preserve">El Comité observa que si bien este proceso ayuda a garantizar que la información bancaria que reciba Estados Unidos solo se utilice para los fines para los que se solicitó, el Estado analizado podría considerar </w:t>
      </w:r>
      <w:r w:rsidR="00B13CC8">
        <w:rPr>
          <w:rFonts w:eastAsia="Times New Roman"/>
          <w:bCs/>
          <w:iCs/>
          <w:lang w:val="es-US"/>
        </w:rPr>
        <w:t xml:space="preserve">evaluar si </w:t>
      </w:r>
      <w:r w:rsidR="00560CAD">
        <w:rPr>
          <w:rFonts w:eastAsia="Times New Roman"/>
          <w:bCs/>
          <w:iCs/>
          <w:lang w:val="es-US"/>
        </w:rPr>
        <w:t xml:space="preserve">las practicas actuales protegen suficientemente la confidencialidad de la información </w:t>
      </w:r>
      <w:r w:rsidR="00E9082B">
        <w:rPr>
          <w:rFonts w:eastAsia="Times New Roman"/>
          <w:bCs/>
          <w:iCs/>
          <w:lang w:val="es-US"/>
        </w:rPr>
        <w:t xml:space="preserve">bancaria </w:t>
      </w:r>
      <w:r w:rsidR="00560CAD">
        <w:rPr>
          <w:rFonts w:eastAsia="Times New Roman"/>
          <w:bCs/>
          <w:iCs/>
          <w:lang w:val="es-US"/>
        </w:rPr>
        <w:t>aplicable</w:t>
      </w:r>
      <w:r w:rsidR="004B741C">
        <w:rPr>
          <w:rFonts w:eastAsia="Times New Roman"/>
          <w:bCs/>
          <w:iCs/>
          <w:lang w:val="es-US"/>
        </w:rPr>
        <w:t xml:space="preserve"> </w:t>
      </w:r>
      <w:r w:rsidR="00404832">
        <w:rPr>
          <w:rFonts w:eastAsia="Times New Roman"/>
          <w:bCs/>
          <w:iCs/>
          <w:lang w:val="es-US"/>
        </w:rPr>
        <w:t>como le requiere el</w:t>
      </w:r>
      <w:r w:rsidRPr="005B0F18">
        <w:rPr>
          <w:rFonts w:eastAsia="Times New Roman"/>
          <w:bCs/>
          <w:iCs/>
          <w:lang w:val="es-US"/>
        </w:rPr>
        <w:t xml:space="preserve"> Artículo XVI(2) de la Convención. El Comité formulará una recomendación al respecto. (Véase la </w:t>
      </w:r>
      <w:r w:rsidR="00686E58" w:rsidRPr="005B0F18">
        <w:rPr>
          <w:rFonts w:eastAsia="Times New Roman"/>
          <w:lang w:val="es-US"/>
        </w:rPr>
        <w:t>R</w:t>
      </w:r>
      <w:r w:rsidRPr="005B0F18">
        <w:rPr>
          <w:rFonts w:eastAsia="Times New Roman"/>
          <w:lang w:val="es-US"/>
        </w:rPr>
        <w:t>ecomendación</w:t>
      </w:r>
      <w:r w:rsidRPr="005B0F18">
        <w:rPr>
          <w:rFonts w:eastAsia="Times New Roman"/>
          <w:bCs/>
          <w:iCs/>
          <w:lang w:val="es-US"/>
        </w:rPr>
        <w:t xml:space="preserve"> 1.4.1 en la sección 1.4 del Capítulo III del presente Informe)</w:t>
      </w:r>
    </w:p>
    <w:p w14:paraId="248C38E1" w14:textId="77777777" w:rsidR="00712D31" w:rsidRPr="00712D31" w:rsidRDefault="00712D31" w:rsidP="00712D31">
      <w:pPr>
        <w:suppressAutoHyphens/>
        <w:jc w:val="both"/>
        <w:rPr>
          <w:color w:val="000000" w:themeColor="text1"/>
          <w:lang w:val="es-US"/>
        </w:rPr>
      </w:pPr>
    </w:p>
    <w:p w14:paraId="44BD1FD6" w14:textId="37CBD2B0" w:rsidR="00686E58" w:rsidRPr="00712D31" w:rsidRDefault="00686E58" w:rsidP="00686E58">
      <w:pPr>
        <w:pStyle w:val="ListParagraph"/>
        <w:numPr>
          <w:ilvl w:val="0"/>
          <w:numId w:val="1"/>
        </w:numPr>
        <w:suppressAutoHyphens/>
        <w:jc w:val="both"/>
        <w:rPr>
          <w:rFonts w:eastAsia="Times New Roman"/>
          <w:bCs/>
          <w:iCs/>
          <w:lang w:val="es-US"/>
        </w:rPr>
      </w:pPr>
      <w:r w:rsidRPr="005B0F18">
        <w:rPr>
          <w:rFonts w:eastAsia="Times New Roman"/>
          <w:bCs/>
          <w:iCs/>
          <w:lang w:val="es-US"/>
        </w:rPr>
        <w:t xml:space="preserve">El Comité también advierte la ausencia de plazos para tramitar y responder a las solicitudes. Durante la visita in situ, el representante de la Oficina de Asuntos Internacionales del Departamento de Justicia señaló que de acuerdo con la legislación estadounidense no existen plazos, sino que hay plazos internos, que la Oficina intenta cumplir. También se observó que cuando se recibe una solicitud, esta se examina, se le envía una notificación al Estado </w:t>
      </w:r>
      <w:r w:rsidR="0057562F" w:rsidRPr="005B0F18">
        <w:rPr>
          <w:rFonts w:eastAsia="Times New Roman"/>
          <w:bCs/>
          <w:iCs/>
          <w:lang w:val="es-US"/>
        </w:rPr>
        <w:t>requirente</w:t>
      </w:r>
      <w:r w:rsidRPr="005B0F18">
        <w:rPr>
          <w:rFonts w:eastAsia="Times New Roman"/>
          <w:bCs/>
          <w:iCs/>
          <w:lang w:val="es-US"/>
        </w:rPr>
        <w:t xml:space="preserve"> y se pueden facilitar actualizaciones si así se solicita. Durante la visita in situ también se señaló que se pueden hacer solicitudes urgentes, para lo cual se requiere una justificación, y que un plazo se considerará si se incluye en la solicitud. </w:t>
      </w:r>
      <w:r w:rsidR="00A53F0F" w:rsidRPr="00712D31">
        <w:rPr>
          <w:rFonts w:eastAsia="Times New Roman"/>
          <w:bCs/>
          <w:iCs/>
          <w:lang w:val="es-US"/>
        </w:rPr>
        <w:t>Las citaciones emitidas a</w:t>
      </w:r>
      <w:r w:rsidR="00A53F0F">
        <w:rPr>
          <w:rFonts w:eastAsia="Times New Roman"/>
          <w:bCs/>
          <w:iCs/>
          <w:lang w:val="es-US"/>
        </w:rPr>
        <w:t xml:space="preserve"> </w:t>
      </w:r>
      <w:r w:rsidRPr="005B0F18">
        <w:rPr>
          <w:rFonts w:eastAsia="Times New Roman"/>
          <w:bCs/>
          <w:iCs/>
          <w:lang w:val="es-US"/>
        </w:rPr>
        <w:t xml:space="preserve">financieras </w:t>
      </w:r>
      <w:r w:rsidR="00F30EDB" w:rsidRPr="00712D31">
        <w:rPr>
          <w:rFonts w:eastAsia="Times New Roman"/>
          <w:bCs/>
          <w:iCs/>
          <w:lang w:val="es-US"/>
        </w:rPr>
        <w:t>pueden requerir la producción de registros en un plazo aproximad</w:t>
      </w:r>
      <w:r w:rsidR="00404185" w:rsidRPr="00712D31">
        <w:rPr>
          <w:rFonts w:eastAsia="Times New Roman"/>
          <w:bCs/>
          <w:iCs/>
          <w:lang w:val="es-US"/>
        </w:rPr>
        <w:t>o</w:t>
      </w:r>
      <w:r w:rsidR="00F30EDB" w:rsidRPr="00712D31">
        <w:rPr>
          <w:rFonts w:eastAsia="Times New Roman"/>
          <w:bCs/>
          <w:iCs/>
          <w:lang w:val="es-US"/>
        </w:rPr>
        <w:t xml:space="preserve"> </w:t>
      </w:r>
      <w:r w:rsidRPr="005B0F18">
        <w:rPr>
          <w:rFonts w:eastAsia="Times New Roman"/>
          <w:bCs/>
          <w:iCs/>
          <w:lang w:val="es-US"/>
        </w:rPr>
        <w:t xml:space="preserve">de tres a cuatro semanas y el Departamento de Justicia puede concederle una prórroga a la institución financiera </w:t>
      </w:r>
      <w:r w:rsidR="002833F7" w:rsidRPr="00712D31">
        <w:rPr>
          <w:rFonts w:eastAsia="Times New Roman"/>
          <w:bCs/>
          <w:iCs/>
          <w:lang w:val="es-US"/>
        </w:rPr>
        <w:t>de así solicitársele, en particular</w:t>
      </w:r>
      <w:r w:rsidR="002833F7" w:rsidRPr="002833F7">
        <w:rPr>
          <w:rFonts w:eastAsia="Times New Roman"/>
          <w:bCs/>
          <w:iCs/>
          <w:lang w:val="es-US"/>
        </w:rPr>
        <w:t xml:space="preserve"> </w:t>
      </w:r>
      <w:r w:rsidRPr="005B0F18">
        <w:rPr>
          <w:rFonts w:eastAsia="Times New Roman"/>
          <w:bCs/>
          <w:iCs/>
          <w:lang w:val="es-US"/>
        </w:rPr>
        <w:t>si la información que se solicita es extensa.</w:t>
      </w:r>
      <w:r w:rsidRPr="00712D31">
        <w:rPr>
          <w:rFonts w:eastAsia="Times New Roman"/>
          <w:bCs/>
          <w:iCs/>
          <w:lang w:val="es-US"/>
        </w:rPr>
        <w:t xml:space="preserve"> </w:t>
      </w:r>
    </w:p>
    <w:p w14:paraId="5F54A9D2" w14:textId="77777777" w:rsidR="00712D31" w:rsidRPr="00712D31" w:rsidRDefault="00712D31" w:rsidP="00712D31">
      <w:pPr>
        <w:pStyle w:val="ListParagraph"/>
        <w:suppressAutoHyphens/>
        <w:ind w:left="10"/>
        <w:jc w:val="both"/>
        <w:rPr>
          <w:rFonts w:eastAsia="Times New Roman"/>
          <w:b/>
          <w:iCs/>
          <w:u w:val="single"/>
          <w:lang w:val="es-US"/>
        </w:rPr>
      </w:pPr>
    </w:p>
    <w:p w14:paraId="5ED95A3F" w14:textId="715830CA" w:rsidR="00686E58" w:rsidRPr="00E45313" w:rsidRDefault="00686E58" w:rsidP="00686E58">
      <w:pPr>
        <w:pStyle w:val="ListParagraph"/>
        <w:numPr>
          <w:ilvl w:val="0"/>
          <w:numId w:val="1"/>
        </w:numPr>
        <w:suppressAutoHyphens/>
        <w:jc w:val="both"/>
        <w:rPr>
          <w:rFonts w:eastAsia="Times New Roman"/>
          <w:bCs/>
          <w:iCs/>
          <w:lang w:val="es-US"/>
        </w:rPr>
      </w:pPr>
      <w:r w:rsidRPr="005B0F18">
        <w:rPr>
          <w:rFonts w:eastAsia="Times New Roman"/>
          <w:bCs/>
          <w:iCs/>
          <w:lang w:val="es-US"/>
        </w:rPr>
        <w:t xml:space="preserve">El Comité toma nota de que durante la visita in situ se hizo mención de que a la Oficina de Asuntos Internacionales del Departamento de Justicia le resultaba difícil cumplir sus plazos internos para responder a las solicitudes, debido a que carece de personal suficiente. También se indicó que había aproximadamente 13.000 solicitudes pendientes de respuesta. </w:t>
      </w:r>
      <w:r w:rsidR="00555889" w:rsidRPr="00E45313">
        <w:rPr>
          <w:rFonts w:eastAsia="Times New Roman"/>
          <w:bCs/>
          <w:iCs/>
          <w:lang w:val="es-US"/>
        </w:rPr>
        <w:t>Cabe señalar, además, que las demoras en la ejecución de las solicitudes se deben a varios factores, como las solicitudes sin información suficiente para cumplir las normas legales estadounidenses, las traducciones inexistentes o deficientes y las referencias a anexos que no se facilitan.</w:t>
      </w:r>
    </w:p>
    <w:p w14:paraId="5368178D" w14:textId="77777777" w:rsidR="00686E58" w:rsidRPr="005B0F18" w:rsidRDefault="00686E58" w:rsidP="00686E58">
      <w:pPr>
        <w:pStyle w:val="ListParagraph"/>
        <w:rPr>
          <w:rStyle w:val="normaltextrun"/>
          <w:lang w:val="es-US"/>
        </w:rPr>
      </w:pPr>
    </w:p>
    <w:p w14:paraId="5B5C4EF1" w14:textId="32D4C908" w:rsidR="00686E58" w:rsidRPr="005B0F18" w:rsidRDefault="00686E58" w:rsidP="00686E58">
      <w:pPr>
        <w:pStyle w:val="ListParagraph"/>
        <w:numPr>
          <w:ilvl w:val="0"/>
          <w:numId w:val="1"/>
        </w:numPr>
        <w:suppressAutoHyphens/>
        <w:jc w:val="both"/>
        <w:rPr>
          <w:rFonts w:eastAsia="Times New Roman"/>
          <w:bCs/>
          <w:iCs/>
          <w:lang w:val="es-US"/>
        </w:rPr>
      </w:pPr>
      <w:r w:rsidRPr="005B0F18">
        <w:rPr>
          <w:rFonts w:eastAsia="Times New Roman"/>
          <w:bCs/>
          <w:iCs/>
          <w:lang w:val="es-US"/>
        </w:rPr>
        <w:t xml:space="preserve">En vista de lo anterior, el Comité estima conveniente que el Estado analizado considere proporcionar los recursos humanos necesarios a la Oficina de Asuntos Internacionales del Departamento de Justicia para que pueda cumplir cabalmente con sus funciones de responder y ejecutar las solicitudes de asistencia en general, pero específicamente con respecto a las relacionadas con información bancaria y financiera, dentro de los recursos disponibles. Además, sería beneficioso considerar la posibilidad de evaluar periódicamente si las políticas y prácticas existentes permiten responder a las solicitudes de asistencia de manera oportuna. (Véanse las </w:t>
      </w:r>
      <w:r w:rsidRPr="005B0F18">
        <w:rPr>
          <w:rFonts w:eastAsia="Times New Roman"/>
          <w:lang w:val="es-US"/>
        </w:rPr>
        <w:t>Recomendaciones</w:t>
      </w:r>
      <w:r w:rsidRPr="005B0F18">
        <w:rPr>
          <w:rFonts w:eastAsia="Times New Roman"/>
          <w:bCs/>
          <w:iCs/>
          <w:lang w:val="es-US"/>
        </w:rPr>
        <w:t xml:space="preserve"> 1.4.2 y 1.4.3 de la sección 1.4 del Capítulo III del presente Informe).</w:t>
      </w:r>
    </w:p>
    <w:p w14:paraId="7F4D61C4" w14:textId="77777777" w:rsidR="00686E58" w:rsidRPr="005B0F18" w:rsidRDefault="00686E58" w:rsidP="00686E58">
      <w:pPr>
        <w:pStyle w:val="ListParagraph"/>
        <w:suppressAutoHyphens/>
        <w:jc w:val="both"/>
        <w:rPr>
          <w:vertAlign w:val="superscript"/>
          <w:lang w:val="es-US"/>
        </w:rPr>
      </w:pPr>
    </w:p>
    <w:p w14:paraId="5DFF7540" w14:textId="584CF12C" w:rsidR="00A85452" w:rsidRPr="005B0F18" w:rsidRDefault="00686E58" w:rsidP="00686E58">
      <w:pPr>
        <w:pStyle w:val="ListParagraph"/>
        <w:numPr>
          <w:ilvl w:val="0"/>
          <w:numId w:val="1"/>
        </w:numPr>
        <w:suppressAutoHyphens/>
        <w:jc w:val="both"/>
        <w:rPr>
          <w:color w:val="0E101A"/>
          <w:lang w:val="es-US"/>
        </w:rPr>
      </w:pPr>
      <w:r w:rsidRPr="005B0F18">
        <w:rPr>
          <w:rFonts w:eastAsia="Times New Roman"/>
          <w:bCs/>
          <w:iCs/>
          <w:lang w:val="es-US"/>
        </w:rPr>
        <w:t xml:space="preserve">El Comité también observa que la Oficina de Asuntos Internacionales del Departamento de Justicia facilitó el documento en línea al que se hizo mención arriba, “Preguntas Frecuentes sobre Asistencia Jurídica en Materia Penal”, que también está disponible en francés, portugués y español, para ayudar a los Estados </w:t>
      </w:r>
      <w:r w:rsidR="00CE754E" w:rsidRPr="005B0F18">
        <w:rPr>
          <w:rFonts w:eastAsia="Times New Roman"/>
          <w:bCs/>
          <w:iCs/>
          <w:lang w:val="es-US"/>
        </w:rPr>
        <w:t>requirentes</w:t>
      </w:r>
      <w:r w:rsidRPr="005B0F18">
        <w:rPr>
          <w:rFonts w:eastAsia="Times New Roman"/>
          <w:bCs/>
          <w:iCs/>
          <w:lang w:val="es-US"/>
        </w:rPr>
        <w:t xml:space="preserve"> con una solicitud de asistencia mutua en materia penal. Este documento establece, entre otras cosas, el tipo de asistencia que está disponible por parte de Estados Unidos y la forma de hacer una solicitud. Establece asimismo que cuando se trata de registros bancarios y comerciales, el estándar legal de Estados Unidos que se debe cumplir es la relevancia y que para recibir esta información se requiere una citación aprobada por un tribunal</w:t>
      </w:r>
      <w:r w:rsidR="00B957C8" w:rsidRPr="005B0F18">
        <w:rPr>
          <w:lang w:val="es-US"/>
        </w:rPr>
        <w:t>.</w:t>
      </w:r>
      <w:r w:rsidR="00B957C8" w:rsidRPr="005B0F18">
        <w:rPr>
          <w:rStyle w:val="FootnoteReference"/>
          <w:lang w:val="es-US"/>
        </w:rPr>
        <w:footnoteReference w:id="141"/>
      </w:r>
    </w:p>
    <w:p w14:paraId="79AB864A" w14:textId="77777777" w:rsidR="00B957C8" w:rsidRPr="005B0F18" w:rsidRDefault="00B957C8" w:rsidP="00B957C8">
      <w:pPr>
        <w:pStyle w:val="ListParagraph"/>
        <w:rPr>
          <w:rStyle w:val="normaltextrun"/>
          <w:color w:val="0E101A"/>
          <w:lang w:val="es-US"/>
        </w:rPr>
      </w:pPr>
    </w:p>
    <w:p w14:paraId="1DBA440D" w14:textId="33118315" w:rsidR="00B327E9" w:rsidRPr="005B0F18" w:rsidRDefault="003B6399" w:rsidP="00CA3354">
      <w:pPr>
        <w:pStyle w:val="ListParagraph"/>
        <w:numPr>
          <w:ilvl w:val="0"/>
          <w:numId w:val="1"/>
        </w:numPr>
        <w:suppressAutoHyphens/>
        <w:jc w:val="both"/>
        <w:rPr>
          <w:lang w:val="es-US"/>
        </w:rPr>
      </w:pPr>
      <w:r w:rsidRPr="005B0F18">
        <w:rPr>
          <w:bCs/>
          <w:iCs/>
          <w:lang w:val="es-US"/>
        </w:rPr>
        <w:t xml:space="preserve">Aunque este recurso está disponible en línea, durante la visita in situ, el representante de la Oficina de Asuntos Internacionales del Departamento de Justicia señaló que uno de los retos para responder a las solicitudes es la falta de información suficiente que se recibe de los Estados </w:t>
      </w:r>
      <w:r w:rsidR="0057562F" w:rsidRPr="005B0F18">
        <w:rPr>
          <w:bCs/>
          <w:iCs/>
          <w:lang w:val="es-US"/>
        </w:rPr>
        <w:t>requirentes</w:t>
      </w:r>
      <w:r w:rsidRPr="005B0F18">
        <w:rPr>
          <w:bCs/>
          <w:iCs/>
          <w:lang w:val="es-US"/>
        </w:rPr>
        <w:t xml:space="preserve">, como, por ejemplo, no proporcionar el nombre de la institución financiera donde se encuentra la información que se solicita. A este respecto, el Comité estima que el Estado analizado podría considerar la posibilidad de proporcionar información más detallada en los recursos que se les ofrecen a los Estados </w:t>
      </w:r>
      <w:r w:rsidR="0057562F" w:rsidRPr="005B0F18">
        <w:rPr>
          <w:bCs/>
          <w:iCs/>
          <w:lang w:val="es-US"/>
        </w:rPr>
        <w:t>requirentes</w:t>
      </w:r>
      <w:r w:rsidRPr="005B0F18">
        <w:rPr>
          <w:bCs/>
          <w:iCs/>
          <w:lang w:val="es-US"/>
        </w:rPr>
        <w:t xml:space="preserve">. Por ejemplo, podría especificar con mayor detalle en su documento de Preguntas Frecuentes que los Estados </w:t>
      </w:r>
      <w:r w:rsidR="0057562F" w:rsidRPr="005B0F18">
        <w:rPr>
          <w:bCs/>
          <w:iCs/>
          <w:lang w:val="es-US"/>
        </w:rPr>
        <w:t>requirentes</w:t>
      </w:r>
      <w:r w:rsidRPr="005B0F18">
        <w:rPr>
          <w:bCs/>
          <w:iCs/>
          <w:lang w:val="es-US"/>
        </w:rPr>
        <w:t xml:space="preserve"> deben identificar específicamente la naturaleza de los registros bancarios o financieros que se solicitan, el nombre y la ubicación de la institución financiera donde se cree que se encuentran los registros, el número de cuenta correspondiente a los registros y por qué los registros ayudarán a avanzar en un caso. De este modo, los Estados requirentes recibirán más orientación sobre lo que necesita Estados Unidos para ejecutar una solicitud de asistencia mutua en materia penal en lo que toca a los registros bancarios o financieros, además de que puede ayudar a reducir el plazo general para ejecutar la solicitud. El Comité formulará una recomendación a este respecto. (Véase la </w:t>
      </w:r>
      <w:r w:rsidRPr="005B0F18">
        <w:rPr>
          <w:lang w:val="es-US"/>
        </w:rPr>
        <w:t>Recomendación</w:t>
      </w:r>
      <w:r w:rsidRPr="005B0F18">
        <w:rPr>
          <w:bCs/>
          <w:iCs/>
          <w:lang w:val="es-US"/>
        </w:rPr>
        <w:t xml:space="preserve"> 1.4.4. en la sección 1.4 del Capítulo II del presente Informe)</w:t>
      </w:r>
    </w:p>
    <w:p w14:paraId="55C5764D" w14:textId="77777777" w:rsidR="00B327E9" w:rsidRPr="00282A68" w:rsidRDefault="00B327E9" w:rsidP="00B327E9">
      <w:pPr>
        <w:pStyle w:val="ListParagraph"/>
        <w:suppressAutoHyphens/>
        <w:ind w:left="10"/>
        <w:jc w:val="both"/>
        <w:rPr>
          <w:lang w:val="es-US"/>
        </w:rPr>
      </w:pPr>
    </w:p>
    <w:p w14:paraId="3C65D449" w14:textId="79924D22" w:rsidR="00B327E9" w:rsidRPr="00282A68" w:rsidRDefault="00B327E9" w:rsidP="00B327E9">
      <w:pPr>
        <w:pStyle w:val="ListParagraph"/>
        <w:ind w:hanging="360"/>
        <w:jc w:val="both"/>
        <w:rPr>
          <w:lang w:val="es-US"/>
        </w:rPr>
      </w:pPr>
      <w:r w:rsidRPr="00282A68">
        <w:rPr>
          <w:b/>
          <w:lang w:val="es-US"/>
        </w:rPr>
        <w:t xml:space="preserve">1.3 </w:t>
      </w:r>
      <w:r w:rsidR="005F05B6" w:rsidRPr="00282A68">
        <w:rPr>
          <w:b/>
          <w:bCs/>
          <w:lang w:val="es-US"/>
        </w:rPr>
        <w:t>Resultados del marco jurídico y/o de otras medidas</w:t>
      </w:r>
    </w:p>
    <w:p w14:paraId="798141F4" w14:textId="77777777" w:rsidR="00B327E9" w:rsidRPr="00282A68" w:rsidRDefault="00B327E9" w:rsidP="00B327E9">
      <w:pPr>
        <w:pStyle w:val="ListParagraph"/>
        <w:suppressAutoHyphens/>
        <w:ind w:left="10"/>
        <w:jc w:val="both"/>
        <w:rPr>
          <w:lang w:val="es-US"/>
        </w:rPr>
      </w:pPr>
    </w:p>
    <w:p w14:paraId="7431B101" w14:textId="08F73EAB" w:rsidR="00B327E9" w:rsidRPr="00282A68" w:rsidRDefault="00BC515C" w:rsidP="00B327E9">
      <w:pPr>
        <w:pStyle w:val="ListParagraph"/>
        <w:numPr>
          <w:ilvl w:val="0"/>
          <w:numId w:val="1"/>
        </w:numPr>
        <w:suppressAutoHyphens/>
        <w:jc w:val="both"/>
        <w:rPr>
          <w:color w:val="000000" w:themeColor="text1"/>
          <w:lang w:val="es-US"/>
        </w:rPr>
      </w:pPr>
      <w:r w:rsidRPr="00282A68">
        <w:rPr>
          <w:lang w:val="es-US"/>
        </w:rPr>
        <w:t>El Estado analizado, en su Respuesta al Cuestionario, señaló lo siguiente con respecto a los resultados</w:t>
      </w:r>
      <w:r w:rsidR="00B327E9" w:rsidRPr="00282A68">
        <w:rPr>
          <w:rStyle w:val="FootnoteReference"/>
          <w:color w:val="000000" w:themeColor="text1"/>
          <w:lang w:val="es-US"/>
        </w:rPr>
        <w:footnoteReference w:id="142"/>
      </w:r>
      <w:r w:rsidR="007E04FA" w:rsidRPr="00282A68">
        <w:rPr>
          <w:lang w:val="es-US"/>
        </w:rPr>
        <w:t>:</w:t>
      </w:r>
    </w:p>
    <w:p w14:paraId="3160651B" w14:textId="77777777" w:rsidR="00B327E9" w:rsidRPr="00282A68" w:rsidRDefault="00B327E9" w:rsidP="00B327E9">
      <w:pPr>
        <w:suppressAutoHyphens/>
        <w:contextualSpacing/>
        <w:jc w:val="both"/>
        <w:rPr>
          <w:color w:val="000000" w:themeColor="text1"/>
          <w:sz w:val="22"/>
          <w:szCs w:val="22"/>
          <w:lang w:val="es-US"/>
        </w:rPr>
      </w:pPr>
    </w:p>
    <w:p w14:paraId="5A138C4E" w14:textId="335570AB" w:rsidR="00B327E9" w:rsidRPr="005B0F18" w:rsidRDefault="00B327E9" w:rsidP="00B327E9">
      <w:pPr>
        <w:pStyle w:val="ListParagraph"/>
        <w:numPr>
          <w:ilvl w:val="0"/>
          <w:numId w:val="1"/>
        </w:numPr>
        <w:suppressAutoHyphens/>
        <w:jc w:val="both"/>
        <w:rPr>
          <w:color w:val="000000" w:themeColor="text1"/>
          <w:lang w:val="es-US"/>
        </w:rPr>
      </w:pPr>
      <w:r w:rsidRPr="005B0F18">
        <w:rPr>
          <w:color w:val="000000" w:themeColor="text1"/>
          <w:lang w:val="es-US"/>
        </w:rPr>
        <w:t>“</w:t>
      </w:r>
      <w:r w:rsidR="00364C04" w:rsidRPr="005B0F18">
        <w:rPr>
          <w:bCs/>
          <w:i/>
          <w:iCs/>
          <w:color w:val="000000" w:themeColor="text1"/>
          <w:lang w:val="es-US"/>
        </w:rPr>
        <w:t>Dado que en la mayoría de los casos se invoca la confidencialidad, Estados Unidos no está en condiciones de facilitar información sobre las solicitudes recibidas. En todo caso, Estados Unidos no hace un seguimiento de las solicitudes que afectan el secreto bancario</w:t>
      </w:r>
      <w:r w:rsidRPr="005B0F18">
        <w:rPr>
          <w:color w:val="000000" w:themeColor="text1"/>
          <w:lang w:val="es-US"/>
        </w:rPr>
        <w:t>.”</w:t>
      </w:r>
    </w:p>
    <w:p w14:paraId="3AFA81D3" w14:textId="77777777" w:rsidR="00B327E9" w:rsidRPr="005B0F18" w:rsidRDefault="00B327E9" w:rsidP="00B327E9">
      <w:pPr>
        <w:pStyle w:val="ListParagraph"/>
        <w:rPr>
          <w:color w:val="000000" w:themeColor="text1"/>
          <w:lang w:val="es-US"/>
        </w:rPr>
      </w:pPr>
    </w:p>
    <w:p w14:paraId="0136BF07" w14:textId="26B2F97F" w:rsidR="00BE501F" w:rsidRPr="005B0F18" w:rsidRDefault="00BE501F" w:rsidP="00BE501F">
      <w:pPr>
        <w:pStyle w:val="ListParagraph"/>
        <w:numPr>
          <w:ilvl w:val="0"/>
          <w:numId w:val="1"/>
        </w:numPr>
        <w:suppressAutoHyphens/>
        <w:jc w:val="both"/>
        <w:rPr>
          <w:rFonts w:eastAsia="Times New Roman"/>
          <w:lang w:val="es-US"/>
        </w:rPr>
      </w:pPr>
      <w:r w:rsidRPr="005B0F18">
        <w:rPr>
          <w:rFonts w:eastAsia="Times New Roman"/>
          <w:bCs/>
          <w:iCs/>
          <w:lang w:val="es-US"/>
        </w:rPr>
        <w:t xml:space="preserve">Durante la visita in situ se explicó además que posiblemente se podrían rastrear las solicitudes de información financiera; sin embargo, no podrían desglosarse si tuvieron que ver con un acto de corrupción. Se observó, como se </w:t>
      </w:r>
      <w:r w:rsidR="000B5AA5" w:rsidRPr="005B0F18">
        <w:rPr>
          <w:rFonts w:eastAsia="Times New Roman"/>
          <w:bCs/>
          <w:iCs/>
          <w:lang w:val="es-US"/>
        </w:rPr>
        <w:t xml:space="preserve">desarrolló </w:t>
      </w:r>
      <w:r w:rsidRPr="005B0F18">
        <w:rPr>
          <w:rFonts w:eastAsia="Times New Roman"/>
          <w:bCs/>
          <w:iCs/>
          <w:lang w:val="es-US"/>
        </w:rPr>
        <w:t>en el análisis de los resultados en materia de soborno transnacional y enriquecimiento ilícito, que no se hace un seguimiento de los casos de corrupción y que muchos de ellos se clasifican como soborno, fraude o malversación</w:t>
      </w:r>
      <w:r w:rsidRPr="005B0F18">
        <w:rPr>
          <w:rFonts w:eastAsia="Times New Roman"/>
          <w:lang w:val="es-US"/>
        </w:rPr>
        <w:t xml:space="preserve">. </w:t>
      </w:r>
    </w:p>
    <w:p w14:paraId="2C4B238B" w14:textId="77777777" w:rsidR="00BE501F" w:rsidRPr="005B0F18" w:rsidRDefault="00BE501F" w:rsidP="00BE501F">
      <w:pPr>
        <w:pStyle w:val="ListParagraph"/>
        <w:rPr>
          <w:rFonts w:eastAsia="Times New Roman"/>
          <w:lang w:val="es-US"/>
        </w:rPr>
      </w:pPr>
    </w:p>
    <w:p w14:paraId="7E0844FE" w14:textId="0B34C65B" w:rsidR="009C21AA" w:rsidRPr="005B0F18" w:rsidRDefault="00BE501F" w:rsidP="00BE501F">
      <w:pPr>
        <w:pStyle w:val="ListParagraph"/>
        <w:numPr>
          <w:ilvl w:val="0"/>
          <w:numId w:val="1"/>
        </w:numPr>
        <w:suppressAutoHyphens/>
        <w:jc w:val="both"/>
        <w:rPr>
          <w:rFonts w:eastAsia="Times New Roman"/>
          <w:color w:val="000000" w:themeColor="text1"/>
          <w:lang w:val="es-US"/>
        </w:rPr>
      </w:pPr>
      <w:r w:rsidRPr="005B0F18">
        <w:rPr>
          <w:rFonts w:eastAsia="Times New Roman"/>
          <w:bCs/>
          <w:iCs/>
          <w:lang w:val="es-US"/>
        </w:rPr>
        <w:t>Con respecto a las sanciones que se les imponen a las instituciones financieras por no cumplir con una orden judicial de proporcionar información financiera por una solicitud de asistencia, el Estado analizado manifestó lo siguiente con posterioridad a la visita in situ</w:t>
      </w:r>
      <w:r w:rsidR="009C21AA" w:rsidRPr="005B0F18">
        <w:rPr>
          <w:rStyle w:val="FootnoteReference"/>
          <w:rFonts w:eastAsia="Times New Roman"/>
          <w:color w:val="000000" w:themeColor="text1"/>
          <w:lang w:val="es-US"/>
        </w:rPr>
        <w:footnoteReference w:id="143"/>
      </w:r>
      <w:r w:rsidRPr="005B0F18">
        <w:rPr>
          <w:rFonts w:eastAsia="Times New Roman"/>
          <w:bCs/>
          <w:iCs/>
          <w:lang w:val="es-US"/>
        </w:rPr>
        <w:t>:</w:t>
      </w:r>
      <w:r w:rsidR="009C21AA" w:rsidRPr="005B0F18">
        <w:rPr>
          <w:rFonts w:eastAsia="Times New Roman"/>
          <w:color w:val="000000" w:themeColor="text1"/>
          <w:lang w:val="es-US"/>
        </w:rPr>
        <w:t xml:space="preserve"> </w:t>
      </w:r>
    </w:p>
    <w:p w14:paraId="6F7E9F37" w14:textId="77777777" w:rsidR="009C21AA" w:rsidRPr="005B0F18" w:rsidRDefault="009C21AA" w:rsidP="009C21AA">
      <w:pPr>
        <w:pStyle w:val="ListParagraph"/>
        <w:rPr>
          <w:rFonts w:eastAsia="Times New Roman"/>
          <w:color w:val="000000" w:themeColor="text1"/>
          <w:lang w:val="es-US"/>
        </w:rPr>
      </w:pPr>
    </w:p>
    <w:p w14:paraId="713092DA" w14:textId="43ABB5A1" w:rsidR="009C21AA" w:rsidRPr="005B0F18" w:rsidRDefault="009C21AA" w:rsidP="00B327E9">
      <w:pPr>
        <w:pStyle w:val="ListParagraph"/>
        <w:numPr>
          <w:ilvl w:val="0"/>
          <w:numId w:val="1"/>
        </w:numPr>
        <w:suppressAutoHyphens/>
        <w:jc w:val="both"/>
        <w:rPr>
          <w:rFonts w:eastAsia="Times New Roman"/>
          <w:color w:val="000000" w:themeColor="text1"/>
          <w:lang w:val="es-US"/>
        </w:rPr>
      </w:pPr>
      <w:r w:rsidRPr="005B0F18">
        <w:rPr>
          <w:lang w:val="es-US"/>
        </w:rPr>
        <w:t>“</w:t>
      </w:r>
      <w:r w:rsidR="005B5D9C" w:rsidRPr="005B0F18">
        <w:rPr>
          <w:i/>
          <w:iCs/>
          <w:lang w:val="es-US"/>
        </w:rPr>
        <w:t>Estados Unidos no hace un seguimiento en este sentido, ya que nunca ha sido un problema. Como se explicó durante la reunión, el representante del Departamento de Justicia de Estados Unidos no tenía conocimiento de ningún caso en el que una institución financiera haya incumplido una citación para presentar registros. Aunque ha habido ocasiones en las que la Oficina de Asuntos Internacionales del Departamento de Justicia se ha visto obligada a explicarles a las instituciones financieras el uso que hacemos de la citación de un comisionado con base en la sección 3512 del Título 18 del U.S.C., en última instancia ha logrado convencerlas de que presenten los registros sin necesidad de una vista en los tribunales. Como resultado, el Departamento de Justicia nunca ha llegado a un punto en el que fuera necesario imponer sanciones</w:t>
      </w:r>
      <w:r w:rsidRPr="005B0F18">
        <w:rPr>
          <w:lang w:val="es-US"/>
        </w:rPr>
        <w:t>.”</w:t>
      </w:r>
    </w:p>
    <w:p w14:paraId="79E66D8D" w14:textId="77777777" w:rsidR="00BF6DE4" w:rsidRPr="005B0F18" w:rsidRDefault="00BF6DE4" w:rsidP="00BF6DE4">
      <w:pPr>
        <w:pStyle w:val="ListParagraph"/>
        <w:rPr>
          <w:color w:val="000000" w:themeColor="text1"/>
          <w:lang w:val="es-US"/>
        </w:rPr>
      </w:pPr>
    </w:p>
    <w:p w14:paraId="3A437FC5" w14:textId="3B1A4764" w:rsidR="00CA6DDF" w:rsidRPr="005B0F18" w:rsidRDefault="00CA6DDF" w:rsidP="00CA6DDF">
      <w:pPr>
        <w:pStyle w:val="ListParagraph"/>
        <w:numPr>
          <w:ilvl w:val="0"/>
          <w:numId w:val="1"/>
        </w:numPr>
        <w:suppressAutoHyphens/>
        <w:jc w:val="both"/>
        <w:rPr>
          <w:lang w:val="es-US"/>
        </w:rPr>
      </w:pPr>
      <w:r w:rsidRPr="005B0F18">
        <w:rPr>
          <w:rFonts w:eastAsia="Times New Roman"/>
          <w:bCs/>
          <w:iCs/>
          <w:lang w:val="es-US"/>
        </w:rPr>
        <w:t>El Comité observa las dificultades que enfrenta el Estado analizado para mantener resultados específicos sobre las solicitudes de asistencia relacionadas con un acto de corrupción. Sin embargo, advierte que</w:t>
      </w:r>
      <w:r w:rsidR="00CF7418" w:rsidRPr="005B0F18">
        <w:rPr>
          <w:rFonts w:eastAsia="Times New Roman"/>
          <w:bCs/>
          <w:iCs/>
          <w:lang w:val="es-US"/>
        </w:rPr>
        <w:t>,</w:t>
      </w:r>
      <w:r w:rsidRPr="005B0F18">
        <w:rPr>
          <w:rFonts w:eastAsia="Times New Roman"/>
          <w:bCs/>
          <w:iCs/>
          <w:lang w:val="es-US"/>
        </w:rPr>
        <w:t xml:space="preserve"> a pesar de estos desafíos, ha podido proporcionar este tipo de resultados en rondas anteriores de revisión del MESICIC, así como en otros importantes mecanismos internacionales de revisión contra la corrupción. El Comité también toma nota de que es posible invocar la confidencialidad en las solicitudes de información bancaria. </w:t>
      </w:r>
      <w:r w:rsidR="00CF7418" w:rsidRPr="005B0F18">
        <w:rPr>
          <w:rFonts w:eastAsia="Times New Roman"/>
          <w:bCs/>
          <w:iCs/>
          <w:lang w:val="es-US"/>
        </w:rPr>
        <w:t>No obstante</w:t>
      </w:r>
      <w:r w:rsidRPr="005B0F18">
        <w:rPr>
          <w:rFonts w:eastAsia="Times New Roman"/>
          <w:bCs/>
          <w:iCs/>
          <w:lang w:val="es-US"/>
        </w:rPr>
        <w:t>, el Comité desea resaltar que la información que se solicita sobre resultados en materia de Secreto Bancario en el Cuestionario para la Sexta Ronda de Análisis es de carácter general y no requiere información detallada sobre los pormenores de una solicitud.</w:t>
      </w:r>
    </w:p>
    <w:p w14:paraId="4A89882D" w14:textId="77777777" w:rsidR="00CA6DDF" w:rsidRPr="005B0F18" w:rsidRDefault="00CA6DDF" w:rsidP="00CA6DDF">
      <w:pPr>
        <w:pStyle w:val="ListParagraph"/>
        <w:rPr>
          <w:lang w:val="es-US"/>
        </w:rPr>
      </w:pPr>
    </w:p>
    <w:p w14:paraId="1939F77F" w14:textId="3D57CBE4" w:rsidR="00CA6DDF" w:rsidRPr="005B0F18" w:rsidRDefault="00CA6DDF" w:rsidP="00CA6DDF">
      <w:pPr>
        <w:pStyle w:val="ListParagraph"/>
        <w:numPr>
          <w:ilvl w:val="0"/>
          <w:numId w:val="1"/>
        </w:numPr>
        <w:suppressAutoHyphens/>
        <w:jc w:val="both"/>
        <w:rPr>
          <w:rFonts w:eastAsia="Times New Roman"/>
          <w:bCs/>
          <w:iCs/>
          <w:lang w:val="es-US"/>
        </w:rPr>
      </w:pPr>
      <w:r w:rsidRPr="005B0F18">
        <w:rPr>
          <w:rFonts w:eastAsia="Times New Roman"/>
          <w:bCs/>
          <w:iCs/>
          <w:lang w:val="es-US"/>
        </w:rPr>
        <w:t xml:space="preserve">Al respecto, teniendo en cuenta que el Comité no cuenta con información adicional a la anterior que le permita evaluar de manera integral los resultados en lo que se refiere a la prestación de asistencia y cooperación en cuanto a la información en poder de instituciones financieras ubicadas en Estados Unidos relacionada con la investigación o juzgamiento de un acto de corrupción, el Comité estima que el Estado analizado podría considerar </w:t>
      </w:r>
      <w:r w:rsidR="00463CC6">
        <w:rPr>
          <w:rFonts w:eastAsia="Times New Roman"/>
          <w:b/>
          <w:iCs/>
          <w:u w:val="single"/>
          <w:lang w:val="es-US"/>
        </w:rPr>
        <w:t>recopilar estadísticas</w:t>
      </w:r>
      <w:r w:rsidRPr="005B0F18">
        <w:rPr>
          <w:rFonts w:eastAsia="Times New Roman"/>
          <w:bCs/>
          <w:iCs/>
          <w:lang w:val="es-US"/>
        </w:rPr>
        <w:t xml:space="preserve"> sobre el número de solicitudes de asistencia que se reciban de los Estados Partes de la Convención que involucren información protegida por el secreto bancario para los propósitos del Artículo XVI de la Convención. (Véase la </w:t>
      </w:r>
      <w:r w:rsidRPr="005B0F18">
        <w:rPr>
          <w:rFonts w:eastAsia="Times New Roman"/>
          <w:lang w:val="es-US"/>
        </w:rPr>
        <w:t>Recomendación</w:t>
      </w:r>
      <w:r w:rsidRPr="005B0F18">
        <w:rPr>
          <w:rFonts w:eastAsia="Times New Roman"/>
          <w:bCs/>
          <w:iCs/>
          <w:lang w:val="es-US"/>
        </w:rPr>
        <w:t xml:space="preserve"> 1.4.5 en la sección 1.4 del Capítulo III del presente Informe)</w:t>
      </w:r>
    </w:p>
    <w:p w14:paraId="5FD8921C" w14:textId="77777777" w:rsidR="00CA6DDF" w:rsidRPr="005B0F18" w:rsidRDefault="00CA6DDF" w:rsidP="00CA6DDF">
      <w:pPr>
        <w:suppressAutoHyphens/>
        <w:ind w:left="10"/>
        <w:contextualSpacing/>
        <w:jc w:val="both"/>
        <w:rPr>
          <w:sz w:val="22"/>
          <w:szCs w:val="22"/>
          <w:lang w:val="es-US"/>
        </w:rPr>
      </w:pPr>
    </w:p>
    <w:p w14:paraId="7C1E4B62" w14:textId="62394FFA" w:rsidR="0034328B" w:rsidRPr="005B0F18" w:rsidRDefault="00CA6DDF" w:rsidP="00CA6DDF">
      <w:pPr>
        <w:pStyle w:val="ListParagraph"/>
        <w:numPr>
          <w:ilvl w:val="0"/>
          <w:numId w:val="1"/>
        </w:numPr>
        <w:suppressAutoHyphens/>
        <w:jc w:val="both"/>
        <w:rPr>
          <w:color w:val="000000" w:themeColor="text1"/>
          <w:lang w:val="es-US"/>
        </w:rPr>
      </w:pPr>
      <w:r w:rsidRPr="005B0F18">
        <w:rPr>
          <w:rFonts w:eastAsia="Times New Roman"/>
          <w:bCs/>
          <w:iCs/>
          <w:lang w:val="es-US"/>
        </w:rPr>
        <w:t xml:space="preserve">Asimismo, el Estado analizado podría considerar también </w:t>
      </w:r>
      <w:r w:rsidR="008353E9">
        <w:rPr>
          <w:rFonts w:eastAsia="Times New Roman"/>
          <w:b/>
          <w:iCs/>
          <w:u w:val="single"/>
          <w:lang w:val="es-US"/>
        </w:rPr>
        <w:t>recopilar</w:t>
      </w:r>
      <w:r w:rsidRPr="005B0F18">
        <w:rPr>
          <w:rFonts w:eastAsia="Times New Roman"/>
          <w:bCs/>
          <w:iCs/>
          <w:lang w:val="es-US"/>
        </w:rPr>
        <w:t xml:space="preserve"> </w:t>
      </w:r>
      <w:r w:rsidR="00463CC6">
        <w:rPr>
          <w:rFonts w:eastAsia="Times New Roman"/>
          <w:b/>
          <w:iCs/>
          <w:u w:val="single"/>
          <w:lang w:val="es-US"/>
        </w:rPr>
        <w:t>estadísticas</w:t>
      </w:r>
      <w:r w:rsidRPr="005B0F18">
        <w:rPr>
          <w:rFonts w:eastAsia="Times New Roman"/>
          <w:bCs/>
          <w:iCs/>
          <w:lang w:val="es-US"/>
        </w:rPr>
        <w:t xml:space="preserve"> sobre el número de solicitudes que realice a otros Estados Parte de la Convención sobre información en poder de instituciones financieras ubicadas en un Estado requerido relacionada con la investigación de un acto de corrupción y, de estar disponible, el número de solicitudes denegadas por el Estado requerido únicamente </w:t>
      </w:r>
      <w:proofErr w:type="gramStart"/>
      <w:r w:rsidRPr="005B0F18">
        <w:rPr>
          <w:rFonts w:eastAsia="Times New Roman"/>
          <w:bCs/>
          <w:iCs/>
          <w:lang w:val="es-US"/>
        </w:rPr>
        <w:t>en razón de</w:t>
      </w:r>
      <w:proofErr w:type="gramEnd"/>
      <w:r w:rsidRPr="005B0F18">
        <w:rPr>
          <w:rFonts w:eastAsia="Times New Roman"/>
          <w:bCs/>
          <w:iCs/>
          <w:lang w:val="es-US"/>
        </w:rPr>
        <w:t xml:space="preserve"> leyes de secreto bancario. (Véase la </w:t>
      </w:r>
      <w:r w:rsidRPr="005B0F18">
        <w:rPr>
          <w:rFonts w:eastAsia="Times New Roman"/>
          <w:lang w:val="es-US"/>
        </w:rPr>
        <w:t>recomendación</w:t>
      </w:r>
      <w:r w:rsidRPr="005B0F18">
        <w:rPr>
          <w:rFonts w:eastAsia="Times New Roman"/>
          <w:bCs/>
          <w:iCs/>
          <w:lang w:val="es-US"/>
        </w:rPr>
        <w:t xml:space="preserve"> 1.4.6 en la sección 1.4 del Capítulo III del presente Informe)</w:t>
      </w:r>
    </w:p>
    <w:p w14:paraId="313EDD46" w14:textId="77777777" w:rsidR="0034328B" w:rsidRPr="00282A68" w:rsidRDefault="0034328B" w:rsidP="0034328B">
      <w:pPr>
        <w:pStyle w:val="ListParagraph"/>
        <w:rPr>
          <w:color w:val="000000" w:themeColor="text1"/>
          <w:lang w:val="es-US"/>
        </w:rPr>
      </w:pPr>
    </w:p>
    <w:p w14:paraId="53BB84D8" w14:textId="5A74AD43" w:rsidR="0034328B" w:rsidRPr="00282A68" w:rsidRDefault="00A24CDB" w:rsidP="004F0439">
      <w:pPr>
        <w:pStyle w:val="ListParagraph"/>
        <w:numPr>
          <w:ilvl w:val="1"/>
          <w:numId w:val="11"/>
        </w:numPr>
        <w:ind w:left="720"/>
        <w:rPr>
          <w:b/>
          <w:lang w:val="es-US"/>
        </w:rPr>
      </w:pPr>
      <w:r w:rsidRPr="00282A68">
        <w:rPr>
          <w:b/>
          <w:bCs/>
          <w:lang w:val="es-US"/>
        </w:rPr>
        <w:t>Conclusiones y recomendaciones</w:t>
      </w:r>
    </w:p>
    <w:p w14:paraId="5BE43812" w14:textId="77777777" w:rsidR="0034328B" w:rsidRPr="00282A68" w:rsidRDefault="0034328B" w:rsidP="0034328B">
      <w:pPr>
        <w:rPr>
          <w:sz w:val="22"/>
          <w:szCs w:val="22"/>
          <w:lang w:val="es-US"/>
        </w:rPr>
      </w:pPr>
    </w:p>
    <w:p w14:paraId="70AA6737" w14:textId="77777777" w:rsidR="00CE647B" w:rsidRPr="00282A68" w:rsidRDefault="00CE647B" w:rsidP="00CE647B">
      <w:pPr>
        <w:numPr>
          <w:ilvl w:val="0"/>
          <w:numId w:val="1"/>
        </w:numPr>
        <w:suppressAutoHyphens/>
        <w:contextualSpacing/>
        <w:jc w:val="both"/>
        <w:rPr>
          <w:sz w:val="22"/>
          <w:szCs w:val="22"/>
          <w:lang w:val="es-US"/>
        </w:rPr>
      </w:pPr>
      <w:r w:rsidRPr="00282A68">
        <w:rPr>
          <w:color w:val="000000" w:themeColor="text1"/>
          <w:sz w:val="22"/>
          <w:szCs w:val="22"/>
          <w:lang w:val="es-US"/>
        </w:rPr>
        <w:t>Con</w:t>
      </w:r>
      <w:r w:rsidRPr="00282A68">
        <w:rPr>
          <w:sz w:val="22"/>
          <w:szCs w:val="22"/>
          <w:lang w:val="es-US"/>
        </w:rPr>
        <w:t xml:space="preserve"> base en el análisis realizado sobre la implementación en el Estado analizado del artículo XVI de la Convención, el Comité formula las siguientes conclusiones y recomendaciones: </w:t>
      </w:r>
    </w:p>
    <w:p w14:paraId="54469DF1" w14:textId="77777777" w:rsidR="00CE647B" w:rsidRPr="00282A68" w:rsidRDefault="00CE647B" w:rsidP="00CE647B">
      <w:pPr>
        <w:pStyle w:val="BodyTextIndent2"/>
        <w:tabs>
          <w:tab w:val="left" w:pos="540"/>
        </w:tabs>
        <w:autoSpaceDE w:val="0"/>
        <w:autoSpaceDN w:val="0"/>
        <w:adjustRightInd w:val="0"/>
        <w:ind w:left="10"/>
        <w:rPr>
          <w:rFonts w:ascii="Times New Roman" w:hAnsi="Times New Roman"/>
          <w:lang w:val="es-US"/>
        </w:rPr>
      </w:pPr>
    </w:p>
    <w:p w14:paraId="34261539" w14:textId="50B53DE0" w:rsidR="00CE647B" w:rsidRPr="00282A68" w:rsidRDefault="00CE647B" w:rsidP="00CE647B">
      <w:pPr>
        <w:numPr>
          <w:ilvl w:val="0"/>
          <w:numId w:val="1"/>
        </w:numPr>
        <w:suppressAutoHyphens/>
        <w:contextualSpacing/>
        <w:jc w:val="both"/>
        <w:rPr>
          <w:sz w:val="22"/>
          <w:szCs w:val="22"/>
          <w:lang w:val="es-US"/>
        </w:rPr>
      </w:pPr>
      <w:r w:rsidRPr="00282A68">
        <w:rPr>
          <w:b/>
          <w:sz w:val="22"/>
          <w:szCs w:val="22"/>
          <w:lang w:val="es-US"/>
        </w:rPr>
        <w:t>Estados Unidos ha adoptado ciertas medidas relativas a la asistencia relacionada con el secreto bancario prevista en el artículo XVI de la Convención, de acuerdo con lo dicho en la sección 1.1 del capítulo III de este Informe.</w:t>
      </w:r>
    </w:p>
    <w:p w14:paraId="3408EA0C" w14:textId="77777777" w:rsidR="00CE647B" w:rsidRPr="00282A68" w:rsidRDefault="00CE647B" w:rsidP="00CE647B">
      <w:pPr>
        <w:pStyle w:val="ListParagraph"/>
        <w:jc w:val="both"/>
        <w:rPr>
          <w:lang w:val="es-US"/>
        </w:rPr>
      </w:pPr>
    </w:p>
    <w:p w14:paraId="138C0675" w14:textId="5507ACFE" w:rsidR="0034328B" w:rsidRPr="00282A68" w:rsidRDefault="00CE647B" w:rsidP="00CE647B">
      <w:pPr>
        <w:pStyle w:val="ListParagraph"/>
        <w:numPr>
          <w:ilvl w:val="0"/>
          <w:numId w:val="1"/>
        </w:numPr>
        <w:suppressAutoHyphens/>
        <w:jc w:val="both"/>
        <w:rPr>
          <w:lang w:val="es-US"/>
        </w:rPr>
      </w:pPr>
      <w:r w:rsidRPr="00282A68">
        <w:rPr>
          <w:lang w:val="es-US"/>
        </w:rPr>
        <w:t>En vista de las observaciones formuladas en esa sección, el Comité sugiere que el Estado analizado considere las siguientes recomendaciones</w:t>
      </w:r>
      <w:r w:rsidR="0034328B" w:rsidRPr="00282A68">
        <w:rPr>
          <w:lang w:val="es-US"/>
        </w:rPr>
        <w:t>:</w:t>
      </w:r>
    </w:p>
    <w:p w14:paraId="7DE06435" w14:textId="77777777" w:rsidR="0034328B" w:rsidRPr="00282A68" w:rsidRDefault="0034328B" w:rsidP="0034328B">
      <w:pPr>
        <w:pStyle w:val="ListParagraph"/>
        <w:rPr>
          <w:lang w:val="es-US"/>
        </w:rPr>
      </w:pPr>
    </w:p>
    <w:p w14:paraId="24713DD1" w14:textId="747A775D" w:rsidR="0034328B" w:rsidRPr="00752102" w:rsidRDefault="00DD4C65" w:rsidP="004F0439">
      <w:pPr>
        <w:pStyle w:val="ListParagraph"/>
        <w:numPr>
          <w:ilvl w:val="2"/>
          <w:numId w:val="11"/>
        </w:numPr>
        <w:suppressAutoHyphens/>
        <w:ind w:left="1440"/>
        <w:jc w:val="both"/>
        <w:rPr>
          <w:color w:val="000000" w:themeColor="text1"/>
          <w:lang w:val="es-US"/>
        </w:rPr>
      </w:pPr>
      <w:r>
        <w:rPr>
          <w:lang w:val="es-US"/>
        </w:rPr>
        <w:t xml:space="preserve">Evaluar regularmente </w:t>
      </w:r>
      <w:r w:rsidR="00281D50">
        <w:rPr>
          <w:lang w:val="es-US"/>
        </w:rPr>
        <w:t xml:space="preserve">las practicas utilizadas para </w:t>
      </w:r>
      <w:r w:rsidR="00D119D6" w:rsidRPr="00E517D9">
        <w:rPr>
          <w:b/>
          <w:bCs/>
          <w:u w:val="single"/>
          <w:lang w:val="es-US"/>
        </w:rPr>
        <w:t>asegurar</w:t>
      </w:r>
      <w:r w:rsidR="00D119D6">
        <w:rPr>
          <w:lang w:val="es-US"/>
        </w:rPr>
        <w:t xml:space="preserve"> </w:t>
      </w:r>
      <w:r w:rsidR="00752102">
        <w:rPr>
          <w:lang w:val="es-US"/>
        </w:rPr>
        <w:t xml:space="preserve">que la </w:t>
      </w:r>
      <w:r w:rsidR="00F60B76">
        <w:rPr>
          <w:lang w:val="es-US"/>
        </w:rPr>
        <w:t>información</w:t>
      </w:r>
      <w:r w:rsidR="00752102">
        <w:rPr>
          <w:lang w:val="es-US"/>
        </w:rPr>
        <w:t xml:space="preserve"> </w:t>
      </w:r>
      <w:r w:rsidR="00F60B76">
        <w:rPr>
          <w:lang w:val="es-US"/>
        </w:rPr>
        <w:t>bancaria</w:t>
      </w:r>
      <w:r w:rsidR="00752102">
        <w:rPr>
          <w:lang w:val="es-US"/>
        </w:rPr>
        <w:t xml:space="preserve"> recibida</w:t>
      </w:r>
      <w:r w:rsidR="006F6C6C">
        <w:rPr>
          <w:lang w:val="es-US"/>
        </w:rPr>
        <w:t xml:space="preserve"> por los Estados Unidos </w:t>
      </w:r>
      <w:r w:rsidR="00511477" w:rsidRPr="00511477">
        <w:rPr>
          <w:lang w:val="es-US"/>
        </w:rPr>
        <w:t xml:space="preserve">solo se utilice para el propósito para el cual se solicitó la información, </w:t>
      </w:r>
      <w:r w:rsidR="001E1010" w:rsidRPr="005B0F18">
        <w:rPr>
          <w:lang w:val="es-US"/>
        </w:rPr>
        <w:t>de conformidad con el Artículo XVI (2) de la Convención. (véase el párrafo 2</w:t>
      </w:r>
      <w:r w:rsidR="00976ED0">
        <w:rPr>
          <w:lang w:val="es-US"/>
        </w:rPr>
        <w:t>10</w:t>
      </w:r>
      <w:r w:rsidR="001E1010" w:rsidRPr="005B0F18">
        <w:rPr>
          <w:lang w:val="es-US"/>
        </w:rPr>
        <w:t xml:space="preserve"> de la sección 1.2 del Capítulo III del presente Informe)</w:t>
      </w:r>
    </w:p>
    <w:p w14:paraId="07D3C07E" w14:textId="77777777" w:rsidR="00752102" w:rsidRDefault="00752102" w:rsidP="00752102">
      <w:pPr>
        <w:pStyle w:val="ListParagraph"/>
        <w:suppressAutoHyphens/>
        <w:ind w:left="1440"/>
        <w:jc w:val="both"/>
        <w:rPr>
          <w:lang w:val="es-US"/>
        </w:rPr>
      </w:pPr>
    </w:p>
    <w:p w14:paraId="1E610F47" w14:textId="3BF3364F" w:rsidR="0034328B" w:rsidRPr="005B0F18" w:rsidRDefault="00A94AE2" w:rsidP="004F0439">
      <w:pPr>
        <w:pStyle w:val="ListParagraph"/>
        <w:numPr>
          <w:ilvl w:val="2"/>
          <w:numId w:val="11"/>
        </w:numPr>
        <w:suppressAutoHyphens/>
        <w:ind w:left="1440"/>
        <w:jc w:val="both"/>
        <w:rPr>
          <w:rStyle w:val="normaltextrun"/>
          <w:lang w:val="es-US"/>
        </w:rPr>
      </w:pPr>
      <w:r w:rsidRPr="005B0F18">
        <w:rPr>
          <w:bCs/>
          <w:iCs/>
          <w:color w:val="0E101A"/>
          <w:lang w:val="es-US"/>
        </w:rPr>
        <w:t>Proporcionar los recursos humanos necesarios a la Oficina de Asuntos Internacionales del Departamento de Justicia para que pueda cumplir cabalmente con sus funciones de responder y ejecutar a las solicitudes de asistencia en general, pero específicamente con respecto a las solicitudes de información bancaria y financiera, dentro de los recursos disponibles. (véase el párrafo 21</w:t>
      </w:r>
      <w:r w:rsidR="00976ED0">
        <w:rPr>
          <w:bCs/>
          <w:iCs/>
          <w:color w:val="0E101A"/>
          <w:lang w:val="es-US"/>
        </w:rPr>
        <w:t>3</w:t>
      </w:r>
      <w:r w:rsidRPr="005B0F18">
        <w:rPr>
          <w:bCs/>
          <w:iCs/>
          <w:color w:val="0E101A"/>
          <w:lang w:val="es-US"/>
        </w:rPr>
        <w:t xml:space="preserve"> de la sección 1.2 del Capítulo III del presente Informe)</w:t>
      </w:r>
    </w:p>
    <w:p w14:paraId="0C93C7CD" w14:textId="77777777" w:rsidR="0034328B" w:rsidRPr="005B0F18" w:rsidRDefault="0034328B" w:rsidP="0034328B">
      <w:pPr>
        <w:pStyle w:val="ListParagraph"/>
        <w:rPr>
          <w:rStyle w:val="normaltextrun"/>
          <w:rFonts w:eastAsia="Calibri"/>
          <w:iCs/>
          <w:lang w:val="es-US"/>
        </w:rPr>
      </w:pPr>
    </w:p>
    <w:p w14:paraId="3E4B25C3" w14:textId="0571F3D0" w:rsidR="0034328B" w:rsidRPr="005B0F18" w:rsidRDefault="00EC6CF9" w:rsidP="004F0439">
      <w:pPr>
        <w:pStyle w:val="ListParagraph"/>
        <w:numPr>
          <w:ilvl w:val="2"/>
          <w:numId w:val="11"/>
        </w:numPr>
        <w:suppressAutoHyphens/>
        <w:ind w:left="1440"/>
        <w:jc w:val="both"/>
        <w:rPr>
          <w:lang w:val="es-US"/>
        </w:rPr>
      </w:pPr>
      <w:r w:rsidRPr="005B0F18">
        <w:rPr>
          <w:rFonts w:eastAsia="Calibri"/>
          <w:iCs/>
          <w:lang w:val="es-US"/>
        </w:rPr>
        <w:t>Evaluar regularmente si las políticas y prácticas vigentes permiten procesar y responder de manera oportuna a las solicitudes de asistencia de otro Estado Parte para obtener información bancaria relacionada con un acto de corrupción. (véase el párrafo 21</w:t>
      </w:r>
      <w:r w:rsidR="00976ED0">
        <w:rPr>
          <w:rFonts w:eastAsia="Calibri"/>
          <w:iCs/>
          <w:lang w:val="es-US"/>
        </w:rPr>
        <w:t>3</w:t>
      </w:r>
      <w:r w:rsidRPr="005B0F18">
        <w:rPr>
          <w:rFonts w:eastAsia="Calibri"/>
          <w:iCs/>
          <w:lang w:val="es-US"/>
        </w:rPr>
        <w:t xml:space="preserve"> de la sección 1.2 del Capítulo III del presente Informe)</w:t>
      </w:r>
    </w:p>
    <w:p w14:paraId="4FF01641" w14:textId="77777777" w:rsidR="0034328B" w:rsidRPr="005B0F18" w:rsidRDefault="0034328B" w:rsidP="0034328B">
      <w:pPr>
        <w:pStyle w:val="ListParagraph"/>
        <w:rPr>
          <w:rStyle w:val="normaltextrun"/>
          <w:lang w:val="es-US"/>
        </w:rPr>
      </w:pPr>
    </w:p>
    <w:p w14:paraId="56776AC4" w14:textId="3078A4FF" w:rsidR="008F70AE" w:rsidRPr="005B0F18" w:rsidRDefault="00736EB6" w:rsidP="004F0439">
      <w:pPr>
        <w:pStyle w:val="ListParagraph"/>
        <w:numPr>
          <w:ilvl w:val="2"/>
          <w:numId w:val="11"/>
        </w:numPr>
        <w:suppressAutoHyphens/>
        <w:ind w:left="1440"/>
        <w:jc w:val="both"/>
        <w:rPr>
          <w:rStyle w:val="normaltextrun"/>
          <w:lang w:val="es-US"/>
        </w:rPr>
      </w:pPr>
      <w:r w:rsidRPr="005B0F18">
        <w:rPr>
          <w:bCs/>
          <w:iCs/>
          <w:lang w:val="es-US"/>
        </w:rPr>
        <w:t>Proporcionar en línea más instrucciones específicas sobre la información que se requiere para el éxito de una solicitud de asistencia de un Estado requirente con respecto al acceso a registros bancarios o financieros relacionados con un acto de corrupción. (véase el párrafo 21</w:t>
      </w:r>
      <w:r w:rsidR="00976ED0">
        <w:rPr>
          <w:bCs/>
          <w:iCs/>
          <w:lang w:val="es-US"/>
        </w:rPr>
        <w:t>5</w:t>
      </w:r>
      <w:r w:rsidRPr="005B0F18">
        <w:rPr>
          <w:bCs/>
          <w:iCs/>
          <w:lang w:val="es-US"/>
        </w:rPr>
        <w:t xml:space="preserve"> de la sección 1.2 del Capítulo III del presente Informe)</w:t>
      </w:r>
    </w:p>
    <w:p w14:paraId="791B365F" w14:textId="77777777" w:rsidR="0034328B" w:rsidRPr="005B0F18" w:rsidRDefault="0034328B" w:rsidP="0034328B">
      <w:pPr>
        <w:pStyle w:val="ListParagraph"/>
        <w:rPr>
          <w:rStyle w:val="normaltextrun"/>
          <w:lang w:val="es-US"/>
        </w:rPr>
      </w:pPr>
    </w:p>
    <w:p w14:paraId="341696C9" w14:textId="6020909D" w:rsidR="0034328B" w:rsidRPr="005B0F18" w:rsidRDefault="008353E9" w:rsidP="004F0439">
      <w:pPr>
        <w:pStyle w:val="ListParagraph"/>
        <w:numPr>
          <w:ilvl w:val="2"/>
          <w:numId w:val="11"/>
        </w:numPr>
        <w:suppressAutoHyphens/>
        <w:ind w:left="1440"/>
        <w:jc w:val="both"/>
        <w:rPr>
          <w:rFonts w:eastAsia="Times New Roman"/>
          <w:color w:val="000000" w:themeColor="text1"/>
          <w:lang w:val="es-US"/>
        </w:rPr>
      </w:pPr>
      <w:r>
        <w:rPr>
          <w:b/>
          <w:bCs/>
          <w:color w:val="0E101A"/>
          <w:u w:val="single"/>
          <w:lang w:val="es-US"/>
        </w:rPr>
        <w:t>Recopilar estadísticas</w:t>
      </w:r>
      <w:r w:rsidR="00A340B7" w:rsidRPr="005B0F18">
        <w:rPr>
          <w:color w:val="0E101A"/>
          <w:lang w:val="es-US"/>
        </w:rPr>
        <w:t xml:space="preserve"> sobre el número de solicitudes de asistencia recibidas de un Estado Parte de la Convención Interamericana contra la Corrupción sobre información en poder de una institución financiera que esté relacionada con la investigación de un acto de corrupción. (véase el párrafo 22</w:t>
      </w:r>
      <w:r w:rsidR="00976ED0">
        <w:rPr>
          <w:color w:val="0E101A"/>
          <w:lang w:val="es-US"/>
        </w:rPr>
        <w:t>2</w:t>
      </w:r>
      <w:r w:rsidR="00A340B7" w:rsidRPr="005B0F18">
        <w:rPr>
          <w:color w:val="0E101A"/>
          <w:lang w:val="es-US"/>
        </w:rPr>
        <w:t xml:space="preserve"> de la sección 1.3 del Capítulo III de este Informe).</w:t>
      </w:r>
    </w:p>
    <w:p w14:paraId="61A35D3B" w14:textId="77777777" w:rsidR="0034328B" w:rsidRPr="005B0F18" w:rsidRDefault="0034328B" w:rsidP="0034328B">
      <w:pPr>
        <w:suppressAutoHyphens/>
        <w:ind w:left="10"/>
        <w:contextualSpacing/>
        <w:jc w:val="both"/>
        <w:rPr>
          <w:color w:val="000000" w:themeColor="text1"/>
          <w:sz w:val="22"/>
          <w:szCs w:val="22"/>
          <w:lang w:val="es-US"/>
        </w:rPr>
      </w:pPr>
    </w:p>
    <w:p w14:paraId="533C93D3" w14:textId="5637DCFD" w:rsidR="0034328B" w:rsidRPr="005B0F18" w:rsidRDefault="008353E9" w:rsidP="004F0439">
      <w:pPr>
        <w:pStyle w:val="ListParagraph"/>
        <w:numPr>
          <w:ilvl w:val="2"/>
          <w:numId w:val="11"/>
        </w:numPr>
        <w:suppressAutoHyphens/>
        <w:ind w:left="1440"/>
        <w:jc w:val="both"/>
        <w:rPr>
          <w:lang w:val="es-US"/>
        </w:rPr>
      </w:pPr>
      <w:r>
        <w:rPr>
          <w:rFonts w:eastAsia="Times New Roman"/>
          <w:b/>
          <w:bCs/>
          <w:color w:val="000000" w:themeColor="text1"/>
          <w:u w:val="single"/>
          <w:lang w:val="es-US"/>
        </w:rPr>
        <w:t>Recopilar estadísticas</w:t>
      </w:r>
      <w:r w:rsidR="00D92554" w:rsidRPr="005B0F18">
        <w:rPr>
          <w:rFonts w:eastAsia="Times New Roman"/>
          <w:color w:val="000000" w:themeColor="text1"/>
          <w:lang w:val="es-US"/>
        </w:rPr>
        <w:t xml:space="preserve"> sobre el número de solicitudes formuladas a otros Estados Parte de la Convención Interamericana contra la Corrupción con respecto a información que obre en poder de instituciones financieras ubicadas en el Estado requerido que esté relacionada con la investigación de un acto de corrupción, así como el número de solicitudes denegadas </w:t>
      </w:r>
      <w:proofErr w:type="gramStart"/>
      <w:r w:rsidR="00D92554" w:rsidRPr="005B0F18">
        <w:rPr>
          <w:rFonts w:eastAsia="Times New Roman"/>
          <w:color w:val="000000" w:themeColor="text1"/>
          <w:lang w:val="es-US"/>
        </w:rPr>
        <w:t>en razón del</w:t>
      </w:r>
      <w:proofErr w:type="gramEnd"/>
      <w:r w:rsidR="00D92554" w:rsidRPr="005B0F18">
        <w:rPr>
          <w:rFonts w:eastAsia="Times New Roman"/>
          <w:color w:val="000000" w:themeColor="text1"/>
          <w:lang w:val="es-US"/>
        </w:rPr>
        <w:t xml:space="preserve"> secreto bancario. (</w:t>
      </w:r>
      <w:r w:rsidR="00B352C8" w:rsidRPr="005B0F18">
        <w:rPr>
          <w:rFonts w:eastAsia="Times New Roman"/>
          <w:color w:val="000000" w:themeColor="text1"/>
          <w:lang w:val="es-US"/>
        </w:rPr>
        <w:t>v</w:t>
      </w:r>
      <w:r w:rsidR="00D92554" w:rsidRPr="005B0F18">
        <w:rPr>
          <w:rFonts w:eastAsia="Times New Roman"/>
          <w:color w:val="000000" w:themeColor="text1"/>
          <w:lang w:val="es-US"/>
        </w:rPr>
        <w:t>éase el párrafo 22</w:t>
      </w:r>
      <w:r w:rsidR="00976ED0">
        <w:rPr>
          <w:rFonts w:eastAsia="Times New Roman"/>
          <w:color w:val="000000" w:themeColor="text1"/>
          <w:lang w:val="es-US"/>
        </w:rPr>
        <w:t>3</w:t>
      </w:r>
      <w:r w:rsidR="00D92554" w:rsidRPr="005B0F18">
        <w:rPr>
          <w:rFonts w:eastAsia="Times New Roman"/>
          <w:color w:val="000000" w:themeColor="text1"/>
          <w:lang w:val="es-US"/>
        </w:rPr>
        <w:t xml:space="preserve"> de la sección 1.3 del </w:t>
      </w:r>
      <w:r w:rsidR="00B352C8" w:rsidRPr="005B0F18">
        <w:rPr>
          <w:rFonts w:eastAsia="Times New Roman"/>
          <w:color w:val="000000" w:themeColor="text1"/>
          <w:lang w:val="es-US"/>
        </w:rPr>
        <w:t>C</w:t>
      </w:r>
      <w:r w:rsidR="00D92554" w:rsidRPr="005B0F18">
        <w:rPr>
          <w:rFonts w:eastAsia="Times New Roman"/>
          <w:color w:val="000000" w:themeColor="text1"/>
          <w:lang w:val="es-US"/>
        </w:rPr>
        <w:t>apítulo III del presente Informe)</w:t>
      </w:r>
    </w:p>
    <w:p w14:paraId="55FFD500" w14:textId="77777777" w:rsidR="0034328B" w:rsidRPr="00282A68" w:rsidRDefault="0034328B" w:rsidP="0034328B">
      <w:pPr>
        <w:pStyle w:val="ListParagraph"/>
        <w:ind w:left="10"/>
        <w:jc w:val="both"/>
        <w:rPr>
          <w:color w:val="000000" w:themeColor="text1"/>
          <w:lang w:val="es-US"/>
        </w:rPr>
      </w:pPr>
    </w:p>
    <w:p w14:paraId="529B488D" w14:textId="00156406" w:rsidR="0034328B" w:rsidRPr="00282A68" w:rsidRDefault="00664BC5" w:rsidP="0034328B">
      <w:pPr>
        <w:numPr>
          <w:ilvl w:val="0"/>
          <w:numId w:val="3"/>
        </w:numPr>
        <w:tabs>
          <w:tab w:val="clear" w:pos="1080"/>
          <w:tab w:val="num" w:pos="360"/>
        </w:tabs>
        <w:ind w:left="360" w:hanging="360"/>
        <w:jc w:val="both"/>
        <w:rPr>
          <w:sz w:val="22"/>
          <w:szCs w:val="22"/>
          <w:lang w:val="es-US"/>
        </w:rPr>
      </w:pPr>
      <w:r w:rsidRPr="00282A68">
        <w:rPr>
          <w:b/>
          <w:sz w:val="22"/>
          <w:szCs w:val="22"/>
          <w:lang w:val="es-US"/>
        </w:rPr>
        <w:t>BUENAS PRÁCTICAS</w:t>
      </w:r>
      <w:r w:rsidR="0034328B" w:rsidRPr="00282A68">
        <w:rPr>
          <w:b/>
          <w:bCs/>
          <w:sz w:val="22"/>
          <w:szCs w:val="22"/>
          <w:lang w:val="es-US"/>
        </w:rPr>
        <w:t xml:space="preserve"> </w:t>
      </w:r>
    </w:p>
    <w:p w14:paraId="2A3B241D" w14:textId="77777777" w:rsidR="0034328B" w:rsidRPr="00282A68" w:rsidRDefault="0034328B" w:rsidP="0034328B">
      <w:pPr>
        <w:pStyle w:val="ListParagraph"/>
        <w:ind w:left="10"/>
        <w:jc w:val="both"/>
        <w:rPr>
          <w:lang w:val="es-US"/>
        </w:rPr>
      </w:pPr>
    </w:p>
    <w:p w14:paraId="6903DBCC" w14:textId="47760D6C" w:rsidR="0034328B" w:rsidRPr="00282A68" w:rsidRDefault="004533C5" w:rsidP="00D92554">
      <w:pPr>
        <w:pStyle w:val="ListParagraph"/>
        <w:numPr>
          <w:ilvl w:val="0"/>
          <w:numId w:val="1"/>
        </w:numPr>
        <w:suppressAutoHyphens/>
        <w:jc w:val="both"/>
        <w:rPr>
          <w:color w:val="000000" w:themeColor="text1"/>
          <w:lang w:val="es-US"/>
        </w:rPr>
      </w:pPr>
      <w:r w:rsidRPr="00282A68">
        <w:rPr>
          <w:lang w:val="es-US"/>
        </w:rPr>
        <w:t>El Estado analizado no identificó ninguna buena práctica en relación con la aplicación de las disposiciones de la Convención seleccionadas para la Tercera y Sexta Rondas</w:t>
      </w:r>
      <w:r w:rsidR="0034328B" w:rsidRPr="00282A68">
        <w:rPr>
          <w:rStyle w:val="FootnoteReference"/>
          <w:lang w:val="es-US"/>
        </w:rPr>
        <w:footnoteReference w:id="144"/>
      </w:r>
      <w:r w:rsidRPr="00282A68">
        <w:rPr>
          <w:lang w:val="es-US"/>
        </w:rPr>
        <w:t>.</w:t>
      </w:r>
      <w:r w:rsidR="00AB2E54" w:rsidRPr="00282A68">
        <w:rPr>
          <w:lang w:val="es-US"/>
        </w:rPr>
        <w:tab/>
      </w:r>
    </w:p>
    <w:p w14:paraId="44AED623" w14:textId="7452756A" w:rsidR="00E37D61" w:rsidRPr="00282A68" w:rsidRDefault="00E37D61">
      <w:pPr>
        <w:rPr>
          <w:rFonts w:eastAsiaTheme="minorEastAsia"/>
          <w:sz w:val="22"/>
          <w:szCs w:val="22"/>
          <w:lang w:val="es-US"/>
        </w:rPr>
      </w:pPr>
      <w:r w:rsidRPr="00282A68">
        <w:rPr>
          <w:lang w:val="es-US"/>
        </w:rPr>
        <w:br w:type="page"/>
      </w:r>
    </w:p>
    <w:p w14:paraId="3BEFAA48" w14:textId="321730C7" w:rsidR="00E37D61" w:rsidRPr="005B0F18" w:rsidRDefault="0024549B" w:rsidP="0024549B">
      <w:pPr>
        <w:ind w:firstLine="10"/>
        <w:jc w:val="center"/>
        <w:rPr>
          <w:b/>
          <w:sz w:val="22"/>
          <w:szCs w:val="22"/>
          <w:u w:val="single"/>
          <w:lang w:val="es-US"/>
        </w:rPr>
      </w:pPr>
      <w:r w:rsidRPr="005B0F18">
        <w:rPr>
          <w:b/>
          <w:sz w:val="22"/>
          <w:szCs w:val="22"/>
          <w:u w:val="single"/>
          <w:lang w:val="es-US"/>
        </w:rPr>
        <w:t>ANEXO</w:t>
      </w:r>
    </w:p>
    <w:p w14:paraId="746463D2" w14:textId="77777777" w:rsidR="00E37D61" w:rsidRPr="005B0F18" w:rsidRDefault="00E37D61" w:rsidP="00E37D61">
      <w:pPr>
        <w:jc w:val="center"/>
        <w:rPr>
          <w:b/>
          <w:sz w:val="22"/>
          <w:szCs w:val="22"/>
          <w:lang w:val="es-US"/>
        </w:rPr>
      </w:pPr>
    </w:p>
    <w:p w14:paraId="1A6F53D4" w14:textId="3394A936" w:rsidR="00B327E9" w:rsidRPr="005B0F18" w:rsidRDefault="00E37D61" w:rsidP="00E37D61">
      <w:pPr>
        <w:pStyle w:val="ListParagraph"/>
        <w:suppressAutoHyphens/>
        <w:ind w:left="10"/>
        <w:jc w:val="center"/>
        <w:rPr>
          <w:b/>
          <w:u w:val="single"/>
          <w:lang w:val="es-US"/>
        </w:rPr>
      </w:pPr>
      <w:r w:rsidRPr="005B0F18">
        <w:rPr>
          <w:b/>
          <w:lang w:val="es-US"/>
        </w:rPr>
        <w:t xml:space="preserve">AGENDA </w:t>
      </w:r>
      <w:r w:rsidR="0024549B" w:rsidRPr="005B0F18">
        <w:rPr>
          <w:b/>
          <w:lang w:val="es-US"/>
        </w:rPr>
        <w:t>DE LA VISITA IN SITU A</w:t>
      </w:r>
      <w:r w:rsidRPr="005B0F18">
        <w:rPr>
          <w:b/>
          <w:lang w:val="es-US"/>
        </w:rPr>
        <w:t xml:space="preserve"> </w:t>
      </w:r>
      <w:r w:rsidR="0024549B" w:rsidRPr="005B0F18">
        <w:rPr>
          <w:b/>
          <w:lang w:val="es-US"/>
        </w:rPr>
        <w:t>ESTADOS UNIDOS</w:t>
      </w:r>
    </w:p>
    <w:p w14:paraId="131D1D00" w14:textId="77777777" w:rsidR="00E37D61" w:rsidRPr="005B0F18" w:rsidRDefault="00E37D61" w:rsidP="00E37D61">
      <w:pPr>
        <w:pStyle w:val="ListParagraph"/>
        <w:suppressAutoHyphens/>
        <w:ind w:left="10"/>
        <w:jc w:val="center"/>
        <w:rPr>
          <w:lang w:val="es-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7946"/>
      </w:tblGrid>
      <w:tr w:rsidR="00E37D61" w:rsidRPr="005B0F18" w14:paraId="50C460F4" w14:textId="77777777" w:rsidTr="00FC5A6B">
        <w:trPr>
          <w:jc w:val="center"/>
        </w:trPr>
        <w:tc>
          <w:tcPr>
            <w:tcW w:w="10173" w:type="dxa"/>
            <w:gridSpan w:val="2"/>
            <w:vAlign w:val="center"/>
          </w:tcPr>
          <w:p w14:paraId="67E82AF1" w14:textId="2D23E02C" w:rsidR="00E37D61" w:rsidRPr="005B0F18" w:rsidRDefault="0024549B" w:rsidP="002C7A97">
            <w:pPr>
              <w:spacing w:before="120" w:after="120"/>
              <w:rPr>
                <w:b/>
                <w:sz w:val="22"/>
                <w:szCs w:val="22"/>
                <w:u w:val="single"/>
                <w:lang w:val="es-US"/>
              </w:rPr>
            </w:pPr>
            <w:r w:rsidRPr="005B0F18">
              <w:rPr>
                <w:b/>
                <w:sz w:val="22"/>
                <w:szCs w:val="22"/>
                <w:u w:val="single"/>
                <w:lang w:val="es-US"/>
              </w:rPr>
              <w:t>Martes</w:t>
            </w:r>
            <w:r w:rsidR="00E37D61" w:rsidRPr="005B0F18">
              <w:rPr>
                <w:b/>
                <w:sz w:val="22"/>
                <w:szCs w:val="22"/>
                <w:u w:val="single"/>
                <w:lang w:val="es-US"/>
              </w:rPr>
              <w:t xml:space="preserve">, </w:t>
            </w:r>
            <w:r w:rsidRPr="005B0F18">
              <w:rPr>
                <w:b/>
                <w:sz w:val="22"/>
                <w:szCs w:val="22"/>
                <w:u w:val="single"/>
                <w:lang w:val="es-US"/>
              </w:rPr>
              <w:t>17 de octubre de</w:t>
            </w:r>
            <w:r w:rsidR="00E37D61" w:rsidRPr="005B0F18">
              <w:rPr>
                <w:b/>
                <w:sz w:val="22"/>
                <w:szCs w:val="22"/>
                <w:u w:val="single"/>
                <w:lang w:val="es-US"/>
              </w:rPr>
              <w:t xml:space="preserve"> 2023</w:t>
            </w:r>
          </w:p>
        </w:tc>
      </w:tr>
      <w:tr w:rsidR="00E37D61" w:rsidRPr="004A05E8" w14:paraId="6DDA982A" w14:textId="77777777" w:rsidTr="00FC5A6B">
        <w:trPr>
          <w:jc w:val="center"/>
        </w:trPr>
        <w:tc>
          <w:tcPr>
            <w:tcW w:w="2227" w:type="dxa"/>
            <w:tcBorders>
              <w:bottom w:val="single" w:sz="4" w:space="0" w:color="auto"/>
            </w:tcBorders>
            <w:shd w:val="clear" w:color="auto" w:fill="D9D9D9"/>
            <w:vAlign w:val="center"/>
          </w:tcPr>
          <w:p w14:paraId="18C83EB8" w14:textId="77777777" w:rsidR="00E37D61" w:rsidRPr="005B0F18" w:rsidRDefault="00E37D61" w:rsidP="00FC5A6B">
            <w:pPr>
              <w:spacing w:before="120" w:after="120"/>
              <w:jc w:val="right"/>
              <w:rPr>
                <w:sz w:val="22"/>
                <w:szCs w:val="22"/>
                <w:lang w:val="es-US"/>
              </w:rPr>
            </w:pPr>
            <w:r w:rsidRPr="005B0F18">
              <w:rPr>
                <w:sz w:val="22"/>
                <w:szCs w:val="22"/>
                <w:lang w:val="es-US"/>
              </w:rPr>
              <w:t xml:space="preserve">14:30 </w:t>
            </w:r>
            <w:proofErr w:type="spellStart"/>
            <w:r w:rsidRPr="005B0F18">
              <w:rPr>
                <w:sz w:val="22"/>
                <w:szCs w:val="22"/>
                <w:lang w:val="es-US"/>
              </w:rPr>
              <w:t>hrs</w:t>
            </w:r>
            <w:proofErr w:type="spellEnd"/>
            <w:r w:rsidRPr="005B0F18">
              <w:rPr>
                <w:sz w:val="22"/>
                <w:szCs w:val="22"/>
                <w:lang w:val="es-US"/>
              </w:rPr>
              <w:t xml:space="preserve">. – 15:00 </w:t>
            </w:r>
            <w:proofErr w:type="spellStart"/>
            <w:r w:rsidRPr="005B0F18">
              <w:rPr>
                <w:sz w:val="22"/>
                <w:szCs w:val="22"/>
                <w:lang w:val="es-US"/>
              </w:rPr>
              <w:t>hrs</w:t>
            </w:r>
            <w:proofErr w:type="spellEnd"/>
            <w:r w:rsidRPr="005B0F18">
              <w:rPr>
                <w:sz w:val="22"/>
                <w:szCs w:val="22"/>
                <w:lang w:val="es-US"/>
              </w:rPr>
              <w:t>.</w:t>
            </w:r>
          </w:p>
          <w:p w14:paraId="38316262" w14:textId="77777777" w:rsidR="00412734" w:rsidRPr="005B0F18" w:rsidRDefault="00412734" w:rsidP="00412734">
            <w:pPr>
              <w:spacing w:before="120" w:after="120"/>
              <w:rPr>
                <w:b/>
                <w:bCs/>
                <w:iCs/>
                <w:sz w:val="22"/>
                <w:szCs w:val="22"/>
                <w:lang w:val="es-US"/>
              </w:rPr>
            </w:pPr>
            <w:r w:rsidRPr="005B0F18">
              <w:rPr>
                <w:b/>
                <w:bCs/>
                <w:iCs/>
                <w:sz w:val="22"/>
                <w:szCs w:val="22"/>
                <w:lang w:val="es-US"/>
              </w:rPr>
              <w:t xml:space="preserve">Sede de la OEA </w:t>
            </w:r>
          </w:p>
          <w:p w14:paraId="551AD6A9" w14:textId="59981115" w:rsidR="00E37D61" w:rsidRPr="005B0F18" w:rsidRDefault="00412734" w:rsidP="00412734">
            <w:pPr>
              <w:spacing w:before="120" w:after="120"/>
              <w:rPr>
                <w:b/>
                <w:bCs/>
                <w:iCs/>
                <w:sz w:val="22"/>
                <w:szCs w:val="22"/>
                <w:lang w:val="pt-BR"/>
              </w:rPr>
            </w:pPr>
            <w:r w:rsidRPr="005B0F18">
              <w:rPr>
                <w:b/>
                <w:bCs/>
                <w:iCs/>
                <w:sz w:val="22"/>
                <w:szCs w:val="22"/>
                <w:lang w:val="pt-BR"/>
              </w:rPr>
              <w:t xml:space="preserve">Sala Gabriela Mistral, </w:t>
            </w:r>
            <w:r w:rsidRPr="005B0F18">
              <w:rPr>
                <w:b/>
                <w:bCs/>
                <w:iCs/>
                <w:sz w:val="22"/>
                <w:szCs w:val="22"/>
                <w:lang w:val="pt-BR"/>
              </w:rPr>
              <w:br/>
              <w:t>1889 F Street</w:t>
            </w:r>
          </w:p>
        </w:tc>
        <w:tc>
          <w:tcPr>
            <w:tcW w:w="7946" w:type="dxa"/>
            <w:tcBorders>
              <w:bottom w:val="single" w:sz="4" w:space="0" w:color="auto"/>
            </w:tcBorders>
            <w:shd w:val="clear" w:color="auto" w:fill="D9D9D9"/>
            <w:vAlign w:val="center"/>
          </w:tcPr>
          <w:p w14:paraId="01A9E59E" w14:textId="55FC2021" w:rsidR="00E37D61" w:rsidRPr="005B0F18" w:rsidRDefault="00EA1F29" w:rsidP="00FC5A6B">
            <w:pPr>
              <w:spacing w:before="120" w:after="120"/>
              <w:rPr>
                <w:sz w:val="22"/>
                <w:szCs w:val="22"/>
                <w:lang w:val="es-US"/>
              </w:rPr>
            </w:pPr>
            <w:r w:rsidRPr="005B0F18">
              <w:rPr>
                <w:b/>
                <w:sz w:val="22"/>
                <w:szCs w:val="22"/>
                <w:lang w:val="es-US"/>
              </w:rPr>
              <w:t>Reunión de coordinación entre los representantes de los Estados Miembros del subgrupo y la Secretaría Técnica</w:t>
            </w:r>
          </w:p>
        </w:tc>
      </w:tr>
      <w:tr w:rsidR="00E37D61" w:rsidRPr="004A05E8" w14:paraId="595E401A" w14:textId="77777777" w:rsidTr="00FC5A6B">
        <w:trPr>
          <w:jc w:val="center"/>
        </w:trPr>
        <w:tc>
          <w:tcPr>
            <w:tcW w:w="10173" w:type="dxa"/>
            <w:gridSpan w:val="2"/>
            <w:tcBorders>
              <w:bottom w:val="single" w:sz="4" w:space="0" w:color="auto"/>
            </w:tcBorders>
          </w:tcPr>
          <w:p w14:paraId="760C852F" w14:textId="77777777" w:rsidR="00E37D61" w:rsidRPr="005B0F18" w:rsidRDefault="00E37D61" w:rsidP="00FC5A6B">
            <w:pPr>
              <w:spacing w:before="120" w:after="120"/>
              <w:rPr>
                <w:sz w:val="22"/>
                <w:szCs w:val="22"/>
                <w:lang w:val="es-US"/>
              </w:rPr>
            </w:pPr>
          </w:p>
        </w:tc>
      </w:tr>
      <w:tr w:rsidR="00E37D61" w:rsidRPr="004A05E8" w14:paraId="552EF927" w14:textId="77777777" w:rsidTr="00FC5A6B">
        <w:trPr>
          <w:jc w:val="center"/>
        </w:trPr>
        <w:tc>
          <w:tcPr>
            <w:tcW w:w="2227" w:type="dxa"/>
            <w:tcBorders>
              <w:bottom w:val="single" w:sz="4" w:space="0" w:color="auto"/>
            </w:tcBorders>
            <w:shd w:val="clear" w:color="auto" w:fill="D9D9D9"/>
          </w:tcPr>
          <w:p w14:paraId="0FCE122B" w14:textId="77777777" w:rsidR="00E37D61" w:rsidRPr="005B0F18" w:rsidRDefault="00E37D61" w:rsidP="00FC5A6B">
            <w:pPr>
              <w:spacing w:before="120" w:after="120"/>
              <w:rPr>
                <w:sz w:val="22"/>
                <w:szCs w:val="22"/>
                <w:lang w:val="es-US"/>
              </w:rPr>
            </w:pPr>
            <w:r w:rsidRPr="005B0F18">
              <w:rPr>
                <w:sz w:val="22"/>
                <w:szCs w:val="22"/>
                <w:lang w:val="es-US"/>
              </w:rPr>
              <w:t xml:space="preserve">15:00 </w:t>
            </w:r>
            <w:proofErr w:type="spellStart"/>
            <w:r w:rsidRPr="005B0F18">
              <w:rPr>
                <w:sz w:val="22"/>
                <w:szCs w:val="22"/>
                <w:lang w:val="es-US"/>
              </w:rPr>
              <w:t>hrs</w:t>
            </w:r>
            <w:proofErr w:type="spellEnd"/>
            <w:r w:rsidRPr="005B0F18">
              <w:rPr>
                <w:sz w:val="22"/>
                <w:szCs w:val="22"/>
                <w:lang w:val="es-US"/>
              </w:rPr>
              <w:t xml:space="preserve">. – 15:30 </w:t>
            </w:r>
            <w:proofErr w:type="spellStart"/>
            <w:r w:rsidRPr="005B0F18">
              <w:rPr>
                <w:sz w:val="22"/>
                <w:szCs w:val="22"/>
                <w:lang w:val="es-US"/>
              </w:rPr>
              <w:t>hrs</w:t>
            </w:r>
            <w:proofErr w:type="spellEnd"/>
            <w:r w:rsidRPr="005B0F18">
              <w:rPr>
                <w:sz w:val="22"/>
                <w:szCs w:val="22"/>
                <w:lang w:val="es-US"/>
              </w:rPr>
              <w:t>.</w:t>
            </w:r>
          </w:p>
          <w:p w14:paraId="7191FE9C" w14:textId="77777777" w:rsidR="00EA1F29" w:rsidRPr="005B0F18" w:rsidRDefault="00EA1F29" w:rsidP="00EA1F29">
            <w:pPr>
              <w:spacing w:before="120" w:after="120"/>
              <w:rPr>
                <w:b/>
                <w:bCs/>
                <w:iCs/>
                <w:sz w:val="22"/>
                <w:szCs w:val="22"/>
                <w:lang w:val="es-US"/>
              </w:rPr>
            </w:pPr>
            <w:r w:rsidRPr="005B0F18">
              <w:rPr>
                <w:b/>
                <w:bCs/>
                <w:iCs/>
                <w:sz w:val="22"/>
                <w:szCs w:val="22"/>
                <w:lang w:val="es-US"/>
              </w:rPr>
              <w:t xml:space="preserve">Sede de la OEA </w:t>
            </w:r>
          </w:p>
          <w:p w14:paraId="45D21EA3" w14:textId="08E1ACA6" w:rsidR="00E37D61" w:rsidRPr="005B0F18" w:rsidRDefault="00EA1F29" w:rsidP="00EA1F29">
            <w:pPr>
              <w:spacing w:before="120" w:after="120"/>
              <w:rPr>
                <w:b/>
                <w:bCs/>
                <w:iCs/>
                <w:sz w:val="22"/>
                <w:szCs w:val="22"/>
                <w:lang w:val="pt-BR"/>
              </w:rPr>
            </w:pPr>
            <w:r w:rsidRPr="005B0F18">
              <w:rPr>
                <w:b/>
                <w:bCs/>
                <w:iCs/>
                <w:sz w:val="22"/>
                <w:szCs w:val="22"/>
                <w:lang w:val="pt-BR"/>
              </w:rPr>
              <w:t xml:space="preserve">Sala Gabriela Mistral, </w:t>
            </w:r>
            <w:r w:rsidRPr="005B0F18">
              <w:rPr>
                <w:b/>
                <w:bCs/>
                <w:iCs/>
                <w:sz w:val="22"/>
                <w:szCs w:val="22"/>
                <w:lang w:val="pt-BR"/>
              </w:rPr>
              <w:br/>
              <w:t>1889 F Street</w:t>
            </w:r>
          </w:p>
        </w:tc>
        <w:tc>
          <w:tcPr>
            <w:tcW w:w="7946" w:type="dxa"/>
            <w:tcBorders>
              <w:bottom w:val="single" w:sz="4" w:space="0" w:color="auto"/>
            </w:tcBorders>
            <w:shd w:val="clear" w:color="auto" w:fill="D9D9D9"/>
            <w:vAlign w:val="center"/>
          </w:tcPr>
          <w:p w14:paraId="28EE3333" w14:textId="1C958769" w:rsidR="00E37D61" w:rsidRPr="005B0F18" w:rsidRDefault="002C7A97" w:rsidP="00FC5A6B">
            <w:pPr>
              <w:spacing w:before="120" w:after="120"/>
              <w:rPr>
                <w:b/>
                <w:sz w:val="22"/>
                <w:szCs w:val="22"/>
                <w:lang w:val="es-US"/>
              </w:rPr>
            </w:pPr>
            <w:r w:rsidRPr="005B0F18">
              <w:rPr>
                <w:b/>
                <w:sz w:val="22"/>
                <w:szCs w:val="22"/>
                <w:lang w:val="es-US"/>
              </w:rPr>
              <w:t>Reunión de coordinación entre los representantes del Estado analizado, los Estados Miembros del subgrupo y la Secretaría Técnica</w:t>
            </w:r>
          </w:p>
        </w:tc>
      </w:tr>
      <w:tr w:rsidR="00E37D61" w:rsidRPr="005B0F18" w14:paraId="0F02BD81" w14:textId="77777777" w:rsidTr="00FC5A6B">
        <w:trPr>
          <w:jc w:val="center"/>
        </w:trPr>
        <w:tc>
          <w:tcPr>
            <w:tcW w:w="10173" w:type="dxa"/>
            <w:gridSpan w:val="2"/>
          </w:tcPr>
          <w:p w14:paraId="06192DE7" w14:textId="23446F1F" w:rsidR="00E37D61" w:rsidRPr="005B0F18" w:rsidRDefault="005F5927" w:rsidP="00FC5A6B">
            <w:pPr>
              <w:spacing w:before="120" w:after="120"/>
              <w:jc w:val="both"/>
              <w:rPr>
                <w:b/>
                <w:sz w:val="22"/>
                <w:szCs w:val="22"/>
                <w:u w:val="single"/>
                <w:lang w:val="es-US"/>
              </w:rPr>
            </w:pPr>
            <w:r w:rsidRPr="005B0F18">
              <w:rPr>
                <w:b/>
                <w:sz w:val="22"/>
                <w:szCs w:val="22"/>
                <w:u w:val="single"/>
                <w:lang w:val="es-US"/>
              </w:rPr>
              <w:t>Miércoles</w:t>
            </w:r>
            <w:r w:rsidR="00E37D61" w:rsidRPr="005B0F18">
              <w:rPr>
                <w:b/>
                <w:sz w:val="22"/>
                <w:szCs w:val="22"/>
                <w:u w:val="single"/>
                <w:lang w:val="es-US"/>
              </w:rPr>
              <w:t xml:space="preserve">, </w:t>
            </w:r>
            <w:r w:rsidR="002C7A97" w:rsidRPr="005B0F18">
              <w:rPr>
                <w:b/>
                <w:sz w:val="22"/>
                <w:szCs w:val="22"/>
                <w:u w:val="single"/>
                <w:lang w:val="es-US"/>
              </w:rPr>
              <w:t>18 de octubre de</w:t>
            </w:r>
            <w:r w:rsidR="00E37D61" w:rsidRPr="005B0F18">
              <w:rPr>
                <w:b/>
                <w:sz w:val="22"/>
                <w:szCs w:val="22"/>
                <w:u w:val="single"/>
                <w:lang w:val="es-US"/>
              </w:rPr>
              <w:t xml:space="preserve"> 2023</w:t>
            </w:r>
          </w:p>
        </w:tc>
      </w:tr>
      <w:tr w:rsidR="00E37D61" w:rsidRPr="004A05E8" w14:paraId="4B7885A7" w14:textId="77777777" w:rsidTr="00FC5A6B">
        <w:trPr>
          <w:jc w:val="center"/>
        </w:trPr>
        <w:tc>
          <w:tcPr>
            <w:tcW w:w="2227" w:type="dxa"/>
            <w:tcBorders>
              <w:bottom w:val="single" w:sz="4" w:space="0" w:color="auto"/>
            </w:tcBorders>
            <w:shd w:val="clear" w:color="auto" w:fill="D9D9D9"/>
          </w:tcPr>
          <w:p w14:paraId="772CB562" w14:textId="77777777" w:rsidR="00E37D61" w:rsidRPr="005B0F18" w:rsidRDefault="00E37D61" w:rsidP="00FC5A6B">
            <w:pPr>
              <w:spacing w:before="120" w:after="120"/>
              <w:rPr>
                <w:sz w:val="22"/>
                <w:szCs w:val="22"/>
                <w:lang w:val="es-US"/>
              </w:rPr>
            </w:pPr>
            <w:r w:rsidRPr="005B0F18">
              <w:rPr>
                <w:sz w:val="22"/>
                <w:szCs w:val="22"/>
                <w:lang w:val="es-US"/>
              </w:rPr>
              <w:t xml:space="preserve">10:00 </w:t>
            </w:r>
            <w:proofErr w:type="spellStart"/>
            <w:r w:rsidRPr="005B0F18">
              <w:rPr>
                <w:sz w:val="22"/>
                <w:szCs w:val="22"/>
                <w:lang w:val="es-US"/>
              </w:rPr>
              <w:t>hrs</w:t>
            </w:r>
            <w:proofErr w:type="spellEnd"/>
            <w:r w:rsidRPr="005B0F18">
              <w:rPr>
                <w:sz w:val="22"/>
                <w:szCs w:val="22"/>
                <w:lang w:val="es-US"/>
              </w:rPr>
              <w:t xml:space="preserve">. – 12:00 </w:t>
            </w:r>
            <w:proofErr w:type="spellStart"/>
            <w:r w:rsidRPr="005B0F18">
              <w:rPr>
                <w:sz w:val="22"/>
                <w:szCs w:val="22"/>
                <w:lang w:val="es-US"/>
              </w:rPr>
              <w:t>hrs</w:t>
            </w:r>
            <w:proofErr w:type="spellEnd"/>
            <w:r w:rsidRPr="005B0F18">
              <w:rPr>
                <w:sz w:val="22"/>
                <w:szCs w:val="22"/>
                <w:lang w:val="es-US"/>
              </w:rPr>
              <w:t>.</w:t>
            </w:r>
          </w:p>
          <w:p w14:paraId="5FD4F20B" w14:textId="77777777" w:rsidR="00EA1F29" w:rsidRPr="005B0F18" w:rsidRDefault="00EA1F29" w:rsidP="00EA1F29">
            <w:pPr>
              <w:spacing w:before="120" w:after="120"/>
              <w:rPr>
                <w:b/>
                <w:bCs/>
                <w:iCs/>
                <w:sz w:val="22"/>
                <w:szCs w:val="22"/>
                <w:lang w:val="es-US"/>
              </w:rPr>
            </w:pPr>
            <w:r w:rsidRPr="005B0F18">
              <w:rPr>
                <w:b/>
                <w:bCs/>
                <w:iCs/>
                <w:sz w:val="22"/>
                <w:szCs w:val="22"/>
                <w:lang w:val="es-US"/>
              </w:rPr>
              <w:t xml:space="preserve">Sede de la OEA </w:t>
            </w:r>
          </w:p>
          <w:p w14:paraId="2C9C5B48" w14:textId="1DF55111" w:rsidR="00E37D61" w:rsidRPr="005B0F18" w:rsidRDefault="00EA1F29" w:rsidP="00EA1F29">
            <w:pPr>
              <w:autoSpaceDE w:val="0"/>
              <w:autoSpaceDN w:val="0"/>
              <w:adjustRightInd w:val="0"/>
              <w:rPr>
                <w:b/>
                <w:i/>
                <w:sz w:val="22"/>
                <w:szCs w:val="22"/>
                <w:lang w:val="pt-BR"/>
              </w:rPr>
            </w:pPr>
            <w:r w:rsidRPr="005B0F18">
              <w:rPr>
                <w:b/>
                <w:bCs/>
                <w:iCs/>
                <w:sz w:val="22"/>
                <w:szCs w:val="22"/>
                <w:lang w:val="pt-BR"/>
              </w:rPr>
              <w:t xml:space="preserve">Sala Gabriela Mistral, </w:t>
            </w:r>
            <w:r w:rsidRPr="005B0F18">
              <w:rPr>
                <w:b/>
                <w:bCs/>
                <w:iCs/>
                <w:sz w:val="22"/>
                <w:szCs w:val="22"/>
                <w:lang w:val="pt-BR"/>
              </w:rPr>
              <w:br/>
              <w:t>1889 F Street</w:t>
            </w:r>
            <w:r w:rsidRPr="005B0F18">
              <w:rPr>
                <w:b/>
                <w:i/>
                <w:sz w:val="22"/>
                <w:szCs w:val="22"/>
                <w:lang w:val="pt-BR"/>
              </w:rPr>
              <w:t xml:space="preserve"> </w:t>
            </w:r>
          </w:p>
        </w:tc>
        <w:tc>
          <w:tcPr>
            <w:tcW w:w="7946" w:type="dxa"/>
            <w:tcBorders>
              <w:bottom w:val="single" w:sz="4" w:space="0" w:color="auto"/>
            </w:tcBorders>
            <w:shd w:val="clear" w:color="auto" w:fill="D9D9D9"/>
            <w:vAlign w:val="center"/>
          </w:tcPr>
          <w:p w14:paraId="05669541" w14:textId="0009CC9D" w:rsidR="00E37D61" w:rsidRPr="005B0F18" w:rsidRDefault="007A0729" w:rsidP="00FC5A6B">
            <w:pPr>
              <w:spacing w:before="120" w:after="120"/>
              <w:rPr>
                <w:b/>
                <w:sz w:val="22"/>
                <w:szCs w:val="22"/>
                <w:lang w:val="es-US"/>
              </w:rPr>
            </w:pPr>
            <w:r w:rsidRPr="005B0F18">
              <w:rPr>
                <w:b/>
                <w:sz w:val="22"/>
                <w:szCs w:val="22"/>
                <w:lang w:val="es-US"/>
              </w:rPr>
              <w:t>Reuniones con organizaciones de la sociedad civil y/o, entre otros, organizaciones del sector privado, organizaciones profesionales, académicos o investigadores</w:t>
            </w:r>
            <w:r w:rsidR="00E37D61" w:rsidRPr="005B0F18">
              <w:rPr>
                <w:sz w:val="22"/>
                <w:szCs w:val="22"/>
                <w:u w:val="single"/>
                <w:lang w:val="es-US"/>
              </w:rPr>
              <w:t xml:space="preserve"> </w:t>
            </w:r>
          </w:p>
        </w:tc>
      </w:tr>
      <w:tr w:rsidR="00E37D61" w:rsidRPr="005B0F18" w14:paraId="43BB04C0" w14:textId="77777777" w:rsidTr="00FC5A6B">
        <w:trPr>
          <w:cantSplit/>
          <w:trHeight w:val="890"/>
          <w:jc w:val="center"/>
        </w:trPr>
        <w:tc>
          <w:tcPr>
            <w:tcW w:w="2227" w:type="dxa"/>
            <w:vMerge w:val="restart"/>
          </w:tcPr>
          <w:p w14:paraId="69AC237E" w14:textId="77777777" w:rsidR="00E37D61" w:rsidRPr="005B0F18" w:rsidRDefault="00E37D61" w:rsidP="00FC5A6B">
            <w:pPr>
              <w:spacing w:before="120" w:after="120"/>
              <w:rPr>
                <w:sz w:val="22"/>
                <w:szCs w:val="22"/>
                <w:lang w:val="es-US"/>
              </w:rPr>
            </w:pPr>
          </w:p>
        </w:tc>
        <w:tc>
          <w:tcPr>
            <w:tcW w:w="7946" w:type="dxa"/>
          </w:tcPr>
          <w:p w14:paraId="0BDA9216" w14:textId="335A2E20" w:rsidR="00E37D61" w:rsidRPr="005B0F18" w:rsidRDefault="008E1A73" w:rsidP="00FC5A6B">
            <w:pPr>
              <w:spacing w:before="120" w:after="120"/>
              <w:rPr>
                <w:sz w:val="22"/>
                <w:szCs w:val="22"/>
                <w:lang w:val="es-US"/>
              </w:rPr>
            </w:pPr>
            <w:r w:rsidRPr="005B0F18">
              <w:rPr>
                <w:sz w:val="22"/>
                <w:szCs w:val="22"/>
                <w:u w:val="single"/>
                <w:lang w:val="es-US"/>
              </w:rPr>
              <w:t xml:space="preserve">Sesión: Secreto bancario y </w:t>
            </w:r>
            <w:r w:rsidRPr="005B0F18">
              <w:rPr>
                <w:bCs/>
                <w:sz w:val="22"/>
                <w:szCs w:val="22"/>
                <w:u w:val="single"/>
                <w:lang w:val="es-US"/>
              </w:rPr>
              <w:t>seguimiento de las recomendaciones de la Tercera Ronda</w:t>
            </w:r>
          </w:p>
          <w:p w14:paraId="5323A0F6" w14:textId="77777777" w:rsidR="001C4DEB" w:rsidRPr="005B0F18" w:rsidRDefault="001C4DEB" w:rsidP="001C4DEB">
            <w:pPr>
              <w:spacing w:before="120" w:after="120"/>
              <w:jc w:val="both"/>
              <w:rPr>
                <w:b/>
                <w:sz w:val="22"/>
                <w:szCs w:val="22"/>
                <w:lang w:val="es-US"/>
              </w:rPr>
            </w:pPr>
            <w:r w:rsidRPr="005B0F18">
              <w:rPr>
                <w:b/>
                <w:sz w:val="22"/>
                <w:szCs w:val="22"/>
                <w:lang w:val="es-US"/>
              </w:rPr>
              <w:t xml:space="preserve">Temas: </w:t>
            </w:r>
          </w:p>
          <w:p w14:paraId="18E2CF31" w14:textId="7C45FF7A" w:rsidR="001C4DEB" w:rsidRPr="005B0F18" w:rsidRDefault="001C4DEB" w:rsidP="001C4DEB">
            <w:pPr>
              <w:numPr>
                <w:ilvl w:val="0"/>
                <w:numId w:val="14"/>
              </w:numPr>
              <w:tabs>
                <w:tab w:val="clear" w:pos="720"/>
                <w:tab w:val="num" w:pos="592"/>
              </w:tabs>
              <w:spacing w:before="120" w:after="120"/>
              <w:ind w:left="592" w:hanging="232"/>
              <w:jc w:val="both"/>
              <w:rPr>
                <w:b/>
                <w:bCs/>
                <w:sz w:val="22"/>
                <w:szCs w:val="22"/>
                <w:lang w:val="es-US"/>
              </w:rPr>
            </w:pPr>
            <w:r w:rsidRPr="005B0F18">
              <w:rPr>
                <w:b/>
                <w:bCs/>
                <w:sz w:val="22"/>
                <w:szCs w:val="22"/>
                <w:lang w:val="es-US"/>
              </w:rPr>
              <w:t>Desafíos en la lucha contra la corrupción en Estados Unidos</w:t>
            </w:r>
          </w:p>
          <w:p w14:paraId="50334BC3" w14:textId="77777777" w:rsidR="001C4DEB" w:rsidRPr="005B0F18" w:rsidRDefault="001C4DEB" w:rsidP="001C4DEB">
            <w:pPr>
              <w:numPr>
                <w:ilvl w:val="0"/>
                <w:numId w:val="14"/>
              </w:numPr>
              <w:tabs>
                <w:tab w:val="clear" w:pos="720"/>
                <w:tab w:val="num" w:pos="592"/>
              </w:tabs>
              <w:spacing w:before="120" w:after="120"/>
              <w:ind w:left="592" w:hanging="232"/>
              <w:jc w:val="both"/>
              <w:rPr>
                <w:b/>
                <w:bCs/>
                <w:sz w:val="22"/>
                <w:szCs w:val="22"/>
                <w:lang w:val="es-US"/>
              </w:rPr>
            </w:pPr>
            <w:r w:rsidRPr="005B0F18">
              <w:rPr>
                <w:b/>
                <w:bCs/>
                <w:sz w:val="22"/>
                <w:szCs w:val="22"/>
                <w:lang w:val="es-US"/>
              </w:rPr>
              <w:t>Secreto bancario</w:t>
            </w:r>
          </w:p>
          <w:p w14:paraId="5AEE642F" w14:textId="77777777" w:rsidR="001C4DEB" w:rsidRPr="005B0F18" w:rsidRDefault="001C4DEB" w:rsidP="001C4DEB">
            <w:pPr>
              <w:numPr>
                <w:ilvl w:val="0"/>
                <w:numId w:val="14"/>
              </w:numPr>
              <w:tabs>
                <w:tab w:val="clear" w:pos="720"/>
                <w:tab w:val="num" w:pos="592"/>
              </w:tabs>
              <w:spacing w:before="120" w:after="120"/>
              <w:ind w:left="592" w:hanging="232"/>
              <w:jc w:val="both"/>
              <w:rPr>
                <w:b/>
                <w:bCs/>
                <w:sz w:val="22"/>
                <w:szCs w:val="22"/>
                <w:lang w:val="es-US"/>
              </w:rPr>
            </w:pPr>
            <w:r w:rsidRPr="005B0F18">
              <w:rPr>
                <w:b/>
                <w:bCs/>
                <w:sz w:val="22"/>
                <w:szCs w:val="22"/>
                <w:lang w:val="es-US"/>
              </w:rPr>
              <w:t>Soborno transnacional</w:t>
            </w:r>
          </w:p>
          <w:p w14:paraId="068651F1" w14:textId="77777777" w:rsidR="001C4DEB" w:rsidRPr="005B0F18" w:rsidRDefault="001C4DEB" w:rsidP="001C4DEB">
            <w:pPr>
              <w:numPr>
                <w:ilvl w:val="0"/>
                <w:numId w:val="14"/>
              </w:numPr>
              <w:tabs>
                <w:tab w:val="clear" w:pos="720"/>
                <w:tab w:val="num" w:pos="592"/>
              </w:tabs>
              <w:spacing w:before="120" w:after="120"/>
              <w:ind w:left="592" w:hanging="232"/>
              <w:jc w:val="both"/>
              <w:rPr>
                <w:b/>
                <w:bCs/>
                <w:sz w:val="22"/>
                <w:szCs w:val="22"/>
                <w:lang w:val="es-US"/>
              </w:rPr>
            </w:pPr>
            <w:r w:rsidRPr="005B0F18">
              <w:rPr>
                <w:b/>
                <w:bCs/>
                <w:sz w:val="22"/>
                <w:szCs w:val="22"/>
                <w:lang w:val="es-US"/>
              </w:rPr>
              <w:t>Extradición</w:t>
            </w:r>
          </w:p>
          <w:p w14:paraId="6A024F7C" w14:textId="77777777" w:rsidR="001C4DEB" w:rsidRPr="005B0F18" w:rsidRDefault="001C4DEB" w:rsidP="001C4DEB">
            <w:pPr>
              <w:numPr>
                <w:ilvl w:val="0"/>
                <w:numId w:val="14"/>
              </w:numPr>
              <w:tabs>
                <w:tab w:val="clear" w:pos="720"/>
                <w:tab w:val="num" w:pos="592"/>
              </w:tabs>
              <w:spacing w:before="120" w:after="120"/>
              <w:ind w:left="592" w:hanging="232"/>
              <w:jc w:val="both"/>
              <w:rPr>
                <w:b/>
                <w:bCs/>
                <w:sz w:val="22"/>
                <w:szCs w:val="22"/>
                <w:lang w:val="es-US"/>
              </w:rPr>
            </w:pPr>
            <w:r w:rsidRPr="005B0F18">
              <w:rPr>
                <w:b/>
                <w:bCs/>
                <w:sz w:val="22"/>
                <w:szCs w:val="22"/>
                <w:lang w:val="es-US"/>
              </w:rPr>
              <w:t xml:space="preserve">Negación de beneficios tributarios </w:t>
            </w:r>
          </w:p>
          <w:p w14:paraId="66E6EA65" w14:textId="75B02614" w:rsidR="00E37D61" w:rsidRPr="005B0F18" w:rsidRDefault="001C4DEB" w:rsidP="001C4DEB">
            <w:pPr>
              <w:numPr>
                <w:ilvl w:val="0"/>
                <w:numId w:val="14"/>
              </w:numPr>
              <w:tabs>
                <w:tab w:val="clear" w:pos="720"/>
                <w:tab w:val="num" w:pos="592"/>
              </w:tabs>
              <w:spacing w:before="120" w:after="120"/>
              <w:ind w:left="592" w:hanging="232"/>
              <w:jc w:val="both"/>
              <w:rPr>
                <w:b/>
                <w:sz w:val="22"/>
                <w:szCs w:val="22"/>
                <w:lang w:val="es-US"/>
              </w:rPr>
            </w:pPr>
            <w:r w:rsidRPr="005B0F18">
              <w:rPr>
                <w:b/>
                <w:bCs/>
                <w:sz w:val="22"/>
                <w:szCs w:val="22"/>
                <w:lang w:val="es-US"/>
              </w:rPr>
              <w:t>Prevención del soborno</w:t>
            </w:r>
          </w:p>
        </w:tc>
      </w:tr>
      <w:tr w:rsidR="00E37D61" w:rsidRPr="004A05E8" w14:paraId="30EF483B" w14:textId="77777777" w:rsidTr="00FC5A6B">
        <w:trPr>
          <w:cantSplit/>
          <w:jc w:val="center"/>
        </w:trPr>
        <w:tc>
          <w:tcPr>
            <w:tcW w:w="2227" w:type="dxa"/>
            <w:vMerge/>
            <w:tcBorders>
              <w:bottom w:val="single" w:sz="4" w:space="0" w:color="auto"/>
            </w:tcBorders>
          </w:tcPr>
          <w:p w14:paraId="78B20E57" w14:textId="77777777" w:rsidR="00E37D61" w:rsidRPr="005B0F18" w:rsidRDefault="00E37D61" w:rsidP="00FC5A6B">
            <w:pPr>
              <w:spacing w:before="120" w:after="120"/>
              <w:rPr>
                <w:sz w:val="22"/>
                <w:szCs w:val="22"/>
                <w:lang w:val="es-US"/>
              </w:rPr>
            </w:pPr>
          </w:p>
        </w:tc>
        <w:tc>
          <w:tcPr>
            <w:tcW w:w="7946" w:type="dxa"/>
            <w:tcBorders>
              <w:bottom w:val="single" w:sz="4" w:space="0" w:color="auto"/>
            </w:tcBorders>
          </w:tcPr>
          <w:p w14:paraId="40964B4E" w14:textId="77777777" w:rsidR="00F965AB" w:rsidRPr="005B0F18" w:rsidRDefault="00F965AB" w:rsidP="00F965AB">
            <w:pPr>
              <w:spacing w:before="120" w:after="120"/>
              <w:rPr>
                <w:bCs/>
                <w:iCs/>
                <w:sz w:val="22"/>
                <w:szCs w:val="22"/>
                <w:u w:val="single"/>
                <w:lang w:val="es-US"/>
              </w:rPr>
            </w:pPr>
            <w:r w:rsidRPr="005B0F18">
              <w:rPr>
                <w:bCs/>
                <w:iCs/>
                <w:sz w:val="22"/>
                <w:szCs w:val="22"/>
                <w:u w:val="single"/>
                <w:lang w:val="es-US"/>
              </w:rPr>
              <w:t>Participantes:</w:t>
            </w:r>
          </w:p>
          <w:p w14:paraId="60D3D2B0" w14:textId="77777777" w:rsidR="00F965AB" w:rsidRPr="005B0F18" w:rsidRDefault="00F965AB" w:rsidP="00F965AB">
            <w:pPr>
              <w:shd w:val="clear" w:color="auto" w:fill="FFFFFF"/>
              <w:rPr>
                <w:sz w:val="22"/>
                <w:szCs w:val="22"/>
                <w:bdr w:val="none" w:sz="0" w:space="0" w:color="auto" w:frame="1"/>
                <w:lang w:val="es-US"/>
              </w:rPr>
            </w:pPr>
            <w:r w:rsidRPr="005B0F18">
              <w:rPr>
                <w:sz w:val="22"/>
                <w:szCs w:val="22"/>
                <w:bdr w:val="none" w:sz="0" w:space="0" w:color="auto" w:frame="1"/>
                <w:lang w:val="es-US"/>
              </w:rPr>
              <w:t xml:space="preserve">Julia </w:t>
            </w:r>
            <w:proofErr w:type="spellStart"/>
            <w:r w:rsidRPr="005B0F18">
              <w:rPr>
                <w:sz w:val="22"/>
                <w:szCs w:val="22"/>
                <w:bdr w:val="none" w:sz="0" w:space="0" w:color="auto" w:frame="1"/>
                <w:lang w:val="es-US"/>
              </w:rPr>
              <w:t>Yansura</w:t>
            </w:r>
            <w:proofErr w:type="spellEnd"/>
            <w:r w:rsidRPr="005B0F18">
              <w:rPr>
                <w:sz w:val="22"/>
                <w:szCs w:val="22"/>
                <w:bdr w:val="none" w:sz="0" w:space="0" w:color="auto" w:frame="1"/>
                <w:lang w:val="es-US"/>
              </w:rPr>
              <w:t xml:space="preserve">, Directora del Programa para América Latina y el Caribe, Global </w:t>
            </w:r>
            <w:proofErr w:type="spellStart"/>
            <w:r w:rsidRPr="005B0F18">
              <w:rPr>
                <w:sz w:val="22"/>
                <w:szCs w:val="22"/>
                <w:bdr w:val="none" w:sz="0" w:space="0" w:color="auto" w:frame="1"/>
                <w:lang w:val="es-US"/>
              </w:rPr>
              <w:t>Financial</w:t>
            </w:r>
            <w:proofErr w:type="spellEnd"/>
            <w:r w:rsidRPr="005B0F18">
              <w:rPr>
                <w:sz w:val="22"/>
                <w:szCs w:val="22"/>
                <w:bdr w:val="none" w:sz="0" w:space="0" w:color="auto" w:frame="1"/>
                <w:lang w:val="es-US"/>
              </w:rPr>
              <w:t xml:space="preserve"> </w:t>
            </w:r>
            <w:proofErr w:type="spellStart"/>
            <w:r w:rsidRPr="005B0F18">
              <w:rPr>
                <w:sz w:val="22"/>
                <w:szCs w:val="22"/>
                <w:bdr w:val="none" w:sz="0" w:space="0" w:color="auto" w:frame="1"/>
                <w:lang w:val="es-US"/>
              </w:rPr>
              <w:t>Integrity</w:t>
            </w:r>
            <w:proofErr w:type="spellEnd"/>
            <w:r w:rsidRPr="005B0F18">
              <w:rPr>
                <w:sz w:val="22"/>
                <w:szCs w:val="22"/>
                <w:bdr w:val="none" w:sz="0" w:space="0" w:color="auto" w:frame="1"/>
                <w:lang w:val="es-US"/>
              </w:rPr>
              <w:t> </w:t>
            </w:r>
          </w:p>
          <w:p w14:paraId="3946A499" w14:textId="77777777" w:rsidR="00F965AB" w:rsidRPr="005B0F18" w:rsidRDefault="00F965AB" w:rsidP="00F965AB">
            <w:pPr>
              <w:shd w:val="clear" w:color="auto" w:fill="FFFFFF"/>
              <w:rPr>
                <w:sz w:val="22"/>
                <w:szCs w:val="22"/>
                <w:bdr w:val="none" w:sz="0" w:space="0" w:color="auto" w:frame="1"/>
                <w:lang w:val="es-US"/>
              </w:rPr>
            </w:pPr>
            <w:r w:rsidRPr="005B0F18">
              <w:rPr>
                <w:sz w:val="22"/>
                <w:szCs w:val="22"/>
                <w:bdr w:val="none" w:sz="0" w:space="0" w:color="auto" w:frame="1"/>
                <w:lang w:val="es-US"/>
              </w:rPr>
              <w:t xml:space="preserve"> </w:t>
            </w:r>
          </w:p>
          <w:p w14:paraId="66254251" w14:textId="77777777" w:rsidR="00F965AB" w:rsidRPr="005B0F18" w:rsidRDefault="00F965AB" w:rsidP="00F965AB">
            <w:pPr>
              <w:shd w:val="clear" w:color="auto" w:fill="FFFFFF"/>
              <w:rPr>
                <w:sz w:val="22"/>
                <w:szCs w:val="22"/>
                <w:bdr w:val="none" w:sz="0" w:space="0" w:color="auto" w:frame="1"/>
                <w:lang w:val="es-US"/>
              </w:rPr>
            </w:pPr>
            <w:r w:rsidRPr="005B0F18">
              <w:rPr>
                <w:sz w:val="22"/>
                <w:szCs w:val="22"/>
                <w:bdr w:val="none" w:sz="0" w:space="0" w:color="auto" w:frame="1"/>
                <w:lang w:val="es-US"/>
              </w:rPr>
              <w:t>Gary Kalman, Director Ejecutivo, Transparencia Internacional-Estados Unidos</w:t>
            </w:r>
          </w:p>
          <w:p w14:paraId="3E6E1B3B" w14:textId="77777777" w:rsidR="00F965AB" w:rsidRPr="005B0F18" w:rsidRDefault="00F965AB" w:rsidP="00F965AB">
            <w:pPr>
              <w:shd w:val="clear" w:color="auto" w:fill="FFFFFF"/>
              <w:rPr>
                <w:sz w:val="22"/>
                <w:szCs w:val="22"/>
                <w:bdr w:val="none" w:sz="0" w:space="0" w:color="auto" w:frame="1"/>
                <w:lang w:val="es-US"/>
              </w:rPr>
            </w:pPr>
          </w:p>
          <w:p w14:paraId="21177F4D" w14:textId="77777777" w:rsidR="00F965AB" w:rsidRPr="005B0F18" w:rsidRDefault="00F965AB" w:rsidP="00F965AB">
            <w:pPr>
              <w:shd w:val="clear" w:color="auto" w:fill="FFFFFF"/>
              <w:rPr>
                <w:sz w:val="22"/>
                <w:szCs w:val="22"/>
                <w:bdr w:val="none" w:sz="0" w:space="0" w:color="auto" w:frame="1"/>
                <w:lang w:val="es-US"/>
              </w:rPr>
            </w:pPr>
            <w:r w:rsidRPr="005B0F18">
              <w:rPr>
                <w:sz w:val="22"/>
                <w:szCs w:val="22"/>
                <w:bdr w:val="none" w:sz="0" w:space="0" w:color="auto" w:frame="1"/>
                <w:lang w:val="es-US"/>
              </w:rPr>
              <w:t xml:space="preserve">Erica </w:t>
            </w:r>
            <w:proofErr w:type="spellStart"/>
            <w:r w:rsidRPr="005B0F18">
              <w:rPr>
                <w:sz w:val="22"/>
                <w:szCs w:val="22"/>
                <w:bdr w:val="none" w:sz="0" w:space="0" w:color="auto" w:frame="1"/>
                <w:lang w:val="es-US"/>
              </w:rPr>
              <w:t>Hanichak</w:t>
            </w:r>
            <w:proofErr w:type="spellEnd"/>
            <w:r w:rsidRPr="005B0F18">
              <w:rPr>
                <w:sz w:val="22"/>
                <w:szCs w:val="22"/>
                <w:bdr w:val="none" w:sz="0" w:space="0" w:color="auto" w:frame="1"/>
                <w:lang w:val="es-US"/>
              </w:rPr>
              <w:t xml:space="preserve">, Directora de Asuntos Gubernamentales, The FACT </w:t>
            </w:r>
            <w:proofErr w:type="spellStart"/>
            <w:r w:rsidRPr="005B0F18">
              <w:rPr>
                <w:sz w:val="22"/>
                <w:szCs w:val="22"/>
                <w:bdr w:val="none" w:sz="0" w:space="0" w:color="auto" w:frame="1"/>
                <w:lang w:val="es-US"/>
              </w:rPr>
              <w:t>Coalition</w:t>
            </w:r>
            <w:proofErr w:type="spellEnd"/>
          </w:p>
          <w:p w14:paraId="1D7B70C9" w14:textId="77777777" w:rsidR="00F965AB" w:rsidRPr="005B0F18" w:rsidRDefault="00F965AB" w:rsidP="00F965AB">
            <w:pPr>
              <w:shd w:val="clear" w:color="auto" w:fill="FFFFFF"/>
              <w:rPr>
                <w:sz w:val="22"/>
                <w:szCs w:val="22"/>
                <w:bdr w:val="none" w:sz="0" w:space="0" w:color="auto" w:frame="1"/>
                <w:lang w:val="es-US"/>
              </w:rPr>
            </w:pPr>
          </w:p>
          <w:p w14:paraId="3FC3DA02" w14:textId="23A29142" w:rsidR="00E37D61" w:rsidRPr="005B0F18" w:rsidRDefault="00F965AB" w:rsidP="00F965AB">
            <w:pPr>
              <w:pStyle w:val="xxmsonormal"/>
              <w:shd w:val="clear" w:color="auto" w:fill="FFFFFF"/>
              <w:spacing w:before="0" w:beforeAutospacing="0" w:after="0" w:afterAutospacing="0"/>
              <w:rPr>
                <w:color w:val="242424"/>
                <w:sz w:val="22"/>
                <w:szCs w:val="22"/>
                <w:bdr w:val="none" w:sz="0" w:space="0" w:color="auto" w:frame="1"/>
                <w:lang w:val="es-US"/>
              </w:rPr>
            </w:pPr>
            <w:r w:rsidRPr="005B0F18">
              <w:rPr>
                <w:sz w:val="22"/>
                <w:szCs w:val="22"/>
                <w:bdr w:val="none" w:sz="0" w:space="0" w:color="auto" w:frame="1"/>
                <w:lang w:val="es-US"/>
              </w:rPr>
              <w:t>Robin Lewis, Investigador Asociado Senior e Investigador Asociado, The Brookings </w:t>
            </w:r>
            <w:proofErr w:type="spellStart"/>
            <w:r w:rsidRPr="005B0F18">
              <w:rPr>
                <w:sz w:val="22"/>
                <w:szCs w:val="22"/>
                <w:bdr w:val="none" w:sz="0" w:space="0" w:color="auto" w:frame="1"/>
                <w:lang w:val="es-US"/>
              </w:rPr>
              <w:t>Institution</w:t>
            </w:r>
            <w:proofErr w:type="spellEnd"/>
          </w:p>
          <w:p w14:paraId="578F5651" w14:textId="77777777" w:rsidR="00E37D61" w:rsidRPr="005B0F18" w:rsidRDefault="00E37D61" w:rsidP="00FC5A6B">
            <w:pPr>
              <w:pStyle w:val="xxmsonormal"/>
              <w:shd w:val="clear" w:color="auto" w:fill="FFFFFF"/>
              <w:spacing w:before="0" w:beforeAutospacing="0" w:after="0" w:afterAutospacing="0"/>
              <w:rPr>
                <w:sz w:val="22"/>
                <w:szCs w:val="22"/>
                <w:lang w:val="es-US"/>
              </w:rPr>
            </w:pPr>
          </w:p>
        </w:tc>
      </w:tr>
      <w:tr w:rsidR="00E37D61" w:rsidRPr="005B0F18" w14:paraId="74C4B701" w14:textId="77777777" w:rsidTr="00FC5A6B">
        <w:trPr>
          <w:jc w:val="center"/>
        </w:trPr>
        <w:tc>
          <w:tcPr>
            <w:tcW w:w="2227" w:type="dxa"/>
            <w:shd w:val="clear" w:color="auto" w:fill="auto"/>
          </w:tcPr>
          <w:p w14:paraId="66B2BB00" w14:textId="77777777" w:rsidR="00E37D61" w:rsidRPr="005B0F18" w:rsidRDefault="00E37D61" w:rsidP="00FC5A6B">
            <w:pPr>
              <w:spacing w:before="120" w:after="120"/>
              <w:rPr>
                <w:sz w:val="22"/>
                <w:szCs w:val="22"/>
                <w:lang w:val="es-US"/>
              </w:rPr>
            </w:pPr>
            <w:r w:rsidRPr="005B0F18">
              <w:rPr>
                <w:sz w:val="22"/>
                <w:szCs w:val="22"/>
                <w:lang w:val="es-US"/>
              </w:rPr>
              <w:t xml:space="preserve">12:00 </w:t>
            </w:r>
            <w:proofErr w:type="spellStart"/>
            <w:r w:rsidRPr="005B0F18">
              <w:rPr>
                <w:sz w:val="22"/>
                <w:szCs w:val="22"/>
                <w:lang w:val="es-US"/>
              </w:rPr>
              <w:t>hrs</w:t>
            </w:r>
            <w:proofErr w:type="spellEnd"/>
            <w:r w:rsidRPr="005B0F18">
              <w:rPr>
                <w:sz w:val="22"/>
                <w:szCs w:val="22"/>
                <w:lang w:val="es-US"/>
              </w:rPr>
              <w:t xml:space="preserve">. – 14:00 </w:t>
            </w:r>
            <w:proofErr w:type="spellStart"/>
            <w:r w:rsidRPr="005B0F18">
              <w:rPr>
                <w:sz w:val="22"/>
                <w:szCs w:val="22"/>
                <w:lang w:val="es-US"/>
              </w:rPr>
              <w:t>hrs</w:t>
            </w:r>
            <w:proofErr w:type="spellEnd"/>
            <w:r w:rsidRPr="005B0F18">
              <w:rPr>
                <w:sz w:val="22"/>
                <w:szCs w:val="22"/>
                <w:lang w:val="es-US"/>
              </w:rPr>
              <w:t>.</w:t>
            </w:r>
          </w:p>
        </w:tc>
        <w:tc>
          <w:tcPr>
            <w:tcW w:w="7946" w:type="dxa"/>
            <w:shd w:val="clear" w:color="auto" w:fill="auto"/>
          </w:tcPr>
          <w:p w14:paraId="71BCD859" w14:textId="436DE0C2" w:rsidR="00E37D61" w:rsidRPr="005B0F18" w:rsidRDefault="001C4DEB" w:rsidP="00FC5A6B">
            <w:pPr>
              <w:spacing w:before="120" w:after="120"/>
              <w:rPr>
                <w:b/>
                <w:sz w:val="22"/>
                <w:szCs w:val="22"/>
                <w:lang w:val="es-US"/>
              </w:rPr>
            </w:pPr>
            <w:r w:rsidRPr="005B0F18">
              <w:rPr>
                <w:b/>
                <w:sz w:val="22"/>
                <w:szCs w:val="22"/>
                <w:lang w:val="es-US"/>
              </w:rPr>
              <w:t>Almuerzo</w:t>
            </w:r>
          </w:p>
        </w:tc>
      </w:tr>
      <w:tr w:rsidR="00E37D61" w:rsidRPr="005B0F18" w14:paraId="62049BC6" w14:textId="77777777" w:rsidTr="00FC5A6B">
        <w:trPr>
          <w:jc w:val="center"/>
        </w:trPr>
        <w:tc>
          <w:tcPr>
            <w:tcW w:w="2227" w:type="dxa"/>
            <w:shd w:val="clear" w:color="auto" w:fill="D9D9D9"/>
          </w:tcPr>
          <w:p w14:paraId="39AD9820" w14:textId="77777777" w:rsidR="00E37D61" w:rsidRPr="005B0F18" w:rsidRDefault="00E37D61" w:rsidP="00FC5A6B">
            <w:pPr>
              <w:spacing w:before="120" w:after="120"/>
              <w:rPr>
                <w:sz w:val="22"/>
                <w:szCs w:val="22"/>
                <w:lang w:val="es-US"/>
              </w:rPr>
            </w:pPr>
            <w:r w:rsidRPr="005B0F18">
              <w:rPr>
                <w:sz w:val="22"/>
                <w:szCs w:val="22"/>
                <w:lang w:val="es-US"/>
              </w:rPr>
              <w:t xml:space="preserve">14:00 </w:t>
            </w:r>
            <w:proofErr w:type="spellStart"/>
            <w:r w:rsidRPr="005B0F18">
              <w:rPr>
                <w:sz w:val="22"/>
                <w:szCs w:val="22"/>
                <w:lang w:val="es-US"/>
              </w:rPr>
              <w:t>hrs</w:t>
            </w:r>
            <w:proofErr w:type="spellEnd"/>
            <w:r w:rsidRPr="005B0F18">
              <w:rPr>
                <w:sz w:val="22"/>
                <w:szCs w:val="22"/>
                <w:lang w:val="es-US"/>
              </w:rPr>
              <w:t xml:space="preserve">. – 16:30 </w:t>
            </w:r>
            <w:proofErr w:type="spellStart"/>
            <w:r w:rsidRPr="005B0F18">
              <w:rPr>
                <w:sz w:val="22"/>
                <w:szCs w:val="22"/>
                <w:lang w:val="es-US"/>
              </w:rPr>
              <w:t>hrs</w:t>
            </w:r>
            <w:proofErr w:type="spellEnd"/>
            <w:r w:rsidRPr="005B0F18">
              <w:rPr>
                <w:sz w:val="22"/>
                <w:szCs w:val="22"/>
                <w:lang w:val="es-US"/>
              </w:rPr>
              <w:t>.</w:t>
            </w:r>
          </w:p>
          <w:p w14:paraId="64208040" w14:textId="77777777" w:rsidR="00EA1F29" w:rsidRPr="005B0F18" w:rsidRDefault="00EA1F29" w:rsidP="00EA1F29">
            <w:pPr>
              <w:spacing w:before="120" w:after="120"/>
              <w:rPr>
                <w:b/>
                <w:bCs/>
                <w:iCs/>
                <w:sz w:val="22"/>
                <w:szCs w:val="22"/>
                <w:lang w:val="es-US"/>
              </w:rPr>
            </w:pPr>
            <w:r w:rsidRPr="005B0F18">
              <w:rPr>
                <w:b/>
                <w:bCs/>
                <w:iCs/>
                <w:sz w:val="22"/>
                <w:szCs w:val="22"/>
                <w:lang w:val="es-US"/>
              </w:rPr>
              <w:t xml:space="preserve">Sede de la OEA </w:t>
            </w:r>
          </w:p>
          <w:p w14:paraId="53B1D9B7" w14:textId="4DE50120" w:rsidR="00E37D61" w:rsidRPr="005B0F18" w:rsidRDefault="00EA1F29" w:rsidP="00EA1F29">
            <w:pPr>
              <w:spacing w:before="120" w:after="120"/>
              <w:rPr>
                <w:sz w:val="22"/>
                <w:szCs w:val="22"/>
                <w:lang w:val="pt-BR"/>
              </w:rPr>
            </w:pPr>
            <w:r w:rsidRPr="005B0F18">
              <w:rPr>
                <w:b/>
                <w:bCs/>
                <w:iCs/>
                <w:sz w:val="22"/>
                <w:szCs w:val="22"/>
                <w:lang w:val="pt-BR"/>
              </w:rPr>
              <w:t xml:space="preserve">Sala Gabriela Mistral, </w:t>
            </w:r>
            <w:r w:rsidRPr="005B0F18">
              <w:rPr>
                <w:b/>
                <w:bCs/>
                <w:iCs/>
                <w:sz w:val="22"/>
                <w:szCs w:val="22"/>
                <w:lang w:val="pt-BR"/>
              </w:rPr>
              <w:br/>
              <w:t>1889 F Street</w:t>
            </w:r>
          </w:p>
        </w:tc>
        <w:tc>
          <w:tcPr>
            <w:tcW w:w="7946" w:type="dxa"/>
            <w:shd w:val="clear" w:color="auto" w:fill="D9D9D9"/>
            <w:vAlign w:val="center"/>
          </w:tcPr>
          <w:p w14:paraId="68FA365E" w14:textId="0D50D489" w:rsidR="00E37D61" w:rsidRPr="005B0F18" w:rsidRDefault="00E37D61" w:rsidP="00FC5A6B">
            <w:pPr>
              <w:spacing w:before="120" w:after="120"/>
              <w:rPr>
                <w:b/>
                <w:sz w:val="22"/>
                <w:szCs w:val="22"/>
                <w:lang w:val="es-US"/>
              </w:rPr>
            </w:pPr>
            <w:r w:rsidRPr="005B0F18">
              <w:rPr>
                <w:b/>
                <w:sz w:val="22"/>
                <w:szCs w:val="22"/>
                <w:lang w:val="es-US"/>
              </w:rPr>
              <w:t xml:space="preserve">Panel 1: </w:t>
            </w:r>
            <w:r w:rsidR="00DF49BD" w:rsidRPr="005B0F18">
              <w:rPr>
                <w:b/>
                <w:sz w:val="22"/>
                <w:szCs w:val="22"/>
                <w:lang w:val="es-US"/>
              </w:rPr>
              <w:t>Secreto bancario</w:t>
            </w:r>
            <w:r w:rsidRPr="005B0F18">
              <w:rPr>
                <w:b/>
                <w:sz w:val="22"/>
                <w:szCs w:val="22"/>
                <w:lang w:val="es-US"/>
              </w:rPr>
              <w:t xml:space="preserve"> </w:t>
            </w:r>
          </w:p>
        </w:tc>
      </w:tr>
      <w:tr w:rsidR="00E37D61" w:rsidRPr="005B0F18" w14:paraId="6D6FB356" w14:textId="77777777" w:rsidTr="00FC5A6B">
        <w:trPr>
          <w:cantSplit/>
          <w:jc w:val="center"/>
        </w:trPr>
        <w:tc>
          <w:tcPr>
            <w:tcW w:w="2227" w:type="dxa"/>
            <w:vMerge w:val="restart"/>
          </w:tcPr>
          <w:p w14:paraId="65D8DCC9" w14:textId="77777777" w:rsidR="00E37D61" w:rsidRPr="005B0F18" w:rsidRDefault="00E37D61" w:rsidP="00FC5A6B">
            <w:pPr>
              <w:spacing w:before="120" w:after="120"/>
              <w:rPr>
                <w:sz w:val="22"/>
                <w:szCs w:val="22"/>
                <w:lang w:val="es-US"/>
              </w:rPr>
            </w:pPr>
          </w:p>
        </w:tc>
        <w:tc>
          <w:tcPr>
            <w:tcW w:w="7946" w:type="dxa"/>
          </w:tcPr>
          <w:p w14:paraId="113007E1" w14:textId="4ACDDBDC" w:rsidR="00F235E8" w:rsidRPr="005B0F18" w:rsidRDefault="00F235E8" w:rsidP="00F235E8">
            <w:pPr>
              <w:numPr>
                <w:ilvl w:val="0"/>
                <w:numId w:val="14"/>
              </w:numPr>
              <w:tabs>
                <w:tab w:val="clear" w:pos="720"/>
                <w:tab w:val="num" w:pos="473"/>
              </w:tabs>
              <w:spacing w:before="120" w:after="120"/>
              <w:ind w:left="473"/>
              <w:jc w:val="both"/>
              <w:rPr>
                <w:b/>
                <w:sz w:val="22"/>
                <w:szCs w:val="22"/>
                <w:lang w:val="es-US"/>
              </w:rPr>
            </w:pPr>
            <w:r w:rsidRPr="005B0F18">
              <w:rPr>
                <w:b/>
                <w:sz w:val="22"/>
                <w:szCs w:val="22"/>
                <w:lang w:val="es-US"/>
              </w:rPr>
              <w:t>Ley de Información sobre Divisas y Transacciones con Divisas</w:t>
            </w:r>
          </w:p>
          <w:p w14:paraId="7AAAF40A" w14:textId="77777777" w:rsidR="00F235E8" w:rsidRPr="005B0F18" w:rsidRDefault="00F235E8" w:rsidP="00F235E8">
            <w:pPr>
              <w:numPr>
                <w:ilvl w:val="0"/>
                <w:numId w:val="14"/>
              </w:numPr>
              <w:tabs>
                <w:tab w:val="clear" w:pos="720"/>
                <w:tab w:val="num" w:pos="473"/>
              </w:tabs>
              <w:spacing w:before="120" w:after="120"/>
              <w:ind w:left="473"/>
              <w:jc w:val="both"/>
              <w:rPr>
                <w:b/>
                <w:sz w:val="22"/>
                <w:szCs w:val="22"/>
                <w:lang w:val="es-US"/>
              </w:rPr>
            </w:pPr>
            <w:r w:rsidRPr="005B0F18">
              <w:rPr>
                <w:b/>
                <w:sz w:val="22"/>
                <w:szCs w:val="22"/>
                <w:lang w:val="es-US"/>
              </w:rPr>
              <w:t>Confidencialidad y privacidad</w:t>
            </w:r>
          </w:p>
          <w:p w14:paraId="0B611168" w14:textId="77777777" w:rsidR="00F235E8" w:rsidRPr="005B0F18" w:rsidRDefault="00F235E8" w:rsidP="00F235E8">
            <w:pPr>
              <w:numPr>
                <w:ilvl w:val="0"/>
                <w:numId w:val="14"/>
              </w:numPr>
              <w:tabs>
                <w:tab w:val="clear" w:pos="720"/>
                <w:tab w:val="num" w:pos="473"/>
              </w:tabs>
              <w:spacing w:before="120" w:after="120"/>
              <w:ind w:left="473"/>
              <w:jc w:val="both"/>
              <w:rPr>
                <w:b/>
                <w:sz w:val="22"/>
                <w:szCs w:val="22"/>
                <w:lang w:val="es-US"/>
              </w:rPr>
            </w:pPr>
            <w:r w:rsidRPr="005B0F18">
              <w:rPr>
                <w:b/>
                <w:sz w:val="22"/>
                <w:szCs w:val="22"/>
                <w:lang w:val="es-US"/>
              </w:rPr>
              <w:t xml:space="preserve">Proceso interno y recursos </w:t>
            </w:r>
          </w:p>
          <w:p w14:paraId="25E57A4E" w14:textId="77777777" w:rsidR="00F235E8" w:rsidRPr="005B0F18" w:rsidRDefault="00F235E8" w:rsidP="00F235E8">
            <w:pPr>
              <w:numPr>
                <w:ilvl w:val="0"/>
                <w:numId w:val="14"/>
              </w:numPr>
              <w:tabs>
                <w:tab w:val="clear" w:pos="720"/>
                <w:tab w:val="num" w:pos="473"/>
              </w:tabs>
              <w:spacing w:before="120" w:after="120"/>
              <w:ind w:left="473"/>
              <w:jc w:val="both"/>
              <w:rPr>
                <w:b/>
                <w:bCs/>
                <w:sz w:val="22"/>
                <w:szCs w:val="22"/>
                <w:lang w:val="es-US"/>
              </w:rPr>
            </w:pPr>
            <w:r w:rsidRPr="005B0F18">
              <w:rPr>
                <w:b/>
                <w:bCs/>
                <w:sz w:val="22"/>
                <w:szCs w:val="22"/>
                <w:lang w:val="es-US"/>
              </w:rPr>
              <w:t>Uso de la información</w:t>
            </w:r>
          </w:p>
          <w:p w14:paraId="6F91CCAA" w14:textId="77777777" w:rsidR="00F235E8" w:rsidRPr="005B0F18" w:rsidRDefault="00F235E8" w:rsidP="00F235E8">
            <w:pPr>
              <w:numPr>
                <w:ilvl w:val="0"/>
                <w:numId w:val="14"/>
              </w:numPr>
              <w:tabs>
                <w:tab w:val="clear" w:pos="720"/>
                <w:tab w:val="num" w:pos="473"/>
              </w:tabs>
              <w:spacing w:before="120" w:after="120"/>
              <w:ind w:left="473"/>
              <w:jc w:val="both"/>
              <w:rPr>
                <w:b/>
                <w:bCs/>
                <w:sz w:val="22"/>
                <w:szCs w:val="22"/>
                <w:lang w:val="es-US"/>
              </w:rPr>
            </w:pPr>
            <w:r w:rsidRPr="005B0F18">
              <w:rPr>
                <w:b/>
                <w:bCs/>
                <w:sz w:val="22"/>
                <w:szCs w:val="22"/>
                <w:lang w:val="es-US"/>
              </w:rPr>
              <w:t>Cooperación internacional</w:t>
            </w:r>
          </w:p>
          <w:p w14:paraId="42E53003" w14:textId="476576CA" w:rsidR="00E37D61" w:rsidRPr="005B0F18" w:rsidRDefault="00F235E8" w:rsidP="00F235E8">
            <w:pPr>
              <w:numPr>
                <w:ilvl w:val="0"/>
                <w:numId w:val="14"/>
              </w:numPr>
              <w:tabs>
                <w:tab w:val="clear" w:pos="720"/>
                <w:tab w:val="num" w:pos="473"/>
              </w:tabs>
              <w:spacing w:before="120" w:after="120"/>
              <w:ind w:left="473"/>
              <w:jc w:val="both"/>
              <w:rPr>
                <w:b/>
                <w:bCs/>
                <w:sz w:val="22"/>
                <w:szCs w:val="22"/>
                <w:lang w:val="es-US"/>
              </w:rPr>
            </w:pPr>
            <w:r w:rsidRPr="005B0F18">
              <w:rPr>
                <w:b/>
                <w:bCs/>
                <w:sz w:val="22"/>
                <w:szCs w:val="22"/>
                <w:lang w:val="es-US"/>
              </w:rPr>
              <w:t>Resultados</w:t>
            </w:r>
          </w:p>
        </w:tc>
      </w:tr>
      <w:tr w:rsidR="00E37D61" w:rsidRPr="004A05E8" w14:paraId="6DCA6F37" w14:textId="77777777" w:rsidTr="00FC5A6B">
        <w:trPr>
          <w:cantSplit/>
          <w:jc w:val="center"/>
        </w:trPr>
        <w:tc>
          <w:tcPr>
            <w:tcW w:w="2227" w:type="dxa"/>
            <w:vMerge/>
            <w:tcBorders>
              <w:bottom w:val="single" w:sz="4" w:space="0" w:color="auto"/>
            </w:tcBorders>
          </w:tcPr>
          <w:p w14:paraId="713FD8AF" w14:textId="77777777" w:rsidR="00E37D61" w:rsidRPr="005B0F18" w:rsidRDefault="00E37D61" w:rsidP="00FC5A6B">
            <w:pPr>
              <w:spacing w:before="120" w:after="120"/>
              <w:rPr>
                <w:sz w:val="22"/>
                <w:szCs w:val="22"/>
                <w:lang w:val="es-US"/>
              </w:rPr>
            </w:pPr>
          </w:p>
        </w:tc>
        <w:tc>
          <w:tcPr>
            <w:tcW w:w="7946" w:type="dxa"/>
            <w:tcBorders>
              <w:bottom w:val="single" w:sz="4" w:space="0" w:color="auto"/>
            </w:tcBorders>
          </w:tcPr>
          <w:p w14:paraId="0F45C1B4" w14:textId="77777777" w:rsidR="00AF1A17" w:rsidRPr="005B0F18" w:rsidRDefault="00AF1A17" w:rsidP="00AF1A17">
            <w:pPr>
              <w:spacing w:before="120" w:after="120"/>
              <w:rPr>
                <w:bCs/>
                <w:iCs/>
                <w:sz w:val="22"/>
                <w:szCs w:val="22"/>
                <w:u w:val="single"/>
                <w:lang w:val="es-US"/>
              </w:rPr>
            </w:pPr>
            <w:r w:rsidRPr="005B0F18">
              <w:rPr>
                <w:bCs/>
                <w:iCs/>
                <w:sz w:val="22"/>
                <w:szCs w:val="22"/>
                <w:u w:val="single"/>
                <w:lang w:val="es-US"/>
              </w:rPr>
              <w:t>Participantes:</w:t>
            </w:r>
          </w:p>
          <w:p w14:paraId="0224C467" w14:textId="77777777" w:rsidR="00AF1A17" w:rsidRPr="005B0F18" w:rsidRDefault="00AF1A17" w:rsidP="00AF1A17">
            <w:pPr>
              <w:shd w:val="clear" w:color="auto" w:fill="FFFFFF"/>
              <w:rPr>
                <w:sz w:val="22"/>
                <w:szCs w:val="22"/>
                <w:bdr w:val="none" w:sz="0" w:space="0" w:color="auto" w:frame="1"/>
                <w:lang w:val="es-US"/>
              </w:rPr>
            </w:pPr>
            <w:r w:rsidRPr="005B0F18">
              <w:rPr>
                <w:sz w:val="22"/>
                <w:szCs w:val="22"/>
                <w:bdr w:val="none" w:sz="0" w:space="0" w:color="auto" w:frame="1"/>
                <w:lang w:val="es-US"/>
              </w:rPr>
              <w:t>Young Lee, Director, Oficina de Financiamiento del Terrorismo y Delitos Financieros, Departamento del Tesoro </w:t>
            </w:r>
          </w:p>
          <w:p w14:paraId="578F44C3" w14:textId="77777777" w:rsidR="00AF1A17" w:rsidRPr="005B0F18" w:rsidRDefault="00AF1A17" w:rsidP="00AF1A17">
            <w:pPr>
              <w:shd w:val="clear" w:color="auto" w:fill="FFFFFF"/>
              <w:rPr>
                <w:sz w:val="22"/>
                <w:szCs w:val="22"/>
                <w:bdr w:val="none" w:sz="0" w:space="0" w:color="auto" w:frame="1"/>
                <w:lang w:val="es-US"/>
              </w:rPr>
            </w:pPr>
          </w:p>
          <w:p w14:paraId="2E4DC02A" w14:textId="77777777" w:rsidR="00AF1A17" w:rsidRPr="005B0F18" w:rsidRDefault="00AF1A17" w:rsidP="00AF1A17">
            <w:pPr>
              <w:shd w:val="clear" w:color="auto" w:fill="FFFFFF"/>
              <w:rPr>
                <w:sz w:val="22"/>
                <w:szCs w:val="22"/>
                <w:bdr w:val="none" w:sz="0" w:space="0" w:color="auto" w:frame="1"/>
                <w:lang w:val="es-US"/>
              </w:rPr>
            </w:pPr>
            <w:r w:rsidRPr="005B0F18">
              <w:rPr>
                <w:sz w:val="22"/>
                <w:szCs w:val="22"/>
                <w:bdr w:val="none" w:sz="0" w:space="0" w:color="auto" w:frame="1"/>
                <w:lang w:val="es-US"/>
              </w:rPr>
              <w:t>Samuel Barnett, Asesor político, Oficina de Financiamiento del Terrorismo y Delitos Financieros, Departamento del Tesoro</w:t>
            </w:r>
          </w:p>
          <w:p w14:paraId="77D1D522" w14:textId="77777777" w:rsidR="00AF1A17" w:rsidRPr="005B0F18" w:rsidRDefault="00AF1A17" w:rsidP="00AF1A17">
            <w:pPr>
              <w:shd w:val="clear" w:color="auto" w:fill="FFFFFF"/>
              <w:rPr>
                <w:sz w:val="22"/>
                <w:szCs w:val="22"/>
                <w:lang w:val="es-US"/>
              </w:rPr>
            </w:pPr>
          </w:p>
          <w:p w14:paraId="47EA7D4D" w14:textId="77777777" w:rsidR="00AF1A17" w:rsidRPr="005B0F18" w:rsidRDefault="00AF1A17" w:rsidP="00AF1A17">
            <w:pPr>
              <w:shd w:val="clear" w:color="auto" w:fill="FFFFFF"/>
              <w:rPr>
                <w:sz w:val="22"/>
                <w:szCs w:val="22"/>
                <w:bdr w:val="none" w:sz="0" w:space="0" w:color="auto" w:frame="1"/>
                <w:lang w:val="es-US"/>
              </w:rPr>
            </w:pPr>
            <w:r w:rsidRPr="005B0F18">
              <w:rPr>
                <w:sz w:val="22"/>
                <w:szCs w:val="22"/>
                <w:bdr w:val="none" w:sz="0" w:space="0" w:color="auto" w:frame="1"/>
                <w:lang w:val="es-US"/>
              </w:rPr>
              <w:t xml:space="preserve">Linda </w:t>
            </w:r>
            <w:proofErr w:type="spellStart"/>
            <w:r w:rsidRPr="005B0F18">
              <w:rPr>
                <w:sz w:val="22"/>
                <w:szCs w:val="22"/>
                <w:bdr w:val="none" w:sz="0" w:space="0" w:color="auto" w:frame="1"/>
                <w:lang w:val="es-US"/>
              </w:rPr>
              <w:t>Otani</w:t>
            </w:r>
            <w:proofErr w:type="spellEnd"/>
            <w:r w:rsidRPr="005B0F18">
              <w:rPr>
                <w:sz w:val="22"/>
                <w:szCs w:val="22"/>
                <w:bdr w:val="none" w:sz="0" w:space="0" w:color="auto" w:frame="1"/>
                <w:lang w:val="es-US"/>
              </w:rPr>
              <w:t xml:space="preserve"> </w:t>
            </w:r>
            <w:proofErr w:type="spellStart"/>
            <w:r w:rsidRPr="005B0F18">
              <w:rPr>
                <w:sz w:val="22"/>
                <w:szCs w:val="22"/>
                <w:bdr w:val="none" w:sz="0" w:space="0" w:color="auto" w:frame="1"/>
                <w:lang w:val="es-US"/>
              </w:rPr>
              <w:t>McKinney</w:t>
            </w:r>
            <w:proofErr w:type="spellEnd"/>
            <w:r w:rsidRPr="005B0F18">
              <w:rPr>
                <w:sz w:val="22"/>
                <w:szCs w:val="22"/>
                <w:bdr w:val="none" w:sz="0" w:space="0" w:color="auto" w:frame="1"/>
                <w:lang w:val="es-US"/>
              </w:rPr>
              <w:t>, Directora Adjunta, Oficina de Asuntos Internacionales, Departamento de Justicia</w:t>
            </w:r>
          </w:p>
          <w:p w14:paraId="09D5C7DF" w14:textId="77777777" w:rsidR="00AF1A17" w:rsidRPr="005B0F18" w:rsidRDefault="00AF1A17" w:rsidP="00AF1A17">
            <w:pPr>
              <w:shd w:val="clear" w:color="auto" w:fill="FFFFFF"/>
              <w:rPr>
                <w:sz w:val="22"/>
                <w:szCs w:val="22"/>
                <w:bdr w:val="none" w:sz="0" w:space="0" w:color="auto" w:frame="1"/>
                <w:lang w:val="es-US"/>
              </w:rPr>
            </w:pPr>
            <w:r w:rsidRPr="005B0F18">
              <w:rPr>
                <w:sz w:val="22"/>
                <w:szCs w:val="22"/>
                <w:bdr w:val="none" w:sz="0" w:space="0" w:color="auto" w:frame="1"/>
                <w:lang w:val="es-US"/>
              </w:rPr>
              <w:t> </w:t>
            </w:r>
          </w:p>
          <w:p w14:paraId="103464A0" w14:textId="696161C5" w:rsidR="00E37D61" w:rsidRPr="005B0F18" w:rsidRDefault="00AF1A17" w:rsidP="00AF1A17">
            <w:pPr>
              <w:pStyle w:val="xxmsonormal"/>
              <w:shd w:val="clear" w:color="auto" w:fill="FFFFFF"/>
              <w:spacing w:before="0" w:beforeAutospacing="0" w:after="0" w:afterAutospacing="0"/>
              <w:rPr>
                <w:color w:val="242424"/>
                <w:sz w:val="22"/>
                <w:szCs w:val="22"/>
                <w:lang w:val="es-US"/>
              </w:rPr>
            </w:pPr>
            <w:r w:rsidRPr="005B0F18">
              <w:rPr>
                <w:sz w:val="22"/>
                <w:szCs w:val="22"/>
                <w:bdr w:val="none" w:sz="0" w:space="0" w:color="auto" w:frame="1"/>
                <w:lang w:val="es-US"/>
              </w:rPr>
              <w:t xml:space="preserve">Amy </w:t>
            </w:r>
            <w:proofErr w:type="spellStart"/>
            <w:r w:rsidRPr="005B0F18">
              <w:rPr>
                <w:sz w:val="22"/>
                <w:szCs w:val="22"/>
                <w:bdr w:val="none" w:sz="0" w:space="0" w:color="auto" w:frame="1"/>
                <w:lang w:val="es-US"/>
              </w:rPr>
              <w:t>Granger</w:t>
            </w:r>
            <w:proofErr w:type="spellEnd"/>
            <w:r w:rsidRPr="005B0F18">
              <w:rPr>
                <w:sz w:val="22"/>
                <w:szCs w:val="22"/>
                <w:bdr w:val="none" w:sz="0" w:space="0" w:color="auto" w:frame="1"/>
                <w:lang w:val="es-US"/>
              </w:rPr>
              <w:t>, Abogada/Asesora, Oficina del Asesor Jurídico, Departamento de Estado</w:t>
            </w:r>
          </w:p>
          <w:p w14:paraId="45050CD7" w14:textId="77777777" w:rsidR="00E37D61" w:rsidRPr="005B0F18" w:rsidRDefault="00E37D61" w:rsidP="00FC5A6B">
            <w:pPr>
              <w:spacing w:before="120" w:after="120"/>
              <w:jc w:val="both"/>
              <w:rPr>
                <w:sz w:val="22"/>
                <w:szCs w:val="22"/>
                <w:lang w:val="es-US"/>
              </w:rPr>
            </w:pPr>
          </w:p>
        </w:tc>
      </w:tr>
      <w:tr w:rsidR="00E37D61" w:rsidRPr="004A05E8" w14:paraId="4F90A4A5" w14:textId="77777777" w:rsidTr="00FC5A6B">
        <w:trPr>
          <w:jc w:val="center"/>
        </w:trPr>
        <w:tc>
          <w:tcPr>
            <w:tcW w:w="2227" w:type="dxa"/>
            <w:shd w:val="clear" w:color="auto" w:fill="D9D9D9"/>
          </w:tcPr>
          <w:p w14:paraId="0A198C64" w14:textId="77777777" w:rsidR="00E37D61" w:rsidRPr="005B0F18" w:rsidRDefault="00E37D61" w:rsidP="00FC5A6B">
            <w:pPr>
              <w:spacing w:before="120" w:after="120"/>
              <w:jc w:val="right"/>
              <w:rPr>
                <w:sz w:val="22"/>
                <w:szCs w:val="22"/>
                <w:lang w:val="es-US"/>
              </w:rPr>
            </w:pPr>
            <w:r w:rsidRPr="005B0F18">
              <w:rPr>
                <w:sz w:val="22"/>
                <w:szCs w:val="22"/>
                <w:lang w:val="es-US"/>
              </w:rPr>
              <w:t xml:space="preserve">16:30 </w:t>
            </w:r>
            <w:proofErr w:type="spellStart"/>
            <w:r w:rsidRPr="005B0F18">
              <w:rPr>
                <w:sz w:val="22"/>
                <w:szCs w:val="22"/>
                <w:lang w:val="es-US"/>
              </w:rPr>
              <w:t>hrs</w:t>
            </w:r>
            <w:proofErr w:type="spellEnd"/>
            <w:r w:rsidRPr="005B0F18">
              <w:rPr>
                <w:sz w:val="22"/>
                <w:szCs w:val="22"/>
                <w:lang w:val="es-US"/>
              </w:rPr>
              <w:t xml:space="preserve">. – 17:00 </w:t>
            </w:r>
            <w:proofErr w:type="spellStart"/>
            <w:r w:rsidRPr="005B0F18">
              <w:rPr>
                <w:sz w:val="22"/>
                <w:szCs w:val="22"/>
                <w:lang w:val="es-US"/>
              </w:rPr>
              <w:t>hrs</w:t>
            </w:r>
            <w:proofErr w:type="spellEnd"/>
            <w:r w:rsidRPr="005B0F18">
              <w:rPr>
                <w:sz w:val="22"/>
                <w:szCs w:val="22"/>
                <w:lang w:val="es-US"/>
              </w:rPr>
              <w:t>.</w:t>
            </w:r>
          </w:p>
        </w:tc>
        <w:tc>
          <w:tcPr>
            <w:tcW w:w="7946" w:type="dxa"/>
            <w:shd w:val="clear" w:color="auto" w:fill="D9D9D9"/>
          </w:tcPr>
          <w:p w14:paraId="112B921A" w14:textId="38F43371" w:rsidR="00E37D61" w:rsidRPr="005B0F18" w:rsidRDefault="00A060AD" w:rsidP="00FC5A6B">
            <w:pPr>
              <w:spacing w:before="120" w:after="120"/>
              <w:jc w:val="both"/>
              <w:rPr>
                <w:sz w:val="22"/>
                <w:szCs w:val="22"/>
                <w:lang w:val="es-US"/>
              </w:rPr>
            </w:pPr>
            <w:r w:rsidRPr="005B0F18">
              <w:rPr>
                <w:b/>
                <w:sz w:val="22"/>
                <w:szCs w:val="22"/>
                <w:lang w:val="es-US"/>
              </w:rPr>
              <w:t xml:space="preserve">Reunión informal </w:t>
            </w:r>
            <w:r w:rsidRPr="005B0F18">
              <w:rPr>
                <w:sz w:val="22"/>
                <w:szCs w:val="22"/>
                <w:lang w:val="es-US"/>
              </w:rPr>
              <w:t>entre los representantes de los Estados Miembros del subgrupo y la Secretaría Técnica</w:t>
            </w:r>
          </w:p>
        </w:tc>
      </w:tr>
      <w:tr w:rsidR="00E37D61" w:rsidRPr="005B0F18" w14:paraId="291437A8" w14:textId="77777777" w:rsidTr="00FC5A6B">
        <w:trPr>
          <w:jc w:val="center"/>
        </w:trPr>
        <w:tc>
          <w:tcPr>
            <w:tcW w:w="10173" w:type="dxa"/>
            <w:gridSpan w:val="2"/>
            <w:tcBorders>
              <w:bottom w:val="single" w:sz="4" w:space="0" w:color="auto"/>
            </w:tcBorders>
          </w:tcPr>
          <w:p w14:paraId="7B09266E" w14:textId="3F755E95" w:rsidR="00E37D61" w:rsidRPr="005B0F18" w:rsidRDefault="00E1059B" w:rsidP="00FC5A6B">
            <w:pPr>
              <w:spacing w:before="120" w:after="120"/>
              <w:jc w:val="both"/>
              <w:rPr>
                <w:b/>
                <w:sz w:val="22"/>
                <w:szCs w:val="22"/>
                <w:u w:val="single"/>
                <w:lang w:val="es-US"/>
              </w:rPr>
            </w:pPr>
            <w:r w:rsidRPr="005B0F18">
              <w:rPr>
                <w:b/>
                <w:sz w:val="22"/>
                <w:szCs w:val="22"/>
                <w:u w:val="single"/>
                <w:lang w:val="es-US"/>
              </w:rPr>
              <w:t>Jueves</w:t>
            </w:r>
            <w:r w:rsidR="00E37D61" w:rsidRPr="005B0F18">
              <w:rPr>
                <w:b/>
                <w:sz w:val="22"/>
                <w:szCs w:val="22"/>
                <w:u w:val="single"/>
                <w:lang w:val="es-US"/>
              </w:rPr>
              <w:t xml:space="preserve">, </w:t>
            </w:r>
            <w:r w:rsidRPr="005B0F18">
              <w:rPr>
                <w:b/>
                <w:sz w:val="22"/>
                <w:szCs w:val="22"/>
                <w:u w:val="single"/>
                <w:lang w:val="es-US"/>
              </w:rPr>
              <w:t>19 de octubre de</w:t>
            </w:r>
            <w:r w:rsidR="00E37D61" w:rsidRPr="005B0F18">
              <w:rPr>
                <w:b/>
                <w:sz w:val="22"/>
                <w:szCs w:val="22"/>
                <w:u w:val="single"/>
                <w:lang w:val="es-US"/>
              </w:rPr>
              <w:t xml:space="preserve"> 2023</w:t>
            </w:r>
          </w:p>
        </w:tc>
      </w:tr>
      <w:tr w:rsidR="00E37D61" w:rsidRPr="004A05E8" w14:paraId="38CBF4D9" w14:textId="77777777" w:rsidTr="00FC5A6B">
        <w:trPr>
          <w:jc w:val="center"/>
        </w:trPr>
        <w:tc>
          <w:tcPr>
            <w:tcW w:w="2227" w:type="dxa"/>
            <w:shd w:val="clear" w:color="auto" w:fill="D9D9D9"/>
          </w:tcPr>
          <w:p w14:paraId="07A7FEE0" w14:textId="77777777" w:rsidR="00E37D61" w:rsidRPr="005B0F18" w:rsidRDefault="00E37D61" w:rsidP="00FC5A6B">
            <w:pPr>
              <w:spacing w:before="120" w:after="120"/>
              <w:rPr>
                <w:sz w:val="22"/>
                <w:szCs w:val="22"/>
                <w:lang w:val="es-US"/>
              </w:rPr>
            </w:pPr>
            <w:r w:rsidRPr="005B0F18">
              <w:rPr>
                <w:sz w:val="22"/>
                <w:szCs w:val="22"/>
                <w:lang w:val="es-US"/>
              </w:rPr>
              <w:t xml:space="preserve">9:00 </w:t>
            </w:r>
            <w:proofErr w:type="spellStart"/>
            <w:r w:rsidRPr="005B0F18">
              <w:rPr>
                <w:sz w:val="22"/>
                <w:szCs w:val="22"/>
                <w:lang w:val="es-US"/>
              </w:rPr>
              <w:t>hrs</w:t>
            </w:r>
            <w:proofErr w:type="spellEnd"/>
            <w:r w:rsidRPr="005B0F18">
              <w:rPr>
                <w:sz w:val="22"/>
                <w:szCs w:val="22"/>
                <w:lang w:val="es-US"/>
              </w:rPr>
              <w:t xml:space="preserve">. – 12:00 </w:t>
            </w:r>
            <w:proofErr w:type="spellStart"/>
            <w:r w:rsidRPr="005B0F18">
              <w:rPr>
                <w:sz w:val="22"/>
                <w:szCs w:val="22"/>
                <w:lang w:val="es-US"/>
              </w:rPr>
              <w:t>hrs</w:t>
            </w:r>
            <w:proofErr w:type="spellEnd"/>
            <w:r w:rsidRPr="005B0F18">
              <w:rPr>
                <w:sz w:val="22"/>
                <w:szCs w:val="22"/>
                <w:lang w:val="es-US"/>
              </w:rPr>
              <w:t>.</w:t>
            </w:r>
          </w:p>
          <w:p w14:paraId="5579F946" w14:textId="77777777" w:rsidR="00EA1F29" w:rsidRPr="005B0F18" w:rsidRDefault="00EA1F29" w:rsidP="00EA1F29">
            <w:pPr>
              <w:spacing w:before="120" w:after="120"/>
              <w:rPr>
                <w:b/>
                <w:bCs/>
                <w:iCs/>
                <w:sz w:val="22"/>
                <w:szCs w:val="22"/>
                <w:lang w:val="es-US"/>
              </w:rPr>
            </w:pPr>
            <w:r w:rsidRPr="005B0F18">
              <w:rPr>
                <w:b/>
                <w:bCs/>
                <w:iCs/>
                <w:sz w:val="22"/>
                <w:szCs w:val="22"/>
                <w:lang w:val="es-US"/>
              </w:rPr>
              <w:t xml:space="preserve">Sede de la OEA </w:t>
            </w:r>
          </w:p>
          <w:p w14:paraId="52E99EDB" w14:textId="435CE48C" w:rsidR="00E37D61" w:rsidRPr="005B0F18" w:rsidRDefault="00EA1F29" w:rsidP="00EA1F29">
            <w:pPr>
              <w:spacing w:before="120" w:after="120"/>
              <w:rPr>
                <w:sz w:val="22"/>
                <w:szCs w:val="22"/>
                <w:lang w:val="pt-BR"/>
              </w:rPr>
            </w:pPr>
            <w:r w:rsidRPr="005B0F18">
              <w:rPr>
                <w:b/>
                <w:bCs/>
                <w:iCs/>
                <w:sz w:val="22"/>
                <w:szCs w:val="22"/>
                <w:lang w:val="pt-BR"/>
              </w:rPr>
              <w:t xml:space="preserve">Sala Gabriela Mistral, </w:t>
            </w:r>
            <w:r w:rsidRPr="005B0F18">
              <w:rPr>
                <w:b/>
                <w:bCs/>
                <w:iCs/>
                <w:sz w:val="22"/>
                <w:szCs w:val="22"/>
                <w:lang w:val="pt-BR"/>
              </w:rPr>
              <w:br/>
              <w:t>1889 F Street</w:t>
            </w:r>
          </w:p>
        </w:tc>
        <w:tc>
          <w:tcPr>
            <w:tcW w:w="7946" w:type="dxa"/>
            <w:shd w:val="clear" w:color="auto" w:fill="D9D9D9"/>
            <w:vAlign w:val="center"/>
          </w:tcPr>
          <w:p w14:paraId="67801C56" w14:textId="2DC38CAC" w:rsidR="00E37D61" w:rsidRPr="005B0F18" w:rsidRDefault="00E37D61" w:rsidP="00FC5A6B">
            <w:pPr>
              <w:spacing w:before="120" w:after="120"/>
              <w:rPr>
                <w:b/>
                <w:sz w:val="22"/>
                <w:szCs w:val="22"/>
                <w:lang w:val="es-US"/>
              </w:rPr>
            </w:pPr>
            <w:r w:rsidRPr="005B0F18">
              <w:rPr>
                <w:b/>
                <w:sz w:val="22"/>
                <w:szCs w:val="22"/>
                <w:lang w:val="es-US"/>
              </w:rPr>
              <w:t xml:space="preserve">Panel 2: </w:t>
            </w:r>
            <w:r w:rsidR="00464911" w:rsidRPr="005B0F18">
              <w:rPr>
                <w:b/>
                <w:sz w:val="22"/>
                <w:szCs w:val="22"/>
                <w:lang w:val="es-US"/>
              </w:rPr>
              <w:t>Negación de beneficios tributarios</w:t>
            </w:r>
          </w:p>
        </w:tc>
      </w:tr>
      <w:tr w:rsidR="00E37D61" w:rsidRPr="005B0F18" w14:paraId="5FB4D40E" w14:textId="77777777" w:rsidTr="00FC5A6B">
        <w:trPr>
          <w:cantSplit/>
          <w:jc w:val="center"/>
        </w:trPr>
        <w:tc>
          <w:tcPr>
            <w:tcW w:w="2227" w:type="dxa"/>
            <w:vMerge w:val="restart"/>
          </w:tcPr>
          <w:p w14:paraId="037CE800" w14:textId="77777777" w:rsidR="00E37D61" w:rsidRPr="005B0F18" w:rsidRDefault="00E37D61" w:rsidP="00FC5A6B">
            <w:pPr>
              <w:spacing w:before="120" w:after="120"/>
              <w:rPr>
                <w:sz w:val="22"/>
                <w:szCs w:val="22"/>
                <w:lang w:val="es-US"/>
              </w:rPr>
            </w:pPr>
          </w:p>
        </w:tc>
        <w:tc>
          <w:tcPr>
            <w:tcW w:w="7946" w:type="dxa"/>
          </w:tcPr>
          <w:p w14:paraId="04C7C382" w14:textId="77777777" w:rsidR="004B1AA1" w:rsidRPr="005B0F18" w:rsidRDefault="004B1AA1" w:rsidP="004B1AA1">
            <w:pPr>
              <w:numPr>
                <w:ilvl w:val="0"/>
                <w:numId w:val="14"/>
              </w:numPr>
              <w:tabs>
                <w:tab w:val="clear" w:pos="720"/>
                <w:tab w:val="num" w:pos="473"/>
              </w:tabs>
              <w:spacing w:before="120" w:after="120"/>
              <w:ind w:left="473"/>
              <w:jc w:val="both"/>
              <w:rPr>
                <w:b/>
                <w:sz w:val="22"/>
                <w:szCs w:val="22"/>
                <w:lang w:val="es-US"/>
              </w:rPr>
            </w:pPr>
            <w:r w:rsidRPr="005B0F18">
              <w:rPr>
                <w:b/>
                <w:sz w:val="22"/>
                <w:szCs w:val="22"/>
                <w:lang w:val="es-US"/>
              </w:rPr>
              <w:t>Solicitudes de información</w:t>
            </w:r>
          </w:p>
          <w:p w14:paraId="7EA40061" w14:textId="77777777" w:rsidR="004B1AA1" w:rsidRPr="005B0F18" w:rsidRDefault="004B1AA1" w:rsidP="004B1AA1">
            <w:pPr>
              <w:numPr>
                <w:ilvl w:val="0"/>
                <w:numId w:val="14"/>
              </w:numPr>
              <w:tabs>
                <w:tab w:val="clear" w:pos="720"/>
                <w:tab w:val="num" w:pos="473"/>
              </w:tabs>
              <w:spacing w:before="120" w:after="120"/>
              <w:ind w:left="473"/>
              <w:jc w:val="both"/>
              <w:rPr>
                <w:b/>
                <w:sz w:val="22"/>
                <w:szCs w:val="22"/>
                <w:lang w:val="es-US"/>
              </w:rPr>
            </w:pPr>
            <w:r w:rsidRPr="005B0F18">
              <w:rPr>
                <w:b/>
                <w:sz w:val="22"/>
                <w:szCs w:val="22"/>
                <w:lang w:val="es-US"/>
              </w:rPr>
              <w:t>Programas informáticos</w:t>
            </w:r>
          </w:p>
          <w:p w14:paraId="74AF853E" w14:textId="77777777" w:rsidR="004B1AA1" w:rsidRPr="005B0F18" w:rsidRDefault="004B1AA1" w:rsidP="004B1AA1">
            <w:pPr>
              <w:numPr>
                <w:ilvl w:val="0"/>
                <w:numId w:val="14"/>
              </w:numPr>
              <w:tabs>
                <w:tab w:val="clear" w:pos="720"/>
                <w:tab w:val="num" w:pos="473"/>
              </w:tabs>
              <w:spacing w:before="120" w:after="120"/>
              <w:ind w:left="473"/>
              <w:jc w:val="both"/>
              <w:rPr>
                <w:b/>
                <w:sz w:val="22"/>
                <w:szCs w:val="22"/>
                <w:lang w:val="es-US"/>
              </w:rPr>
            </w:pPr>
            <w:r w:rsidRPr="005B0F18">
              <w:rPr>
                <w:b/>
                <w:sz w:val="22"/>
                <w:szCs w:val="22"/>
                <w:lang w:val="es-US"/>
              </w:rPr>
              <w:t>Coordinación institucional</w:t>
            </w:r>
          </w:p>
          <w:p w14:paraId="0C978D0B" w14:textId="77777777" w:rsidR="004B1AA1" w:rsidRPr="005B0F18" w:rsidRDefault="004B1AA1" w:rsidP="004B1AA1">
            <w:pPr>
              <w:numPr>
                <w:ilvl w:val="0"/>
                <w:numId w:val="14"/>
              </w:numPr>
              <w:tabs>
                <w:tab w:val="clear" w:pos="720"/>
                <w:tab w:val="num" w:pos="473"/>
              </w:tabs>
              <w:spacing w:before="120" w:after="120"/>
              <w:ind w:left="473"/>
              <w:jc w:val="both"/>
              <w:rPr>
                <w:b/>
                <w:sz w:val="22"/>
                <w:szCs w:val="22"/>
                <w:lang w:val="es-US"/>
              </w:rPr>
            </w:pPr>
            <w:r w:rsidRPr="005B0F18">
              <w:rPr>
                <w:b/>
                <w:sz w:val="22"/>
                <w:szCs w:val="22"/>
                <w:lang w:val="es-US"/>
              </w:rPr>
              <w:t>Programas de capacitación</w:t>
            </w:r>
          </w:p>
          <w:p w14:paraId="34C0B38C" w14:textId="2D0A99AB" w:rsidR="00E37D61" w:rsidRPr="005B0F18" w:rsidRDefault="004B1AA1" w:rsidP="004B1AA1">
            <w:pPr>
              <w:numPr>
                <w:ilvl w:val="0"/>
                <w:numId w:val="14"/>
              </w:numPr>
              <w:tabs>
                <w:tab w:val="clear" w:pos="720"/>
                <w:tab w:val="num" w:pos="473"/>
              </w:tabs>
              <w:spacing w:before="120" w:after="120"/>
              <w:ind w:left="473"/>
              <w:jc w:val="both"/>
              <w:rPr>
                <w:b/>
                <w:sz w:val="22"/>
                <w:szCs w:val="22"/>
                <w:lang w:val="es-US"/>
              </w:rPr>
            </w:pPr>
            <w:r w:rsidRPr="005B0F18">
              <w:rPr>
                <w:b/>
                <w:sz w:val="22"/>
                <w:szCs w:val="22"/>
                <w:lang w:val="es-US"/>
              </w:rPr>
              <w:t>Procedimientos e indicadores</w:t>
            </w:r>
          </w:p>
        </w:tc>
      </w:tr>
      <w:tr w:rsidR="00E37D61" w:rsidRPr="004A05E8" w14:paraId="370E2543" w14:textId="77777777" w:rsidTr="00FC5A6B">
        <w:trPr>
          <w:cantSplit/>
          <w:jc w:val="center"/>
        </w:trPr>
        <w:tc>
          <w:tcPr>
            <w:tcW w:w="2227" w:type="dxa"/>
            <w:vMerge/>
            <w:tcBorders>
              <w:bottom w:val="single" w:sz="4" w:space="0" w:color="auto"/>
            </w:tcBorders>
          </w:tcPr>
          <w:p w14:paraId="373800E4" w14:textId="77777777" w:rsidR="00E37D61" w:rsidRPr="005B0F18" w:rsidRDefault="00E37D61" w:rsidP="00FC5A6B">
            <w:pPr>
              <w:spacing w:before="120" w:after="120"/>
              <w:rPr>
                <w:sz w:val="22"/>
                <w:szCs w:val="22"/>
                <w:lang w:val="es-US"/>
              </w:rPr>
            </w:pPr>
          </w:p>
        </w:tc>
        <w:tc>
          <w:tcPr>
            <w:tcW w:w="7946" w:type="dxa"/>
            <w:tcBorders>
              <w:bottom w:val="single" w:sz="4" w:space="0" w:color="auto"/>
            </w:tcBorders>
          </w:tcPr>
          <w:p w14:paraId="47F1A9C5" w14:textId="77777777" w:rsidR="00D94782" w:rsidRPr="005B0F18" w:rsidRDefault="00D94782" w:rsidP="00D94782">
            <w:pPr>
              <w:spacing w:before="120" w:after="120"/>
              <w:rPr>
                <w:bCs/>
                <w:iCs/>
                <w:sz w:val="22"/>
                <w:szCs w:val="22"/>
                <w:u w:val="single"/>
                <w:lang w:val="es-US"/>
              </w:rPr>
            </w:pPr>
            <w:r w:rsidRPr="005B0F18">
              <w:rPr>
                <w:bCs/>
                <w:iCs/>
                <w:sz w:val="22"/>
                <w:szCs w:val="22"/>
                <w:u w:val="single"/>
                <w:lang w:val="es-US"/>
              </w:rPr>
              <w:t xml:space="preserve">Participantes: </w:t>
            </w:r>
          </w:p>
          <w:p w14:paraId="287A696A" w14:textId="1D0ACB60" w:rsidR="00E37D61" w:rsidRPr="005B0F18" w:rsidRDefault="00D94782" w:rsidP="00D94782">
            <w:pPr>
              <w:pStyle w:val="xxmsonormal"/>
              <w:shd w:val="clear" w:color="auto" w:fill="FFFFFF"/>
              <w:spacing w:before="0" w:beforeAutospacing="0" w:after="0" w:afterAutospacing="0"/>
              <w:rPr>
                <w:color w:val="242424"/>
                <w:sz w:val="22"/>
                <w:szCs w:val="22"/>
                <w:bdr w:val="none" w:sz="0" w:space="0" w:color="auto" w:frame="1"/>
                <w:lang w:val="es-US"/>
              </w:rPr>
            </w:pPr>
            <w:proofErr w:type="spellStart"/>
            <w:r w:rsidRPr="005B0F18">
              <w:rPr>
                <w:sz w:val="22"/>
                <w:szCs w:val="22"/>
                <w:bdr w:val="none" w:sz="0" w:space="0" w:color="auto" w:frame="1"/>
                <w:lang w:val="es-US"/>
              </w:rPr>
              <w:t>Wazirah</w:t>
            </w:r>
            <w:proofErr w:type="spellEnd"/>
            <w:r w:rsidRPr="005B0F18">
              <w:rPr>
                <w:sz w:val="22"/>
                <w:szCs w:val="22"/>
                <w:bdr w:val="none" w:sz="0" w:space="0" w:color="auto" w:frame="1"/>
                <w:lang w:val="es-US"/>
              </w:rPr>
              <w:t xml:space="preserve"> Allen, Enlace internacional, División de Investigación Penal del Servicio de Administración Tributaria</w:t>
            </w:r>
          </w:p>
          <w:p w14:paraId="7B2AE132" w14:textId="77777777" w:rsidR="00E37D61" w:rsidRPr="005B0F18" w:rsidRDefault="00E37D61" w:rsidP="00FC5A6B">
            <w:pPr>
              <w:pStyle w:val="xxmsonormal"/>
              <w:shd w:val="clear" w:color="auto" w:fill="FFFFFF"/>
              <w:spacing w:before="0" w:beforeAutospacing="0" w:after="0" w:afterAutospacing="0"/>
              <w:rPr>
                <w:sz w:val="22"/>
                <w:szCs w:val="22"/>
                <w:lang w:val="es-US"/>
              </w:rPr>
            </w:pPr>
          </w:p>
        </w:tc>
      </w:tr>
      <w:tr w:rsidR="00E37D61" w:rsidRPr="005B0F18" w14:paraId="115F68A0" w14:textId="77777777" w:rsidTr="00FC5A6B">
        <w:trPr>
          <w:jc w:val="center"/>
        </w:trPr>
        <w:tc>
          <w:tcPr>
            <w:tcW w:w="2227" w:type="dxa"/>
            <w:tcBorders>
              <w:bottom w:val="single" w:sz="4" w:space="0" w:color="auto"/>
            </w:tcBorders>
          </w:tcPr>
          <w:p w14:paraId="34B85CF9" w14:textId="77777777" w:rsidR="00E37D61" w:rsidRPr="005B0F18" w:rsidRDefault="00E37D61" w:rsidP="00FC5A6B">
            <w:pPr>
              <w:spacing w:before="120" w:after="120"/>
              <w:rPr>
                <w:sz w:val="22"/>
                <w:szCs w:val="22"/>
                <w:lang w:val="es-US"/>
              </w:rPr>
            </w:pPr>
            <w:r w:rsidRPr="005B0F18">
              <w:rPr>
                <w:sz w:val="22"/>
                <w:szCs w:val="22"/>
                <w:lang w:val="es-US"/>
              </w:rPr>
              <w:t xml:space="preserve">12:00 </w:t>
            </w:r>
            <w:proofErr w:type="spellStart"/>
            <w:r w:rsidRPr="005B0F18">
              <w:rPr>
                <w:sz w:val="22"/>
                <w:szCs w:val="22"/>
                <w:lang w:val="es-US"/>
              </w:rPr>
              <w:t>hrs</w:t>
            </w:r>
            <w:proofErr w:type="spellEnd"/>
            <w:r w:rsidRPr="005B0F18">
              <w:rPr>
                <w:sz w:val="22"/>
                <w:szCs w:val="22"/>
                <w:lang w:val="es-US"/>
              </w:rPr>
              <w:t xml:space="preserve">. – 14:00 </w:t>
            </w:r>
            <w:proofErr w:type="spellStart"/>
            <w:r w:rsidRPr="005B0F18">
              <w:rPr>
                <w:sz w:val="22"/>
                <w:szCs w:val="22"/>
                <w:lang w:val="es-US"/>
              </w:rPr>
              <w:t>hrs</w:t>
            </w:r>
            <w:proofErr w:type="spellEnd"/>
            <w:r w:rsidRPr="005B0F18">
              <w:rPr>
                <w:sz w:val="22"/>
                <w:szCs w:val="22"/>
                <w:lang w:val="es-US"/>
              </w:rPr>
              <w:t xml:space="preserve">. </w:t>
            </w:r>
          </w:p>
        </w:tc>
        <w:tc>
          <w:tcPr>
            <w:tcW w:w="7946" w:type="dxa"/>
            <w:tcBorders>
              <w:bottom w:val="single" w:sz="4" w:space="0" w:color="auto"/>
            </w:tcBorders>
          </w:tcPr>
          <w:p w14:paraId="1FD389EF" w14:textId="639257FE" w:rsidR="00E37D61" w:rsidRPr="005B0F18" w:rsidRDefault="00E1059B" w:rsidP="00FC5A6B">
            <w:pPr>
              <w:spacing w:before="120" w:after="120"/>
              <w:rPr>
                <w:sz w:val="22"/>
                <w:szCs w:val="22"/>
                <w:lang w:val="es-US"/>
              </w:rPr>
            </w:pPr>
            <w:r w:rsidRPr="005B0F18">
              <w:rPr>
                <w:b/>
                <w:sz w:val="22"/>
                <w:szCs w:val="22"/>
                <w:lang w:val="es-US"/>
              </w:rPr>
              <w:t>Almuerzo</w:t>
            </w:r>
          </w:p>
        </w:tc>
      </w:tr>
      <w:tr w:rsidR="00E37D61" w:rsidRPr="005B0F18" w14:paraId="005CC9CE" w14:textId="77777777" w:rsidTr="00FC5A6B">
        <w:trPr>
          <w:jc w:val="center"/>
        </w:trPr>
        <w:tc>
          <w:tcPr>
            <w:tcW w:w="2227" w:type="dxa"/>
            <w:shd w:val="clear" w:color="auto" w:fill="D9D9D9"/>
          </w:tcPr>
          <w:p w14:paraId="143D6A97" w14:textId="77777777" w:rsidR="00E37D61" w:rsidRPr="005B0F18" w:rsidRDefault="00E37D61" w:rsidP="00FC5A6B">
            <w:pPr>
              <w:spacing w:before="120" w:after="120"/>
              <w:rPr>
                <w:sz w:val="22"/>
                <w:szCs w:val="22"/>
                <w:lang w:val="es-US"/>
              </w:rPr>
            </w:pPr>
            <w:r w:rsidRPr="005B0F18">
              <w:rPr>
                <w:sz w:val="22"/>
                <w:szCs w:val="22"/>
                <w:lang w:val="es-US"/>
              </w:rPr>
              <w:t xml:space="preserve">14:00 </w:t>
            </w:r>
            <w:proofErr w:type="spellStart"/>
            <w:r w:rsidRPr="005B0F18">
              <w:rPr>
                <w:sz w:val="22"/>
                <w:szCs w:val="22"/>
                <w:lang w:val="es-US"/>
              </w:rPr>
              <w:t>hrs</w:t>
            </w:r>
            <w:proofErr w:type="spellEnd"/>
            <w:r w:rsidRPr="005B0F18">
              <w:rPr>
                <w:sz w:val="22"/>
                <w:szCs w:val="22"/>
                <w:lang w:val="es-US"/>
              </w:rPr>
              <w:t xml:space="preserve">. – 17:00 </w:t>
            </w:r>
            <w:proofErr w:type="spellStart"/>
            <w:r w:rsidRPr="005B0F18">
              <w:rPr>
                <w:sz w:val="22"/>
                <w:szCs w:val="22"/>
                <w:lang w:val="es-US"/>
              </w:rPr>
              <w:t>hrs</w:t>
            </w:r>
            <w:proofErr w:type="spellEnd"/>
            <w:r w:rsidRPr="005B0F18">
              <w:rPr>
                <w:sz w:val="22"/>
                <w:szCs w:val="22"/>
                <w:lang w:val="es-US"/>
              </w:rPr>
              <w:t>.</w:t>
            </w:r>
          </w:p>
          <w:p w14:paraId="5D9A6AA5" w14:textId="77777777" w:rsidR="00EA1F29" w:rsidRPr="005B0F18" w:rsidRDefault="00EA1F29" w:rsidP="00EA1F29">
            <w:pPr>
              <w:spacing w:before="120" w:after="120"/>
              <w:rPr>
                <w:b/>
                <w:bCs/>
                <w:iCs/>
                <w:sz w:val="22"/>
                <w:szCs w:val="22"/>
                <w:lang w:val="es-US"/>
              </w:rPr>
            </w:pPr>
            <w:r w:rsidRPr="005B0F18">
              <w:rPr>
                <w:b/>
                <w:bCs/>
                <w:iCs/>
                <w:sz w:val="22"/>
                <w:szCs w:val="22"/>
                <w:lang w:val="es-US"/>
              </w:rPr>
              <w:t xml:space="preserve">Sede de la OEA </w:t>
            </w:r>
          </w:p>
          <w:p w14:paraId="132ED9A2" w14:textId="07FA1CFA" w:rsidR="00E37D61" w:rsidRPr="005B0F18" w:rsidRDefault="00EA1F29" w:rsidP="00EA1F29">
            <w:pPr>
              <w:spacing w:before="120" w:after="120"/>
              <w:rPr>
                <w:sz w:val="22"/>
                <w:szCs w:val="22"/>
                <w:lang w:val="pt-BR"/>
              </w:rPr>
            </w:pPr>
            <w:r w:rsidRPr="005B0F18">
              <w:rPr>
                <w:b/>
                <w:bCs/>
                <w:iCs/>
                <w:sz w:val="22"/>
                <w:szCs w:val="22"/>
                <w:lang w:val="pt-BR"/>
              </w:rPr>
              <w:t xml:space="preserve">Sala Gabriela Mistral, </w:t>
            </w:r>
            <w:r w:rsidRPr="005B0F18">
              <w:rPr>
                <w:b/>
                <w:bCs/>
                <w:iCs/>
                <w:sz w:val="22"/>
                <w:szCs w:val="22"/>
                <w:lang w:val="pt-BR"/>
              </w:rPr>
              <w:br/>
              <w:t>1889 F Street</w:t>
            </w:r>
          </w:p>
        </w:tc>
        <w:tc>
          <w:tcPr>
            <w:tcW w:w="7946" w:type="dxa"/>
            <w:shd w:val="clear" w:color="auto" w:fill="D9D9D9"/>
            <w:vAlign w:val="center"/>
          </w:tcPr>
          <w:p w14:paraId="075FC6DD" w14:textId="63FFE35C" w:rsidR="00E37D61" w:rsidRPr="005B0F18" w:rsidRDefault="00E37D61" w:rsidP="00FC5A6B">
            <w:pPr>
              <w:spacing w:before="120" w:after="120"/>
              <w:rPr>
                <w:sz w:val="22"/>
                <w:szCs w:val="22"/>
                <w:lang w:val="es-US"/>
              </w:rPr>
            </w:pPr>
            <w:r w:rsidRPr="005B0F18">
              <w:rPr>
                <w:b/>
                <w:sz w:val="22"/>
                <w:szCs w:val="22"/>
                <w:lang w:val="es-US"/>
              </w:rPr>
              <w:t xml:space="preserve">Panel 3: </w:t>
            </w:r>
            <w:r w:rsidR="00DA34D4" w:rsidRPr="005B0F18">
              <w:rPr>
                <w:b/>
                <w:sz w:val="22"/>
                <w:szCs w:val="22"/>
                <w:lang w:val="es-US"/>
              </w:rPr>
              <w:t>Enriquecimiento</w:t>
            </w:r>
            <w:r w:rsidR="009E25E0" w:rsidRPr="005B0F18">
              <w:rPr>
                <w:b/>
                <w:sz w:val="22"/>
                <w:szCs w:val="22"/>
                <w:lang w:val="es-US"/>
              </w:rPr>
              <w:t xml:space="preserve"> </w:t>
            </w:r>
            <w:r w:rsidR="00F47FC5" w:rsidRPr="005B0F18">
              <w:rPr>
                <w:b/>
                <w:sz w:val="22"/>
                <w:szCs w:val="22"/>
                <w:lang w:val="es-US"/>
              </w:rPr>
              <w:t>Ilícito</w:t>
            </w:r>
            <w:r w:rsidRPr="005B0F18">
              <w:rPr>
                <w:b/>
                <w:sz w:val="22"/>
                <w:szCs w:val="22"/>
                <w:lang w:val="es-US"/>
              </w:rPr>
              <w:t>/</w:t>
            </w:r>
            <w:r w:rsidR="00F47FC5" w:rsidRPr="005B0F18">
              <w:rPr>
                <w:b/>
                <w:sz w:val="22"/>
                <w:szCs w:val="22"/>
                <w:lang w:val="es-US"/>
              </w:rPr>
              <w:t>Extradición</w:t>
            </w:r>
          </w:p>
        </w:tc>
      </w:tr>
      <w:tr w:rsidR="00E37D61" w:rsidRPr="005B0F18" w14:paraId="596C8189" w14:textId="77777777" w:rsidTr="00FC5A6B">
        <w:trPr>
          <w:cantSplit/>
          <w:jc w:val="center"/>
        </w:trPr>
        <w:tc>
          <w:tcPr>
            <w:tcW w:w="2227" w:type="dxa"/>
            <w:vMerge w:val="restart"/>
          </w:tcPr>
          <w:p w14:paraId="02B69C30" w14:textId="77777777" w:rsidR="00E37D61" w:rsidRPr="005B0F18" w:rsidRDefault="00E37D61" w:rsidP="00FC5A6B">
            <w:pPr>
              <w:spacing w:before="120" w:after="120"/>
              <w:rPr>
                <w:sz w:val="22"/>
                <w:szCs w:val="22"/>
                <w:lang w:val="es-US"/>
              </w:rPr>
            </w:pPr>
          </w:p>
        </w:tc>
        <w:tc>
          <w:tcPr>
            <w:tcW w:w="7946" w:type="dxa"/>
          </w:tcPr>
          <w:p w14:paraId="32928155" w14:textId="106E2031" w:rsidR="00E37D61" w:rsidRPr="005B0F18" w:rsidRDefault="00F47FC5" w:rsidP="004F0439">
            <w:pPr>
              <w:numPr>
                <w:ilvl w:val="0"/>
                <w:numId w:val="14"/>
              </w:numPr>
              <w:tabs>
                <w:tab w:val="clear" w:pos="720"/>
                <w:tab w:val="num" w:pos="473"/>
              </w:tabs>
              <w:spacing w:before="120" w:after="120"/>
              <w:ind w:left="473"/>
              <w:jc w:val="both"/>
              <w:rPr>
                <w:b/>
                <w:bCs/>
                <w:sz w:val="22"/>
                <w:szCs w:val="22"/>
                <w:lang w:val="es-US"/>
              </w:rPr>
            </w:pPr>
            <w:r w:rsidRPr="005B0F18">
              <w:rPr>
                <w:b/>
                <w:bCs/>
                <w:sz w:val="22"/>
                <w:szCs w:val="22"/>
                <w:lang w:val="es-US"/>
              </w:rPr>
              <w:t>Enriquecimiento Ilícito</w:t>
            </w:r>
          </w:p>
          <w:p w14:paraId="39785BF4" w14:textId="344472FA" w:rsidR="00E37D61" w:rsidRPr="005B0F18" w:rsidRDefault="00F47FC5" w:rsidP="004F0439">
            <w:pPr>
              <w:numPr>
                <w:ilvl w:val="0"/>
                <w:numId w:val="14"/>
              </w:numPr>
              <w:tabs>
                <w:tab w:val="clear" w:pos="720"/>
                <w:tab w:val="num" w:pos="473"/>
              </w:tabs>
              <w:spacing w:before="120" w:after="120"/>
              <w:ind w:left="473"/>
              <w:jc w:val="both"/>
              <w:rPr>
                <w:b/>
                <w:sz w:val="22"/>
                <w:szCs w:val="22"/>
                <w:lang w:val="es-US"/>
              </w:rPr>
            </w:pPr>
            <w:r w:rsidRPr="005B0F18">
              <w:rPr>
                <w:b/>
                <w:bCs/>
                <w:sz w:val="22"/>
                <w:szCs w:val="22"/>
                <w:lang w:val="es-US"/>
              </w:rPr>
              <w:t>Extradición</w:t>
            </w:r>
          </w:p>
        </w:tc>
      </w:tr>
      <w:tr w:rsidR="00E37D61" w:rsidRPr="005B0F18" w14:paraId="1C7296CF" w14:textId="77777777" w:rsidTr="00FC5A6B">
        <w:trPr>
          <w:cantSplit/>
          <w:jc w:val="center"/>
        </w:trPr>
        <w:tc>
          <w:tcPr>
            <w:tcW w:w="2227" w:type="dxa"/>
            <w:vMerge/>
            <w:tcBorders>
              <w:bottom w:val="single" w:sz="4" w:space="0" w:color="auto"/>
            </w:tcBorders>
          </w:tcPr>
          <w:p w14:paraId="32B2377E" w14:textId="77777777" w:rsidR="00E37D61" w:rsidRPr="005B0F18" w:rsidRDefault="00E37D61" w:rsidP="00FC5A6B">
            <w:pPr>
              <w:spacing w:before="120" w:after="120"/>
              <w:rPr>
                <w:sz w:val="22"/>
                <w:szCs w:val="22"/>
                <w:lang w:val="es-US"/>
              </w:rPr>
            </w:pPr>
          </w:p>
        </w:tc>
        <w:tc>
          <w:tcPr>
            <w:tcW w:w="7946" w:type="dxa"/>
            <w:tcBorders>
              <w:bottom w:val="single" w:sz="4" w:space="0" w:color="auto"/>
            </w:tcBorders>
          </w:tcPr>
          <w:p w14:paraId="12513972" w14:textId="77777777" w:rsidR="00B06854" w:rsidRPr="005B0F18" w:rsidRDefault="00B06854" w:rsidP="00B06854">
            <w:pPr>
              <w:spacing w:before="120" w:after="120"/>
              <w:rPr>
                <w:bCs/>
                <w:iCs/>
                <w:sz w:val="22"/>
                <w:szCs w:val="22"/>
                <w:u w:val="single"/>
                <w:lang w:val="es-US"/>
              </w:rPr>
            </w:pPr>
            <w:r w:rsidRPr="005B0F18">
              <w:rPr>
                <w:bCs/>
                <w:iCs/>
                <w:sz w:val="22"/>
                <w:szCs w:val="22"/>
                <w:u w:val="single"/>
                <w:lang w:val="es-US"/>
              </w:rPr>
              <w:t xml:space="preserve">Participantes: </w:t>
            </w:r>
          </w:p>
          <w:p w14:paraId="51159006" w14:textId="77777777" w:rsidR="00B06854" w:rsidRPr="005B0F18" w:rsidRDefault="00B06854" w:rsidP="00B06854">
            <w:pPr>
              <w:pStyle w:val="xxmsonormal"/>
              <w:shd w:val="clear" w:color="auto" w:fill="FFFFFF"/>
              <w:spacing w:before="0" w:beforeAutospacing="0" w:after="0" w:afterAutospacing="0"/>
              <w:rPr>
                <w:sz w:val="22"/>
                <w:szCs w:val="22"/>
                <w:bdr w:val="none" w:sz="0" w:space="0" w:color="auto" w:frame="1"/>
                <w:lang w:val="es-US"/>
              </w:rPr>
            </w:pPr>
            <w:r w:rsidRPr="005B0F18">
              <w:rPr>
                <w:sz w:val="22"/>
                <w:szCs w:val="22"/>
                <w:bdr w:val="none" w:sz="0" w:space="0" w:color="auto" w:frame="1"/>
                <w:lang w:val="es-US"/>
              </w:rPr>
              <w:t xml:space="preserve">Linda </w:t>
            </w:r>
            <w:proofErr w:type="spellStart"/>
            <w:r w:rsidRPr="005B0F18">
              <w:rPr>
                <w:sz w:val="22"/>
                <w:szCs w:val="22"/>
                <w:bdr w:val="none" w:sz="0" w:space="0" w:color="auto" w:frame="1"/>
                <w:lang w:val="es-US"/>
              </w:rPr>
              <w:t>Otani</w:t>
            </w:r>
            <w:proofErr w:type="spellEnd"/>
            <w:r w:rsidRPr="005B0F18">
              <w:rPr>
                <w:sz w:val="22"/>
                <w:szCs w:val="22"/>
                <w:bdr w:val="none" w:sz="0" w:space="0" w:color="auto" w:frame="1"/>
                <w:lang w:val="es-US"/>
              </w:rPr>
              <w:t xml:space="preserve"> </w:t>
            </w:r>
            <w:proofErr w:type="spellStart"/>
            <w:r w:rsidRPr="005B0F18">
              <w:rPr>
                <w:sz w:val="22"/>
                <w:szCs w:val="22"/>
                <w:bdr w:val="none" w:sz="0" w:space="0" w:color="auto" w:frame="1"/>
                <w:lang w:val="es-US"/>
              </w:rPr>
              <w:t>McKinney</w:t>
            </w:r>
            <w:proofErr w:type="spellEnd"/>
            <w:r w:rsidRPr="005B0F18">
              <w:rPr>
                <w:sz w:val="22"/>
                <w:szCs w:val="22"/>
                <w:bdr w:val="none" w:sz="0" w:space="0" w:color="auto" w:frame="1"/>
                <w:lang w:val="es-US"/>
              </w:rPr>
              <w:t>, Directora Adjunta, Oficina de Asuntos Internacionales, Departamento de Justicia </w:t>
            </w:r>
          </w:p>
          <w:p w14:paraId="43430634" w14:textId="77777777" w:rsidR="00B06854" w:rsidRPr="005B0F18" w:rsidRDefault="00B06854" w:rsidP="00B06854">
            <w:pPr>
              <w:pStyle w:val="xxmsonormal"/>
              <w:shd w:val="clear" w:color="auto" w:fill="FFFFFF"/>
              <w:spacing w:before="0" w:beforeAutospacing="0" w:after="0" w:afterAutospacing="0"/>
              <w:rPr>
                <w:sz w:val="22"/>
                <w:szCs w:val="22"/>
                <w:lang w:val="es-US"/>
              </w:rPr>
            </w:pPr>
          </w:p>
          <w:p w14:paraId="06DA4402" w14:textId="7D51D26D" w:rsidR="00E37D61" w:rsidRPr="005B0F18" w:rsidRDefault="00B06854" w:rsidP="00B06854">
            <w:pPr>
              <w:pStyle w:val="xxmsonormal"/>
              <w:shd w:val="clear" w:color="auto" w:fill="FFFFFF"/>
              <w:spacing w:before="0" w:beforeAutospacing="0" w:after="0" w:afterAutospacing="0"/>
              <w:rPr>
                <w:color w:val="242424"/>
                <w:sz w:val="22"/>
                <w:szCs w:val="22"/>
                <w:lang w:val="es-US"/>
              </w:rPr>
            </w:pPr>
            <w:r w:rsidRPr="005B0F18">
              <w:rPr>
                <w:sz w:val="22"/>
                <w:szCs w:val="22"/>
                <w:bdr w:val="none" w:sz="0" w:space="0" w:color="auto" w:frame="1"/>
                <w:lang w:val="es-US"/>
              </w:rPr>
              <w:t xml:space="preserve">Amy </w:t>
            </w:r>
            <w:proofErr w:type="spellStart"/>
            <w:r w:rsidRPr="005B0F18">
              <w:rPr>
                <w:sz w:val="22"/>
                <w:szCs w:val="22"/>
                <w:bdr w:val="none" w:sz="0" w:space="0" w:color="auto" w:frame="1"/>
                <w:lang w:val="es-US"/>
              </w:rPr>
              <w:t>Granger</w:t>
            </w:r>
            <w:proofErr w:type="spellEnd"/>
            <w:r w:rsidRPr="005B0F18">
              <w:rPr>
                <w:sz w:val="22"/>
                <w:szCs w:val="22"/>
                <w:bdr w:val="none" w:sz="0" w:space="0" w:color="auto" w:frame="1"/>
                <w:lang w:val="es-US"/>
              </w:rPr>
              <w:t>, Abogada/Asesora, Oficina del Asesor Jurídico, Departamento de Estado</w:t>
            </w:r>
          </w:p>
          <w:p w14:paraId="7E6FA750" w14:textId="77777777" w:rsidR="00E37D61" w:rsidRPr="005B0F18" w:rsidRDefault="00E37D61" w:rsidP="00FC5A6B">
            <w:pPr>
              <w:rPr>
                <w:sz w:val="22"/>
                <w:szCs w:val="22"/>
                <w:lang w:val="es-US"/>
              </w:rPr>
            </w:pPr>
          </w:p>
        </w:tc>
      </w:tr>
      <w:tr w:rsidR="00E37D61" w:rsidRPr="004A05E8" w14:paraId="5776A5AF" w14:textId="77777777" w:rsidTr="00FC5A6B">
        <w:trPr>
          <w:jc w:val="center"/>
        </w:trPr>
        <w:tc>
          <w:tcPr>
            <w:tcW w:w="2227" w:type="dxa"/>
            <w:shd w:val="clear" w:color="auto" w:fill="D9D9D9"/>
          </w:tcPr>
          <w:p w14:paraId="73104881" w14:textId="77777777" w:rsidR="00E37D61" w:rsidRPr="005B0F18" w:rsidRDefault="00E37D61" w:rsidP="00FC5A6B">
            <w:pPr>
              <w:spacing w:before="120" w:after="120"/>
              <w:rPr>
                <w:sz w:val="22"/>
                <w:szCs w:val="22"/>
                <w:lang w:val="es-US"/>
              </w:rPr>
            </w:pPr>
            <w:r w:rsidRPr="005B0F18">
              <w:rPr>
                <w:sz w:val="22"/>
                <w:szCs w:val="22"/>
                <w:lang w:val="es-US"/>
              </w:rPr>
              <w:t xml:space="preserve">17:00 </w:t>
            </w:r>
            <w:proofErr w:type="spellStart"/>
            <w:r w:rsidRPr="005B0F18">
              <w:rPr>
                <w:sz w:val="22"/>
                <w:szCs w:val="22"/>
                <w:lang w:val="es-US"/>
              </w:rPr>
              <w:t>hrs</w:t>
            </w:r>
            <w:proofErr w:type="spellEnd"/>
            <w:r w:rsidRPr="005B0F18">
              <w:rPr>
                <w:sz w:val="22"/>
                <w:szCs w:val="22"/>
                <w:lang w:val="es-US"/>
              </w:rPr>
              <w:t xml:space="preserve">. – 17:30 </w:t>
            </w:r>
            <w:proofErr w:type="spellStart"/>
            <w:r w:rsidRPr="005B0F18">
              <w:rPr>
                <w:sz w:val="22"/>
                <w:szCs w:val="22"/>
                <w:lang w:val="es-US"/>
              </w:rPr>
              <w:t>hrs</w:t>
            </w:r>
            <w:proofErr w:type="spellEnd"/>
            <w:r w:rsidRPr="005B0F18">
              <w:rPr>
                <w:sz w:val="22"/>
                <w:szCs w:val="22"/>
                <w:lang w:val="es-US"/>
              </w:rPr>
              <w:t>.</w:t>
            </w:r>
          </w:p>
        </w:tc>
        <w:tc>
          <w:tcPr>
            <w:tcW w:w="7946" w:type="dxa"/>
            <w:shd w:val="clear" w:color="auto" w:fill="D9D9D9"/>
          </w:tcPr>
          <w:p w14:paraId="52BA7DBD" w14:textId="5BBFA58F" w:rsidR="00E37D61" w:rsidRPr="005B0F18" w:rsidRDefault="003E7590" w:rsidP="00FC5A6B">
            <w:pPr>
              <w:spacing w:before="120" w:after="120"/>
              <w:jc w:val="both"/>
              <w:rPr>
                <w:iCs/>
                <w:sz w:val="22"/>
                <w:szCs w:val="22"/>
                <w:lang w:val="es-US"/>
              </w:rPr>
            </w:pPr>
            <w:r w:rsidRPr="005B0F18">
              <w:rPr>
                <w:b/>
                <w:sz w:val="22"/>
                <w:szCs w:val="22"/>
                <w:lang w:val="es-US"/>
              </w:rPr>
              <w:t xml:space="preserve">Reunión informal </w:t>
            </w:r>
            <w:r w:rsidRPr="005B0F18">
              <w:rPr>
                <w:sz w:val="22"/>
                <w:szCs w:val="22"/>
                <w:lang w:val="es-US"/>
              </w:rPr>
              <w:t>entre los representantes de los Estados Miembros del subgrupo y la Secretaría Técnica</w:t>
            </w:r>
          </w:p>
        </w:tc>
      </w:tr>
      <w:tr w:rsidR="00E37D61" w:rsidRPr="005B0F18" w14:paraId="2438C6C2" w14:textId="77777777" w:rsidTr="00FC5A6B">
        <w:trPr>
          <w:jc w:val="center"/>
        </w:trPr>
        <w:tc>
          <w:tcPr>
            <w:tcW w:w="10173" w:type="dxa"/>
            <w:gridSpan w:val="2"/>
            <w:tcBorders>
              <w:bottom w:val="single" w:sz="4" w:space="0" w:color="auto"/>
            </w:tcBorders>
          </w:tcPr>
          <w:p w14:paraId="7DBF053C" w14:textId="0384A824" w:rsidR="00E37D61" w:rsidRPr="005B0F18" w:rsidRDefault="002959D4" w:rsidP="00FC5A6B">
            <w:pPr>
              <w:spacing w:before="120" w:after="120"/>
              <w:jc w:val="both"/>
              <w:rPr>
                <w:b/>
                <w:sz w:val="22"/>
                <w:szCs w:val="22"/>
                <w:u w:val="single"/>
                <w:lang w:val="es-US"/>
              </w:rPr>
            </w:pPr>
            <w:r w:rsidRPr="005B0F18">
              <w:rPr>
                <w:b/>
                <w:sz w:val="22"/>
                <w:szCs w:val="22"/>
                <w:u w:val="single"/>
                <w:lang w:val="es-US"/>
              </w:rPr>
              <w:t>Viernes</w:t>
            </w:r>
            <w:r w:rsidR="00E37D61" w:rsidRPr="005B0F18">
              <w:rPr>
                <w:b/>
                <w:sz w:val="22"/>
                <w:szCs w:val="22"/>
                <w:u w:val="single"/>
                <w:lang w:val="es-US"/>
              </w:rPr>
              <w:t xml:space="preserve">, </w:t>
            </w:r>
            <w:r w:rsidRPr="005B0F18">
              <w:rPr>
                <w:b/>
                <w:sz w:val="22"/>
                <w:szCs w:val="22"/>
                <w:u w:val="single"/>
                <w:lang w:val="es-US"/>
              </w:rPr>
              <w:t>20 de octubre de</w:t>
            </w:r>
            <w:r w:rsidR="00E37D61" w:rsidRPr="005B0F18">
              <w:rPr>
                <w:b/>
                <w:sz w:val="22"/>
                <w:szCs w:val="22"/>
                <w:u w:val="single"/>
                <w:lang w:val="es-US"/>
              </w:rPr>
              <w:t xml:space="preserve"> 2023</w:t>
            </w:r>
          </w:p>
        </w:tc>
      </w:tr>
      <w:tr w:rsidR="00E37D61" w:rsidRPr="004A05E8" w14:paraId="182E1350" w14:textId="77777777" w:rsidTr="00FC5A6B">
        <w:trPr>
          <w:jc w:val="center"/>
        </w:trPr>
        <w:tc>
          <w:tcPr>
            <w:tcW w:w="2227" w:type="dxa"/>
            <w:shd w:val="clear" w:color="auto" w:fill="D9D9D9"/>
          </w:tcPr>
          <w:p w14:paraId="312DD2F9" w14:textId="77777777" w:rsidR="00E37D61" w:rsidRPr="005B0F18" w:rsidRDefault="00E37D61" w:rsidP="00FC5A6B">
            <w:pPr>
              <w:spacing w:before="120" w:after="120"/>
              <w:rPr>
                <w:sz w:val="22"/>
                <w:szCs w:val="22"/>
                <w:lang w:val="es-US"/>
              </w:rPr>
            </w:pPr>
            <w:r w:rsidRPr="005B0F18">
              <w:rPr>
                <w:sz w:val="22"/>
                <w:szCs w:val="22"/>
                <w:lang w:val="es-US"/>
              </w:rPr>
              <w:t xml:space="preserve">09:00 </w:t>
            </w:r>
            <w:proofErr w:type="spellStart"/>
            <w:r w:rsidRPr="005B0F18">
              <w:rPr>
                <w:sz w:val="22"/>
                <w:szCs w:val="22"/>
                <w:lang w:val="es-US"/>
              </w:rPr>
              <w:t>hrs</w:t>
            </w:r>
            <w:proofErr w:type="spellEnd"/>
            <w:r w:rsidRPr="005B0F18">
              <w:rPr>
                <w:sz w:val="22"/>
                <w:szCs w:val="22"/>
                <w:lang w:val="es-US"/>
              </w:rPr>
              <w:t xml:space="preserve">. – 12:00 </w:t>
            </w:r>
            <w:proofErr w:type="spellStart"/>
            <w:r w:rsidRPr="005B0F18">
              <w:rPr>
                <w:sz w:val="22"/>
                <w:szCs w:val="22"/>
                <w:lang w:val="es-US"/>
              </w:rPr>
              <w:t>hrs</w:t>
            </w:r>
            <w:proofErr w:type="spellEnd"/>
            <w:r w:rsidRPr="005B0F18">
              <w:rPr>
                <w:sz w:val="22"/>
                <w:szCs w:val="22"/>
                <w:lang w:val="es-US"/>
              </w:rPr>
              <w:t>.</w:t>
            </w:r>
          </w:p>
          <w:p w14:paraId="58628F63" w14:textId="77777777" w:rsidR="00EA1F29" w:rsidRPr="005B0F18" w:rsidRDefault="00EA1F29" w:rsidP="00EA1F29">
            <w:pPr>
              <w:spacing w:before="120" w:after="120"/>
              <w:rPr>
                <w:b/>
                <w:bCs/>
                <w:iCs/>
                <w:sz w:val="22"/>
                <w:szCs w:val="22"/>
                <w:lang w:val="es-US"/>
              </w:rPr>
            </w:pPr>
            <w:r w:rsidRPr="005B0F18">
              <w:rPr>
                <w:b/>
                <w:bCs/>
                <w:iCs/>
                <w:sz w:val="22"/>
                <w:szCs w:val="22"/>
                <w:lang w:val="es-US"/>
              </w:rPr>
              <w:t xml:space="preserve">Sede de la OEA </w:t>
            </w:r>
          </w:p>
          <w:p w14:paraId="460373C6" w14:textId="5823B2EA" w:rsidR="00E37D61" w:rsidRPr="005B0F18" w:rsidRDefault="00EA1F29" w:rsidP="00EA1F29">
            <w:pPr>
              <w:spacing w:before="120" w:after="120"/>
              <w:rPr>
                <w:sz w:val="22"/>
                <w:szCs w:val="22"/>
                <w:lang w:val="pt-BR"/>
              </w:rPr>
            </w:pPr>
            <w:r w:rsidRPr="005B0F18">
              <w:rPr>
                <w:b/>
                <w:bCs/>
                <w:iCs/>
                <w:sz w:val="22"/>
                <w:szCs w:val="22"/>
                <w:lang w:val="pt-BR"/>
              </w:rPr>
              <w:t xml:space="preserve">Sala Gabriela Mistral, </w:t>
            </w:r>
            <w:r w:rsidRPr="005B0F18">
              <w:rPr>
                <w:b/>
                <w:bCs/>
                <w:iCs/>
                <w:sz w:val="22"/>
                <w:szCs w:val="22"/>
                <w:lang w:val="pt-BR"/>
              </w:rPr>
              <w:br/>
              <w:t>1889 F Street</w:t>
            </w:r>
          </w:p>
        </w:tc>
        <w:tc>
          <w:tcPr>
            <w:tcW w:w="7946" w:type="dxa"/>
            <w:shd w:val="clear" w:color="auto" w:fill="D9D9D9"/>
            <w:vAlign w:val="center"/>
          </w:tcPr>
          <w:p w14:paraId="0D7D3A31" w14:textId="5A2192E4" w:rsidR="00E37D61" w:rsidRPr="005B0F18" w:rsidRDefault="00E37D61" w:rsidP="00FC5A6B">
            <w:pPr>
              <w:spacing w:before="120" w:after="120"/>
              <w:rPr>
                <w:sz w:val="22"/>
                <w:szCs w:val="22"/>
                <w:lang w:val="es-US"/>
              </w:rPr>
            </w:pPr>
            <w:r w:rsidRPr="005B0F18">
              <w:rPr>
                <w:b/>
                <w:sz w:val="22"/>
                <w:szCs w:val="22"/>
                <w:lang w:val="es-US"/>
              </w:rPr>
              <w:t xml:space="preserve">Panel 4: </w:t>
            </w:r>
            <w:r w:rsidR="009E25E0" w:rsidRPr="005B0F18">
              <w:rPr>
                <w:b/>
                <w:sz w:val="22"/>
                <w:szCs w:val="22"/>
                <w:lang w:val="es-US"/>
              </w:rPr>
              <w:t>Prevención del soborno</w:t>
            </w:r>
            <w:r w:rsidRPr="005B0F18">
              <w:rPr>
                <w:b/>
                <w:sz w:val="22"/>
                <w:szCs w:val="22"/>
                <w:lang w:val="es-US"/>
              </w:rPr>
              <w:t>/</w:t>
            </w:r>
            <w:r w:rsidR="00F32756" w:rsidRPr="005B0F18">
              <w:rPr>
                <w:b/>
                <w:sz w:val="22"/>
                <w:szCs w:val="22"/>
                <w:lang w:val="es-US"/>
              </w:rPr>
              <w:t>Soborno transnacional</w:t>
            </w:r>
          </w:p>
        </w:tc>
      </w:tr>
      <w:tr w:rsidR="00E37D61" w:rsidRPr="005B0F18" w14:paraId="3DC57EB1" w14:textId="77777777" w:rsidTr="00FC5A6B">
        <w:trPr>
          <w:cantSplit/>
          <w:jc w:val="center"/>
        </w:trPr>
        <w:tc>
          <w:tcPr>
            <w:tcW w:w="2227" w:type="dxa"/>
            <w:vMerge w:val="restart"/>
          </w:tcPr>
          <w:p w14:paraId="3AA7AFAA" w14:textId="1367AD17" w:rsidR="00E37D61" w:rsidRPr="005B0F18" w:rsidRDefault="00E37D61" w:rsidP="00FC5A6B">
            <w:pPr>
              <w:spacing w:before="120" w:after="120"/>
              <w:rPr>
                <w:sz w:val="22"/>
                <w:szCs w:val="22"/>
                <w:lang w:val="es-US"/>
              </w:rPr>
            </w:pPr>
          </w:p>
        </w:tc>
        <w:tc>
          <w:tcPr>
            <w:tcW w:w="7946" w:type="dxa"/>
          </w:tcPr>
          <w:p w14:paraId="7BAF51F5" w14:textId="77777777" w:rsidR="00422568" w:rsidRPr="005B0F18" w:rsidRDefault="00422568" w:rsidP="00422568">
            <w:pPr>
              <w:keepNext/>
              <w:keepLines/>
              <w:spacing w:before="120" w:after="120"/>
              <w:ind w:left="473"/>
              <w:jc w:val="both"/>
              <w:rPr>
                <w:b/>
                <w:bCs/>
                <w:sz w:val="22"/>
                <w:szCs w:val="22"/>
                <w:u w:val="single"/>
                <w:lang w:val="es-US"/>
              </w:rPr>
            </w:pPr>
            <w:r w:rsidRPr="005B0F18">
              <w:rPr>
                <w:b/>
                <w:sz w:val="22"/>
                <w:szCs w:val="22"/>
                <w:u w:val="single"/>
                <w:lang w:val="es-US"/>
              </w:rPr>
              <w:t>Prevención del soborno</w:t>
            </w:r>
          </w:p>
          <w:p w14:paraId="0FE81513" w14:textId="77777777" w:rsidR="00422568" w:rsidRPr="005B0F18" w:rsidRDefault="00422568" w:rsidP="00422568">
            <w:pPr>
              <w:keepNext/>
              <w:keepLines/>
              <w:numPr>
                <w:ilvl w:val="0"/>
                <w:numId w:val="14"/>
              </w:numPr>
              <w:tabs>
                <w:tab w:val="clear" w:pos="720"/>
                <w:tab w:val="num" w:pos="473"/>
              </w:tabs>
              <w:spacing w:before="120" w:after="120"/>
              <w:ind w:left="473"/>
              <w:jc w:val="both"/>
              <w:rPr>
                <w:b/>
                <w:sz w:val="22"/>
                <w:szCs w:val="22"/>
                <w:bdr w:val="none" w:sz="0" w:space="0" w:color="auto" w:frame="1"/>
                <w:lang w:val="es-US"/>
              </w:rPr>
            </w:pPr>
            <w:r w:rsidRPr="005B0F18">
              <w:rPr>
                <w:b/>
                <w:sz w:val="22"/>
                <w:szCs w:val="22"/>
                <w:bdr w:val="none" w:sz="0" w:space="0" w:color="auto" w:frame="1"/>
                <w:lang w:val="es-US"/>
              </w:rPr>
              <w:t xml:space="preserve">Campañas de concientización </w:t>
            </w:r>
          </w:p>
          <w:p w14:paraId="557D3120" w14:textId="77777777" w:rsidR="00422568" w:rsidRPr="005B0F18" w:rsidRDefault="00422568" w:rsidP="00422568">
            <w:pPr>
              <w:keepNext/>
              <w:keepLines/>
              <w:numPr>
                <w:ilvl w:val="0"/>
                <w:numId w:val="14"/>
              </w:numPr>
              <w:tabs>
                <w:tab w:val="clear" w:pos="720"/>
                <w:tab w:val="num" w:pos="473"/>
              </w:tabs>
              <w:spacing w:before="120" w:after="120"/>
              <w:ind w:left="473"/>
              <w:jc w:val="both"/>
              <w:rPr>
                <w:b/>
                <w:bCs/>
                <w:sz w:val="22"/>
                <w:szCs w:val="22"/>
                <w:lang w:val="es-US"/>
              </w:rPr>
            </w:pPr>
            <w:r w:rsidRPr="005B0F18">
              <w:rPr>
                <w:b/>
                <w:bCs/>
                <w:sz w:val="22"/>
                <w:szCs w:val="22"/>
                <w:lang w:val="es-US"/>
              </w:rPr>
              <w:t>Sector privado</w:t>
            </w:r>
          </w:p>
          <w:p w14:paraId="3ED26D72" w14:textId="77777777" w:rsidR="00422568" w:rsidRPr="005B0F18" w:rsidRDefault="00422568" w:rsidP="00422568">
            <w:pPr>
              <w:keepNext/>
              <w:keepLines/>
              <w:numPr>
                <w:ilvl w:val="0"/>
                <w:numId w:val="14"/>
              </w:numPr>
              <w:tabs>
                <w:tab w:val="clear" w:pos="720"/>
                <w:tab w:val="num" w:pos="473"/>
              </w:tabs>
              <w:spacing w:before="120" w:after="120"/>
              <w:ind w:left="473"/>
              <w:jc w:val="both"/>
              <w:rPr>
                <w:b/>
                <w:bCs/>
                <w:sz w:val="22"/>
                <w:szCs w:val="22"/>
                <w:lang w:val="es-US"/>
              </w:rPr>
            </w:pPr>
            <w:r w:rsidRPr="005B0F18">
              <w:rPr>
                <w:b/>
                <w:bCs/>
                <w:sz w:val="22"/>
                <w:szCs w:val="22"/>
                <w:lang w:val="es-US"/>
              </w:rPr>
              <w:t xml:space="preserve">Métodos de revisión de registros contables </w:t>
            </w:r>
          </w:p>
          <w:p w14:paraId="29BD7992" w14:textId="77777777" w:rsidR="00422568" w:rsidRPr="005B0F18" w:rsidRDefault="00422568" w:rsidP="00422568">
            <w:pPr>
              <w:keepNext/>
              <w:keepLines/>
              <w:numPr>
                <w:ilvl w:val="0"/>
                <w:numId w:val="14"/>
              </w:numPr>
              <w:tabs>
                <w:tab w:val="clear" w:pos="720"/>
                <w:tab w:val="num" w:pos="473"/>
              </w:tabs>
              <w:spacing w:before="120" w:after="120"/>
              <w:ind w:left="473"/>
              <w:jc w:val="both"/>
              <w:rPr>
                <w:b/>
                <w:sz w:val="22"/>
                <w:szCs w:val="22"/>
                <w:bdr w:val="none" w:sz="0" w:space="0" w:color="auto" w:frame="1"/>
                <w:lang w:val="es-US"/>
              </w:rPr>
            </w:pPr>
            <w:r w:rsidRPr="005B0F18">
              <w:rPr>
                <w:b/>
                <w:sz w:val="22"/>
                <w:szCs w:val="22"/>
                <w:bdr w:val="none" w:sz="0" w:space="0" w:color="auto" w:frame="1"/>
                <w:lang w:val="es-US"/>
              </w:rPr>
              <w:t xml:space="preserve">Manuales, guías o lineamientos </w:t>
            </w:r>
          </w:p>
          <w:p w14:paraId="64ED90A2" w14:textId="77777777" w:rsidR="00422568" w:rsidRPr="005B0F18" w:rsidRDefault="00422568" w:rsidP="00422568">
            <w:pPr>
              <w:keepNext/>
              <w:keepLines/>
              <w:numPr>
                <w:ilvl w:val="0"/>
                <w:numId w:val="14"/>
              </w:numPr>
              <w:tabs>
                <w:tab w:val="clear" w:pos="720"/>
                <w:tab w:val="num" w:pos="473"/>
              </w:tabs>
              <w:spacing w:before="120" w:after="120"/>
              <w:ind w:left="473"/>
              <w:jc w:val="both"/>
              <w:rPr>
                <w:b/>
                <w:bCs/>
                <w:sz w:val="22"/>
                <w:szCs w:val="22"/>
                <w:lang w:val="es-US"/>
              </w:rPr>
            </w:pPr>
            <w:r w:rsidRPr="005B0F18">
              <w:rPr>
                <w:b/>
                <w:bCs/>
                <w:sz w:val="22"/>
                <w:szCs w:val="22"/>
                <w:lang w:val="es-US"/>
              </w:rPr>
              <w:t>Resultados</w:t>
            </w:r>
          </w:p>
          <w:p w14:paraId="08D27258" w14:textId="77777777" w:rsidR="00422568" w:rsidRPr="005B0F18" w:rsidRDefault="00422568" w:rsidP="00422568">
            <w:pPr>
              <w:keepNext/>
              <w:keepLines/>
              <w:spacing w:before="120" w:after="120"/>
              <w:ind w:left="473"/>
              <w:jc w:val="both"/>
              <w:rPr>
                <w:b/>
                <w:bCs/>
                <w:sz w:val="22"/>
                <w:szCs w:val="22"/>
                <w:u w:val="single"/>
                <w:lang w:val="es-US"/>
              </w:rPr>
            </w:pPr>
            <w:r w:rsidRPr="005B0F18">
              <w:rPr>
                <w:b/>
                <w:bCs/>
                <w:sz w:val="22"/>
                <w:szCs w:val="22"/>
                <w:u w:val="single"/>
                <w:lang w:val="es-US"/>
              </w:rPr>
              <w:t>Soborno transnacional</w:t>
            </w:r>
          </w:p>
          <w:p w14:paraId="0C794522" w14:textId="77777777" w:rsidR="00422568" w:rsidRPr="005B0F18" w:rsidRDefault="00422568" w:rsidP="00422568">
            <w:pPr>
              <w:keepNext/>
              <w:keepLines/>
              <w:numPr>
                <w:ilvl w:val="0"/>
                <w:numId w:val="14"/>
              </w:numPr>
              <w:tabs>
                <w:tab w:val="clear" w:pos="720"/>
                <w:tab w:val="num" w:pos="473"/>
              </w:tabs>
              <w:spacing w:before="120" w:after="120"/>
              <w:ind w:left="473"/>
              <w:jc w:val="both"/>
              <w:rPr>
                <w:b/>
                <w:sz w:val="22"/>
                <w:szCs w:val="22"/>
                <w:bdr w:val="none" w:sz="0" w:space="0" w:color="auto" w:frame="1"/>
                <w:lang w:val="es-US"/>
              </w:rPr>
            </w:pPr>
            <w:r w:rsidRPr="005B0F18">
              <w:rPr>
                <w:b/>
                <w:sz w:val="22"/>
                <w:szCs w:val="22"/>
                <w:bdr w:val="none" w:sz="0" w:space="0" w:color="auto" w:frame="1"/>
                <w:lang w:val="es-US"/>
              </w:rPr>
              <w:t>Pagos de facilitación</w:t>
            </w:r>
          </w:p>
          <w:p w14:paraId="5CBF9BB6" w14:textId="235DCE71" w:rsidR="00E37D61" w:rsidRPr="005B0F18" w:rsidRDefault="00422568" w:rsidP="00422568">
            <w:pPr>
              <w:numPr>
                <w:ilvl w:val="0"/>
                <w:numId w:val="14"/>
              </w:numPr>
              <w:tabs>
                <w:tab w:val="clear" w:pos="720"/>
                <w:tab w:val="num" w:pos="473"/>
              </w:tabs>
              <w:spacing w:before="120" w:after="120"/>
              <w:ind w:left="473"/>
              <w:jc w:val="both"/>
              <w:rPr>
                <w:b/>
                <w:bCs/>
                <w:sz w:val="22"/>
                <w:szCs w:val="22"/>
                <w:lang w:val="es-US"/>
              </w:rPr>
            </w:pPr>
            <w:r w:rsidRPr="005B0F18">
              <w:rPr>
                <w:b/>
                <w:bCs/>
                <w:sz w:val="22"/>
                <w:szCs w:val="22"/>
                <w:lang w:val="es-US"/>
              </w:rPr>
              <w:t>Resultados</w:t>
            </w:r>
          </w:p>
        </w:tc>
      </w:tr>
      <w:tr w:rsidR="00E37D61" w:rsidRPr="005B0F18" w14:paraId="7147FD32" w14:textId="77777777" w:rsidTr="00FC5A6B">
        <w:trPr>
          <w:cantSplit/>
          <w:jc w:val="center"/>
        </w:trPr>
        <w:tc>
          <w:tcPr>
            <w:tcW w:w="2227" w:type="dxa"/>
            <w:vMerge/>
            <w:tcBorders>
              <w:bottom w:val="single" w:sz="4" w:space="0" w:color="auto"/>
            </w:tcBorders>
          </w:tcPr>
          <w:p w14:paraId="5C9A2384" w14:textId="77777777" w:rsidR="00E37D61" w:rsidRPr="005B0F18" w:rsidRDefault="00E37D61" w:rsidP="00FC5A6B">
            <w:pPr>
              <w:spacing w:before="120" w:after="120"/>
              <w:rPr>
                <w:sz w:val="22"/>
                <w:szCs w:val="22"/>
                <w:lang w:val="es-US"/>
              </w:rPr>
            </w:pPr>
          </w:p>
        </w:tc>
        <w:tc>
          <w:tcPr>
            <w:tcW w:w="7946" w:type="dxa"/>
            <w:tcBorders>
              <w:bottom w:val="single" w:sz="4" w:space="0" w:color="auto"/>
            </w:tcBorders>
          </w:tcPr>
          <w:p w14:paraId="1B5D601F" w14:textId="77777777" w:rsidR="00FE08CB" w:rsidRPr="005B0F18" w:rsidRDefault="00FE08CB" w:rsidP="00FE08CB">
            <w:pPr>
              <w:spacing w:before="120" w:after="120"/>
              <w:jc w:val="both"/>
              <w:rPr>
                <w:bCs/>
                <w:iCs/>
                <w:sz w:val="22"/>
                <w:szCs w:val="22"/>
                <w:u w:val="single"/>
                <w:lang w:val="es-US"/>
              </w:rPr>
            </w:pPr>
            <w:r w:rsidRPr="005B0F18">
              <w:rPr>
                <w:bCs/>
                <w:iCs/>
                <w:sz w:val="22"/>
                <w:szCs w:val="22"/>
                <w:u w:val="single"/>
                <w:lang w:val="es-US"/>
              </w:rPr>
              <w:t>Participantes:</w:t>
            </w:r>
          </w:p>
          <w:p w14:paraId="683D53B6" w14:textId="77777777" w:rsidR="00FE08CB" w:rsidRPr="005B0F18" w:rsidRDefault="00FE08CB" w:rsidP="00FE08CB">
            <w:pPr>
              <w:pStyle w:val="xxmsonormal"/>
              <w:shd w:val="clear" w:color="auto" w:fill="FFFFFF"/>
              <w:spacing w:before="0" w:beforeAutospacing="0" w:after="0" w:afterAutospacing="0"/>
              <w:rPr>
                <w:sz w:val="22"/>
                <w:szCs w:val="22"/>
                <w:lang w:val="es-US"/>
              </w:rPr>
            </w:pPr>
            <w:r w:rsidRPr="005B0F18">
              <w:rPr>
                <w:sz w:val="22"/>
                <w:szCs w:val="22"/>
                <w:lang w:val="es-US"/>
              </w:rPr>
              <w:t xml:space="preserve">Jackie O’Reilly, </w:t>
            </w:r>
            <w:r w:rsidRPr="005B0F18">
              <w:rPr>
                <w:sz w:val="22"/>
                <w:szCs w:val="22"/>
                <w:bdr w:val="none" w:sz="0" w:space="0" w:color="auto" w:frame="1"/>
                <w:lang w:val="es-US"/>
              </w:rPr>
              <w:t xml:space="preserve">Asesor Especial Senior, Oficina de Asuntos Internacionales, Comisión de Valores y Bolsa </w:t>
            </w:r>
          </w:p>
          <w:p w14:paraId="13C14DC7" w14:textId="77777777" w:rsidR="00FE08CB" w:rsidRPr="005B0F18" w:rsidRDefault="00FE08CB" w:rsidP="00FE08CB">
            <w:pPr>
              <w:pStyle w:val="xxmsonormal"/>
              <w:shd w:val="clear" w:color="auto" w:fill="FFFFFF"/>
              <w:spacing w:before="0" w:beforeAutospacing="0" w:after="0" w:afterAutospacing="0"/>
              <w:rPr>
                <w:sz w:val="22"/>
                <w:szCs w:val="22"/>
                <w:bdr w:val="none" w:sz="0" w:space="0" w:color="auto" w:frame="1"/>
                <w:lang w:val="es-US"/>
              </w:rPr>
            </w:pPr>
          </w:p>
          <w:p w14:paraId="79D18AE7" w14:textId="77777777" w:rsidR="00FE08CB" w:rsidRPr="005B0F18" w:rsidRDefault="00FE08CB" w:rsidP="00FE08CB">
            <w:pPr>
              <w:pStyle w:val="xxmsonormal"/>
              <w:shd w:val="clear" w:color="auto" w:fill="FFFFFF"/>
              <w:spacing w:before="0" w:beforeAutospacing="0" w:after="0" w:afterAutospacing="0"/>
              <w:rPr>
                <w:sz w:val="22"/>
                <w:szCs w:val="22"/>
                <w:lang w:val="es-US"/>
              </w:rPr>
            </w:pPr>
            <w:r w:rsidRPr="005B0F18">
              <w:rPr>
                <w:sz w:val="22"/>
                <w:szCs w:val="22"/>
                <w:lang w:val="es-US"/>
              </w:rPr>
              <w:t xml:space="preserve">Patrick Foley, </w:t>
            </w:r>
            <w:r w:rsidRPr="005B0F18">
              <w:rPr>
                <w:sz w:val="22"/>
                <w:szCs w:val="22"/>
                <w:bdr w:val="none" w:sz="0" w:space="0" w:color="auto" w:frame="1"/>
                <w:lang w:val="es-US"/>
              </w:rPr>
              <w:t>Asesor Especial Senior, Oficina del Jefe de Contabilidad, Comisión de Valores y Bolsa</w:t>
            </w:r>
          </w:p>
          <w:p w14:paraId="76CAC849" w14:textId="77777777" w:rsidR="00FE08CB" w:rsidRPr="005B0F18" w:rsidRDefault="00FE08CB" w:rsidP="00FE08CB">
            <w:pPr>
              <w:pStyle w:val="xxmsonormal"/>
              <w:shd w:val="clear" w:color="auto" w:fill="FFFFFF"/>
              <w:spacing w:before="0" w:beforeAutospacing="0" w:after="0" w:afterAutospacing="0"/>
              <w:rPr>
                <w:sz w:val="22"/>
                <w:szCs w:val="22"/>
                <w:lang w:val="es-US"/>
              </w:rPr>
            </w:pPr>
            <w:r w:rsidRPr="005B0F18">
              <w:rPr>
                <w:sz w:val="22"/>
                <w:szCs w:val="22"/>
                <w:lang w:val="es-US"/>
              </w:rPr>
              <w:br/>
              <w:t xml:space="preserve">Charles </w:t>
            </w:r>
            <w:proofErr w:type="spellStart"/>
            <w:r w:rsidRPr="005B0F18">
              <w:rPr>
                <w:sz w:val="22"/>
                <w:szCs w:val="22"/>
                <w:lang w:val="es-US"/>
              </w:rPr>
              <w:t>Cain</w:t>
            </w:r>
            <w:proofErr w:type="spellEnd"/>
            <w:r w:rsidRPr="005B0F18">
              <w:rPr>
                <w:sz w:val="22"/>
                <w:szCs w:val="22"/>
                <w:lang w:val="es-US"/>
              </w:rPr>
              <w:t>,</w:t>
            </w:r>
            <w:r w:rsidRPr="005B0F18">
              <w:rPr>
                <w:sz w:val="22"/>
                <w:szCs w:val="22"/>
                <w:bdr w:val="none" w:sz="0" w:space="0" w:color="auto" w:frame="1"/>
                <w:lang w:val="es-US"/>
              </w:rPr>
              <w:t xml:space="preserve"> Jefe de la Unidad de la </w:t>
            </w:r>
            <w:r w:rsidRPr="005B0F18">
              <w:rPr>
                <w:sz w:val="22"/>
                <w:szCs w:val="22"/>
                <w:lang w:val="es-US"/>
              </w:rPr>
              <w:t>FCPA</w:t>
            </w:r>
            <w:r w:rsidRPr="005B0F18">
              <w:rPr>
                <w:sz w:val="22"/>
                <w:szCs w:val="22"/>
                <w:bdr w:val="none" w:sz="0" w:space="0" w:color="auto" w:frame="1"/>
                <w:lang w:val="es-US"/>
              </w:rPr>
              <w:t>, Comisión de Valores y Bolsa</w:t>
            </w:r>
            <w:r w:rsidRPr="005B0F18">
              <w:rPr>
                <w:sz w:val="22"/>
                <w:szCs w:val="22"/>
                <w:lang w:val="es-US"/>
              </w:rPr>
              <w:br/>
            </w:r>
          </w:p>
          <w:p w14:paraId="5C7288D6" w14:textId="77777777" w:rsidR="00FE08CB" w:rsidRPr="005B0F18" w:rsidRDefault="00FE08CB" w:rsidP="00FE08CB">
            <w:pPr>
              <w:pStyle w:val="xxmsonormal"/>
              <w:shd w:val="clear" w:color="auto" w:fill="FFFFFF"/>
              <w:spacing w:before="0" w:beforeAutospacing="0" w:after="0" w:afterAutospacing="0"/>
              <w:rPr>
                <w:sz w:val="22"/>
                <w:szCs w:val="22"/>
                <w:lang w:val="es-US"/>
              </w:rPr>
            </w:pPr>
            <w:proofErr w:type="spellStart"/>
            <w:r w:rsidRPr="005B0F18">
              <w:rPr>
                <w:sz w:val="22"/>
                <w:szCs w:val="22"/>
                <w:lang w:val="es-US"/>
              </w:rPr>
              <w:t>Estee</w:t>
            </w:r>
            <w:proofErr w:type="spellEnd"/>
            <w:r w:rsidRPr="005B0F18">
              <w:rPr>
                <w:sz w:val="22"/>
                <w:szCs w:val="22"/>
                <w:lang w:val="es-US"/>
              </w:rPr>
              <w:t xml:space="preserve"> Levine, </w:t>
            </w:r>
            <w:r w:rsidRPr="005B0F18">
              <w:rPr>
                <w:sz w:val="22"/>
                <w:szCs w:val="22"/>
                <w:bdr w:val="none" w:sz="0" w:space="0" w:color="auto" w:frame="1"/>
                <w:lang w:val="es-US"/>
              </w:rPr>
              <w:t>Directora Adjunta, Oficial de Asuntos Internacionales, Comisión de Valores y Bolsa</w:t>
            </w:r>
            <w:r w:rsidRPr="005B0F18">
              <w:rPr>
                <w:sz w:val="22"/>
                <w:szCs w:val="22"/>
                <w:lang w:val="es-US"/>
              </w:rPr>
              <w:br/>
            </w:r>
          </w:p>
          <w:p w14:paraId="30F85E5F" w14:textId="77777777" w:rsidR="00FE08CB" w:rsidRPr="005B0F18" w:rsidRDefault="00FE08CB" w:rsidP="00FE08CB">
            <w:pPr>
              <w:pStyle w:val="xxmsonormal"/>
              <w:shd w:val="clear" w:color="auto" w:fill="FFFFFF"/>
              <w:spacing w:before="0" w:beforeAutospacing="0" w:after="0" w:afterAutospacing="0"/>
              <w:rPr>
                <w:sz w:val="22"/>
                <w:szCs w:val="22"/>
                <w:lang w:val="es-US"/>
              </w:rPr>
            </w:pPr>
            <w:r w:rsidRPr="005B0F18">
              <w:rPr>
                <w:sz w:val="22"/>
                <w:szCs w:val="22"/>
                <w:lang w:val="es-US"/>
              </w:rPr>
              <w:t xml:space="preserve">David </w:t>
            </w:r>
            <w:proofErr w:type="spellStart"/>
            <w:r w:rsidRPr="005B0F18">
              <w:rPr>
                <w:sz w:val="22"/>
                <w:szCs w:val="22"/>
                <w:lang w:val="es-US"/>
              </w:rPr>
              <w:t>Fuhr</w:t>
            </w:r>
            <w:proofErr w:type="spellEnd"/>
            <w:r w:rsidRPr="005B0F18">
              <w:rPr>
                <w:sz w:val="22"/>
                <w:szCs w:val="22"/>
                <w:lang w:val="es-US"/>
              </w:rPr>
              <w:t>,</w:t>
            </w:r>
            <w:r w:rsidRPr="005B0F18">
              <w:rPr>
                <w:sz w:val="22"/>
                <w:szCs w:val="22"/>
                <w:bdr w:val="none" w:sz="0" w:space="0" w:color="auto" w:frame="1"/>
                <w:lang w:val="es-US"/>
              </w:rPr>
              <w:t xml:space="preserve"> Jefe en funciones, Unidad de la FCPA, Departamento de Justicia</w:t>
            </w:r>
            <w:r w:rsidRPr="005B0F18">
              <w:rPr>
                <w:sz w:val="22"/>
                <w:szCs w:val="22"/>
                <w:lang w:val="es-US"/>
              </w:rPr>
              <w:t> </w:t>
            </w:r>
          </w:p>
          <w:p w14:paraId="43493A2E" w14:textId="77777777" w:rsidR="00FE08CB" w:rsidRPr="005B0F18" w:rsidRDefault="00FE08CB" w:rsidP="00FE08CB">
            <w:pPr>
              <w:pStyle w:val="xxmsonormal"/>
              <w:shd w:val="clear" w:color="auto" w:fill="FFFFFF"/>
              <w:spacing w:before="0" w:beforeAutospacing="0" w:after="0" w:afterAutospacing="0"/>
              <w:rPr>
                <w:sz w:val="22"/>
                <w:szCs w:val="22"/>
                <w:bdr w:val="none" w:sz="0" w:space="0" w:color="auto" w:frame="1"/>
                <w:lang w:val="es-US"/>
              </w:rPr>
            </w:pPr>
          </w:p>
          <w:p w14:paraId="2CA268BE" w14:textId="6B49BE1E" w:rsidR="00E37D61" w:rsidRPr="005B0F18" w:rsidRDefault="00FE08CB" w:rsidP="00FE08CB">
            <w:pPr>
              <w:pStyle w:val="xxmsonormal"/>
              <w:shd w:val="clear" w:color="auto" w:fill="FFFFFF"/>
              <w:spacing w:before="0" w:beforeAutospacing="0" w:after="0" w:afterAutospacing="0"/>
              <w:rPr>
                <w:color w:val="242424"/>
                <w:sz w:val="22"/>
                <w:szCs w:val="22"/>
                <w:bdr w:val="none" w:sz="0" w:space="0" w:color="auto" w:frame="1"/>
                <w:lang w:val="es-US"/>
              </w:rPr>
            </w:pPr>
            <w:r w:rsidRPr="005B0F18">
              <w:rPr>
                <w:sz w:val="22"/>
                <w:szCs w:val="22"/>
                <w:lang w:val="es-US"/>
              </w:rPr>
              <w:t xml:space="preserve">Amy </w:t>
            </w:r>
            <w:proofErr w:type="spellStart"/>
            <w:r w:rsidRPr="005B0F18">
              <w:rPr>
                <w:sz w:val="22"/>
                <w:szCs w:val="22"/>
                <w:lang w:val="es-US"/>
              </w:rPr>
              <w:t>Granger</w:t>
            </w:r>
            <w:proofErr w:type="spellEnd"/>
            <w:r w:rsidRPr="005B0F18">
              <w:rPr>
                <w:sz w:val="22"/>
                <w:szCs w:val="22"/>
                <w:lang w:val="es-US"/>
              </w:rPr>
              <w:t xml:space="preserve">, </w:t>
            </w:r>
            <w:r w:rsidRPr="005B0F18">
              <w:rPr>
                <w:sz w:val="22"/>
                <w:szCs w:val="22"/>
                <w:bdr w:val="none" w:sz="0" w:space="0" w:color="auto" w:frame="1"/>
                <w:lang w:val="es-US"/>
              </w:rPr>
              <w:t>Abogada/Asesora, Oficina del Asesor Jurídico, Departamento de Estado</w:t>
            </w:r>
          </w:p>
          <w:p w14:paraId="6D991431" w14:textId="77777777" w:rsidR="00E37D61" w:rsidRPr="005B0F18" w:rsidRDefault="00E37D61" w:rsidP="00FC5A6B">
            <w:pPr>
              <w:pStyle w:val="xxmsonormal"/>
              <w:shd w:val="clear" w:color="auto" w:fill="FFFFFF"/>
              <w:spacing w:before="0" w:beforeAutospacing="0" w:after="0" w:afterAutospacing="0"/>
              <w:rPr>
                <w:color w:val="242424"/>
                <w:sz w:val="22"/>
                <w:szCs w:val="22"/>
                <w:lang w:val="es-US"/>
              </w:rPr>
            </w:pPr>
          </w:p>
          <w:p w14:paraId="24A88D78" w14:textId="77777777" w:rsidR="00E37D61" w:rsidRPr="005B0F18" w:rsidRDefault="00E37D61" w:rsidP="00FC5A6B">
            <w:pPr>
              <w:rPr>
                <w:sz w:val="22"/>
                <w:szCs w:val="22"/>
                <w:lang w:val="es-US"/>
              </w:rPr>
            </w:pPr>
          </w:p>
        </w:tc>
      </w:tr>
      <w:tr w:rsidR="00E37D61" w:rsidRPr="004A05E8" w14:paraId="7AC92D34" w14:textId="77777777" w:rsidTr="00FC5A6B">
        <w:trPr>
          <w:jc w:val="center"/>
        </w:trPr>
        <w:tc>
          <w:tcPr>
            <w:tcW w:w="2227" w:type="dxa"/>
            <w:tcBorders>
              <w:bottom w:val="single" w:sz="4" w:space="0" w:color="auto"/>
            </w:tcBorders>
            <w:shd w:val="clear" w:color="auto" w:fill="D9D9D9"/>
          </w:tcPr>
          <w:p w14:paraId="71C967BD" w14:textId="77777777" w:rsidR="00E37D61" w:rsidRPr="005B0F18" w:rsidRDefault="00E37D61" w:rsidP="00FC5A6B">
            <w:pPr>
              <w:spacing w:before="120" w:after="120"/>
              <w:rPr>
                <w:sz w:val="22"/>
                <w:szCs w:val="22"/>
                <w:lang w:val="es-US"/>
              </w:rPr>
            </w:pPr>
            <w:r w:rsidRPr="005B0F18">
              <w:rPr>
                <w:sz w:val="22"/>
                <w:szCs w:val="22"/>
                <w:lang w:val="es-US"/>
              </w:rPr>
              <w:t xml:space="preserve">12:00 – 12:30 </w:t>
            </w:r>
            <w:proofErr w:type="spellStart"/>
            <w:r w:rsidRPr="005B0F18">
              <w:rPr>
                <w:sz w:val="22"/>
                <w:szCs w:val="22"/>
                <w:lang w:val="es-US"/>
              </w:rPr>
              <w:t>hrs</w:t>
            </w:r>
            <w:proofErr w:type="spellEnd"/>
            <w:r w:rsidRPr="005B0F18">
              <w:rPr>
                <w:sz w:val="22"/>
                <w:szCs w:val="22"/>
                <w:lang w:val="es-US"/>
              </w:rPr>
              <w:t>.</w:t>
            </w:r>
          </w:p>
        </w:tc>
        <w:tc>
          <w:tcPr>
            <w:tcW w:w="7946" w:type="dxa"/>
            <w:tcBorders>
              <w:bottom w:val="single" w:sz="4" w:space="0" w:color="auto"/>
            </w:tcBorders>
            <w:shd w:val="clear" w:color="auto" w:fill="D9D9D9"/>
          </w:tcPr>
          <w:p w14:paraId="569DB22C" w14:textId="7D633CCB" w:rsidR="00E37D61" w:rsidRPr="005B0F18" w:rsidRDefault="00D574D9" w:rsidP="00FC5A6B">
            <w:pPr>
              <w:spacing w:before="120" w:after="120"/>
              <w:jc w:val="both"/>
              <w:rPr>
                <w:sz w:val="22"/>
                <w:szCs w:val="22"/>
                <w:lang w:val="es-US"/>
              </w:rPr>
            </w:pPr>
            <w:r w:rsidRPr="005B0F18">
              <w:rPr>
                <w:b/>
                <w:sz w:val="22"/>
                <w:szCs w:val="22"/>
                <w:lang w:val="es-US"/>
              </w:rPr>
              <w:t xml:space="preserve">Reunión final </w:t>
            </w:r>
            <w:r w:rsidRPr="005B0F18">
              <w:rPr>
                <w:sz w:val="22"/>
                <w:szCs w:val="22"/>
                <w:lang w:val="es-US"/>
              </w:rPr>
              <w:t>entre los representantes del Estado analizado, los Estados Miembros del subgrupo y la Secretaría Técnica</w:t>
            </w:r>
            <w:r w:rsidR="00E37D61" w:rsidRPr="005B0F18">
              <w:rPr>
                <w:b/>
                <w:sz w:val="22"/>
                <w:szCs w:val="22"/>
                <w:lang w:val="es-US"/>
              </w:rPr>
              <w:t xml:space="preserve"> </w:t>
            </w:r>
          </w:p>
        </w:tc>
      </w:tr>
      <w:tr w:rsidR="00E37D61" w:rsidRPr="004A05E8" w14:paraId="29E94DC4" w14:textId="77777777" w:rsidTr="00FC5A6B">
        <w:trPr>
          <w:jc w:val="center"/>
        </w:trPr>
        <w:tc>
          <w:tcPr>
            <w:tcW w:w="2227" w:type="dxa"/>
            <w:tcBorders>
              <w:bottom w:val="single" w:sz="4" w:space="0" w:color="auto"/>
            </w:tcBorders>
            <w:shd w:val="clear" w:color="auto" w:fill="D9D9D9"/>
          </w:tcPr>
          <w:p w14:paraId="12D82153" w14:textId="77777777" w:rsidR="00E37D61" w:rsidRPr="005B0F18" w:rsidRDefault="00E37D61" w:rsidP="00FC5A6B">
            <w:pPr>
              <w:spacing w:before="120" w:after="120"/>
              <w:rPr>
                <w:b/>
                <w:sz w:val="22"/>
                <w:szCs w:val="22"/>
                <w:u w:val="single"/>
                <w:lang w:val="es-US"/>
              </w:rPr>
            </w:pPr>
            <w:r w:rsidRPr="005B0F18">
              <w:rPr>
                <w:sz w:val="22"/>
                <w:szCs w:val="22"/>
                <w:lang w:val="es-US"/>
              </w:rPr>
              <w:t xml:space="preserve">12:30 </w:t>
            </w:r>
            <w:proofErr w:type="spellStart"/>
            <w:r w:rsidRPr="005B0F18">
              <w:rPr>
                <w:sz w:val="22"/>
                <w:szCs w:val="22"/>
                <w:lang w:val="es-US"/>
              </w:rPr>
              <w:t>hrs</w:t>
            </w:r>
            <w:proofErr w:type="spellEnd"/>
            <w:r w:rsidRPr="005B0F18">
              <w:rPr>
                <w:sz w:val="22"/>
                <w:szCs w:val="22"/>
                <w:lang w:val="es-US"/>
              </w:rPr>
              <w:t>.</w:t>
            </w:r>
          </w:p>
        </w:tc>
        <w:tc>
          <w:tcPr>
            <w:tcW w:w="7946" w:type="dxa"/>
            <w:tcBorders>
              <w:bottom w:val="single" w:sz="4" w:space="0" w:color="auto"/>
            </w:tcBorders>
            <w:shd w:val="clear" w:color="auto" w:fill="D9D9D9"/>
          </w:tcPr>
          <w:p w14:paraId="0883232E" w14:textId="46971FA9" w:rsidR="00E37D61" w:rsidRPr="005B0F18" w:rsidRDefault="009C7C73" w:rsidP="00FC5A6B">
            <w:pPr>
              <w:spacing w:before="120" w:after="120"/>
              <w:jc w:val="both"/>
              <w:rPr>
                <w:b/>
                <w:sz w:val="22"/>
                <w:szCs w:val="22"/>
                <w:u w:val="single"/>
                <w:lang w:val="es-US"/>
              </w:rPr>
            </w:pPr>
            <w:r w:rsidRPr="005B0F18">
              <w:rPr>
                <w:b/>
                <w:sz w:val="22"/>
                <w:szCs w:val="22"/>
                <w:lang w:val="es-US"/>
              </w:rPr>
              <w:t xml:space="preserve">Reunión informal </w:t>
            </w:r>
            <w:r w:rsidRPr="005B0F18">
              <w:rPr>
                <w:sz w:val="22"/>
                <w:szCs w:val="22"/>
                <w:lang w:val="es-US"/>
              </w:rPr>
              <w:t>entre los representantes de los Estados Miembros del subgrupo y la Secretaría Técnica</w:t>
            </w:r>
            <w:r w:rsidR="00E37D61" w:rsidRPr="005B0F18">
              <w:rPr>
                <w:sz w:val="22"/>
                <w:szCs w:val="22"/>
                <w:lang w:val="es-US"/>
              </w:rPr>
              <w:t xml:space="preserve"> </w:t>
            </w:r>
          </w:p>
        </w:tc>
      </w:tr>
    </w:tbl>
    <w:p w14:paraId="74F4A198" w14:textId="5888F95B" w:rsidR="00E37D61" w:rsidRPr="00282A68" w:rsidRDefault="00E37D61" w:rsidP="00E37D61">
      <w:pPr>
        <w:pStyle w:val="ListParagraph"/>
        <w:suppressAutoHyphens/>
        <w:ind w:left="10"/>
        <w:jc w:val="center"/>
        <w:rPr>
          <w:lang w:val="es-US"/>
        </w:rPr>
      </w:pPr>
    </w:p>
    <w:p w14:paraId="19D30C80" w14:textId="77777777" w:rsidR="00E37D61" w:rsidRPr="00282A68" w:rsidRDefault="00E37D61">
      <w:pPr>
        <w:rPr>
          <w:rFonts w:eastAsiaTheme="minorEastAsia"/>
          <w:sz w:val="22"/>
          <w:szCs w:val="22"/>
          <w:lang w:val="es-US"/>
        </w:rPr>
      </w:pPr>
      <w:r w:rsidRPr="00282A68">
        <w:rPr>
          <w:lang w:val="es-US"/>
        </w:rPr>
        <w:br w:type="page"/>
      </w:r>
    </w:p>
    <w:p w14:paraId="130A059D" w14:textId="77777777" w:rsidR="00AF4644" w:rsidRPr="00282A68" w:rsidRDefault="00AF4644" w:rsidP="00AF4644">
      <w:pPr>
        <w:jc w:val="center"/>
        <w:rPr>
          <w:b/>
          <w:bCs/>
          <w:sz w:val="22"/>
          <w:szCs w:val="22"/>
          <w:lang w:val="es-US"/>
        </w:rPr>
      </w:pPr>
      <w:r w:rsidRPr="00282A68">
        <w:rPr>
          <w:b/>
          <w:bCs/>
          <w:sz w:val="22"/>
          <w:szCs w:val="22"/>
          <w:lang w:val="es-US"/>
        </w:rPr>
        <w:t xml:space="preserve">AUTORIDADES DE CONTACTO DEL ESTADO ANALIZADO PARA LA COORDINACIÓN DE LA VISITA </w:t>
      </w:r>
      <w:r w:rsidRPr="00282A68">
        <w:rPr>
          <w:b/>
          <w:bCs/>
          <w:i/>
          <w:iCs/>
          <w:sz w:val="22"/>
          <w:szCs w:val="22"/>
          <w:lang w:val="es-US"/>
        </w:rPr>
        <w:t xml:space="preserve">IN SITU, </w:t>
      </w:r>
      <w:r w:rsidRPr="00282A68">
        <w:rPr>
          <w:b/>
          <w:bCs/>
          <w:sz w:val="22"/>
          <w:szCs w:val="22"/>
          <w:lang w:val="es-US"/>
        </w:rPr>
        <w:t xml:space="preserve">Y REPRESENTANTES DE LOS ESTADOS MIEMBROS DEL SUBGRUPO DE ANÁLISIS PRELIMINAR Y DE LA </w:t>
      </w:r>
    </w:p>
    <w:p w14:paraId="50934851" w14:textId="028618A1" w:rsidR="00E37D61" w:rsidRPr="00282A68" w:rsidRDefault="00AF4644" w:rsidP="00AF4644">
      <w:pPr>
        <w:jc w:val="center"/>
        <w:rPr>
          <w:sz w:val="22"/>
          <w:szCs w:val="22"/>
          <w:highlight w:val="cyan"/>
          <w:lang w:val="es-US"/>
        </w:rPr>
      </w:pPr>
      <w:r w:rsidRPr="00282A68">
        <w:rPr>
          <w:b/>
          <w:bCs/>
          <w:sz w:val="22"/>
          <w:szCs w:val="22"/>
          <w:lang w:val="es-US"/>
        </w:rPr>
        <w:t>SECRETARÍA TÉCNICA DEL MESICIC</w:t>
      </w:r>
    </w:p>
    <w:p w14:paraId="3D4A1FA5" w14:textId="77777777" w:rsidR="00E37D61" w:rsidRPr="00282A68" w:rsidRDefault="00E37D61" w:rsidP="00E37D61">
      <w:pPr>
        <w:tabs>
          <w:tab w:val="left" w:pos="8820"/>
        </w:tabs>
        <w:jc w:val="center"/>
        <w:rPr>
          <w:b/>
          <w:sz w:val="22"/>
          <w:szCs w:val="22"/>
          <w:lang w:val="es-US" w:eastAsia="es-ES"/>
        </w:rPr>
      </w:pPr>
    </w:p>
    <w:p w14:paraId="5FACDD13" w14:textId="6B24BC42" w:rsidR="00E37D61" w:rsidRPr="00282A68" w:rsidRDefault="00A30DFE" w:rsidP="00E37D61">
      <w:pPr>
        <w:tabs>
          <w:tab w:val="left" w:pos="8820"/>
        </w:tabs>
        <w:jc w:val="center"/>
        <w:rPr>
          <w:b/>
          <w:sz w:val="22"/>
          <w:szCs w:val="22"/>
          <w:lang w:val="es-US" w:eastAsia="es-ES"/>
        </w:rPr>
      </w:pPr>
      <w:r w:rsidRPr="00282A68">
        <w:rPr>
          <w:b/>
          <w:sz w:val="22"/>
          <w:szCs w:val="22"/>
          <w:u w:val="single"/>
          <w:lang w:val="es-US" w:eastAsia="es-ES"/>
        </w:rPr>
        <w:t>ESTADO ANALIZADO</w:t>
      </w:r>
    </w:p>
    <w:p w14:paraId="05A9FD78" w14:textId="77777777" w:rsidR="00E37D61" w:rsidRPr="00282A68" w:rsidRDefault="00E37D61" w:rsidP="00E37D61">
      <w:pPr>
        <w:tabs>
          <w:tab w:val="left" w:pos="8820"/>
        </w:tabs>
        <w:jc w:val="center"/>
        <w:rPr>
          <w:sz w:val="22"/>
          <w:szCs w:val="22"/>
          <w:lang w:val="es-US" w:eastAsia="es-ES"/>
        </w:rPr>
      </w:pPr>
    </w:p>
    <w:p w14:paraId="29A8384C" w14:textId="77777777" w:rsidR="00434D57" w:rsidRPr="00282A68" w:rsidRDefault="00434D57" w:rsidP="00434D57">
      <w:pPr>
        <w:tabs>
          <w:tab w:val="left" w:pos="8820"/>
        </w:tabs>
        <w:jc w:val="center"/>
        <w:rPr>
          <w:sz w:val="22"/>
          <w:szCs w:val="22"/>
          <w:u w:val="single"/>
          <w:lang w:val="es-US" w:eastAsia="es-ES"/>
        </w:rPr>
      </w:pPr>
      <w:r w:rsidRPr="00282A68">
        <w:rPr>
          <w:sz w:val="22"/>
          <w:szCs w:val="22"/>
          <w:u w:val="single"/>
          <w:lang w:val="es-US" w:eastAsia="es-ES"/>
        </w:rPr>
        <w:t>ESTADOS UNIDOS DE AMÉRICA</w:t>
      </w:r>
    </w:p>
    <w:p w14:paraId="35848A96" w14:textId="77777777" w:rsidR="00434D57" w:rsidRPr="00282A68" w:rsidRDefault="00434D57" w:rsidP="00434D57">
      <w:pPr>
        <w:tabs>
          <w:tab w:val="left" w:pos="8820"/>
        </w:tabs>
        <w:jc w:val="center"/>
        <w:rPr>
          <w:b/>
          <w:bCs/>
          <w:sz w:val="22"/>
          <w:szCs w:val="22"/>
          <w:u w:val="single"/>
          <w:lang w:val="es-US" w:eastAsia="es-ES"/>
        </w:rPr>
      </w:pPr>
    </w:p>
    <w:p w14:paraId="38C56134" w14:textId="77777777" w:rsidR="00434D57" w:rsidRPr="00282A68" w:rsidRDefault="00434D57" w:rsidP="00434D57">
      <w:pPr>
        <w:tabs>
          <w:tab w:val="left" w:pos="8820"/>
        </w:tabs>
        <w:jc w:val="center"/>
        <w:rPr>
          <w:b/>
          <w:bCs/>
          <w:sz w:val="22"/>
          <w:szCs w:val="22"/>
          <w:lang w:val="es-US" w:eastAsia="es-ES"/>
        </w:rPr>
      </w:pPr>
      <w:r w:rsidRPr="00282A68">
        <w:rPr>
          <w:b/>
          <w:bCs/>
          <w:sz w:val="22"/>
          <w:szCs w:val="22"/>
          <w:lang w:val="es-US" w:eastAsia="es-ES"/>
        </w:rPr>
        <w:t>Kellen McClure</w:t>
      </w:r>
    </w:p>
    <w:p w14:paraId="072ED106" w14:textId="77777777" w:rsidR="00434D57" w:rsidRPr="00282A68" w:rsidRDefault="00434D57" w:rsidP="00434D57">
      <w:pPr>
        <w:tabs>
          <w:tab w:val="left" w:pos="8820"/>
        </w:tabs>
        <w:jc w:val="center"/>
        <w:rPr>
          <w:sz w:val="22"/>
          <w:szCs w:val="22"/>
          <w:lang w:val="es-US" w:eastAsia="es-ES"/>
        </w:rPr>
      </w:pPr>
      <w:r w:rsidRPr="00282A68">
        <w:rPr>
          <w:sz w:val="22"/>
          <w:szCs w:val="22"/>
          <w:lang w:val="es-US" w:eastAsia="es-ES"/>
        </w:rPr>
        <w:t>Experto Titular</w:t>
      </w:r>
    </w:p>
    <w:p w14:paraId="2A159172" w14:textId="77777777" w:rsidR="00434D57" w:rsidRPr="00282A68" w:rsidRDefault="00434D57" w:rsidP="00434D57">
      <w:pPr>
        <w:tabs>
          <w:tab w:val="left" w:pos="8820"/>
        </w:tabs>
        <w:jc w:val="center"/>
        <w:rPr>
          <w:sz w:val="22"/>
          <w:szCs w:val="22"/>
          <w:lang w:val="es-US" w:eastAsia="es-ES"/>
        </w:rPr>
      </w:pPr>
      <w:r w:rsidRPr="00282A68">
        <w:rPr>
          <w:sz w:val="22"/>
          <w:szCs w:val="22"/>
          <w:lang w:val="es-US" w:eastAsia="es-ES"/>
        </w:rPr>
        <w:t>Asesor Anticorrupción, Oficina de Política y Programas Globales</w:t>
      </w:r>
    </w:p>
    <w:p w14:paraId="18799A15" w14:textId="77777777" w:rsidR="00434D57" w:rsidRPr="00282A68" w:rsidRDefault="00434D57" w:rsidP="00434D57">
      <w:pPr>
        <w:tabs>
          <w:tab w:val="left" w:pos="8820"/>
        </w:tabs>
        <w:jc w:val="center"/>
        <w:rPr>
          <w:sz w:val="22"/>
          <w:szCs w:val="22"/>
          <w:lang w:val="es-US" w:eastAsia="es-ES"/>
        </w:rPr>
      </w:pPr>
      <w:r w:rsidRPr="00282A68">
        <w:rPr>
          <w:sz w:val="22"/>
          <w:szCs w:val="22"/>
          <w:lang w:val="es-US" w:eastAsia="es-ES"/>
        </w:rPr>
        <w:t>Oficina de Asuntos Internacionales de Estupefacientes y Aplicación de la Ley</w:t>
      </w:r>
    </w:p>
    <w:p w14:paraId="3CF191C5" w14:textId="0C18DF0A" w:rsidR="00E37D61" w:rsidRPr="00282A68" w:rsidRDefault="00434D57" w:rsidP="00434D57">
      <w:pPr>
        <w:tabs>
          <w:tab w:val="left" w:pos="8820"/>
        </w:tabs>
        <w:jc w:val="center"/>
        <w:rPr>
          <w:sz w:val="22"/>
          <w:szCs w:val="22"/>
          <w:lang w:val="es-US" w:eastAsia="es-ES"/>
        </w:rPr>
      </w:pPr>
      <w:r w:rsidRPr="00282A68">
        <w:rPr>
          <w:sz w:val="22"/>
          <w:szCs w:val="22"/>
          <w:lang w:val="es-US" w:eastAsia="es-ES"/>
        </w:rPr>
        <w:t>Departamento de Estado de Estados Unidos</w:t>
      </w:r>
    </w:p>
    <w:p w14:paraId="168A415B" w14:textId="70406DEA" w:rsidR="00E37D61" w:rsidRPr="00282A68" w:rsidRDefault="00E37D61" w:rsidP="00E37D61">
      <w:pPr>
        <w:tabs>
          <w:tab w:val="left" w:pos="8820"/>
        </w:tabs>
        <w:jc w:val="center"/>
        <w:rPr>
          <w:b/>
          <w:sz w:val="22"/>
          <w:szCs w:val="22"/>
          <w:u w:val="single"/>
          <w:lang w:val="es-US" w:eastAsia="es-ES"/>
        </w:rPr>
      </w:pPr>
    </w:p>
    <w:p w14:paraId="72C5A8DC" w14:textId="77777777" w:rsidR="008E1697" w:rsidRPr="00282A68" w:rsidRDefault="008E1697" w:rsidP="00E37D61">
      <w:pPr>
        <w:tabs>
          <w:tab w:val="left" w:pos="8820"/>
        </w:tabs>
        <w:jc w:val="center"/>
        <w:rPr>
          <w:b/>
          <w:sz w:val="22"/>
          <w:szCs w:val="22"/>
          <w:u w:val="single"/>
          <w:lang w:val="es-US" w:eastAsia="es-ES"/>
        </w:rPr>
      </w:pPr>
    </w:p>
    <w:p w14:paraId="50F9FF39" w14:textId="134C7415" w:rsidR="00E37D61" w:rsidRPr="00282A68" w:rsidRDefault="00AF2160" w:rsidP="00E37D61">
      <w:pPr>
        <w:tabs>
          <w:tab w:val="left" w:pos="8820"/>
        </w:tabs>
        <w:jc w:val="center"/>
        <w:rPr>
          <w:b/>
          <w:sz w:val="22"/>
          <w:szCs w:val="22"/>
          <w:u w:val="single"/>
          <w:lang w:val="es-US" w:eastAsia="es-ES"/>
        </w:rPr>
      </w:pPr>
      <w:r w:rsidRPr="00282A68">
        <w:rPr>
          <w:b/>
          <w:sz w:val="22"/>
          <w:szCs w:val="22"/>
          <w:u w:val="single"/>
          <w:lang w:val="es-US" w:eastAsia="es-ES"/>
        </w:rPr>
        <w:t>ESTADOS MIEMBROS DEL SUBGRUPO DE ANÁLISIS PRELIMINAR</w:t>
      </w:r>
    </w:p>
    <w:p w14:paraId="21C10C45" w14:textId="77777777" w:rsidR="00E37D61" w:rsidRPr="00282A68" w:rsidRDefault="00E37D61" w:rsidP="00E37D61">
      <w:pPr>
        <w:tabs>
          <w:tab w:val="left" w:pos="8820"/>
        </w:tabs>
        <w:jc w:val="center"/>
        <w:rPr>
          <w:sz w:val="22"/>
          <w:szCs w:val="22"/>
          <w:u w:val="single"/>
          <w:lang w:val="es-US" w:eastAsia="es-ES"/>
        </w:rPr>
      </w:pPr>
    </w:p>
    <w:p w14:paraId="5AF58E0B" w14:textId="56660024" w:rsidR="00E37D61" w:rsidRPr="00282A68" w:rsidRDefault="00782A5D" w:rsidP="00E37D61">
      <w:pPr>
        <w:tabs>
          <w:tab w:val="left" w:pos="8820"/>
        </w:tabs>
        <w:jc w:val="center"/>
        <w:rPr>
          <w:sz w:val="22"/>
          <w:szCs w:val="22"/>
          <w:u w:val="single"/>
          <w:lang w:val="es-US" w:eastAsia="es-ES"/>
        </w:rPr>
      </w:pPr>
      <w:r w:rsidRPr="00282A68">
        <w:rPr>
          <w:sz w:val="22"/>
          <w:szCs w:val="22"/>
          <w:u w:val="single"/>
          <w:lang w:val="es-US" w:eastAsia="es-ES"/>
        </w:rPr>
        <w:t>LAS</w:t>
      </w:r>
      <w:r w:rsidR="00E37D61" w:rsidRPr="00282A68">
        <w:rPr>
          <w:sz w:val="22"/>
          <w:szCs w:val="22"/>
          <w:u w:val="single"/>
          <w:lang w:val="es-US" w:eastAsia="es-ES"/>
        </w:rPr>
        <w:t xml:space="preserve"> BAHAMAS</w:t>
      </w:r>
    </w:p>
    <w:p w14:paraId="195730BD" w14:textId="77777777" w:rsidR="00E37D61" w:rsidRPr="00282A68" w:rsidRDefault="00E37D61" w:rsidP="00E37D61">
      <w:pPr>
        <w:tabs>
          <w:tab w:val="left" w:pos="8820"/>
        </w:tabs>
        <w:jc w:val="center"/>
        <w:rPr>
          <w:b/>
          <w:bCs/>
          <w:sz w:val="22"/>
          <w:szCs w:val="22"/>
          <w:u w:val="single"/>
          <w:lang w:val="es-US" w:eastAsia="es-ES"/>
        </w:rPr>
      </w:pPr>
    </w:p>
    <w:p w14:paraId="791F8A5A" w14:textId="77777777" w:rsidR="006F7F48" w:rsidRPr="00282A68" w:rsidRDefault="006F7F48" w:rsidP="006F7F48">
      <w:pPr>
        <w:tabs>
          <w:tab w:val="left" w:pos="8820"/>
        </w:tabs>
        <w:jc w:val="center"/>
        <w:rPr>
          <w:b/>
          <w:bCs/>
          <w:sz w:val="22"/>
          <w:szCs w:val="22"/>
          <w:lang w:val="es-US" w:eastAsia="es-ES"/>
        </w:rPr>
      </w:pPr>
      <w:proofErr w:type="spellStart"/>
      <w:r w:rsidRPr="00282A68">
        <w:rPr>
          <w:b/>
          <w:bCs/>
          <w:sz w:val="22"/>
          <w:szCs w:val="22"/>
          <w:lang w:val="es-US" w:eastAsia="es-ES"/>
        </w:rPr>
        <w:t>Kenrah</w:t>
      </w:r>
      <w:proofErr w:type="spellEnd"/>
      <w:r w:rsidRPr="00282A68">
        <w:rPr>
          <w:b/>
          <w:bCs/>
          <w:sz w:val="22"/>
          <w:szCs w:val="22"/>
          <w:lang w:val="es-US" w:eastAsia="es-ES"/>
        </w:rPr>
        <w:t xml:space="preserve"> </w:t>
      </w:r>
      <w:proofErr w:type="spellStart"/>
      <w:r w:rsidRPr="00282A68">
        <w:rPr>
          <w:b/>
          <w:bCs/>
          <w:sz w:val="22"/>
          <w:szCs w:val="22"/>
          <w:lang w:val="es-US" w:eastAsia="es-ES"/>
        </w:rPr>
        <w:t>Newry</w:t>
      </w:r>
      <w:proofErr w:type="spellEnd"/>
    </w:p>
    <w:p w14:paraId="4A0B9BE6" w14:textId="09A1AD68" w:rsidR="006F7F48" w:rsidRPr="00282A68" w:rsidRDefault="006F7F48" w:rsidP="006F7F48">
      <w:pPr>
        <w:tabs>
          <w:tab w:val="left" w:pos="8820"/>
        </w:tabs>
        <w:jc w:val="center"/>
        <w:rPr>
          <w:sz w:val="22"/>
          <w:szCs w:val="22"/>
          <w:lang w:val="es-US" w:eastAsia="es-ES"/>
        </w:rPr>
      </w:pPr>
      <w:r w:rsidRPr="00282A68">
        <w:rPr>
          <w:sz w:val="22"/>
          <w:szCs w:val="22"/>
          <w:lang w:val="es-US" w:eastAsia="es-ES"/>
        </w:rPr>
        <w:t>Experta alterna</w:t>
      </w:r>
    </w:p>
    <w:p w14:paraId="453073A5" w14:textId="77777777" w:rsidR="006F7F48" w:rsidRPr="00282A68" w:rsidRDefault="006F7F48" w:rsidP="006F7F48">
      <w:pPr>
        <w:tabs>
          <w:tab w:val="left" w:pos="8820"/>
        </w:tabs>
        <w:jc w:val="center"/>
        <w:rPr>
          <w:sz w:val="22"/>
          <w:szCs w:val="22"/>
          <w:lang w:val="es-US" w:eastAsia="es-ES"/>
        </w:rPr>
      </w:pPr>
      <w:r w:rsidRPr="00282A68">
        <w:rPr>
          <w:sz w:val="22"/>
          <w:szCs w:val="22"/>
          <w:lang w:val="es-US" w:eastAsia="es-ES"/>
        </w:rPr>
        <w:t>Directora Adjunta Interina de Asuntos Jurídicos</w:t>
      </w:r>
    </w:p>
    <w:p w14:paraId="7BE02788" w14:textId="2D4A1712" w:rsidR="00E37D61" w:rsidRPr="00282A68" w:rsidRDefault="006F7F48" w:rsidP="006F7F48">
      <w:pPr>
        <w:tabs>
          <w:tab w:val="left" w:pos="8820"/>
        </w:tabs>
        <w:jc w:val="center"/>
        <w:rPr>
          <w:sz w:val="22"/>
          <w:szCs w:val="22"/>
          <w:lang w:val="es-US" w:eastAsia="es-ES"/>
        </w:rPr>
      </w:pPr>
      <w:r w:rsidRPr="00282A68">
        <w:rPr>
          <w:sz w:val="22"/>
          <w:szCs w:val="22"/>
          <w:lang w:val="es-US" w:eastAsia="es-ES"/>
        </w:rPr>
        <w:t>Fiscalía General y Ministerio de Asuntos Jurídicos</w:t>
      </w:r>
    </w:p>
    <w:p w14:paraId="0E63EAD4" w14:textId="2A347FF6" w:rsidR="00AA5586" w:rsidRPr="00282A68" w:rsidRDefault="00AA5586" w:rsidP="006F7F48">
      <w:pPr>
        <w:tabs>
          <w:tab w:val="left" w:pos="8820"/>
        </w:tabs>
        <w:jc w:val="center"/>
        <w:rPr>
          <w:sz w:val="22"/>
          <w:szCs w:val="22"/>
          <w:lang w:val="es-US" w:eastAsia="es-ES"/>
        </w:rPr>
      </w:pPr>
    </w:p>
    <w:p w14:paraId="54F684EE" w14:textId="77777777" w:rsidR="00AA5586" w:rsidRPr="00282A68" w:rsidRDefault="00AA5586" w:rsidP="00AA5586">
      <w:pPr>
        <w:tabs>
          <w:tab w:val="left" w:pos="8820"/>
        </w:tabs>
        <w:jc w:val="center"/>
        <w:rPr>
          <w:sz w:val="22"/>
          <w:szCs w:val="22"/>
          <w:u w:val="single"/>
          <w:lang w:val="es-US" w:eastAsia="es-ES"/>
        </w:rPr>
      </w:pPr>
      <w:r w:rsidRPr="00282A68">
        <w:rPr>
          <w:sz w:val="22"/>
          <w:szCs w:val="22"/>
          <w:u w:val="single"/>
          <w:lang w:val="es-US" w:eastAsia="es-ES"/>
        </w:rPr>
        <w:t>SANTA LUCIA</w:t>
      </w:r>
    </w:p>
    <w:p w14:paraId="10568830" w14:textId="77777777" w:rsidR="00AA5586" w:rsidRPr="00282A68" w:rsidRDefault="00AA5586" w:rsidP="00AA5586">
      <w:pPr>
        <w:tabs>
          <w:tab w:val="left" w:pos="8820"/>
        </w:tabs>
        <w:jc w:val="center"/>
        <w:rPr>
          <w:b/>
          <w:bCs/>
          <w:sz w:val="22"/>
          <w:szCs w:val="22"/>
          <w:lang w:val="es-US" w:eastAsia="es-ES"/>
        </w:rPr>
      </w:pPr>
    </w:p>
    <w:p w14:paraId="62B3583A" w14:textId="77777777" w:rsidR="00AA5586" w:rsidRPr="00282A68" w:rsidRDefault="00AA5586" w:rsidP="00AA5586">
      <w:pPr>
        <w:tabs>
          <w:tab w:val="left" w:pos="8820"/>
        </w:tabs>
        <w:jc w:val="center"/>
        <w:rPr>
          <w:b/>
          <w:bCs/>
          <w:sz w:val="22"/>
          <w:szCs w:val="22"/>
          <w:lang w:val="es-US" w:eastAsia="es-ES"/>
        </w:rPr>
      </w:pPr>
      <w:r w:rsidRPr="00282A68">
        <w:rPr>
          <w:b/>
          <w:bCs/>
          <w:sz w:val="22"/>
          <w:szCs w:val="22"/>
          <w:lang w:val="es-US" w:eastAsia="es-ES"/>
        </w:rPr>
        <w:t xml:space="preserve">Tina </w:t>
      </w:r>
      <w:proofErr w:type="spellStart"/>
      <w:r w:rsidRPr="00282A68">
        <w:rPr>
          <w:b/>
          <w:bCs/>
          <w:sz w:val="22"/>
          <w:szCs w:val="22"/>
          <w:lang w:val="es-US" w:eastAsia="es-ES"/>
        </w:rPr>
        <w:t>Louison</w:t>
      </w:r>
      <w:proofErr w:type="spellEnd"/>
    </w:p>
    <w:p w14:paraId="154C8B28" w14:textId="77777777" w:rsidR="00AA5586" w:rsidRPr="00282A68" w:rsidRDefault="00AA5586" w:rsidP="00AA5586">
      <w:pPr>
        <w:tabs>
          <w:tab w:val="left" w:pos="8820"/>
        </w:tabs>
        <w:jc w:val="center"/>
        <w:rPr>
          <w:sz w:val="22"/>
          <w:szCs w:val="22"/>
          <w:lang w:val="es-US" w:eastAsia="es-ES"/>
        </w:rPr>
      </w:pPr>
      <w:r w:rsidRPr="00282A68">
        <w:rPr>
          <w:sz w:val="22"/>
          <w:szCs w:val="22"/>
          <w:lang w:val="es-US" w:eastAsia="es-ES"/>
        </w:rPr>
        <w:t>Experta Titular</w:t>
      </w:r>
    </w:p>
    <w:p w14:paraId="34832817" w14:textId="77777777" w:rsidR="00AA5586" w:rsidRPr="00282A68" w:rsidRDefault="00AA5586" w:rsidP="00AA5586">
      <w:pPr>
        <w:tabs>
          <w:tab w:val="left" w:pos="8820"/>
        </w:tabs>
        <w:jc w:val="center"/>
        <w:rPr>
          <w:sz w:val="22"/>
          <w:szCs w:val="22"/>
          <w:lang w:val="es-US" w:eastAsia="es-ES"/>
        </w:rPr>
      </w:pPr>
      <w:r w:rsidRPr="00282A68">
        <w:rPr>
          <w:sz w:val="22"/>
          <w:szCs w:val="22"/>
          <w:lang w:val="es-US" w:eastAsia="es-ES"/>
        </w:rPr>
        <w:t>Procuradora General</w:t>
      </w:r>
    </w:p>
    <w:p w14:paraId="41CD815B" w14:textId="23EBEDB2" w:rsidR="00E37D61" w:rsidRPr="00282A68" w:rsidRDefault="00E37D61" w:rsidP="00E37D61">
      <w:pPr>
        <w:tabs>
          <w:tab w:val="left" w:pos="8820"/>
        </w:tabs>
        <w:jc w:val="center"/>
        <w:rPr>
          <w:b/>
          <w:sz w:val="22"/>
          <w:szCs w:val="22"/>
          <w:u w:val="single"/>
          <w:lang w:val="es-US" w:eastAsia="es-ES"/>
        </w:rPr>
      </w:pPr>
    </w:p>
    <w:p w14:paraId="2D0A7D30" w14:textId="77777777" w:rsidR="008E1697" w:rsidRPr="00282A68" w:rsidRDefault="008E1697" w:rsidP="00E37D61">
      <w:pPr>
        <w:tabs>
          <w:tab w:val="left" w:pos="8820"/>
        </w:tabs>
        <w:jc w:val="center"/>
        <w:rPr>
          <w:b/>
          <w:sz w:val="22"/>
          <w:szCs w:val="22"/>
          <w:u w:val="single"/>
          <w:lang w:val="es-US" w:eastAsia="es-ES"/>
        </w:rPr>
      </w:pPr>
    </w:p>
    <w:p w14:paraId="57F48ACD" w14:textId="77777777" w:rsidR="00F341ED" w:rsidRPr="00282A68" w:rsidRDefault="00F341ED" w:rsidP="00F341ED">
      <w:pPr>
        <w:tabs>
          <w:tab w:val="left" w:pos="8820"/>
        </w:tabs>
        <w:jc w:val="center"/>
        <w:rPr>
          <w:b/>
          <w:sz w:val="22"/>
          <w:szCs w:val="22"/>
          <w:u w:val="single"/>
          <w:lang w:val="es-US"/>
        </w:rPr>
      </w:pPr>
      <w:r w:rsidRPr="00282A68">
        <w:rPr>
          <w:b/>
          <w:sz w:val="22"/>
          <w:szCs w:val="22"/>
          <w:u w:val="single"/>
          <w:lang w:val="es-US"/>
        </w:rPr>
        <w:t>SECRETARÍA TÉCNICA DEL MESICIC</w:t>
      </w:r>
    </w:p>
    <w:p w14:paraId="5B7DC58B" w14:textId="77777777" w:rsidR="00F341ED" w:rsidRPr="00282A68" w:rsidRDefault="00F341ED" w:rsidP="00F341ED">
      <w:pPr>
        <w:tabs>
          <w:tab w:val="left" w:pos="8820"/>
        </w:tabs>
        <w:jc w:val="center"/>
        <w:rPr>
          <w:sz w:val="22"/>
          <w:szCs w:val="22"/>
          <w:lang w:val="es-US" w:eastAsia="es-ES"/>
        </w:rPr>
      </w:pPr>
    </w:p>
    <w:p w14:paraId="031054FE" w14:textId="77777777" w:rsidR="00F341ED" w:rsidRPr="00282A68" w:rsidRDefault="00F341ED" w:rsidP="00F341ED">
      <w:pPr>
        <w:tabs>
          <w:tab w:val="left" w:pos="8820"/>
        </w:tabs>
        <w:jc w:val="center"/>
        <w:rPr>
          <w:b/>
          <w:bCs/>
          <w:sz w:val="22"/>
          <w:szCs w:val="22"/>
          <w:lang w:val="es-US" w:eastAsia="es-ES"/>
        </w:rPr>
      </w:pPr>
      <w:r w:rsidRPr="00282A68">
        <w:rPr>
          <w:b/>
          <w:bCs/>
          <w:sz w:val="22"/>
          <w:szCs w:val="22"/>
          <w:lang w:val="es-US" w:eastAsia="es-ES"/>
        </w:rPr>
        <w:t>Rodrigo Silva</w:t>
      </w:r>
    </w:p>
    <w:p w14:paraId="2499528A" w14:textId="77777777" w:rsidR="00F341ED" w:rsidRPr="00282A68" w:rsidRDefault="00F341ED" w:rsidP="00F341ED">
      <w:pPr>
        <w:tabs>
          <w:tab w:val="left" w:pos="8820"/>
        </w:tabs>
        <w:jc w:val="center"/>
        <w:rPr>
          <w:sz w:val="22"/>
          <w:szCs w:val="22"/>
          <w:lang w:val="es-US" w:eastAsia="es-ES"/>
        </w:rPr>
      </w:pPr>
      <w:r w:rsidRPr="00282A68">
        <w:rPr>
          <w:sz w:val="22"/>
          <w:szCs w:val="22"/>
          <w:lang w:val="es-US" w:eastAsia="es-ES"/>
        </w:rPr>
        <w:t>Oficial Jurídico Principal</w:t>
      </w:r>
    </w:p>
    <w:p w14:paraId="29004FCE" w14:textId="77777777" w:rsidR="00F341ED" w:rsidRPr="00282A68" w:rsidRDefault="00F341ED" w:rsidP="00F341ED">
      <w:pPr>
        <w:tabs>
          <w:tab w:val="left" w:pos="8820"/>
        </w:tabs>
        <w:jc w:val="center"/>
        <w:rPr>
          <w:sz w:val="22"/>
          <w:szCs w:val="22"/>
          <w:lang w:val="es-US" w:eastAsia="es-ES"/>
        </w:rPr>
      </w:pPr>
      <w:r w:rsidRPr="00282A68">
        <w:rPr>
          <w:sz w:val="22"/>
          <w:szCs w:val="22"/>
          <w:lang w:val="es-US" w:eastAsia="es-ES"/>
        </w:rPr>
        <w:t xml:space="preserve">Departamento de Cooperación Jurídica </w:t>
      </w:r>
    </w:p>
    <w:p w14:paraId="3A07CE7A" w14:textId="0C0249E3" w:rsidR="00E37D61" w:rsidRPr="00282A68" w:rsidRDefault="00F341ED" w:rsidP="00F341ED">
      <w:pPr>
        <w:pStyle w:val="ListParagraph"/>
        <w:suppressAutoHyphens/>
        <w:ind w:left="10"/>
        <w:jc w:val="center"/>
        <w:rPr>
          <w:lang w:val="es-US" w:eastAsia="es-ES"/>
        </w:rPr>
      </w:pPr>
      <w:r w:rsidRPr="00282A68">
        <w:rPr>
          <w:lang w:val="es-US" w:eastAsia="es-ES"/>
        </w:rPr>
        <w:t>Secretaría de Asuntos Jurídicos de la OEA</w:t>
      </w:r>
    </w:p>
    <w:p w14:paraId="63E88465" w14:textId="77777777" w:rsidR="00E37D61" w:rsidRPr="00282A68" w:rsidRDefault="00E37D61" w:rsidP="00E37D61">
      <w:pPr>
        <w:pStyle w:val="ListParagraph"/>
        <w:suppressAutoHyphens/>
        <w:ind w:left="10"/>
        <w:jc w:val="center"/>
        <w:rPr>
          <w:lang w:val="es-US" w:eastAsia="es-ES"/>
        </w:rPr>
      </w:pPr>
    </w:p>
    <w:p w14:paraId="6FD1C91A" w14:textId="77777777" w:rsidR="006979FB" w:rsidRPr="00282A68" w:rsidRDefault="006979FB" w:rsidP="006979FB">
      <w:pPr>
        <w:pStyle w:val="ListParagraph"/>
        <w:suppressAutoHyphens/>
        <w:ind w:left="10"/>
        <w:jc w:val="center"/>
        <w:rPr>
          <w:b/>
          <w:bCs/>
          <w:lang w:val="es-US"/>
        </w:rPr>
      </w:pPr>
      <w:r w:rsidRPr="00282A68">
        <w:rPr>
          <w:b/>
          <w:bCs/>
          <w:lang w:val="es-US"/>
        </w:rPr>
        <w:t>Camila Tort</w:t>
      </w:r>
    </w:p>
    <w:p w14:paraId="5E1CD751" w14:textId="77777777" w:rsidR="006979FB" w:rsidRPr="00282A68" w:rsidRDefault="006979FB" w:rsidP="006979FB">
      <w:pPr>
        <w:pStyle w:val="ListParagraph"/>
        <w:suppressAutoHyphens/>
        <w:ind w:left="10"/>
        <w:jc w:val="center"/>
        <w:rPr>
          <w:lang w:val="es-US" w:eastAsia="es-ES"/>
        </w:rPr>
      </w:pPr>
      <w:r w:rsidRPr="00282A68">
        <w:rPr>
          <w:lang w:val="es-US" w:eastAsia="es-ES"/>
        </w:rPr>
        <w:t>Consultora</w:t>
      </w:r>
    </w:p>
    <w:p w14:paraId="137D2C59" w14:textId="77777777" w:rsidR="006979FB" w:rsidRPr="00282A68" w:rsidRDefault="006979FB" w:rsidP="006979FB">
      <w:pPr>
        <w:pStyle w:val="ListParagraph"/>
        <w:suppressAutoHyphens/>
        <w:ind w:left="10"/>
        <w:jc w:val="center"/>
        <w:rPr>
          <w:lang w:val="es-US" w:eastAsia="es-ES"/>
        </w:rPr>
      </w:pPr>
      <w:r w:rsidRPr="00282A68">
        <w:rPr>
          <w:lang w:val="es-US" w:eastAsia="es-ES"/>
        </w:rPr>
        <w:t xml:space="preserve">Departamento de Cooperación Jurídica </w:t>
      </w:r>
    </w:p>
    <w:p w14:paraId="441B17B7" w14:textId="271BF860" w:rsidR="006979FB" w:rsidRPr="00282A68" w:rsidRDefault="006979FB" w:rsidP="006979FB">
      <w:pPr>
        <w:pStyle w:val="ListParagraph"/>
        <w:suppressAutoHyphens/>
        <w:ind w:left="10"/>
        <w:jc w:val="center"/>
        <w:rPr>
          <w:lang w:val="es-US" w:eastAsia="es-ES"/>
        </w:rPr>
      </w:pPr>
      <w:r w:rsidRPr="00282A68">
        <w:rPr>
          <w:lang w:val="es-US" w:eastAsia="es-ES"/>
        </w:rPr>
        <w:t>Secretaría de Asuntos Jurídicos de la OEA</w:t>
      </w:r>
    </w:p>
    <w:p w14:paraId="77144234" w14:textId="77777777" w:rsidR="006979FB" w:rsidRPr="00282A68" w:rsidRDefault="006979FB" w:rsidP="006979FB">
      <w:pPr>
        <w:pStyle w:val="ListParagraph"/>
        <w:suppressAutoHyphens/>
        <w:ind w:left="10"/>
        <w:jc w:val="center"/>
        <w:rPr>
          <w:b/>
          <w:bCs/>
          <w:lang w:val="es-US"/>
        </w:rPr>
      </w:pPr>
    </w:p>
    <w:p w14:paraId="5BCED048" w14:textId="77777777" w:rsidR="006979FB" w:rsidRPr="00282A68" w:rsidRDefault="006979FB" w:rsidP="006979FB">
      <w:pPr>
        <w:pStyle w:val="ListParagraph"/>
        <w:suppressAutoHyphens/>
        <w:ind w:left="10"/>
        <w:jc w:val="center"/>
        <w:rPr>
          <w:b/>
          <w:bCs/>
          <w:lang w:val="es-US"/>
        </w:rPr>
      </w:pPr>
      <w:r w:rsidRPr="00282A68">
        <w:rPr>
          <w:b/>
          <w:bCs/>
          <w:lang w:val="es-US"/>
        </w:rPr>
        <w:t>Pedro Lupera</w:t>
      </w:r>
    </w:p>
    <w:p w14:paraId="28192E61" w14:textId="77777777" w:rsidR="006979FB" w:rsidRPr="00282A68" w:rsidRDefault="006979FB" w:rsidP="006979FB">
      <w:pPr>
        <w:pStyle w:val="ListParagraph"/>
        <w:suppressAutoHyphens/>
        <w:ind w:left="10"/>
        <w:jc w:val="center"/>
        <w:rPr>
          <w:lang w:val="es-US" w:eastAsia="es-ES"/>
        </w:rPr>
      </w:pPr>
      <w:r w:rsidRPr="00282A68">
        <w:rPr>
          <w:lang w:val="es-US" w:eastAsia="es-ES"/>
        </w:rPr>
        <w:t>Consultor</w:t>
      </w:r>
    </w:p>
    <w:p w14:paraId="6914F901" w14:textId="77777777" w:rsidR="006979FB" w:rsidRPr="00282A68" w:rsidRDefault="006979FB" w:rsidP="006979FB">
      <w:pPr>
        <w:pStyle w:val="ListParagraph"/>
        <w:suppressAutoHyphens/>
        <w:ind w:left="10"/>
        <w:jc w:val="center"/>
        <w:rPr>
          <w:lang w:val="es-US" w:eastAsia="es-ES"/>
        </w:rPr>
      </w:pPr>
      <w:r w:rsidRPr="00282A68">
        <w:rPr>
          <w:lang w:val="es-US" w:eastAsia="es-ES"/>
        </w:rPr>
        <w:t xml:space="preserve">Departamento de Cooperación Jurídica </w:t>
      </w:r>
    </w:p>
    <w:p w14:paraId="5E139F11" w14:textId="64A19D49" w:rsidR="005C4A9C" w:rsidRPr="00282A68" w:rsidRDefault="006979FB" w:rsidP="006979FB">
      <w:pPr>
        <w:pStyle w:val="ListParagraph"/>
        <w:suppressAutoHyphens/>
        <w:ind w:left="10"/>
        <w:jc w:val="center"/>
        <w:rPr>
          <w:lang w:val="es-US" w:eastAsia="es-ES"/>
        </w:rPr>
      </w:pPr>
      <w:r w:rsidRPr="00282A68">
        <w:rPr>
          <w:lang w:val="es-US" w:eastAsia="es-ES"/>
        </w:rPr>
        <w:t>Secretaría de Asuntos Jurídicos de la OEA</w:t>
      </w:r>
    </w:p>
    <w:p w14:paraId="32FED6DA" w14:textId="758532B2" w:rsidR="005C4A9C" w:rsidRPr="00282A68" w:rsidRDefault="005C4A9C">
      <w:pPr>
        <w:rPr>
          <w:rFonts w:eastAsiaTheme="minorEastAsia"/>
          <w:sz w:val="22"/>
          <w:szCs w:val="22"/>
          <w:lang w:val="es-US"/>
        </w:rPr>
      </w:pPr>
      <w:r w:rsidRPr="00282A68">
        <w:rPr>
          <w:lang w:val="es-US"/>
        </w:rPr>
        <w:br w:type="page"/>
      </w:r>
    </w:p>
    <w:p w14:paraId="127853DB" w14:textId="6B563436" w:rsidR="005C4A9C" w:rsidRPr="00282A68" w:rsidRDefault="00CA190B" w:rsidP="005C4A9C">
      <w:pPr>
        <w:jc w:val="center"/>
        <w:rPr>
          <w:sz w:val="22"/>
          <w:szCs w:val="22"/>
          <w:lang w:val="es-US"/>
        </w:rPr>
      </w:pPr>
      <w:r w:rsidRPr="00282A68">
        <w:rPr>
          <w:b/>
          <w:bCs/>
          <w:sz w:val="22"/>
          <w:szCs w:val="22"/>
          <w:lang w:val="es-US"/>
        </w:rPr>
        <w:t>SUMARIO</w:t>
      </w:r>
    </w:p>
    <w:p w14:paraId="2D35B135" w14:textId="77777777" w:rsidR="005C4A9C" w:rsidRPr="00282A68" w:rsidRDefault="005C4A9C" w:rsidP="005C4A9C">
      <w:pPr>
        <w:jc w:val="center"/>
        <w:rPr>
          <w:b/>
          <w:bCs/>
          <w:sz w:val="22"/>
          <w:szCs w:val="22"/>
          <w:lang w:val="es-US"/>
        </w:rPr>
      </w:pPr>
    </w:p>
    <w:p w14:paraId="483F588D" w14:textId="08760BC4" w:rsidR="005458F9" w:rsidRPr="00282A68" w:rsidRDefault="005458F9" w:rsidP="00AB2E54">
      <w:pPr>
        <w:jc w:val="both"/>
        <w:rPr>
          <w:sz w:val="22"/>
          <w:szCs w:val="22"/>
          <w:lang w:val="es-US"/>
        </w:rPr>
      </w:pPr>
      <w:r w:rsidRPr="00282A68">
        <w:rPr>
          <w:sz w:val="22"/>
          <w:szCs w:val="22"/>
          <w:lang w:val="es-US"/>
        </w:rPr>
        <w:t xml:space="preserve">El presente Informe contiene el análisis integral de la implementación en Estados Unidos del Artículo XVI de la Convención Interamericana contra la Corrupción, correspondiente al secreto bancario, que fue seleccionado por el Comité de Expertos del MESICIC para la Sexta Ronda; y el seguimiento de la implementación de las recomendaciones que se le formularon a </w:t>
      </w:r>
      <w:r w:rsidR="00BD4231" w:rsidRPr="00282A68">
        <w:rPr>
          <w:sz w:val="22"/>
          <w:szCs w:val="22"/>
          <w:lang w:val="es-US"/>
        </w:rPr>
        <w:t>Estados Unidos</w:t>
      </w:r>
      <w:r w:rsidRPr="00282A68">
        <w:rPr>
          <w:sz w:val="22"/>
          <w:szCs w:val="22"/>
          <w:lang w:val="es-US"/>
        </w:rPr>
        <w:t xml:space="preserve"> en la Tercera Ronda que corresponden a los temas siguientes: negación o impedimento de beneficios tributarios por pagos que se efectúen en violación de las leyes contra la corrupción (Artículo III, párrafo 7, de la Convención), la prevención del soborno de funcionarios públicos nacionales y extranjeros (Artículo III, párrafo 10, de la Convención), </w:t>
      </w:r>
      <w:r w:rsidR="00037F2C" w:rsidRPr="00282A68">
        <w:rPr>
          <w:sz w:val="22"/>
          <w:szCs w:val="22"/>
          <w:lang w:val="es-US"/>
        </w:rPr>
        <w:t xml:space="preserve">y </w:t>
      </w:r>
      <w:r w:rsidRPr="00282A68">
        <w:rPr>
          <w:sz w:val="22"/>
          <w:szCs w:val="22"/>
          <w:lang w:val="es-US"/>
        </w:rPr>
        <w:t>el soborno transnacional (Artículo VIII de la Convención)</w:t>
      </w:r>
      <w:r w:rsidR="00037F2C" w:rsidRPr="00282A68">
        <w:rPr>
          <w:sz w:val="22"/>
          <w:szCs w:val="22"/>
          <w:lang w:val="es-US"/>
        </w:rPr>
        <w:t>.</w:t>
      </w:r>
    </w:p>
    <w:p w14:paraId="6BF55A70" w14:textId="77777777" w:rsidR="00AB2E54" w:rsidRPr="00282A68" w:rsidRDefault="00AB2E54" w:rsidP="00AB2E54">
      <w:pPr>
        <w:jc w:val="both"/>
        <w:rPr>
          <w:sz w:val="22"/>
          <w:szCs w:val="22"/>
          <w:lang w:val="es-US"/>
        </w:rPr>
      </w:pPr>
    </w:p>
    <w:p w14:paraId="3E9B59B2" w14:textId="07EAE5C2" w:rsidR="00AB2E54" w:rsidRPr="00282A68" w:rsidRDefault="002A483C" w:rsidP="00AB2E54">
      <w:pPr>
        <w:jc w:val="both"/>
        <w:rPr>
          <w:sz w:val="22"/>
          <w:szCs w:val="22"/>
          <w:lang w:val="es-US"/>
        </w:rPr>
      </w:pPr>
      <w:r w:rsidRPr="00282A68">
        <w:rPr>
          <w:sz w:val="22"/>
          <w:szCs w:val="22"/>
          <w:lang w:val="es-US"/>
        </w:rPr>
        <w:t>El análisis se efectuó dentro del marco de la Convención, el Documento de Buenos Aires, el Reglamento del Comité́ y las metodologías adoptadas por el mismo para la realización de las visitas in situ y para la Sexta Ronda, incluidos los criterios allí́ establecidos para orientar los análisis sobre tratamiento igualitario para todos los Estados Parte, equivalencia funcional y el propósito tanto de la Convención como del MESICIC de promover, facilitar y fortalecer la cooperación entre los Estados en la prevención, detección, sanción y erradicación de la corrupción</w:t>
      </w:r>
      <w:r w:rsidR="00AB2E54" w:rsidRPr="00282A68">
        <w:rPr>
          <w:sz w:val="22"/>
          <w:szCs w:val="22"/>
          <w:lang w:val="es-US"/>
        </w:rPr>
        <w:t>.</w:t>
      </w:r>
    </w:p>
    <w:p w14:paraId="68CCE7CA" w14:textId="77777777" w:rsidR="00AB2E54" w:rsidRPr="00282A68" w:rsidRDefault="00AB2E54" w:rsidP="00AB2E54">
      <w:pPr>
        <w:jc w:val="both"/>
        <w:rPr>
          <w:sz w:val="22"/>
          <w:szCs w:val="22"/>
          <w:lang w:val="es-US"/>
        </w:rPr>
      </w:pPr>
    </w:p>
    <w:p w14:paraId="44B0590E" w14:textId="785A1BBE" w:rsidR="0071670E" w:rsidRPr="00282A68" w:rsidRDefault="0071670E" w:rsidP="00AB2E54">
      <w:pPr>
        <w:jc w:val="both"/>
        <w:rPr>
          <w:sz w:val="22"/>
          <w:szCs w:val="22"/>
          <w:lang w:val="es-US"/>
        </w:rPr>
      </w:pPr>
      <w:r w:rsidRPr="00282A68">
        <w:rPr>
          <w:sz w:val="22"/>
          <w:szCs w:val="22"/>
          <w:lang w:val="es-US"/>
        </w:rPr>
        <w:t>Para llevar a cabo los análisis, se contó́ principalmente con la Respuesta de Estados Unidos al Cuestionario y la información recabada durante la visita in situ realizada a dicho Estado del 18 al 20 de octubre de 2023 por parte de los representantes de  Las Bahamas y de Santa Lucia en la cual, con el apoyo de la Secretaria Técnica del MESICIC, se pudo precisar, aclarar y complementar la información suministrada por Estados Unidos, además de escuchar opiniones de organizaciones de la sociedad civil</w:t>
      </w:r>
    </w:p>
    <w:p w14:paraId="4C15F83A" w14:textId="77777777" w:rsidR="00AB2E54" w:rsidRPr="00282A68" w:rsidRDefault="00AB2E54" w:rsidP="00AB2E54">
      <w:pPr>
        <w:jc w:val="both"/>
        <w:rPr>
          <w:sz w:val="22"/>
          <w:szCs w:val="22"/>
          <w:lang w:val="es-US"/>
        </w:rPr>
      </w:pPr>
    </w:p>
    <w:p w14:paraId="01E0AE61" w14:textId="627DDDFA" w:rsidR="00AB2E54" w:rsidRPr="00282A68" w:rsidRDefault="00BD2111" w:rsidP="00AB2E54">
      <w:pPr>
        <w:jc w:val="both"/>
        <w:rPr>
          <w:sz w:val="22"/>
          <w:szCs w:val="22"/>
          <w:lang w:val="es-US"/>
        </w:rPr>
      </w:pPr>
      <w:r w:rsidRPr="00282A68">
        <w:rPr>
          <w:sz w:val="22"/>
          <w:szCs w:val="22"/>
          <w:lang w:val="es-US"/>
        </w:rPr>
        <w:t>En relación con la implementación de las recomendaciones que se le formularon a los Estados Unidos en el Informe de la Tercera Ronda, con base en la Metodología para la Sexta Ronda y teniendo en cuenta la información suministrada en la Respuesta al Cuestionario y en la visita in situ, el Comité definió́ cuáles de dichas recomendaciones fueron implementadas satisfactoriamente; cuáles requieren atención adicional, cuáles se replantean y cuáles ya no tienen vigencia</w:t>
      </w:r>
      <w:r w:rsidR="00AB2E54" w:rsidRPr="00282A68">
        <w:rPr>
          <w:sz w:val="22"/>
          <w:szCs w:val="22"/>
          <w:lang w:val="es-US"/>
        </w:rPr>
        <w:t>.</w:t>
      </w:r>
    </w:p>
    <w:p w14:paraId="11B9AB7F" w14:textId="1AF4DB4A" w:rsidR="00142DB2" w:rsidRPr="00282A68" w:rsidRDefault="00142DB2" w:rsidP="00AB2E54">
      <w:pPr>
        <w:jc w:val="both"/>
        <w:rPr>
          <w:sz w:val="22"/>
          <w:szCs w:val="22"/>
          <w:lang w:val="es-US"/>
        </w:rPr>
      </w:pPr>
    </w:p>
    <w:p w14:paraId="7509BA71" w14:textId="01DAE1FF" w:rsidR="006A6A2C" w:rsidRPr="00282A68" w:rsidRDefault="00142DB2" w:rsidP="006A6A2C">
      <w:pPr>
        <w:jc w:val="both"/>
        <w:rPr>
          <w:bCs/>
          <w:sz w:val="22"/>
          <w:szCs w:val="22"/>
          <w:lang w:val="es-US"/>
        </w:rPr>
      </w:pPr>
      <w:r w:rsidRPr="00282A68">
        <w:rPr>
          <w:sz w:val="22"/>
          <w:szCs w:val="22"/>
          <w:lang w:val="es-US"/>
        </w:rPr>
        <w:t xml:space="preserve">Con respecto a la </w:t>
      </w:r>
      <w:r w:rsidRPr="00282A68">
        <w:rPr>
          <w:b/>
          <w:sz w:val="22"/>
          <w:szCs w:val="22"/>
          <w:lang w:val="es-US"/>
        </w:rPr>
        <w:t>negación o impedimento de beneficios tributarios que se efectúen en violación de las leyes contra la corrupción,</w:t>
      </w:r>
      <w:r w:rsidRPr="00282A68">
        <w:rPr>
          <w:sz w:val="22"/>
          <w:szCs w:val="22"/>
          <w:lang w:val="es-US"/>
        </w:rPr>
        <w:t xml:space="preserve"> cabe destacar </w:t>
      </w:r>
      <w:r w:rsidR="00C86641" w:rsidRPr="00CE2634">
        <w:rPr>
          <w:sz w:val="22"/>
          <w:szCs w:val="22"/>
          <w:lang w:val="es-US"/>
        </w:rPr>
        <w:t xml:space="preserve">que medidas como manuales, </w:t>
      </w:r>
      <w:r w:rsidR="00C86641" w:rsidRPr="00282A68">
        <w:rPr>
          <w:sz w:val="22"/>
          <w:szCs w:val="22"/>
          <w:lang w:val="es-US"/>
        </w:rPr>
        <w:t>guías</w:t>
      </w:r>
      <w:r w:rsidR="00C86641" w:rsidRPr="00CE2634">
        <w:rPr>
          <w:sz w:val="22"/>
          <w:szCs w:val="22"/>
          <w:lang w:val="es-US"/>
        </w:rPr>
        <w:t xml:space="preserve"> o </w:t>
      </w:r>
      <w:r w:rsidR="00C86641" w:rsidRPr="00282A68">
        <w:rPr>
          <w:sz w:val="22"/>
          <w:szCs w:val="22"/>
          <w:lang w:val="es-US"/>
        </w:rPr>
        <w:t>lineamientos</w:t>
      </w:r>
      <w:r w:rsidR="00C86641" w:rsidRPr="00CE2634">
        <w:rPr>
          <w:sz w:val="22"/>
          <w:szCs w:val="22"/>
          <w:lang w:val="es-US"/>
        </w:rPr>
        <w:t xml:space="preserve"> para orientar a quienes revisan las solicitudes para recibir beneficios tributarios; y programas informáticos que faciliten la consulta de datos</w:t>
      </w:r>
      <w:r w:rsidR="00C86641" w:rsidRPr="00282A68">
        <w:rPr>
          <w:sz w:val="22"/>
          <w:szCs w:val="22"/>
          <w:lang w:val="es-US"/>
        </w:rPr>
        <w:t>, s</w:t>
      </w:r>
      <w:r w:rsidR="00C86641" w:rsidRPr="00CE2634">
        <w:rPr>
          <w:sz w:val="22"/>
          <w:szCs w:val="22"/>
          <w:lang w:val="es-US"/>
        </w:rPr>
        <w:t>e han establecido para detectar sumas pagadas por actos de corrupción</w:t>
      </w:r>
      <w:r w:rsidRPr="00282A68">
        <w:rPr>
          <w:sz w:val="22"/>
          <w:szCs w:val="22"/>
          <w:lang w:val="es-US"/>
        </w:rPr>
        <w:t xml:space="preserve">. Con respecto a la </w:t>
      </w:r>
      <w:r w:rsidRPr="00282A68">
        <w:rPr>
          <w:b/>
          <w:bCs/>
          <w:sz w:val="22"/>
          <w:szCs w:val="22"/>
          <w:lang w:val="es-US"/>
        </w:rPr>
        <w:t xml:space="preserve">prevención del soborno de servidores públicos nacionales y extranjeros, </w:t>
      </w:r>
      <w:r w:rsidRPr="00282A68">
        <w:rPr>
          <w:bCs/>
          <w:sz w:val="22"/>
          <w:szCs w:val="22"/>
          <w:lang w:val="es-US"/>
        </w:rPr>
        <w:t>cabe</w:t>
      </w:r>
      <w:r w:rsidRPr="00282A68">
        <w:rPr>
          <w:b/>
          <w:bCs/>
          <w:sz w:val="22"/>
          <w:szCs w:val="22"/>
          <w:lang w:val="es-US"/>
        </w:rPr>
        <w:t xml:space="preserve"> </w:t>
      </w:r>
      <w:r w:rsidRPr="00282A68">
        <w:rPr>
          <w:sz w:val="22"/>
          <w:szCs w:val="22"/>
          <w:lang w:val="es-US"/>
        </w:rPr>
        <w:t xml:space="preserve">destacar </w:t>
      </w:r>
      <w:r w:rsidR="00041325" w:rsidRPr="00282A68">
        <w:rPr>
          <w:sz w:val="22"/>
          <w:szCs w:val="22"/>
          <w:lang w:val="es-US"/>
        </w:rPr>
        <w:t>que se están utilizando programas informáticos que permitan acceder fácilmente a la información necesaria para verificar la veracidad de los registros contables</w:t>
      </w:r>
      <w:r w:rsidRPr="00282A68">
        <w:rPr>
          <w:sz w:val="22"/>
          <w:szCs w:val="22"/>
          <w:lang w:val="es-US"/>
        </w:rPr>
        <w:t xml:space="preserve">. Con respecto al </w:t>
      </w:r>
      <w:r w:rsidRPr="00282A68">
        <w:rPr>
          <w:b/>
          <w:bCs/>
          <w:sz w:val="22"/>
          <w:szCs w:val="22"/>
          <w:lang w:val="es-US"/>
        </w:rPr>
        <w:t xml:space="preserve">soborno transnacional, </w:t>
      </w:r>
      <w:r w:rsidR="006A6A2C" w:rsidRPr="00282A68">
        <w:rPr>
          <w:bCs/>
          <w:sz w:val="22"/>
          <w:szCs w:val="22"/>
          <w:lang w:val="es-US"/>
        </w:rPr>
        <w:t>es pertinente destacar el examen periódico de las políticas y el enfoque sobre pagos de facilitación.</w:t>
      </w:r>
    </w:p>
    <w:p w14:paraId="451CB3DA" w14:textId="792C7F39" w:rsidR="008412E4" w:rsidRPr="00282A68" w:rsidRDefault="008412E4" w:rsidP="006A6A2C">
      <w:pPr>
        <w:jc w:val="both"/>
        <w:rPr>
          <w:bCs/>
          <w:sz w:val="22"/>
          <w:szCs w:val="22"/>
          <w:lang w:val="es-US"/>
        </w:rPr>
      </w:pPr>
    </w:p>
    <w:p w14:paraId="3B19940F" w14:textId="1B86CDC0" w:rsidR="008412E4" w:rsidRPr="00282A68" w:rsidRDefault="008412E4" w:rsidP="006A6A2C">
      <w:pPr>
        <w:jc w:val="both"/>
        <w:rPr>
          <w:bCs/>
          <w:sz w:val="22"/>
          <w:szCs w:val="22"/>
          <w:lang w:val="es-US"/>
        </w:rPr>
      </w:pPr>
      <w:r w:rsidRPr="00282A68">
        <w:rPr>
          <w:bCs/>
          <w:sz w:val="22"/>
          <w:szCs w:val="22"/>
          <w:lang w:val="es-US"/>
        </w:rPr>
        <w:t xml:space="preserve">Algunas de las recomendaciones formuladas en la Tercera Ronda que quedan vigentes o han sido reformuladas apuntan a propósitos tales como: </w:t>
      </w:r>
      <w:r w:rsidR="002A4FE6" w:rsidRPr="00282A68">
        <w:rPr>
          <w:bCs/>
          <w:sz w:val="22"/>
          <w:szCs w:val="22"/>
          <w:lang w:val="es-US"/>
        </w:rPr>
        <w:t xml:space="preserve">continuar haciendo esfuerzos para asegurar que los pagos de facilitación no reciban beneficios tributarios, tomando en consideración que estos pagos no están tipificados como delito en el </w:t>
      </w:r>
      <w:r w:rsidR="007F0B50">
        <w:rPr>
          <w:bCs/>
          <w:sz w:val="22"/>
          <w:szCs w:val="22"/>
          <w:lang w:val="es-US"/>
        </w:rPr>
        <w:t>Estado</w:t>
      </w:r>
      <w:r w:rsidR="002A4FE6" w:rsidRPr="00282A68">
        <w:rPr>
          <w:bCs/>
          <w:sz w:val="22"/>
          <w:szCs w:val="22"/>
          <w:lang w:val="es-US"/>
        </w:rPr>
        <w:t xml:space="preserve"> analizado</w:t>
      </w:r>
      <w:r w:rsidR="00843B75" w:rsidRPr="00282A68">
        <w:rPr>
          <w:bCs/>
          <w:sz w:val="22"/>
          <w:szCs w:val="22"/>
          <w:lang w:val="es-US"/>
        </w:rPr>
        <w:t xml:space="preserve">; </w:t>
      </w:r>
      <w:r w:rsidR="00D22566" w:rsidRPr="00282A68">
        <w:rPr>
          <w:bCs/>
          <w:sz w:val="22"/>
          <w:szCs w:val="22"/>
          <w:lang w:val="es-US"/>
        </w:rPr>
        <w:t>requerir que los examinadores fiscales reciban capacitación obligatoria que los concientice con respecto a su papel en la lucha contra la corrupción, como el soborno, a fin de facilitar la posibilidad de que se hagan remisiones a la IRS-CI sobre la materia</w:t>
      </w:r>
      <w:r w:rsidR="00270CD5" w:rsidRPr="00282A68">
        <w:rPr>
          <w:bCs/>
          <w:sz w:val="22"/>
          <w:szCs w:val="22"/>
          <w:lang w:val="es-US"/>
        </w:rPr>
        <w:t xml:space="preserve">; y </w:t>
      </w:r>
      <w:r w:rsidR="00061B1E" w:rsidRPr="00282A68">
        <w:rPr>
          <w:bCs/>
          <w:sz w:val="22"/>
          <w:szCs w:val="22"/>
          <w:lang w:val="es-US"/>
        </w:rPr>
        <w:t xml:space="preserve">considerar adoptar, a través de los medios que estime apropiados, cualquier medida adicional que pudiera ser beneficiosa a fin de promover </w:t>
      </w:r>
      <w:r w:rsidR="006B6AC7" w:rsidRPr="00282A68">
        <w:rPr>
          <w:bCs/>
          <w:sz w:val="22"/>
          <w:szCs w:val="22"/>
          <w:lang w:val="es-US"/>
        </w:rPr>
        <w:t>aún</w:t>
      </w:r>
      <w:r w:rsidR="00061B1E" w:rsidRPr="00282A68">
        <w:rPr>
          <w:bCs/>
          <w:sz w:val="22"/>
          <w:szCs w:val="22"/>
          <w:lang w:val="es-US"/>
        </w:rPr>
        <w:t xml:space="preserve"> más que la confidencialidad profesional no constituya un obstáculo para que los auditores </w:t>
      </w:r>
      <w:r w:rsidR="00CE6561">
        <w:rPr>
          <w:bCs/>
          <w:sz w:val="22"/>
          <w:szCs w:val="22"/>
          <w:lang w:val="es-US"/>
        </w:rPr>
        <w:t xml:space="preserve">del sector privado </w:t>
      </w:r>
      <w:r w:rsidR="00061B1E" w:rsidRPr="00282A68">
        <w:rPr>
          <w:bCs/>
          <w:sz w:val="22"/>
          <w:szCs w:val="22"/>
          <w:lang w:val="es-US"/>
        </w:rPr>
        <w:t>cuyas actividades estén regidas por el AICPA y su Código de Conducta notifiquen a las autoridades correspondientes cualquier acto de corrupción de que tengan conocimiento en el ejercicio de su trabajo.</w:t>
      </w:r>
    </w:p>
    <w:p w14:paraId="78E2DBD4" w14:textId="5439427A" w:rsidR="00AB2E54" w:rsidRPr="00282A68" w:rsidRDefault="00AB2E54" w:rsidP="00AB2E54">
      <w:pPr>
        <w:jc w:val="both"/>
        <w:rPr>
          <w:sz w:val="22"/>
          <w:szCs w:val="22"/>
          <w:lang w:val="es-US"/>
        </w:rPr>
      </w:pPr>
    </w:p>
    <w:p w14:paraId="33B81DCF" w14:textId="66117B4D" w:rsidR="006B6AC7" w:rsidRPr="00282A68" w:rsidRDefault="006B6AC7" w:rsidP="00AB2E54">
      <w:pPr>
        <w:jc w:val="both"/>
        <w:rPr>
          <w:sz w:val="22"/>
          <w:szCs w:val="22"/>
          <w:lang w:val="es-US"/>
        </w:rPr>
      </w:pPr>
      <w:r w:rsidRPr="00282A68">
        <w:rPr>
          <w:sz w:val="22"/>
          <w:szCs w:val="22"/>
          <w:lang w:val="es-US"/>
        </w:rPr>
        <w:t xml:space="preserve">Asimismo, a partir de los análisis a los nuevos desarrollos dados por Estados Unidos en relación con la implementación de las disposiciones de la Convención seleccionadas para la Tercera Ronda, el Comité formuló recomendaciones tales como </w:t>
      </w:r>
      <w:r w:rsidR="0008349D" w:rsidRPr="00282A68">
        <w:rPr>
          <w:bCs/>
          <w:iCs/>
          <w:sz w:val="22"/>
          <w:szCs w:val="22"/>
          <w:lang w:val="es-US"/>
        </w:rPr>
        <w:t>considerar la posibilidad de tomar las medidas legislativas necesarias para eliminar la excepción de los pagos de facilitación en la Ley de Prácticas Corruptas en el Extranjero.</w:t>
      </w:r>
    </w:p>
    <w:p w14:paraId="27D107A9" w14:textId="77777777" w:rsidR="006B6AC7" w:rsidRPr="00282A68" w:rsidRDefault="006B6AC7" w:rsidP="00AB2E54">
      <w:pPr>
        <w:jc w:val="both"/>
        <w:rPr>
          <w:sz w:val="22"/>
          <w:szCs w:val="22"/>
          <w:lang w:val="es-US"/>
        </w:rPr>
      </w:pPr>
    </w:p>
    <w:p w14:paraId="0E75350A" w14:textId="51DA9816" w:rsidR="00224F6D" w:rsidRPr="00282A68" w:rsidRDefault="00224F6D" w:rsidP="00AB2E54">
      <w:pPr>
        <w:jc w:val="both"/>
        <w:rPr>
          <w:bCs/>
          <w:sz w:val="22"/>
          <w:szCs w:val="22"/>
          <w:lang w:val="es-US"/>
        </w:rPr>
      </w:pPr>
      <w:r w:rsidRPr="00282A68">
        <w:rPr>
          <w:bCs/>
          <w:sz w:val="22"/>
          <w:szCs w:val="22"/>
          <w:lang w:val="es-US"/>
        </w:rPr>
        <w:t xml:space="preserve">Para el análisis de las disposiciones seleccionadas en la Sexta Ronda que se refieren al </w:t>
      </w:r>
      <w:r w:rsidRPr="00282A68">
        <w:rPr>
          <w:b/>
          <w:bCs/>
          <w:sz w:val="22"/>
          <w:szCs w:val="22"/>
          <w:lang w:val="es-US"/>
        </w:rPr>
        <w:t>secreto bancario</w:t>
      </w:r>
      <w:r w:rsidRPr="00282A68">
        <w:rPr>
          <w:bCs/>
          <w:sz w:val="22"/>
          <w:szCs w:val="22"/>
          <w:lang w:val="es-US"/>
        </w:rPr>
        <w:t xml:space="preserve">, algunas de las recomendaciones formuladas a Estados Unidos para su consideración apuntan a propósitos tales como: </w:t>
      </w:r>
      <w:r w:rsidR="00D60A50">
        <w:rPr>
          <w:bCs/>
          <w:sz w:val="22"/>
          <w:szCs w:val="22"/>
          <w:lang w:val="es-US"/>
        </w:rPr>
        <w:t>e</w:t>
      </w:r>
      <w:r w:rsidR="00D60A50" w:rsidRPr="00D60A50">
        <w:rPr>
          <w:bCs/>
          <w:sz w:val="22"/>
          <w:szCs w:val="22"/>
          <w:lang w:val="es-US"/>
        </w:rPr>
        <w:t>valuar regularmente las practicas utilizadas para asegura que la información bancaria recibida por los Estados Unidos solo se utilice para el propósito para el cual se solicitó la información</w:t>
      </w:r>
      <w:r w:rsidRPr="00282A68">
        <w:rPr>
          <w:bCs/>
          <w:sz w:val="22"/>
          <w:szCs w:val="22"/>
          <w:lang w:val="es-US"/>
        </w:rPr>
        <w:t xml:space="preserve">; y </w:t>
      </w:r>
      <w:r w:rsidR="00215ABC" w:rsidRPr="00282A68">
        <w:rPr>
          <w:bCs/>
          <w:iCs/>
          <w:sz w:val="22"/>
          <w:szCs w:val="22"/>
          <w:lang w:val="es-US"/>
        </w:rPr>
        <w:t>evaluar regularmente si las políticas y prácticas vigentes permiten procesar y responder de manera oportuna a las solicitudes de asistencia de otro Estado Parte para obtener información bancaria relacionada con un acto de corrupción.</w:t>
      </w:r>
    </w:p>
    <w:sectPr w:rsidR="00224F6D" w:rsidRPr="00282A68" w:rsidSect="006D76BC">
      <w:type w:val="continuous"/>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AB9C" w14:textId="77777777" w:rsidR="009F38BE" w:rsidRDefault="009F38BE" w:rsidP="00D12559">
      <w:r>
        <w:separator/>
      </w:r>
    </w:p>
  </w:endnote>
  <w:endnote w:type="continuationSeparator" w:id="0">
    <w:p w14:paraId="288FF6E1" w14:textId="77777777" w:rsidR="009F38BE" w:rsidRDefault="009F38BE" w:rsidP="00D12559">
      <w:r>
        <w:continuationSeparator/>
      </w:r>
    </w:p>
  </w:endnote>
  <w:endnote w:type="continuationNotice" w:id="1">
    <w:p w14:paraId="0B37CC1F" w14:textId="77777777" w:rsidR="009F38BE" w:rsidRDefault="009F3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ernino Sans">
    <w:altName w:val="Calibri"/>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ECF3" w14:textId="77777777" w:rsidR="00FB448C" w:rsidRDefault="00FB448C" w:rsidP="00F449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C204E9" w14:textId="77777777" w:rsidR="00FB448C" w:rsidRDefault="00FB448C" w:rsidP="00F44977">
    <w:pPr>
      <w:pStyle w:val="Footer"/>
      <w:ind w:right="360"/>
    </w:pPr>
  </w:p>
  <w:p w14:paraId="03A147DA" w14:textId="77777777" w:rsidR="00FB448C" w:rsidRDefault="00FB44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436F" w14:textId="77777777" w:rsidR="00FB448C" w:rsidRDefault="00FB448C" w:rsidP="00F449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9BE6" w14:textId="77777777" w:rsidR="009F38BE" w:rsidRDefault="009F38BE" w:rsidP="00D12559">
      <w:r>
        <w:separator/>
      </w:r>
    </w:p>
  </w:footnote>
  <w:footnote w:type="continuationSeparator" w:id="0">
    <w:p w14:paraId="4C0ED821" w14:textId="77777777" w:rsidR="009F38BE" w:rsidRDefault="009F38BE" w:rsidP="00D12559">
      <w:r>
        <w:continuationSeparator/>
      </w:r>
    </w:p>
  </w:footnote>
  <w:footnote w:type="continuationNotice" w:id="1">
    <w:p w14:paraId="6B7D1B52" w14:textId="77777777" w:rsidR="009F38BE" w:rsidRDefault="009F38BE"/>
  </w:footnote>
  <w:footnote w:id="2">
    <w:p w14:paraId="19CC8511" w14:textId="0A901482" w:rsidR="00FB448C" w:rsidRPr="007154F4" w:rsidRDefault="00FB448C"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4E562A" w:rsidRPr="007154F4">
        <w:rPr>
          <w:sz w:val="18"/>
          <w:szCs w:val="18"/>
          <w:lang w:val="es-US"/>
        </w:rPr>
        <w:t xml:space="preserve">El presente proyecto de informe preliminar fue elaborado de acuerdo con lo dispuesto en los artículos 23, a) y 28 del Reglamento del Comité (documento SG/MESICIC/doc.9/02 </w:t>
      </w:r>
      <w:proofErr w:type="spellStart"/>
      <w:r w:rsidR="004E562A" w:rsidRPr="007154F4">
        <w:rPr>
          <w:sz w:val="18"/>
          <w:szCs w:val="18"/>
          <w:lang w:val="es-US"/>
        </w:rPr>
        <w:t>rev.</w:t>
      </w:r>
      <w:proofErr w:type="spellEnd"/>
      <w:r w:rsidR="004E562A" w:rsidRPr="007154F4">
        <w:rPr>
          <w:sz w:val="18"/>
          <w:szCs w:val="18"/>
          <w:lang w:val="es-US"/>
        </w:rPr>
        <w:t xml:space="preserve"> 5), así como con la Metodología para el Seguimiento de la Implementación de las Recomendaciones Formuladas y las Disposiciones Analizadas en la Tercera Ronda y para el Análisis de la Disposición de la Convención Seleccionada para la Sexta Ronda (“Metodología para la Sexta Ronda”) (documento (SG/MESICIC/doc.561/20 rev.3) y la Estructura para los Informes por Estado, estos dos últimos documentos adoptados por el Comité, en su Trigésima Cuarta Reunión, la cual tuvo lugar en la sede de la OEA, en Washington, D.C., Estados Unidos, del 9 al 12 de marzo de 2020</w:t>
      </w:r>
      <w:r w:rsidRPr="007154F4">
        <w:rPr>
          <w:sz w:val="18"/>
          <w:szCs w:val="18"/>
          <w:lang w:val="es-US"/>
        </w:rPr>
        <w:t>.</w:t>
      </w:r>
    </w:p>
  </w:footnote>
  <w:footnote w:id="3">
    <w:p w14:paraId="5F87D1E7" w14:textId="77777777" w:rsidR="0087093C" w:rsidRPr="007154F4" w:rsidRDefault="0087093C" w:rsidP="0087093C">
      <w:pPr>
        <w:jc w:val="both"/>
        <w:rPr>
          <w:sz w:val="18"/>
          <w:szCs w:val="18"/>
          <w:lang w:val="es-US"/>
        </w:rPr>
      </w:pPr>
      <w:r w:rsidRPr="007154F4">
        <w:rPr>
          <w:rStyle w:val="FootnoteReference"/>
          <w:sz w:val="18"/>
          <w:szCs w:val="18"/>
          <w:lang w:val="es-US"/>
        </w:rPr>
        <w:footnoteRef/>
      </w:r>
      <w:r w:rsidRPr="007154F4">
        <w:rPr>
          <w:sz w:val="18"/>
          <w:szCs w:val="18"/>
          <w:lang w:val="es-US"/>
        </w:rPr>
        <w:t xml:space="preserve"> </w:t>
      </w:r>
      <w:hyperlink r:id="rId1" w:history="1">
        <w:r w:rsidRPr="007154F4">
          <w:rPr>
            <w:rStyle w:val="Hyperlink"/>
            <w:sz w:val="18"/>
            <w:szCs w:val="18"/>
            <w:lang w:val="es-US"/>
          </w:rPr>
          <w:t>Acta de la 34ª Reunión del Comité</w:t>
        </w:r>
      </w:hyperlink>
      <w:r w:rsidRPr="007154F4">
        <w:rPr>
          <w:sz w:val="18"/>
          <w:szCs w:val="18"/>
          <w:lang w:val="es-US"/>
        </w:rPr>
        <w:t>.</w:t>
      </w:r>
    </w:p>
  </w:footnote>
  <w:footnote w:id="4">
    <w:p w14:paraId="788C7936" w14:textId="77777777" w:rsidR="0087093C" w:rsidRPr="007154F4" w:rsidRDefault="0087093C" w:rsidP="0087093C">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Informe Relativo a la Implementación en los Estados Unidos de las Disposiciones de la Convención Seleccionadas para ser Analizadas en la Tercera Ronda, y sobre el Seguimiento de las Recomendaciones Formuladas a dicho País en las Rondas Anteriores: </w:t>
      </w:r>
      <w:hyperlink r:id="rId2" w:history="1">
        <w:r w:rsidRPr="007154F4">
          <w:rPr>
            <w:rStyle w:val="Hyperlink"/>
            <w:rFonts w:eastAsia="Yu Gothic Light"/>
            <w:sz w:val="18"/>
            <w:szCs w:val="18"/>
            <w:lang w:val="es-US"/>
          </w:rPr>
          <w:t>https://www.oas.org/es/sla/dlc/mesicic/docs/mesicic3_usa_inf.pdf</w:t>
        </w:r>
      </w:hyperlink>
    </w:p>
  </w:footnote>
  <w:footnote w:id="5">
    <w:p w14:paraId="29B3B606" w14:textId="77777777" w:rsidR="00B521EB" w:rsidRPr="007154F4" w:rsidRDefault="00B521EB" w:rsidP="00B521EB">
      <w:pPr>
        <w:pStyle w:val="FootnoteText"/>
        <w:jc w:val="both"/>
        <w:rPr>
          <w:noProof/>
          <w:sz w:val="18"/>
          <w:szCs w:val="18"/>
          <w:lang w:val="es-US"/>
        </w:rPr>
      </w:pPr>
      <w:r w:rsidRPr="007154F4">
        <w:rPr>
          <w:rStyle w:val="FootnoteCharacters"/>
          <w:noProof/>
          <w:sz w:val="18"/>
          <w:szCs w:val="18"/>
          <w:lang w:val="es-US"/>
        </w:rPr>
        <w:footnoteRef/>
      </w:r>
      <w:r w:rsidRPr="007154F4">
        <w:rPr>
          <w:noProof/>
          <w:sz w:val="18"/>
          <w:szCs w:val="18"/>
          <w:lang w:val="es-US"/>
        </w:rPr>
        <w:t xml:space="preserve"> Disponible en: </w:t>
      </w:r>
      <w:hyperlink r:id="rId3" w:history="1">
        <w:r w:rsidRPr="007154F4">
          <w:rPr>
            <w:rStyle w:val="Hyperlink"/>
            <w:noProof/>
            <w:sz w:val="18"/>
            <w:szCs w:val="18"/>
            <w:lang w:val="es-US"/>
          </w:rPr>
          <w:t>https://www.oas.org/es/sla/dlc/mesicic/paises-rondas.html?c=Estados%20Unidos&amp;r=6</w:t>
        </w:r>
      </w:hyperlink>
      <w:r w:rsidRPr="007154F4">
        <w:rPr>
          <w:noProof/>
          <w:sz w:val="18"/>
          <w:szCs w:val="18"/>
          <w:lang w:val="es-US"/>
        </w:rPr>
        <w:t xml:space="preserve"> </w:t>
      </w:r>
    </w:p>
  </w:footnote>
  <w:footnote w:id="6">
    <w:p w14:paraId="6E5AC0CB" w14:textId="77777777" w:rsidR="00B521EB" w:rsidRPr="007154F4" w:rsidRDefault="00B521EB" w:rsidP="00B521EB">
      <w:pPr>
        <w:pStyle w:val="FootnoteText"/>
        <w:rPr>
          <w:sz w:val="18"/>
          <w:szCs w:val="18"/>
          <w:lang w:val="es-US"/>
        </w:rPr>
      </w:pPr>
      <w:r w:rsidRPr="007154F4">
        <w:rPr>
          <w:rStyle w:val="FootnoteReference"/>
          <w:sz w:val="18"/>
          <w:szCs w:val="18"/>
          <w:lang w:val="es-US"/>
        </w:rPr>
        <w:footnoteRef/>
      </w:r>
      <w:r w:rsidRPr="007154F4">
        <w:rPr>
          <w:sz w:val="18"/>
          <w:szCs w:val="18"/>
          <w:lang w:val="es-US"/>
        </w:rPr>
        <w:t xml:space="preserve"> Disponible en: </w:t>
      </w:r>
      <w:hyperlink r:id="rId4" w:history="1">
        <w:r w:rsidRPr="007154F4">
          <w:rPr>
            <w:rStyle w:val="Hyperlink"/>
            <w:sz w:val="18"/>
            <w:szCs w:val="18"/>
            <w:lang w:val="es-US"/>
          </w:rPr>
          <w:t>http://www.oas.org/juridico/spanish/met_insitu.pdf</w:t>
        </w:r>
      </w:hyperlink>
    </w:p>
  </w:footnote>
  <w:footnote w:id="7">
    <w:p w14:paraId="2AA329ED" w14:textId="77777777" w:rsidR="00B521EB" w:rsidRPr="007154F4" w:rsidRDefault="00B521EB" w:rsidP="00B521EB">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Disponible en: </w:t>
      </w:r>
      <w:hyperlink r:id="rId5" w:history="1">
        <w:r w:rsidRPr="007154F4">
          <w:rPr>
            <w:rStyle w:val="Hyperlink"/>
            <w:sz w:val="18"/>
            <w:szCs w:val="18"/>
            <w:lang w:val="es-US"/>
          </w:rPr>
          <w:t>http://www.oas.org/es/sla/dlc/mesicic/docs/mesicic4_rules_es.pdf</w:t>
        </w:r>
      </w:hyperlink>
      <w:r w:rsidRPr="007154F4">
        <w:rPr>
          <w:sz w:val="18"/>
          <w:szCs w:val="18"/>
          <w:lang w:val="es-US"/>
        </w:rPr>
        <w:t xml:space="preserve"> </w:t>
      </w:r>
    </w:p>
  </w:footnote>
  <w:footnote w:id="8">
    <w:p w14:paraId="508C3E71" w14:textId="77777777" w:rsidR="00B521EB" w:rsidRPr="007154F4" w:rsidRDefault="00B521EB" w:rsidP="00B521EB">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Disponible en: </w:t>
      </w:r>
      <w:hyperlink r:id="rId6" w:history="1">
        <w:r w:rsidRPr="007154F4">
          <w:rPr>
            <w:rStyle w:val="Hyperlink"/>
            <w:sz w:val="18"/>
            <w:szCs w:val="18"/>
            <w:lang w:val="es-US"/>
          </w:rPr>
          <w:t>http://www.oas.org/es/sla/dlc/mesicic/docs/mesicic6_metodologia.pdf</w:t>
        </w:r>
      </w:hyperlink>
      <w:r w:rsidRPr="007154F4">
        <w:rPr>
          <w:sz w:val="18"/>
          <w:szCs w:val="18"/>
          <w:lang w:val="es-US"/>
        </w:rPr>
        <w:t xml:space="preserve"> </w:t>
      </w:r>
    </w:p>
  </w:footnote>
  <w:footnote w:id="9">
    <w:p w14:paraId="418E613F" w14:textId="77777777" w:rsidR="00CA211E" w:rsidRPr="007154F4" w:rsidRDefault="00CA211E" w:rsidP="00CA211E">
      <w:pPr>
        <w:pStyle w:val="FootnoteText"/>
        <w:jc w:val="both"/>
        <w:rPr>
          <w:sz w:val="18"/>
          <w:szCs w:val="18"/>
          <w:lang w:val="es-US"/>
        </w:rPr>
      </w:pPr>
      <w:r w:rsidRPr="007154F4">
        <w:rPr>
          <w:sz w:val="18"/>
          <w:szCs w:val="18"/>
          <w:vertAlign w:val="superscript"/>
          <w:lang w:val="es-US"/>
        </w:rPr>
        <w:footnoteRef/>
      </w:r>
      <w:r w:rsidRPr="007154F4">
        <w:rPr>
          <w:sz w:val="18"/>
          <w:szCs w:val="18"/>
          <w:lang w:val="es-US"/>
        </w:rPr>
        <w:t xml:space="preserve"> Véase el Informe sobre la Tercera Ronda, </w:t>
      </w:r>
      <w:r w:rsidRPr="007154F4">
        <w:rPr>
          <w:i/>
          <w:iCs/>
          <w:sz w:val="18"/>
          <w:szCs w:val="18"/>
          <w:lang w:val="es-US"/>
        </w:rPr>
        <w:t>supra</w:t>
      </w:r>
      <w:r w:rsidRPr="007154F4">
        <w:rPr>
          <w:sz w:val="18"/>
          <w:szCs w:val="18"/>
          <w:lang w:val="es-US"/>
        </w:rPr>
        <w:t xml:space="preserve"> nota 3.</w:t>
      </w:r>
    </w:p>
  </w:footnote>
  <w:footnote w:id="10">
    <w:p w14:paraId="38AB7CC3" w14:textId="77777777" w:rsidR="002E4097" w:rsidRPr="007154F4" w:rsidRDefault="002E4097" w:rsidP="002E4097">
      <w:pPr>
        <w:pStyle w:val="ListParagraph"/>
        <w:ind w:left="10"/>
        <w:jc w:val="both"/>
        <w:rPr>
          <w:color w:val="000000"/>
          <w:sz w:val="18"/>
          <w:szCs w:val="18"/>
          <w:lang w:val="es-US"/>
        </w:rPr>
      </w:pPr>
      <w:r w:rsidRPr="007154F4">
        <w:rPr>
          <w:rStyle w:val="FootnoteReference"/>
          <w:color w:val="000000"/>
          <w:sz w:val="18"/>
          <w:szCs w:val="18"/>
          <w:lang w:val="es-US"/>
        </w:rPr>
        <w:footnoteRef/>
      </w:r>
      <w:r w:rsidRPr="007154F4">
        <w:rPr>
          <w:rStyle w:val="PageNumber"/>
          <w:color w:val="000000"/>
          <w:sz w:val="18"/>
          <w:szCs w:val="18"/>
          <w:lang w:val="es-US"/>
        </w:rPr>
        <w:t xml:space="preserve"> </w:t>
      </w:r>
      <w:r w:rsidRPr="007154F4">
        <w:rPr>
          <w:rFonts w:eastAsia="Times New Roman"/>
          <w:sz w:val="18"/>
          <w:szCs w:val="18"/>
          <w:lang w:val="es-US" w:eastAsia="es-ES"/>
        </w:rPr>
        <w:t>Para efectos del presente informe, el Comité de Expertos del MESICIC ha considerado como beneficio tributario toda exoneración impositiva y cualquier concepto deducible de la determinación de la base imponible de la renta y otros, que determinen reducciones favorables al monto impositivo de los contribuyentes.</w:t>
      </w:r>
    </w:p>
  </w:footnote>
  <w:footnote w:id="11">
    <w:p w14:paraId="5920CABB" w14:textId="53791EA2" w:rsidR="00841CBE" w:rsidRPr="007154F4" w:rsidRDefault="00841CBE"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6A72E3" w:rsidRPr="007154F4">
        <w:rPr>
          <w:sz w:val="18"/>
          <w:szCs w:val="18"/>
          <w:lang w:val="es-US"/>
        </w:rPr>
        <w:t>Respuesta de Estados Unidos al Cuestionario de la Sexta Ronda, págs. 7 – 9, disponible en</w:t>
      </w:r>
      <w:r w:rsidRPr="007154F4">
        <w:rPr>
          <w:sz w:val="18"/>
          <w:szCs w:val="18"/>
          <w:lang w:val="es-US"/>
        </w:rPr>
        <w:t xml:space="preserve">: </w:t>
      </w:r>
      <w:hyperlink r:id="rId7" w:history="1">
        <w:r w:rsidR="00D601BC" w:rsidRPr="007154F4">
          <w:rPr>
            <w:rStyle w:val="Hyperlink"/>
            <w:sz w:val="18"/>
            <w:szCs w:val="18"/>
            <w:lang w:val="es-US"/>
          </w:rPr>
          <w:t>http://www.oas.org/en/sla/dlc/mesicic/docs/mesicic6_us_response_annex.pdf</w:t>
        </w:r>
      </w:hyperlink>
      <w:r w:rsidR="00D601BC" w:rsidRPr="007154F4">
        <w:rPr>
          <w:sz w:val="18"/>
          <w:szCs w:val="18"/>
          <w:lang w:val="es-US"/>
        </w:rPr>
        <w:t xml:space="preserve"> </w:t>
      </w:r>
    </w:p>
  </w:footnote>
  <w:footnote w:id="12">
    <w:p w14:paraId="38868DC5" w14:textId="10384154" w:rsidR="00823C32" w:rsidRPr="007154F4" w:rsidRDefault="00823C32"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Ibid.</w:t>
      </w:r>
      <w:r w:rsidRPr="007154F4">
        <w:rPr>
          <w:sz w:val="18"/>
          <w:szCs w:val="18"/>
          <w:lang w:val="es-US"/>
        </w:rPr>
        <w:t xml:space="preserve">, </w:t>
      </w:r>
      <w:r w:rsidR="000C2E83" w:rsidRPr="007154F4">
        <w:rPr>
          <w:sz w:val="18"/>
          <w:szCs w:val="18"/>
          <w:lang w:val="es-US"/>
        </w:rPr>
        <w:t>pág.</w:t>
      </w:r>
      <w:r w:rsidRPr="007154F4">
        <w:rPr>
          <w:sz w:val="18"/>
          <w:szCs w:val="18"/>
          <w:lang w:val="es-US"/>
        </w:rPr>
        <w:t xml:space="preserve"> </w:t>
      </w:r>
      <w:r w:rsidR="007558DF" w:rsidRPr="007154F4">
        <w:rPr>
          <w:sz w:val="18"/>
          <w:szCs w:val="18"/>
          <w:lang w:val="es-US"/>
        </w:rPr>
        <w:t>8.</w:t>
      </w:r>
    </w:p>
  </w:footnote>
  <w:footnote w:id="13">
    <w:p w14:paraId="4EB06233" w14:textId="5430EC78" w:rsidR="007558DF" w:rsidRPr="007154F4" w:rsidRDefault="007558DF" w:rsidP="004C3313">
      <w:pPr>
        <w:pStyle w:val="FootnoteText"/>
        <w:jc w:val="both"/>
        <w:rPr>
          <w:sz w:val="18"/>
          <w:szCs w:val="18"/>
          <w:lang w:val="fr-CA"/>
        </w:rPr>
      </w:pPr>
      <w:r w:rsidRPr="007154F4">
        <w:rPr>
          <w:rStyle w:val="FootnoteReference"/>
          <w:sz w:val="18"/>
          <w:szCs w:val="18"/>
          <w:lang w:val="es-US"/>
        </w:rPr>
        <w:footnoteRef/>
      </w:r>
      <w:r w:rsidRPr="007154F4">
        <w:rPr>
          <w:sz w:val="18"/>
          <w:szCs w:val="18"/>
          <w:lang w:val="es-US"/>
        </w:rPr>
        <w:t xml:space="preserve"> </w:t>
      </w:r>
      <w:r w:rsidR="0051655C" w:rsidRPr="007154F4">
        <w:rPr>
          <w:rStyle w:val="FootnoteReference"/>
          <w:vanish/>
          <w:sz w:val="18"/>
          <w:szCs w:val="18"/>
          <w:lang w:val="es-US"/>
        </w:rPr>
        <w:footnoteRef/>
      </w:r>
      <w:r w:rsidR="0051655C" w:rsidRPr="007154F4">
        <w:rPr>
          <w:vanish/>
          <w:sz w:val="18"/>
          <w:szCs w:val="18"/>
          <w:lang w:val="es-US"/>
        </w:rPr>
        <w:t xml:space="preserve"> </w:t>
      </w:r>
      <w:r w:rsidR="0051655C" w:rsidRPr="007154F4">
        <w:rPr>
          <w:i/>
          <w:iCs/>
          <w:sz w:val="18"/>
          <w:szCs w:val="18"/>
          <w:lang w:val="es-US"/>
        </w:rPr>
        <w:t>Ibid</w:t>
      </w:r>
      <w:r w:rsidR="0051655C" w:rsidRPr="007154F4">
        <w:rPr>
          <w:sz w:val="18"/>
          <w:szCs w:val="18"/>
          <w:lang w:val="es-US"/>
        </w:rPr>
        <w:t xml:space="preserve">. La sección 162(c)(1) del Código Tributario establece que: </w:t>
      </w:r>
      <w:r w:rsidR="0051655C" w:rsidRPr="007154F4">
        <w:rPr>
          <w:i/>
          <w:sz w:val="18"/>
          <w:szCs w:val="18"/>
          <w:lang w:val="es-US"/>
        </w:rPr>
        <w:t>“No se autorizará ninguna deducción</w:t>
      </w:r>
      <w:r w:rsidR="00167FF9" w:rsidRPr="007154F4">
        <w:rPr>
          <w:i/>
          <w:sz w:val="18"/>
          <w:szCs w:val="18"/>
          <w:lang w:val="es-US"/>
        </w:rPr>
        <w:t xml:space="preserve"> (</w:t>
      </w:r>
      <w:r w:rsidR="0051655C" w:rsidRPr="007154F4">
        <w:rPr>
          <w:i/>
          <w:sz w:val="18"/>
          <w:szCs w:val="18"/>
          <w:lang w:val="es-US"/>
        </w:rPr>
        <w:t>…</w:t>
      </w:r>
      <w:r w:rsidR="00167FF9" w:rsidRPr="007154F4">
        <w:rPr>
          <w:i/>
          <w:sz w:val="18"/>
          <w:szCs w:val="18"/>
          <w:lang w:val="es-US"/>
        </w:rPr>
        <w:t>)</w:t>
      </w:r>
      <w:r w:rsidR="002E6549" w:rsidRPr="007154F4">
        <w:rPr>
          <w:i/>
          <w:sz w:val="18"/>
          <w:szCs w:val="18"/>
          <w:lang w:val="es-US"/>
        </w:rPr>
        <w:t xml:space="preserve"> </w:t>
      </w:r>
      <w:r w:rsidR="0051655C" w:rsidRPr="007154F4">
        <w:rPr>
          <w:i/>
          <w:sz w:val="18"/>
          <w:szCs w:val="18"/>
          <w:lang w:val="es-US"/>
        </w:rPr>
        <w:t>por ningún pago realizado directa o indirectamente a un funcionario o empleado de cualquier gobierno, o de cualquier organismo o dependencia de cualquier gobierno, si dicho pago constituye un soborno o comisión ilegal o, si dicho pago es a un funcionario o empleado de un gobierno extranjero, dicho pago es ilegal conforme a la Ley de Prácticas Corruptas en el Extranjero de 1977.”</w:t>
      </w:r>
      <w:r w:rsidR="0051655C" w:rsidRPr="007154F4">
        <w:rPr>
          <w:sz w:val="18"/>
          <w:szCs w:val="18"/>
          <w:lang w:val="es-US"/>
        </w:rPr>
        <w:t xml:space="preserve"> </w:t>
      </w:r>
      <w:proofErr w:type="spellStart"/>
      <w:r w:rsidR="0051655C" w:rsidRPr="007154F4">
        <w:rPr>
          <w:sz w:val="18"/>
          <w:szCs w:val="18"/>
          <w:lang w:val="fr-CA"/>
        </w:rPr>
        <w:t>Véase</w:t>
      </w:r>
      <w:proofErr w:type="spellEnd"/>
      <w:r w:rsidR="0051655C" w:rsidRPr="007154F4">
        <w:rPr>
          <w:sz w:val="18"/>
          <w:szCs w:val="18"/>
          <w:lang w:val="fr-CA"/>
        </w:rPr>
        <w:t xml:space="preserve"> </w:t>
      </w:r>
      <w:hyperlink r:id="rId8" w:history="1">
        <w:r w:rsidR="0051655C" w:rsidRPr="007154F4">
          <w:rPr>
            <w:rStyle w:val="Hyperlink"/>
            <w:sz w:val="18"/>
            <w:szCs w:val="18"/>
            <w:lang w:val="fr-CA"/>
          </w:rPr>
          <w:t>https://www.law.cornell.edu/uscode/text/26/subtitle-A/chapter-1/subchapter-B/part-VI</w:t>
        </w:r>
      </w:hyperlink>
      <w:r w:rsidR="0051655C" w:rsidRPr="007154F4">
        <w:rPr>
          <w:vanish/>
          <w:sz w:val="18"/>
          <w:szCs w:val="18"/>
          <w:lang w:val="fr-CA"/>
        </w:rPr>
        <w:t xml:space="preserve"> </w:t>
      </w:r>
    </w:p>
  </w:footnote>
  <w:footnote w:id="14">
    <w:p w14:paraId="08F1FEDA" w14:textId="387E2DB8" w:rsidR="00875249" w:rsidRPr="007154F4" w:rsidRDefault="00875249">
      <w:pPr>
        <w:pStyle w:val="FootnoteText"/>
        <w:rPr>
          <w:sz w:val="18"/>
          <w:szCs w:val="18"/>
          <w:lang w:val="es-US"/>
        </w:rPr>
      </w:pPr>
      <w:r w:rsidRPr="007154F4">
        <w:rPr>
          <w:rStyle w:val="FootnoteReference"/>
          <w:sz w:val="18"/>
          <w:szCs w:val="18"/>
        </w:rPr>
        <w:footnoteRef/>
      </w:r>
      <w:r w:rsidRPr="007154F4">
        <w:rPr>
          <w:sz w:val="18"/>
          <w:szCs w:val="18"/>
        </w:rPr>
        <w:t xml:space="preserve"> </w:t>
      </w:r>
      <w:r w:rsidR="00C224B4" w:rsidRPr="007154F4">
        <w:rPr>
          <w:sz w:val="18"/>
          <w:szCs w:val="18"/>
          <w:lang w:val="es-US"/>
        </w:rPr>
        <w:t xml:space="preserve">Respuesta al Cuestionario, págs. 7 – 8, </w:t>
      </w:r>
      <w:r w:rsidR="00C224B4" w:rsidRPr="007154F4">
        <w:rPr>
          <w:i/>
          <w:iCs/>
          <w:sz w:val="18"/>
          <w:szCs w:val="18"/>
          <w:lang w:val="es-US"/>
        </w:rPr>
        <w:t xml:space="preserve">supra </w:t>
      </w:r>
      <w:r w:rsidR="00C224B4" w:rsidRPr="007154F4">
        <w:rPr>
          <w:sz w:val="18"/>
          <w:szCs w:val="18"/>
          <w:lang w:val="es-US"/>
        </w:rPr>
        <w:t>nota 10</w:t>
      </w:r>
    </w:p>
  </w:footnote>
  <w:footnote w:id="15">
    <w:p w14:paraId="7E7BC3D0" w14:textId="43A2EB6B" w:rsidR="00E322DE" w:rsidRPr="007154F4" w:rsidRDefault="00E322DE"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551033" w:rsidRPr="007154F4">
        <w:rPr>
          <w:sz w:val="18"/>
          <w:szCs w:val="18"/>
          <w:lang w:val="es-US"/>
        </w:rPr>
        <w:t>Informe de la Tercera Ronda</w:t>
      </w:r>
      <w:r w:rsidRPr="007154F4">
        <w:rPr>
          <w:sz w:val="18"/>
          <w:szCs w:val="18"/>
          <w:lang w:val="es-US"/>
        </w:rPr>
        <w:t xml:space="preserve">, </w:t>
      </w:r>
      <w:r w:rsidR="000D27F9" w:rsidRPr="007154F4">
        <w:rPr>
          <w:sz w:val="18"/>
          <w:szCs w:val="18"/>
          <w:lang w:val="es-US"/>
        </w:rPr>
        <w:t>pág.</w:t>
      </w:r>
      <w:r w:rsidR="00C31BCE" w:rsidRPr="007154F4">
        <w:rPr>
          <w:sz w:val="18"/>
          <w:szCs w:val="18"/>
          <w:lang w:val="es-US"/>
        </w:rPr>
        <w:t xml:space="preserve"> 9, </w:t>
      </w:r>
      <w:r w:rsidR="00C31BCE" w:rsidRPr="007154F4">
        <w:rPr>
          <w:i/>
          <w:iCs/>
          <w:sz w:val="18"/>
          <w:szCs w:val="18"/>
          <w:lang w:val="es-US"/>
        </w:rPr>
        <w:t xml:space="preserve">supra </w:t>
      </w:r>
      <w:r w:rsidR="00C31BCE" w:rsidRPr="007154F4">
        <w:rPr>
          <w:sz w:val="18"/>
          <w:szCs w:val="18"/>
          <w:lang w:val="es-US"/>
        </w:rPr>
        <w:t>not</w:t>
      </w:r>
      <w:r w:rsidR="000D27F9" w:rsidRPr="007154F4">
        <w:rPr>
          <w:sz w:val="18"/>
          <w:szCs w:val="18"/>
          <w:lang w:val="es-US"/>
        </w:rPr>
        <w:t xml:space="preserve">a </w:t>
      </w:r>
      <w:r w:rsidR="00C31BCE" w:rsidRPr="007154F4">
        <w:rPr>
          <w:sz w:val="18"/>
          <w:szCs w:val="18"/>
          <w:lang w:val="es-US"/>
        </w:rPr>
        <w:t>3.</w:t>
      </w:r>
    </w:p>
  </w:footnote>
  <w:footnote w:id="16">
    <w:p w14:paraId="59EE5380" w14:textId="51CF9768" w:rsidR="008F5619" w:rsidRPr="007154F4" w:rsidRDefault="008F5619" w:rsidP="004C3313">
      <w:pPr>
        <w:pStyle w:val="FootnoteText"/>
        <w:jc w:val="both"/>
        <w:rPr>
          <w:sz w:val="18"/>
          <w:szCs w:val="18"/>
          <w:lang w:val="es-US"/>
        </w:rPr>
      </w:pPr>
      <w:r w:rsidRPr="007154F4">
        <w:rPr>
          <w:rStyle w:val="FootnoteReference"/>
          <w:sz w:val="18"/>
          <w:szCs w:val="18"/>
          <w:lang w:val="es-US"/>
        </w:rPr>
        <w:footnoteRef/>
      </w:r>
      <w:r w:rsidR="00502004" w:rsidRPr="007154F4">
        <w:rPr>
          <w:sz w:val="18"/>
          <w:szCs w:val="18"/>
          <w:lang w:val="es-US"/>
        </w:rPr>
        <w:t xml:space="preserve"> </w:t>
      </w:r>
      <w:r w:rsidR="004B6D7B" w:rsidRPr="007154F4">
        <w:rPr>
          <w:sz w:val="18"/>
          <w:szCs w:val="18"/>
          <w:lang w:val="es-US"/>
        </w:rPr>
        <w:t>Respuesta al Cuestionario</w:t>
      </w:r>
      <w:r w:rsidR="00502004" w:rsidRPr="007154F4">
        <w:rPr>
          <w:sz w:val="18"/>
          <w:szCs w:val="18"/>
          <w:lang w:val="es-US"/>
        </w:rPr>
        <w:t xml:space="preserve">, </w:t>
      </w:r>
      <w:r w:rsidR="008450D7" w:rsidRPr="007154F4">
        <w:rPr>
          <w:sz w:val="18"/>
          <w:szCs w:val="18"/>
          <w:lang w:val="es-US"/>
        </w:rPr>
        <w:t>págs.</w:t>
      </w:r>
      <w:r w:rsidR="00502004" w:rsidRPr="007154F4">
        <w:rPr>
          <w:sz w:val="18"/>
          <w:szCs w:val="18"/>
          <w:lang w:val="es-US"/>
        </w:rPr>
        <w:t xml:space="preserve"> 9 – 11, </w:t>
      </w:r>
      <w:r w:rsidR="00502004" w:rsidRPr="007154F4">
        <w:rPr>
          <w:i/>
          <w:iCs/>
          <w:sz w:val="18"/>
          <w:szCs w:val="18"/>
          <w:lang w:val="es-US"/>
        </w:rPr>
        <w:t xml:space="preserve">supra </w:t>
      </w:r>
      <w:r w:rsidR="00502004" w:rsidRPr="007154F4">
        <w:rPr>
          <w:sz w:val="18"/>
          <w:szCs w:val="18"/>
          <w:lang w:val="es-US"/>
        </w:rPr>
        <w:t>not</w:t>
      </w:r>
      <w:r w:rsidR="004B6D7B" w:rsidRPr="007154F4">
        <w:rPr>
          <w:sz w:val="18"/>
          <w:szCs w:val="18"/>
          <w:lang w:val="es-US"/>
        </w:rPr>
        <w:t>a</w:t>
      </w:r>
      <w:r w:rsidR="00502004" w:rsidRPr="007154F4">
        <w:rPr>
          <w:sz w:val="18"/>
          <w:szCs w:val="18"/>
          <w:lang w:val="es-US"/>
        </w:rPr>
        <w:t xml:space="preserve"> 10.</w:t>
      </w:r>
    </w:p>
  </w:footnote>
  <w:footnote w:id="17">
    <w:p w14:paraId="359C2E72" w14:textId="2DD922AA" w:rsidR="006C520D" w:rsidRPr="007154F4" w:rsidRDefault="006C520D"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Ibid.</w:t>
      </w:r>
      <w:r w:rsidRPr="007154F4">
        <w:rPr>
          <w:sz w:val="18"/>
          <w:szCs w:val="18"/>
          <w:lang w:val="es-US"/>
        </w:rPr>
        <w:t xml:space="preserve">, </w:t>
      </w:r>
      <w:r w:rsidR="004B6D7B" w:rsidRPr="007154F4">
        <w:rPr>
          <w:sz w:val="18"/>
          <w:szCs w:val="18"/>
          <w:lang w:val="es-US"/>
        </w:rPr>
        <w:t>pág.</w:t>
      </w:r>
      <w:r w:rsidRPr="007154F4">
        <w:rPr>
          <w:sz w:val="18"/>
          <w:szCs w:val="18"/>
          <w:lang w:val="es-US"/>
        </w:rPr>
        <w:t xml:space="preserve"> 10. </w:t>
      </w:r>
      <w:r w:rsidR="00F2376C" w:rsidRPr="007154F4">
        <w:rPr>
          <w:bCs/>
          <w:iCs/>
          <w:sz w:val="18"/>
          <w:szCs w:val="18"/>
          <w:lang w:val="es-US"/>
        </w:rPr>
        <w:t xml:space="preserve">El Manual de Administración Tributaria </w:t>
      </w:r>
      <w:r w:rsidR="00CA53DC" w:rsidRPr="007154F4">
        <w:rPr>
          <w:bCs/>
          <w:iCs/>
          <w:sz w:val="18"/>
          <w:szCs w:val="18"/>
          <w:lang w:val="es-US"/>
        </w:rPr>
        <w:t>está disponible en</w:t>
      </w:r>
      <w:r w:rsidRPr="007154F4">
        <w:rPr>
          <w:sz w:val="18"/>
          <w:szCs w:val="18"/>
          <w:lang w:val="es-US"/>
        </w:rPr>
        <w:t xml:space="preserve">: </w:t>
      </w:r>
      <w:hyperlink r:id="rId9" w:history="1">
        <w:r w:rsidRPr="007154F4">
          <w:rPr>
            <w:rStyle w:val="Hyperlink"/>
            <w:sz w:val="18"/>
            <w:szCs w:val="18"/>
            <w:lang w:val="es-US"/>
          </w:rPr>
          <w:t>https://www.irs.gov/irm</w:t>
        </w:r>
      </w:hyperlink>
      <w:r w:rsidRPr="007154F4">
        <w:rPr>
          <w:sz w:val="18"/>
          <w:szCs w:val="18"/>
          <w:lang w:val="es-US"/>
        </w:rPr>
        <w:t xml:space="preserve"> </w:t>
      </w:r>
    </w:p>
  </w:footnote>
  <w:footnote w:id="18">
    <w:p w14:paraId="5963DFBA" w14:textId="554AEDC2" w:rsidR="007C66F6" w:rsidRPr="007154F4" w:rsidRDefault="007C66F6" w:rsidP="004C3313">
      <w:pPr>
        <w:pStyle w:val="FootnoteText"/>
        <w:jc w:val="both"/>
        <w:rPr>
          <w:i/>
          <w:iCs/>
          <w:sz w:val="18"/>
          <w:szCs w:val="18"/>
          <w:lang w:val="es-US"/>
        </w:rPr>
      </w:pPr>
      <w:r w:rsidRPr="007154F4">
        <w:rPr>
          <w:rStyle w:val="FootnoteReference"/>
          <w:sz w:val="18"/>
          <w:szCs w:val="18"/>
          <w:lang w:val="es-US"/>
        </w:rPr>
        <w:footnoteRef/>
      </w:r>
      <w:r w:rsidRPr="007154F4">
        <w:rPr>
          <w:sz w:val="18"/>
          <w:szCs w:val="18"/>
          <w:lang w:val="es-US"/>
        </w:rPr>
        <w:t xml:space="preserve"> IRM, Part</w:t>
      </w:r>
      <w:r w:rsidR="005F7DED" w:rsidRPr="007154F4">
        <w:rPr>
          <w:sz w:val="18"/>
          <w:szCs w:val="18"/>
          <w:lang w:val="es-US"/>
        </w:rPr>
        <w:t>e</w:t>
      </w:r>
      <w:r w:rsidRPr="007154F4">
        <w:rPr>
          <w:sz w:val="18"/>
          <w:szCs w:val="18"/>
          <w:lang w:val="es-US"/>
        </w:rPr>
        <w:t xml:space="preserve"> 25, </w:t>
      </w:r>
      <w:r w:rsidR="00CA2B7B" w:rsidRPr="007154F4">
        <w:rPr>
          <w:sz w:val="18"/>
          <w:szCs w:val="18"/>
          <w:lang w:val="es-US"/>
        </w:rPr>
        <w:t>Guía sobre Fraudes</w:t>
      </w:r>
      <w:r w:rsidRPr="007154F4">
        <w:rPr>
          <w:sz w:val="18"/>
          <w:szCs w:val="18"/>
          <w:lang w:val="es-US"/>
        </w:rPr>
        <w:t xml:space="preserve">, </w:t>
      </w:r>
      <w:r w:rsidRPr="007154F4">
        <w:rPr>
          <w:i/>
          <w:iCs/>
          <w:sz w:val="18"/>
          <w:szCs w:val="18"/>
          <w:lang w:val="es-US"/>
        </w:rPr>
        <w:t>ibid.</w:t>
      </w:r>
    </w:p>
  </w:footnote>
  <w:footnote w:id="19">
    <w:p w14:paraId="72C895AE" w14:textId="4345908F" w:rsidR="00CD74CD" w:rsidRPr="007154F4" w:rsidRDefault="00CD74CD"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0B7BB8" w:rsidRPr="007154F4">
        <w:rPr>
          <w:sz w:val="18"/>
          <w:szCs w:val="18"/>
          <w:lang w:val="es-US"/>
        </w:rPr>
        <w:t>Respuesta al Cuestionario</w:t>
      </w:r>
      <w:r w:rsidRPr="007154F4">
        <w:rPr>
          <w:sz w:val="18"/>
          <w:szCs w:val="18"/>
          <w:lang w:val="es-US"/>
        </w:rPr>
        <w:t xml:space="preserve">, </w:t>
      </w:r>
      <w:r w:rsidR="00DA78D3" w:rsidRPr="007154F4">
        <w:rPr>
          <w:sz w:val="18"/>
          <w:szCs w:val="18"/>
          <w:lang w:val="es-US"/>
        </w:rPr>
        <w:t>págs.</w:t>
      </w:r>
      <w:r w:rsidR="00A07740" w:rsidRPr="007154F4">
        <w:rPr>
          <w:sz w:val="18"/>
          <w:szCs w:val="18"/>
          <w:lang w:val="es-US"/>
        </w:rPr>
        <w:t xml:space="preserve"> 11</w:t>
      </w:r>
      <w:r w:rsidRPr="007154F4">
        <w:rPr>
          <w:sz w:val="18"/>
          <w:szCs w:val="18"/>
          <w:lang w:val="es-US"/>
        </w:rPr>
        <w:t xml:space="preserve"> – 1</w:t>
      </w:r>
      <w:r w:rsidR="00A07740" w:rsidRPr="007154F4">
        <w:rPr>
          <w:sz w:val="18"/>
          <w:szCs w:val="18"/>
          <w:lang w:val="es-US"/>
        </w:rPr>
        <w:t>3</w:t>
      </w:r>
      <w:r w:rsidRPr="007154F4">
        <w:rPr>
          <w:sz w:val="18"/>
          <w:szCs w:val="18"/>
          <w:lang w:val="es-US"/>
        </w:rPr>
        <w:t xml:space="preserve">, </w:t>
      </w:r>
      <w:r w:rsidRPr="007154F4">
        <w:rPr>
          <w:i/>
          <w:iCs/>
          <w:sz w:val="18"/>
          <w:szCs w:val="18"/>
          <w:lang w:val="es-US"/>
        </w:rPr>
        <w:t xml:space="preserve">supra </w:t>
      </w:r>
      <w:r w:rsidRPr="007154F4">
        <w:rPr>
          <w:sz w:val="18"/>
          <w:szCs w:val="18"/>
          <w:lang w:val="es-US"/>
        </w:rPr>
        <w:t>not</w:t>
      </w:r>
      <w:r w:rsidR="000B7BB8" w:rsidRPr="007154F4">
        <w:rPr>
          <w:sz w:val="18"/>
          <w:szCs w:val="18"/>
          <w:lang w:val="es-US"/>
        </w:rPr>
        <w:t xml:space="preserve">a </w:t>
      </w:r>
      <w:r w:rsidRPr="007154F4">
        <w:rPr>
          <w:sz w:val="18"/>
          <w:szCs w:val="18"/>
          <w:lang w:val="es-US"/>
        </w:rPr>
        <w:t>10.</w:t>
      </w:r>
    </w:p>
  </w:footnote>
  <w:footnote w:id="20">
    <w:p w14:paraId="3A9DD9F2" w14:textId="4ED6A217" w:rsidR="006E2B73" w:rsidRPr="007154F4" w:rsidRDefault="006E2B73"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IRM, Part</w:t>
      </w:r>
      <w:r w:rsidR="000B7BB8" w:rsidRPr="007154F4">
        <w:rPr>
          <w:sz w:val="18"/>
          <w:szCs w:val="18"/>
          <w:lang w:val="es-US"/>
        </w:rPr>
        <w:t>e</w:t>
      </w:r>
      <w:r w:rsidRPr="007154F4">
        <w:rPr>
          <w:sz w:val="18"/>
          <w:szCs w:val="18"/>
          <w:lang w:val="es-US"/>
        </w:rPr>
        <w:t xml:space="preserve"> 9, </w:t>
      </w:r>
      <w:r w:rsidR="00953CD0" w:rsidRPr="007154F4">
        <w:rPr>
          <w:sz w:val="18"/>
          <w:szCs w:val="18"/>
          <w:lang w:val="es-US"/>
        </w:rPr>
        <w:t>Capítulo</w:t>
      </w:r>
      <w:r w:rsidRPr="007154F4">
        <w:rPr>
          <w:sz w:val="18"/>
          <w:szCs w:val="18"/>
          <w:lang w:val="es-US"/>
        </w:rPr>
        <w:t xml:space="preserve"> 4, </w:t>
      </w:r>
      <w:r w:rsidR="00953CD0" w:rsidRPr="007154F4">
        <w:rPr>
          <w:sz w:val="18"/>
          <w:szCs w:val="18"/>
          <w:lang w:val="es-US"/>
        </w:rPr>
        <w:t>Sección</w:t>
      </w:r>
      <w:r w:rsidRPr="007154F4">
        <w:rPr>
          <w:sz w:val="18"/>
          <w:szCs w:val="18"/>
          <w:lang w:val="es-US"/>
        </w:rPr>
        <w:t xml:space="preserve"> 4, </w:t>
      </w:r>
      <w:r w:rsidR="00953CD0" w:rsidRPr="007154F4">
        <w:rPr>
          <w:sz w:val="18"/>
          <w:szCs w:val="18"/>
          <w:lang w:val="es-US"/>
        </w:rPr>
        <w:t>Obtención de registros de instituciones financieras</w:t>
      </w:r>
      <w:r w:rsidRPr="007154F4">
        <w:rPr>
          <w:sz w:val="18"/>
          <w:szCs w:val="18"/>
          <w:lang w:val="es-US"/>
        </w:rPr>
        <w:t xml:space="preserve">, </w:t>
      </w:r>
      <w:r w:rsidRPr="007154F4">
        <w:rPr>
          <w:i/>
          <w:iCs/>
          <w:sz w:val="18"/>
          <w:szCs w:val="18"/>
          <w:lang w:val="es-US"/>
        </w:rPr>
        <w:t xml:space="preserve">supra </w:t>
      </w:r>
      <w:r w:rsidR="00014A46" w:rsidRPr="007154F4">
        <w:rPr>
          <w:sz w:val="18"/>
          <w:szCs w:val="18"/>
          <w:lang w:val="es-US"/>
        </w:rPr>
        <w:t>nota 16</w:t>
      </w:r>
      <w:r w:rsidRPr="007154F4">
        <w:rPr>
          <w:sz w:val="18"/>
          <w:szCs w:val="18"/>
          <w:lang w:val="es-US"/>
        </w:rPr>
        <w:t>.</w:t>
      </w:r>
    </w:p>
  </w:footnote>
  <w:footnote w:id="21">
    <w:p w14:paraId="4B662D45" w14:textId="619BF55E" w:rsidR="0020241F" w:rsidRPr="007154F4" w:rsidRDefault="0020241F"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IRM, Part</w:t>
      </w:r>
      <w:r w:rsidR="00953CD0" w:rsidRPr="007154F4">
        <w:rPr>
          <w:sz w:val="18"/>
          <w:szCs w:val="18"/>
          <w:lang w:val="es-US"/>
        </w:rPr>
        <w:t>e</w:t>
      </w:r>
      <w:r w:rsidRPr="007154F4">
        <w:rPr>
          <w:sz w:val="18"/>
          <w:szCs w:val="18"/>
          <w:lang w:val="es-US"/>
        </w:rPr>
        <w:t xml:space="preserve"> 9, </w:t>
      </w:r>
      <w:r w:rsidR="006E7F9B" w:rsidRPr="007154F4">
        <w:rPr>
          <w:sz w:val="18"/>
          <w:szCs w:val="18"/>
          <w:lang w:val="es-US"/>
        </w:rPr>
        <w:t>Capítulo</w:t>
      </w:r>
      <w:r w:rsidRPr="007154F4">
        <w:rPr>
          <w:sz w:val="18"/>
          <w:szCs w:val="18"/>
          <w:lang w:val="es-US"/>
        </w:rPr>
        <w:t xml:space="preserve"> 4, </w:t>
      </w:r>
      <w:r w:rsidR="006E7F9B" w:rsidRPr="007154F4">
        <w:rPr>
          <w:sz w:val="18"/>
          <w:szCs w:val="18"/>
          <w:lang w:val="es-US"/>
        </w:rPr>
        <w:t>Sección</w:t>
      </w:r>
      <w:r w:rsidRPr="007154F4">
        <w:rPr>
          <w:sz w:val="18"/>
          <w:szCs w:val="18"/>
          <w:lang w:val="es-US"/>
        </w:rPr>
        <w:t xml:space="preserve"> 2</w:t>
      </w:r>
      <w:r w:rsidR="0068381E" w:rsidRPr="007154F4">
        <w:rPr>
          <w:sz w:val="18"/>
          <w:szCs w:val="18"/>
          <w:lang w:val="es-US"/>
        </w:rPr>
        <w:t xml:space="preserve">, </w:t>
      </w:r>
      <w:r w:rsidR="0068381E" w:rsidRPr="007154F4">
        <w:rPr>
          <w:i/>
          <w:iCs/>
          <w:sz w:val="18"/>
          <w:szCs w:val="18"/>
          <w:lang w:val="es-US"/>
        </w:rPr>
        <w:t>ibid.</w:t>
      </w:r>
    </w:p>
  </w:footnote>
  <w:footnote w:id="22">
    <w:p w14:paraId="0B96DA5B" w14:textId="3124E46F" w:rsidR="00B768D1" w:rsidRPr="007154F4" w:rsidRDefault="00B768D1"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DA78D3" w:rsidRPr="007154F4">
        <w:rPr>
          <w:sz w:val="18"/>
          <w:szCs w:val="18"/>
          <w:lang w:val="es-US"/>
        </w:rPr>
        <w:t>Véase</w:t>
      </w:r>
      <w:r w:rsidRPr="007154F4">
        <w:rPr>
          <w:sz w:val="18"/>
          <w:szCs w:val="18"/>
          <w:lang w:val="es-US"/>
        </w:rPr>
        <w:t xml:space="preserve"> </w:t>
      </w:r>
      <w:r w:rsidR="00BB4E5C" w:rsidRPr="007154F4">
        <w:rPr>
          <w:iCs/>
          <w:sz w:val="18"/>
          <w:szCs w:val="18"/>
          <w:lang w:val="es-US"/>
        </w:rPr>
        <w:t>Jefes Conjuntos de Aplicación Tributaria Global</w:t>
      </w:r>
      <w:r w:rsidRPr="007154F4">
        <w:rPr>
          <w:sz w:val="18"/>
          <w:szCs w:val="18"/>
          <w:lang w:val="es-US"/>
        </w:rPr>
        <w:t xml:space="preserve">, </w:t>
      </w:r>
      <w:hyperlink r:id="rId10" w:history="1">
        <w:r w:rsidRPr="007154F4">
          <w:rPr>
            <w:rStyle w:val="Hyperlink"/>
            <w:sz w:val="18"/>
            <w:szCs w:val="18"/>
            <w:lang w:val="es-US"/>
          </w:rPr>
          <w:t>https://www.irs.gov/compliance/joint-chiefs-of-global-tax-enforcement</w:t>
        </w:r>
      </w:hyperlink>
      <w:r w:rsidRPr="007154F4">
        <w:rPr>
          <w:sz w:val="18"/>
          <w:szCs w:val="18"/>
          <w:lang w:val="es-US"/>
        </w:rPr>
        <w:t xml:space="preserve"> </w:t>
      </w:r>
    </w:p>
  </w:footnote>
  <w:footnote w:id="23">
    <w:p w14:paraId="013D6D4B" w14:textId="3D06CA23" w:rsidR="00B768D1" w:rsidRPr="007154F4" w:rsidRDefault="00B768D1"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DA78D3" w:rsidRPr="007154F4">
        <w:rPr>
          <w:sz w:val="18"/>
          <w:szCs w:val="18"/>
          <w:lang w:val="es-US"/>
        </w:rPr>
        <w:t>Respuesta al Cuestionario</w:t>
      </w:r>
      <w:r w:rsidRPr="007154F4">
        <w:rPr>
          <w:sz w:val="18"/>
          <w:szCs w:val="18"/>
          <w:lang w:val="es-US"/>
        </w:rPr>
        <w:t xml:space="preserve">, </w:t>
      </w:r>
      <w:r w:rsidR="00DA78D3" w:rsidRPr="007154F4">
        <w:rPr>
          <w:sz w:val="18"/>
          <w:szCs w:val="18"/>
          <w:lang w:val="es-US"/>
        </w:rPr>
        <w:t>págs.</w:t>
      </w:r>
      <w:r w:rsidRPr="007154F4">
        <w:rPr>
          <w:sz w:val="18"/>
          <w:szCs w:val="18"/>
          <w:lang w:val="es-US"/>
        </w:rPr>
        <w:t xml:space="preserve"> 11 – 13, </w:t>
      </w:r>
      <w:r w:rsidRPr="007154F4">
        <w:rPr>
          <w:i/>
          <w:iCs/>
          <w:sz w:val="18"/>
          <w:szCs w:val="18"/>
          <w:lang w:val="es-US"/>
        </w:rPr>
        <w:t xml:space="preserve">supra </w:t>
      </w:r>
      <w:r w:rsidRPr="007154F4">
        <w:rPr>
          <w:sz w:val="18"/>
          <w:szCs w:val="18"/>
          <w:lang w:val="es-US"/>
        </w:rPr>
        <w:t>not</w:t>
      </w:r>
      <w:r w:rsidR="00DA78D3" w:rsidRPr="007154F4">
        <w:rPr>
          <w:sz w:val="18"/>
          <w:szCs w:val="18"/>
          <w:lang w:val="es-US"/>
        </w:rPr>
        <w:t>a</w:t>
      </w:r>
      <w:r w:rsidRPr="007154F4">
        <w:rPr>
          <w:sz w:val="18"/>
          <w:szCs w:val="18"/>
          <w:lang w:val="es-US"/>
        </w:rPr>
        <w:t xml:space="preserve"> 10.</w:t>
      </w:r>
    </w:p>
  </w:footnote>
  <w:footnote w:id="24">
    <w:p w14:paraId="211A91AD" w14:textId="14A68681" w:rsidR="002A256C" w:rsidRPr="007154F4" w:rsidRDefault="002A256C" w:rsidP="004C3313">
      <w:pPr>
        <w:pStyle w:val="FootnoteText"/>
        <w:jc w:val="both"/>
        <w:rPr>
          <w:color w:val="1B1B1B"/>
          <w:sz w:val="18"/>
          <w:szCs w:val="18"/>
          <w:lang w:val="es-US"/>
        </w:rPr>
      </w:pPr>
      <w:r w:rsidRPr="007154F4">
        <w:rPr>
          <w:rStyle w:val="FootnoteReference"/>
          <w:sz w:val="18"/>
          <w:szCs w:val="18"/>
          <w:lang w:val="es-US"/>
        </w:rPr>
        <w:footnoteRef/>
      </w:r>
      <w:r w:rsidRPr="007154F4">
        <w:rPr>
          <w:sz w:val="18"/>
          <w:szCs w:val="18"/>
          <w:lang w:val="es-US"/>
        </w:rPr>
        <w:t xml:space="preserve"> </w:t>
      </w:r>
      <w:r w:rsidR="005E2405" w:rsidRPr="007154F4">
        <w:rPr>
          <w:sz w:val="18"/>
          <w:szCs w:val="18"/>
          <w:lang w:val="es-US"/>
        </w:rPr>
        <w:t xml:space="preserve">El Archivo Maestro de Contribuyentes es un registro en cinta magnética de todos los contribuyentes del impuesto sobre la renta de las personas físicas ordenado siguiendo la secuencia de los números de la Seguridad Social. Todos los datos fiscales y la información conexa relacionados con los contribuyentes individuales se anotan en el Archivo, por </w:t>
      </w:r>
      <w:r w:rsidR="000E51B0" w:rsidRPr="007154F4">
        <w:rPr>
          <w:sz w:val="18"/>
          <w:szCs w:val="18"/>
          <w:lang w:val="es-US"/>
        </w:rPr>
        <w:t>lo que</w:t>
      </w:r>
      <w:r w:rsidR="005E2405" w:rsidRPr="007154F4">
        <w:rPr>
          <w:sz w:val="18"/>
          <w:szCs w:val="18"/>
          <w:lang w:val="es-US"/>
        </w:rPr>
        <w:t xml:space="preserve"> contiene un registro de la cuenta de cada uno que se actualiza continuamente. Todas las liquidaciones con los contribuyentes se efectúan a través del procesamiento informático de sus cuentas en el Archivo y los datos que contiene se utilizan para los registros contables, la emisión de cheques de devolución, facturas o avisos, la respuesta a consultas, la clasificación de declaraciones para auditoría, la preparación de informes y otros asuntos relacionados con las actividades de procesamiento y aplicación de la ley del IRS. Existe además un Archivo Maestro de Empresas (Business </w:t>
      </w:r>
      <w:proofErr w:type="gramStart"/>
      <w:r w:rsidR="005E2405" w:rsidRPr="007154F4">
        <w:rPr>
          <w:sz w:val="18"/>
          <w:szCs w:val="18"/>
          <w:lang w:val="es-US"/>
        </w:rPr>
        <w:t>Master</w:t>
      </w:r>
      <w:proofErr w:type="gramEnd"/>
      <w:r w:rsidR="005E2405" w:rsidRPr="007154F4">
        <w:rPr>
          <w:sz w:val="18"/>
          <w:szCs w:val="18"/>
          <w:lang w:val="es-US"/>
        </w:rPr>
        <w:t xml:space="preserve"> File), que se mantiene en cinta magnética y es un registro fiscal de los contribuyentes empresariales a los que las leyes y reglamentos les exigen tener números de identificación patronal (EIN) como números de cuenta identificadores. Véase la Parte 9, Capítulo 4, Sección 2 del IRM, </w:t>
      </w:r>
      <w:r w:rsidR="005E2405" w:rsidRPr="007154F4">
        <w:rPr>
          <w:i/>
          <w:sz w:val="18"/>
          <w:szCs w:val="18"/>
          <w:lang w:val="es-US"/>
        </w:rPr>
        <w:t xml:space="preserve">supra </w:t>
      </w:r>
      <w:r w:rsidR="00014A46" w:rsidRPr="007154F4">
        <w:rPr>
          <w:sz w:val="18"/>
          <w:szCs w:val="18"/>
          <w:lang w:val="es-US"/>
        </w:rPr>
        <w:t>nota 16</w:t>
      </w:r>
      <w:r w:rsidR="00D54C75" w:rsidRPr="007154F4">
        <w:rPr>
          <w:color w:val="1B1B1B"/>
          <w:sz w:val="18"/>
          <w:szCs w:val="18"/>
          <w:lang w:val="es-US"/>
        </w:rPr>
        <w:t>.</w:t>
      </w:r>
    </w:p>
  </w:footnote>
  <w:footnote w:id="25">
    <w:p w14:paraId="1893D5F2" w14:textId="65C39380" w:rsidR="00166AD2" w:rsidRPr="007154F4" w:rsidRDefault="00166AD2"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6011AC" w:rsidRPr="007154F4">
        <w:rPr>
          <w:rStyle w:val="FootnoteReference"/>
          <w:vanish/>
          <w:sz w:val="18"/>
          <w:szCs w:val="18"/>
          <w:lang w:val="es-US"/>
        </w:rPr>
        <w:footnoteRef/>
      </w:r>
      <w:r w:rsidR="006011AC" w:rsidRPr="007154F4">
        <w:rPr>
          <w:vanish/>
          <w:sz w:val="18"/>
          <w:szCs w:val="18"/>
          <w:lang w:val="es-US"/>
        </w:rPr>
        <w:t xml:space="preserve"> </w:t>
      </w:r>
      <w:r w:rsidR="006011AC" w:rsidRPr="007154F4">
        <w:rPr>
          <w:sz w:val="18"/>
          <w:szCs w:val="18"/>
          <w:lang w:val="es-US"/>
        </w:rPr>
        <w:t xml:space="preserve">Véanse el </w:t>
      </w:r>
      <w:r w:rsidR="006011AC" w:rsidRPr="007154F4">
        <w:rPr>
          <w:i/>
          <w:iCs/>
          <w:sz w:val="18"/>
          <w:szCs w:val="18"/>
          <w:lang w:val="es-US"/>
        </w:rPr>
        <w:t>Informe</w:t>
      </w:r>
      <w:r w:rsidR="006011AC" w:rsidRPr="007154F4">
        <w:rPr>
          <w:sz w:val="18"/>
          <w:szCs w:val="18"/>
          <w:lang w:val="es-US"/>
        </w:rPr>
        <w:t xml:space="preserve"> </w:t>
      </w:r>
      <w:r w:rsidR="006011AC" w:rsidRPr="007154F4">
        <w:rPr>
          <w:i/>
          <w:sz w:val="18"/>
          <w:szCs w:val="18"/>
          <w:lang w:val="es-US"/>
        </w:rPr>
        <w:t>IRS IT 2021</w:t>
      </w:r>
      <w:r w:rsidR="006011AC" w:rsidRPr="007154F4">
        <w:rPr>
          <w:sz w:val="18"/>
          <w:szCs w:val="18"/>
          <w:lang w:val="es-US"/>
        </w:rPr>
        <w:t xml:space="preserve">, pág. 12, </w:t>
      </w:r>
      <w:hyperlink r:id="rId11" w:history="1">
        <w:r w:rsidR="006011AC" w:rsidRPr="007154F4">
          <w:rPr>
            <w:rStyle w:val="Hyperlink"/>
            <w:sz w:val="18"/>
            <w:szCs w:val="18"/>
            <w:lang w:val="es-US"/>
          </w:rPr>
          <w:t>https://www.irs.gov/pub/irs-pdf/p5453.pdf</w:t>
        </w:r>
      </w:hyperlink>
      <w:r w:rsidR="006011AC" w:rsidRPr="007154F4">
        <w:rPr>
          <w:sz w:val="18"/>
          <w:szCs w:val="18"/>
          <w:lang w:val="es-US"/>
        </w:rPr>
        <w:t xml:space="preserve">, y </w:t>
      </w:r>
      <w:proofErr w:type="spellStart"/>
      <w:r w:rsidR="006011AC" w:rsidRPr="007154F4">
        <w:rPr>
          <w:i/>
          <w:sz w:val="18"/>
          <w:szCs w:val="18"/>
          <w:lang w:val="es-US"/>
        </w:rPr>
        <w:t>Modernizing</w:t>
      </w:r>
      <w:proofErr w:type="spellEnd"/>
      <w:r w:rsidR="006011AC" w:rsidRPr="007154F4">
        <w:rPr>
          <w:i/>
          <w:sz w:val="18"/>
          <w:szCs w:val="18"/>
          <w:lang w:val="es-US"/>
        </w:rPr>
        <w:t xml:space="preserve"> </w:t>
      </w:r>
      <w:proofErr w:type="spellStart"/>
      <w:r w:rsidR="006011AC" w:rsidRPr="007154F4">
        <w:rPr>
          <w:i/>
          <w:sz w:val="18"/>
          <w:szCs w:val="18"/>
          <w:lang w:val="es-US"/>
        </w:rPr>
        <w:t>Tax</w:t>
      </w:r>
      <w:proofErr w:type="spellEnd"/>
      <w:r w:rsidR="006011AC" w:rsidRPr="007154F4">
        <w:rPr>
          <w:i/>
          <w:sz w:val="18"/>
          <w:szCs w:val="18"/>
          <w:lang w:val="es-US"/>
        </w:rPr>
        <w:t xml:space="preserve"> Processing </w:t>
      </w:r>
      <w:proofErr w:type="spellStart"/>
      <w:r w:rsidR="006011AC" w:rsidRPr="007154F4">
        <w:rPr>
          <w:i/>
          <w:sz w:val="18"/>
          <w:szCs w:val="18"/>
          <w:lang w:val="es-US"/>
        </w:rPr>
        <w:t>Systems</w:t>
      </w:r>
      <w:proofErr w:type="spellEnd"/>
      <w:r w:rsidR="006011AC" w:rsidRPr="007154F4">
        <w:rPr>
          <w:sz w:val="18"/>
          <w:szCs w:val="18"/>
          <w:lang w:val="es-US"/>
        </w:rPr>
        <w:t xml:space="preserve">, </w:t>
      </w:r>
      <w:hyperlink r:id="rId12" w:history="1">
        <w:r w:rsidR="006011AC" w:rsidRPr="007154F4">
          <w:rPr>
            <w:rStyle w:val="Hyperlink"/>
            <w:sz w:val="18"/>
            <w:szCs w:val="18"/>
            <w:lang w:val="es-US"/>
          </w:rPr>
          <w:t>https://www.irs.gov/about-irs/modernizing-tax-processing-systems</w:t>
        </w:r>
      </w:hyperlink>
      <w:r w:rsidR="006011AC" w:rsidRPr="007154F4">
        <w:rPr>
          <w:vanish/>
          <w:sz w:val="18"/>
          <w:szCs w:val="18"/>
          <w:lang w:val="es-US"/>
        </w:rPr>
        <w:t xml:space="preserve"> </w:t>
      </w:r>
    </w:p>
  </w:footnote>
  <w:footnote w:id="26">
    <w:p w14:paraId="455B9E81" w14:textId="1A5C1F8C" w:rsidR="00D6627D" w:rsidRPr="007154F4" w:rsidRDefault="00D6627D" w:rsidP="004C3313">
      <w:pPr>
        <w:pStyle w:val="FootnoteText"/>
        <w:jc w:val="both"/>
        <w:rPr>
          <w:sz w:val="18"/>
          <w:szCs w:val="18"/>
          <w:lang w:val="en-US"/>
        </w:rPr>
      </w:pPr>
      <w:r w:rsidRPr="007154F4">
        <w:rPr>
          <w:rStyle w:val="FootnoteReference"/>
          <w:sz w:val="18"/>
          <w:szCs w:val="18"/>
          <w:lang w:val="es-US"/>
        </w:rPr>
        <w:footnoteRef/>
      </w:r>
      <w:r w:rsidRPr="007154F4">
        <w:rPr>
          <w:sz w:val="18"/>
          <w:szCs w:val="18"/>
          <w:lang w:val="en-US"/>
        </w:rPr>
        <w:t xml:space="preserve"> </w:t>
      </w:r>
      <w:r w:rsidR="00801FD2" w:rsidRPr="007154F4">
        <w:rPr>
          <w:sz w:val="18"/>
          <w:szCs w:val="18"/>
          <w:lang w:val="en-US"/>
        </w:rPr>
        <w:t xml:space="preserve">Informe </w:t>
      </w:r>
      <w:r w:rsidRPr="007154F4">
        <w:rPr>
          <w:sz w:val="18"/>
          <w:szCs w:val="18"/>
          <w:lang w:val="en-US"/>
        </w:rPr>
        <w:t xml:space="preserve">IRS IT </w:t>
      </w:r>
      <w:r w:rsidR="00801FD2" w:rsidRPr="007154F4">
        <w:rPr>
          <w:sz w:val="18"/>
          <w:szCs w:val="18"/>
          <w:lang w:val="en-US"/>
        </w:rPr>
        <w:t>2021</w:t>
      </w:r>
      <w:r w:rsidRPr="007154F4">
        <w:rPr>
          <w:sz w:val="18"/>
          <w:szCs w:val="18"/>
          <w:lang w:val="en-US"/>
        </w:rPr>
        <w:t xml:space="preserve">, </w:t>
      </w:r>
      <w:r w:rsidRPr="007154F4">
        <w:rPr>
          <w:i/>
          <w:iCs/>
          <w:sz w:val="18"/>
          <w:szCs w:val="18"/>
          <w:lang w:val="en-US"/>
        </w:rPr>
        <w:t>ibid.</w:t>
      </w:r>
      <w:r w:rsidRPr="007154F4">
        <w:rPr>
          <w:sz w:val="18"/>
          <w:szCs w:val="18"/>
          <w:lang w:val="en-US"/>
        </w:rPr>
        <w:t xml:space="preserve">, </w:t>
      </w:r>
      <w:proofErr w:type="spellStart"/>
      <w:r w:rsidR="009726C9" w:rsidRPr="007154F4">
        <w:rPr>
          <w:sz w:val="18"/>
          <w:szCs w:val="18"/>
          <w:lang w:val="en-US"/>
        </w:rPr>
        <w:t>pág</w:t>
      </w:r>
      <w:proofErr w:type="spellEnd"/>
      <w:r w:rsidR="00801FD2" w:rsidRPr="007154F4">
        <w:rPr>
          <w:sz w:val="18"/>
          <w:szCs w:val="18"/>
          <w:lang w:val="en-US"/>
        </w:rPr>
        <w:t>.</w:t>
      </w:r>
      <w:r w:rsidRPr="007154F4">
        <w:rPr>
          <w:sz w:val="18"/>
          <w:szCs w:val="18"/>
          <w:lang w:val="en-US"/>
        </w:rPr>
        <w:t xml:space="preserve"> 13.</w:t>
      </w:r>
    </w:p>
  </w:footnote>
  <w:footnote w:id="27">
    <w:p w14:paraId="4FE85255" w14:textId="6631400D" w:rsidR="00D6627D" w:rsidRPr="007154F4" w:rsidRDefault="00D6627D"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Ibid.</w:t>
      </w:r>
      <w:r w:rsidRPr="007154F4">
        <w:rPr>
          <w:sz w:val="18"/>
          <w:szCs w:val="18"/>
          <w:lang w:val="es-US"/>
        </w:rPr>
        <w:t xml:space="preserve">, </w:t>
      </w:r>
      <w:r w:rsidR="00801FD2" w:rsidRPr="007154F4">
        <w:rPr>
          <w:sz w:val="18"/>
          <w:szCs w:val="18"/>
          <w:lang w:val="es-US"/>
        </w:rPr>
        <w:t>pág.</w:t>
      </w:r>
      <w:r w:rsidRPr="007154F4">
        <w:rPr>
          <w:sz w:val="18"/>
          <w:szCs w:val="18"/>
          <w:lang w:val="es-US"/>
        </w:rPr>
        <w:t xml:space="preserve"> 14.</w:t>
      </w:r>
    </w:p>
  </w:footnote>
  <w:footnote w:id="28">
    <w:p w14:paraId="4DB55DE3" w14:textId="59AB0CFD" w:rsidR="00D6627D" w:rsidRPr="007154F4" w:rsidRDefault="00D6627D"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IRM, Part</w:t>
      </w:r>
      <w:r w:rsidR="001B101B" w:rsidRPr="007154F4">
        <w:rPr>
          <w:sz w:val="18"/>
          <w:szCs w:val="18"/>
          <w:lang w:val="es-US"/>
        </w:rPr>
        <w:t>e</w:t>
      </w:r>
      <w:r w:rsidRPr="007154F4">
        <w:rPr>
          <w:sz w:val="18"/>
          <w:szCs w:val="18"/>
          <w:lang w:val="es-US"/>
        </w:rPr>
        <w:t xml:space="preserve"> 9, </w:t>
      </w:r>
      <w:r w:rsidR="00D26D6D" w:rsidRPr="007154F4">
        <w:rPr>
          <w:sz w:val="18"/>
          <w:szCs w:val="18"/>
          <w:lang w:val="es-US"/>
        </w:rPr>
        <w:t>la Tecnología Informática</w:t>
      </w:r>
      <w:r w:rsidRPr="007154F4">
        <w:rPr>
          <w:sz w:val="18"/>
          <w:szCs w:val="18"/>
          <w:lang w:val="es-US"/>
        </w:rPr>
        <w:t xml:space="preserve">, </w:t>
      </w:r>
      <w:r w:rsidRPr="007154F4">
        <w:rPr>
          <w:i/>
          <w:iCs/>
          <w:sz w:val="18"/>
          <w:szCs w:val="18"/>
          <w:lang w:val="es-US"/>
        </w:rPr>
        <w:t xml:space="preserve">supra </w:t>
      </w:r>
      <w:r w:rsidR="00014A46" w:rsidRPr="007154F4">
        <w:rPr>
          <w:sz w:val="18"/>
          <w:szCs w:val="18"/>
          <w:lang w:val="es-US"/>
        </w:rPr>
        <w:t>nota 16</w:t>
      </w:r>
      <w:r w:rsidRPr="007154F4">
        <w:rPr>
          <w:sz w:val="18"/>
          <w:szCs w:val="18"/>
          <w:lang w:val="es-US"/>
        </w:rPr>
        <w:t>.</w:t>
      </w:r>
    </w:p>
  </w:footnote>
  <w:footnote w:id="29">
    <w:p w14:paraId="7C2557D4" w14:textId="371A7BBE" w:rsidR="00D6627D" w:rsidRPr="007154F4" w:rsidRDefault="00D6627D"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9D76CC" w:rsidRPr="007154F4">
        <w:rPr>
          <w:sz w:val="18"/>
          <w:szCs w:val="18"/>
          <w:lang w:val="es-US"/>
        </w:rPr>
        <w:t>Respuesta al Cuestionario</w:t>
      </w:r>
      <w:r w:rsidRPr="007154F4">
        <w:rPr>
          <w:sz w:val="18"/>
          <w:szCs w:val="18"/>
          <w:lang w:val="es-US"/>
        </w:rPr>
        <w:t xml:space="preserve">, </w:t>
      </w:r>
      <w:r w:rsidR="00E1169A" w:rsidRPr="007154F4">
        <w:rPr>
          <w:sz w:val="18"/>
          <w:szCs w:val="18"/>
          <w:lang w:val="es-US"/>
        </w:rPr>
        <w:t>págs.</w:t>
      </w:r>
      <w:r w:rsidRPr="007154F4">
        <w:rPr>
          <w:sz w:val="18"/>
          <w:szCs w:val="18"/>
          <w:lang w:val="es-US"/>
        </w:rPr>
        <w:t xml:space="preserve"> 15 – 16, </w:t>
      </w:r>
      <w:r w:rsidRPr="007154F4">
        <w:rPr>
          <w:i/>
          <w:iCs/>
          <w:sz w:val="18"/>
          <w:szCs w:val="18"/>
          <w:lang w:val="es-US"/>
        </w:rPr>
        <w:t xml:space="preserve">supra </w:t>
      </w:r>
      <w:r w:rsidRPr="007154F4">
        <w:rPr>
          <w:sz w:val="18"/>
          <w:szCs w:val="18"/>
          <w:lang w:val="es-US"/>
        </w:rPr>
        <w:t>not</w:t>
      </w:r>
      <w:r w:rsidR="009D76CC" w:rsidRPr="007154F4">
        <w:rPr>
          <w:sz w:val="18"/>
          <w:szCs w:val="18"/>
          <w:lang w:val="es-US"/>
        </w:rPr>
        <w:t>a</w:t>
      </w:r>
      <w:r w:rsidRPr="007154F4">
        <w:rPr>
          <w:sz w:val="18"/>
          <w:szCs w:val="18"/>
          <w:lang w:val="es-US"/>
        </w:rPr>
        <w:t xml:space="preserve"> 10.</w:t>
      </w:r>
    </w:p>
  </w:footnote>
  <w:footnote w:id="30">
    <w:p w14:paraId="3BE9ADD6" w14:textId="188FDED4" w:rsidR="005A46F6" w:rsidRPr="007154F4" w:rsidRDefault="005A46F6" w:rsidP="004C3313">
      <w:pPr>
        <w:pStyle w:val="FootnoteText"/>
        <w:jc w:val="both"/>
        <w:rPr>
          <w:i/>
          <w:iCs/>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Ibid.</w:t>
      </w:r>
    </w:p>
  </w:footnote>
  <w:footnote w:id="31">
    <w:p w14:paraId="53C9DF81" w14:textId="1BD48CB1" w:rsidR="00E6104E" w:rsidRPr="007154F4" w:rsidRDefault="00E6104E"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IRM, Part</w:t>
      </w:r>
      <w:r w:rsidR="009D76CC" w:rsidRPr="007154F4">
        <w:rPr>
          <w:sz w:val="18"/>
          <w:szCs w:val="18"/>
          <w:lang w:val="es-US"/>
        </w:rPr>
        <w:t>e</w:t>
      </w:r>
      <w:r w:rsidRPr="007154F4">
        <w:rPr>
          <w:sz w:val="18"/>
          <w:szCs w:val="18"/>
          <w:lang w:val="es-US"/>
        </w:rPr>
        <w:t xml:space="preserve"> 9, </w:t>
      </w:r>
      <w:r w:rsidR="00AD4D8A" w:rsidRPr="007154F4">
        <w:rPr>
          <w:sz w:val="18"/>
          <w:szCs w:val="18"/>
          <w:lang w:val="es-US"/>
        </w:rPr>
        <w:t>Capítulo</w:t>
      </w:r>
      <w:r w:rsidRPr="007154F4">
        <w:rPr>
          <w:sz w:val="18"/>
          <w:szCs w:val="18"/>
          <w:lang w:val="es-US"/>
        </w:rPr>
        <w:t xml:space="preserve"> 4, </w:t>
      </w:r>
      <w:r w:rsidR="00AD4D8A" w:rsidRPr="007154F4">
        <w:rPr>
          <w:sz w:val="18"/>
          <w:szCs w:val="18"/>
          <w:lang w:val="es-US"/>
        </w:rPr>
        <w:t>Sección</w:t>
      </w:r>
      <w:r w:rsidRPr="007154F4">
        <w:rPr>
          <w:sz w:val="18"/>
          <w:szCs w:val="18"/>
          <w:lang w:val="es-US"/>
        </w:rPr>
        <w:t xml:space="preserve"> 4, </w:t>
      </w:r>
      <w:r w:rsidRPr="007154F4">
        <w:rPr>
          <w:i/>
          <w:iCs/>
          <w:sz w:val="18"/>
          <w:szCs w:val="18"/>
          <w:lang w:val="es-US"/>
        </w:rPr>
        <w:t xml:space="preserve">supra </w:t>
      </w:r>
      <w:r w:rsidR="00014A46" w:rsidRPr="007154F4">
        <w:rPr>
          <w:sz w:val="18"/>
          <w:szCs w:val="18"/>
          <w:lang w:val="es-US"/>
        </w:rPr>
        <w:t>nota 16</w:t>
      </w:r>
      <w:r w:rsidRPr="007154F4">
        <w:rPr>
          <w:sz w:val="18"/>
          <w:szCs w:val="18"/>
          <w:lang w:val="es-US"/>
        </w:rPr>
        <w:t>.</w:t>
      </w:r>
    </w:p>
  </w:footnote>
  <w:footnote w:id="32">
    <w:p w14:paraId="3A1A00B8" w14:textId="2C33F52C" w:rsidR="008F2DDE" w:rsidRPr="007154F4" w:rsidRDefault="008F2DDE"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A02692" w:rsidRPr="007154F4">
        <w:rPr>
          <w:sz w:val="18"/>
          <w:szCs w:val="18"/>
          <w:lang w:val="es-US"/>
        </w:rPr>
        <w:t>Respuesta al Cuestionario</w:t>
      </w:r>
      <w:r w:rsidRPr="007154F4">
        <w:rPr>
          <w:sz w:val="18"/>
          <w:szCs w:val="18"/>
          <w:lang w:val="es-US"/>
        </w:rPr>
        <w:t xml:space="preserve">, </w:t>
      </w:r>
      <w:r w:rsidR="00A02692" w:rsidRPr="007154F4">
        <w:rPr>
          <w:sz w:val="18"/>
          <w:szCs w:val="18"/>
          <w:lang w:val="es-US"/>
        </w:rPr>
        <w:t>págs.</w:t>
      </w:r>
      <w:r w:rsidRPr="007154F4">
        <w:rPr>
          <w:sz w:val="18"/>
          <w:szCs w:val="18"/>
          <w:lang w:val="es-US"/>
        </w:rPr>
        <w:t xml:space="preserve"> 1</w:t>
      </w:r>
      <w:r w:rsidR="0032785D" w:rsidRPr="007154F4">
        <w:rPr>
          <w:sz w:val="18"/>
          <w:szCs w:val="18"/>
          <w:lang w:val="es-US"/>
        </w:rPr>
        <w:t>6</w:t>
      </w:r>
      <w:r w:rsidRPr="007154F4">
        <w:rPr>
          <w:sz w:val="18"/>
          <w:szCs w:val="18"/>
          <w:lang w:val="es-US"/>
        </w:rPr>
        <w:t xml:space="preserve"> – 1</w:t>
      </w:r>
      <w:r w:rsidR="0032785D" w:rsidRPr="007154F4">
        <w:rPr>
          <w:sz w:val="18"/>
          <w:szCs w:val="18"/>
          <w:lang w:val="es-US"/>
        </w:rPr>
        <w:t>7</w:t>
      </w:r>
      <w:r w:rsidRPr="007154F4">
        <w:rPr>
          <w:sz w:val="18"/>
          <w:szCs w:val="18"/>
          <w:lang w:val="es-US"/>
        </w:rPr>
        <w:t xml:space="preserve">, </w:t>
      </w:r>
      <w:r w:rsidRPr="007154F4">
        <w:rPr>
          <w:i/>
          <w:iCs/>
          <w:sz w:val="18"/>
          <w:szCs w:val="18"/>
          <w:lang w:val="es-US"/>
        </w:rPr>
        <w:t xml:space="preserve">supra </w:t>
      </w:r>
      <w:r w:rsidRPr="007154F4">
        <w:rPr>
          <w:sz w:val="18"/>
          <w:szCs w:val="18"/>
          <w:lang w:val="es-US"/>
        </w:rPr>
        <w:t>not</w:t>
      </w:r>
      <w:r w:rsidR="00A02692" w:rsidRPr="007154F4">
        <w:rPr>
          <w:sz w:val="18"/>
          <w:szCs w:val="18"/>
          <w:lang w:val="es-US"/>
        </w:rPr>
        <w:t>a</w:t>
      </w:r>
      <w:r w:rsidRPr="007154F4">
        <w:rPr>
          <w:sz w:val="18"/>
          <w:szCs w:val="18"/>
          <w:lang w:val="es-US"/>
        </w:rPr>
        <w:t xml:space="preserve"> 10.</w:t>
      </w:r>
    </w:p>
  </w:footnote>
  <w:footnote w:id="33">
    <w:p w14:paraId="03E1C1ED" w14:textId="43F1D6A5" w:rsidR="0032785D" w:rsidRPr="007154F4" w:rsidRDefault="0032785D"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Ibid.</w:t>
      </w:r>
      <w:r w:rsidRPr="007154F4">
        <w:rPr>
          <w:sz w:val="18"/>
          <w:szCs w:val="18"/>
          <w:lang w:val="es-US"/>
        </w:rPr>
        <w:t xml:space="preserve">, </w:t>
      </w:r>
      <w:r w:rsidR="00A02692" w:rsidRPr="007154F4">
        <w:rPr>
          <w:sz w:val="18"/>
          <w:szCs w:val="18"/>
          <w:lang w:val="es-US"/>
        </w:rPr>
        <w:t>pág.</w:t>
      </w:r>
      <w:r w:rsidRPr="007154F4">
        <w:rPr>
          <w:sz w:val="18"/>
          <w:szCs w:val="18"/>
          <w:lang w:val="es-US"/>
        </w:rPr>
        <w:t xml:space="preserve"> 17.</w:t>
      </w:r>
    </w:p>
  </w:footnote>
  <w:footnote w:id="34">
    <w:p w14:paraId="1C6C5179" w14:textId="04BC5DDB" w:rsidR="008976B9" w:rsidRPr="007154F4" w:rsidRDefault="008976B9"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IRM, Part</w:t>
      </w:r>
      <w:r w:rsidR="00A02692" w:rsidRPr="007154F4">
        <w:rPr>
          <w:sz w:val="18"/>
          <w:szCs w:val="18"/>
          <w:lang w:val="es-US"/>
        </w:rPr>
        <w:t>e</w:t>
      </w:r>
      <w:r w:rsidRPr="007154F4">
        <w:rPr>
          <w:sz w:val="18"/>
          <w:szCs w:val="18"/>
          <w:lang w:val="es-US"/>
        </w:rPr>
        <w:t xml:space="preserve"> 9, </w:t>
      </w:r>
      <w:r w:rsidR="00A02692" w:rsidRPr="007154F4">
        <w:rPr>
          <w:sz w:val="18"/>
          <w:szCs w:val="18"/>
          <w:lang w:val="es-US"/>
        </w:rPr>
        <w:t>Capítulo</w:t>
      </w:r>
      <w:r w:rsidRPr="007154F4">
        <w:rPr>
          <w:sz w:val="18"/>
          <w:szCs w:val="18"/>
          <w:lang w:val="es-US"/>
        </w:rPr>
        <w:t xml:space="preserve"> 4, </w:t>
      </w:r>
      <w:r w:rsidR="00A02692" w:rsidRPr="007154F4">
        <w:rPr>
          <w:sz w:val="18"/>
          <w:szCs w:val="18"/>
          <w:lang w:val="es-US"/>
        </w:rPr>
        <w:t xml:space="preserve">Sección </w:t>
      </w:r>
      <w:r w:rsidRPr="007154F4">
        <w:rPr>
          <w:sz w:val="18"/>
          <w:szCs w:val="18"/>
          <w:lang w:val="es-US"/>
        </w:rPr>
        <w:t xml:space="preserve">2, </w:t>
      </w:r>
      <w:r w:rsidRPr="007154F4">
        <w:rPr>
          <w:i/>
          <w:iCs/>
          <w:sz w:val="18"/>
          <w:szCs w:val="18"/>
          <w:lang w:val="es-US"/>
        </w:rPr>
        <w:t xml:space="preserve">supra </w:t>
      </w:r>
      <w:r w:rsidR="00014A46" w:rsidRPr="007154F4">
        <w:rPr>
          <w:sz w:val="18"/>
          <w:szCs w:val="18"/>
          <w:lang w:val="es-US"/>
        </w:rPr>
        <w:t>nota 16</w:t>
      </w:r>
      <w:r w:rsidRPr="007154F4">
        <w:rPr>
          <w:sz w:val="18"/>
          <w:szCs w:val="18"/>
          <w:lang w:val="es-US"/>
        </w:rPr>
        <w:t>.</w:t>
      </w:r>
    </w:p>
  </w:footnote>
  <w:footnote w:id="35">
    <w:p w14:paraId="4AB1E3A1" w14:textId="587485EE" w:rsidR="00F11E9C" w:rsidRPr="007154F4" w:rsidRDefault="00F11E9C"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Ibid</w:t>
      </w:r>
      <w:r w:rsidRPr="007154F4">
        <w:rPr>
          <w:sz w:val="18"/>
          <w:szCs w:val="18"/>
          <w:lang w:val="es-US"/>
        </w:rPr>
        <w:t>.</w:t>
      </w:r>
    </w:p>
  </w:footnote>
  <w:footnote w:id="36">
    <w:p w14:paraId="67145FE1" w14:textId="39D99EE3" w:rsidR="00512FEA" w:rsidRPr="007154F4" w:rsidRDefault="00512FEA" w:rsidP="004C3313">
      <w:pPr>
        <w:pStyle w:val="FootnoteText"/>
        <w:jc w:val="both"/>
        <w:rPr>
          <w:i/>
          <w:iCs/>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 xml:space="preserve">Ibid. </w:t>
      </w:r>
    </w:p>
  </w:footnote>
  <w:footnote w:id="37">
    <w:p w14:paraId="5D5DFFBD" w14:textId="57B720E9" w:rsidR="00904756" w:rsidRPr="007154F4" w:rsidRDefault="00904756" w:rsidP="00D315CC">
      <w:pPr>
        <w:pStyle w:val="FootnoteText"/>
        <w:jc w:val="both"/>
        <w:rPr>
          <w:i/>
          <w:iCs/>
          <w:sz w:val="18"/>
          <w:szCs w:val="18"/>
          <w:lang w:val="es-US"/>
        </w:rPr>
      </w:pPr>
      <w:r w:rsidRPr="007154F4">
        <w:rPr>
          <w:rStyle w:val="FootnoteReference"/>
          <w:sz w:val="18"/>
          <w:szCs w:val="18"/>
          <w:lang w:val="es-US"/>
        </w:rPr>
        <w:footnoteRef/>
      </w:r>
      <w:r w:rsidRPr="007154F4">
        <w:rPr>
          <w:sz w:val="18"/>
          <w:szCs w:val="18"/>
          <w:lang w:val="es-US"/>
        </w:rPr>
        <w:t xml:space="preserve"> </w:t>
      </w:r>
      <w:r w:rsidR="00221A4F" w:rsidRPr="007154F4">
        <w:rPr>
          <w:sz w:val="18"/>
          <w:szCs w:val="18"/>
          <w:lang w:val="es-US"/>
        </w:rPr>
        <w:t xml:space="preserve">El Comité observa que en la Parte 25, Capítulo 1, Sección 2, subsección 2.3, Indicadores de fraude, el IRM establece ejemplos de lo que constituyen indicadores de fraude en ingresos, gastos o deducciones, libros y registros, asignaciones de ingresos, conducta del contribuyente y métodos de ocultación, </w:t>
      </w:r>
      <w:r w:rsidR="00BA61D7" w:rsidRPr="007154F4">
        <w:rPr>
          <w:i/>
          <w:iCs/>
          <w:sz w:val="18"/>
          <w:szCs w:val="18"/>
          <w:lang w:val="es-US"/>
        </w:rPr>
        <w:t>ibid.</w:t>
      </w:r>
    </w:p>
  </w:footnote>
  <w:footnote w:id="38">
    <w:p w14:paraId="75874FC5" w14:textId="2ACE834C" w:rsidR="000E02F4" w:rsidRPr="007154F4" w:rsidRDefault="000E02F4" w:rsidP="00D315CC">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E47D85" w:rsidRPr="007154F4">
        <w:rPr>
          <w:sz w:val="18"/>
          <w:szCs w:val="18"/>
          <w:lang w:val="es-US"/>
        </w:rPr>
        <w:t>Visita in situ del MESICIC a Estados Unidos, Información sobre la Negación de Beneficios Fiscales, documento presentado por el Estado analizado tras la visita in situ</w:t>
      </w:r>
      <w:r w:rsidRPr="007154F4">
        <w:rPr>
          <w:sz w:val="18"/>
          <w:szCs w:val="18"/>
          <w:lang w:val="es-US"/>
        </w:rPr>
        <w:t>.</w:t>
      </w:r>
    </w:p>
  </w:footnote>
  <w:footnote w:id="39">
    <w:p w14:paraId="5EE1A5EE" w14:textId="4972550A" w:rsidR="005A2298" w:rsidRPr="007154F4" w:rsidRDefault="005A2298"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E47D85" w:rsidRPr="007154F4">
        <w:rPr>
          <w:sz w:val="18"/>
          <w:szCs w:val="18"/>
          <w:lang w:val="es-US"/>
        </w:rPr>
        <w:t>Respuesta al Cuestionario</w:t>
      </w:r>
      <w:r w:rsidRPr="007154F4">
        <w:rPr>
          <w:sz w:val="18"/>
          <w:szCs w:val="18"/>
          <w:lang w:val="es-US"/>
        </w:rPr>
        <w:t xml:space="preserve">, </w:t>
      </w:r>
      <w:r w:rsidR="00E47D85" w:rsidRPr="007154F4">
        <w:rPr>
          <w:sz w:val="18"/>
          <w:szCs w:val="18"/>
          <w:lang w:val="es-US"/>
        </w:rPr>
        <w:t>págs.</w:t>
      </w:r>
      <w:r w:rsidRPr="007154F4">
        <w:rPr>
          <w:sz w:val="18"/>
          <w:szCs w:val="18"/>
          <w:lang w:val="es-US"/>
        </w:rPr>
        <w:t xml:space="preserve"> 18 – 19, </w:t>
      </w:r>
      <w:r w:rsidRPr="007154F4">
        <w:rPr>
          <w:i/>
          <w:iCs/>
          <w:sz w:val="18"/>
          <w:szCs w:val="18"/>
          <w:lang w:val="es-US"/>
        </w:rPr>
        <w:t xml:space="preserve">supra </w:t>
      </w:r>
      <w:r w:rsidRPr="007154F4">
        <w:rPr>
          <w:sz w:val="18"/>
          <w:szCs w:val="18"/>
          <w:lang w:val="es-US"/>
        </w:rPr>
        <w:t>not</w:t>
      </w:r>
      <w:r w:rsidR="00E47D85" w:rsidRPr="007154F4">
        <w:rPr>
          <w:sz w:val="18"/>
          <w:szCs w:val="18"/>
          <w:lang w:val="es-US"/>
        </w:rPr>
        <w:t>a</w:t>
      </w:r>
      <w:r w:rsidRPr="007154F4">
        <w:rPr>
          <w:sz w:val="18"/>
          <w:szCs w:val="18"/>
          <w:lang w:val="es-US"/>
        </w:rPr>
        <w:t xml:space="preserve"> 10.</w:t>
      </w:r>
    </w:p>
  </w:footnote>
  <w:footnote w:id="40">
    <w:p w14:paraId="5108B829" w14:textId="1D03EB2A" w:rsidR="00383E17" w:rsidRPr="007154F4" w:rsidRDefault="00383E17"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995587" w:rsidRPr="007154F4">
        <w:rPr>
          <w:sz w:val="18"/>
          <w:szCs w:val="18"/>
          <w:lang w:val="es-US"/>
        </w:rPr>
        <w:t xml:space="preserve">A este respecto, el Estado analizado señala además que: </w:t>
      </w:r>
      <w:r w:rsidR="00995587" w:rsidRPr="007154F4">
        <w:rPr>
          <w:i/>
          <w:sz w:val="18"/>
          <w:szCs w:val="18"/>
          <w:lang w:val="es-US"/>
        </w:rPr>
        <w:t xml:space="preserve">“Una revelación voluntaria ocurre cuando un contribuyente proporciona una revelación veraz, oportuna y completa a la CI a través de los procedimientos designados. También requiere que el individuo coopere con el IRS para determinar su obligación tributaria correcta como contribuyente y haga arreglos de buena fe con el IRS para pagar —en su totalidad— el impuesto, los intereses y cualquier sanción aplicable que se adeuden. Una revelación es oportuna si el IRS la recibe antes de que haya iniciado un examen civil o una investigación penal, haya recibido información de un tercero, por ejemplo, un informante, otro organismo gubernamental, una citación para una persona no identificada (‘John </w:t>
      </w:r>
      <w:proofErr w:type="spellStart"/>
      <w:r w:rsidR="00995587" w:rsidRPr="007154F4">
        <w:rPr>
          <w:i/>
          <w:sz w:val="18"/>
          <w:szCs w:val="18"/>
          <w:lang w:val="es-US"/>
        </w:rPr>
        <w:t>Doe</w:t>
      </w:r>
      <w:proofErr w:type="spellEnd"/>
      <w:r w:rsidR="00995587" w:rsidRPr="007154F4">
        <w:rPr>
          <w:i/>
          <w:sz w:val="18"/>
          <w:szCs w:val="18"/>
          <w:lang w:val="es-US"/>
        </w:rPr>
        <w:t xml:space="preserve"> </w:t>
      </w:r>
      <w:proofErr w:type="spellStart"/>
      <w:r w:rsidR="00995587" w:rsidRPr="007154F4">
        <w:rPr>
          <w:i/>
          <w:sz w:val="18"/>
          <w:szCs w:val="18"/>
          <w:lang w:val="es-US"/>
        </w:rPr>
        <w:t>Summons</w:t>
      </w:r>
      <w:proofErr w:type="spellEnd"/>
      <w:r w:rsidR="00995587" w:rsidRPr="007154F4">
        <w:rPr>
          <w:i/>
          <w:sz w:val="18"/>
          <w:szCs w:val="18"/>
          <w:lang w:val="es-US"/>
        </w:rPr>
        <w:t>’), etc. que alerte de su incumplimiento, haya adquirido información directamente relacionada con su incumplimiento específico a partir de una medida de aplicación penal, por ejemplo, una orden de registro, una citación del gran jurado, etc.”</w:t>
      </w:r>
      <w:r w:rsidR="00995587" w:rsidRPr="007154F4">
        <w:rPr>
          <w:sz w:val="18"/>
          <w:szCs w:val="18"/>
          <w:lang w:val="es-US"/>
        </w:rPr>
        <w:t xml:space="preserve"> </w:t>
      </w:r>
      <w:r w:rsidR="00D5483C" w:rsidRPr="007154F4">
        <w:rPr>
          <w:i/>
          <w:iCs/>
          <w:sz w:val="18"/>
          <w:szCs w:val="18"/>
          <w:lang w:val="es-US"/>
        </w:rPr>
        <w:t>ibid.</w:t>
      </w:r>
    </w:p>
  </w:footnote>
  <w:footnote w:id="41">
    <w:p w14:paraId="3942ACD9" w14:textId="68595BA3" w:rsidR="00032D25" w:rsidRPr="007154F4" w:rsidRDefault="00032D25"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2D08AF" w:rsidRPr="007154F4">
        <w:rPr>
          <w:sz w:val="18"/>
          <w:szCs w:val="18"/>
          <w:lang w:val="es-US"/>
        </w:rPr>
        <w:t>Véase</w:t>
      </w:r>
      <w:r w:rsidRPr="007154F4">
        <w:rPr>
          <w:sz w:val="18"/>
          <w:szCs w:val="18"/>
          <w:lang w:val="es-US"/>
        </w:rPr>
        <w:t xml:space="preserve"> Part</w:t>
      </w:r>
      <w:r w:rsidR="00E52928" w:rsidRPr="007154F4">
        <w:rPr>
          <w:sz w:val="18"/>
          <w:szCs w:val="18"/>
          <w:lang w:val="es-US"/>
        </w:rPr>
        <w:t>e</w:t>
      </w:r>
      <w:r w:rsidRPr="007154F4">
        <w:rPr>
          <w:sz w:val="18"/>
          <w:szCs w:val="18"/>
          <w:lang w:val="es-US"/>
        </w:rPr>
        <w:t xml:space="preserve"> 25, </w:t>
      </w:r>
      <w:r w:rsidR="002D08AF" w:rsidRPr="007154F4">
        <w:rPr>
          <w:sz w:val="18"/>
          <w:szCs w:val="18"/>
          <w:lang w:val="es-US"/>
        </w:rPr>
        <w:t>Capítulo</w:t>
      </w:r>
      <w:r w:rsidRPr="007154F4">
        <w:rPr>
          <w:sz w:val="18"/>
          <w:szCs w:val="18"/>
          <w:lang w:val="es-US"/>
        </w:rPr>
        <w:t xml:space="preserve"> 2, </w:t>
      </w:r>
      <w:r w:rsidR="002D08AF" w:rsidRPr="007154F4">
        <w:rPr>
          <w:sz w:val="18"/>
          <w:szCs w:val="18"/>
          <w:lang w:val="es-US"/>
        </w:rPr>
        <w:t>Sección</w:t>
      </w:r>
      <w:r w:rsidRPr="007154F4">
        <w:rPr>
          <w:sz w:val="18"/>
          <w:szCs w:val="18"/>
          <w:lang w:val="es-US"/>
        </w:rPr>
        <w:t xml:space="preserve"> </w:t>
      </w:r>
      <w:r w:rsidR="00A10CEF" w:rsidRPr="007154F4">
        <w:rPr>
          <w:sz w:val="18"/>
          <w:szCs w:val="18"/>
          <w:lang w:val="es-US"/>
        </w:rPr>
        <w:t xml:space="preserve">1, </w:t>
      </w:r>
      <w:r w:rsidR="00777A8B" w:rsidRPr="007154F4">
        <w:rPr>
          <w:sz w:val="18"/>
          <w:szCs w:val="18"/>
          <w:lang w:val="es-US"/>
        </w:rPr>
        <w:t>Procedimientos de Desarrollo de Fraude</w:t>
      </w:r>
      <w:r w:rsidR="00A10CEF" w:rsidRPr="007154F4">
        <w:rPr>
          <w:sz w:val="18"/>
          <w:szCs w:val="18"/>
          <w:lang w:val="es-US"/>
        </w:rPr>
        <w:t xml:space="preserve">, </w:t>
      </w:r>
      <w:r w:rsidR="002D08AF" w:rsidRPr="007154F4">
        <w:rPr>
          <w:sz w:val="18"/>
          <w:szCs w:val="18"/>
          <w:lang w:val="es-US"/>
        </w:rPr>
        <w:t>así</w:t>
      </w:r>
      <w:r w:rsidR="004B699F" w:rsidRPr="007154F4">
        <w:rPr>
          <w:sz w:val="18"/>
          <w:szCs w:val="18"/>
          <w:lang w:val="es-US"/>
        </w:rPr>
        <w:t xml:space="preserve"> como</w:t>
      </w:r>
      <w:r w:rsidR="00A10CEF" w:rsidRPr="007154F4">
        <w:rPr>
          <w:sz w:val="18"/>
          <w:szCs w:val="18"/>
          <w:lang w:val="es-US"/>
        </w:rPr>
        <w:t xml:space="preserve"> Part</w:t>
      </w:r>
      <w:r w:rsidR="004B699F" w:rsidRPr="007154F4">
        <w:rPr>
          <w:sz w:val="18"/>
          <w:szCs w:val="18"/>
          <w:lang w:val="es-US"/>
        </w:rPr>
        <w:t>e</w:t>
      </w:r>
      <w:r w:rsidR="00A10CEF" w:rsidRPr="007154F4">
        <w:rPr>
          <w:sz w:val="18"/>
          <w:szCs w:val="18"/>
          <w:lang w:val="es-US"/>
        </w:rPr>
        <w:t xml:space="preserve"> 25, </w:t>
      </w:r>
      <w:r w:rsidR="002D08AF" w:rsidRPr="007154F4">
        <w:rPr>
          <w:sz w:val="18"/>
          <w:szCs w:val="18"/>
          <w:lang w:val="es-US"/>
        </w:rPr>
        <w:t>Capítulo</w:t>
      </w:r>
      <w:r w:rsidR="00A10CEF" w:rsidRPr="007154F4">
        <w:rPr>
          <w:sz w:val="18"/>
          <w:szCs w:val="18"/>
          <w:lang w:val="es-US"/>
        </w:rPr>
        <w:t xml:space="preserve"> 2, </w:t>
      </w:r>
      <w:r w:rsidR="002D08AF" w:rsidRPr="007154F4">
        <w:rPr>
          <w:sz w:val="18"/>
          <w:szCs w:val="18"/>
          <w:lang w:val="es-US"/>
        </w:rPr>
        <w:t>Sección</w:t>
      </w:r>
      <w:r w:rsidR="00A10CEF" w:rsidRPr="007154F4">
        <w:rPr>
          <w:sz w:val="18"/>
          <w:szCs w:val="18"/>
          <w:lang w:val="es-US"/>
        </w:rPr>
        <w:t xml:space="preserve"> </w:t>
      </w:r>
      <w:r w:rsidR="00ED4A39" w:rsidRPr="007154F4">
        <w:rPr>
          <w:sz w:val="18"/>
          <w:szCs w:val="18"/>
          <w:lang w:val="es-US"/>
        </w:rPr>
        <w:t xml:space="preserve">3, </w:t>
      </w:r>
      <w:r w:rsidR="00C97356" w:rsidRPr="007154F4">
        <w:rPr>
          <w:sz w:val="18"/>
          <w:szCs w:val="18"/>
          <w:lang w:val="es-US"/>
        </w:rPr>
        <w:t>Remisiones Criminales</w:t>
      </w:r>
      <w:r w:rsidR="00ED4A39" w:rsidRPr="007154F4">
        <w:rPr>
          <w:sz w:val="18"/>
          <w:szCs w:val="18"/>
          <w:lang w:val="es-US"/>
        </w:rPr>
        <w:t>,</w:t>
      </w:r>
      <w:r w:rsidR="00A10CEF" w:rsidRPr="007154F4">
        <w:rPr>
          <w:sz w:val="18"/>
          <w:szCs w:val="18"/>
          <w:lang w:val="es-US"/>
        </w:rPr>
        <w:t xml:space="preserve"> </w:t>
      </w:r>
      <w:r w:rsidR="00A10CEF" w:rsidRPr="007154F4">
        <w:rPr>
          <w:i/>
          <w:iCs/>
          <w:sz w:val="18"/>
          <w:szCs w:val="18"/>
          <w:lang w:val="es-US"/>
        </w:rPr>
        <w:t xml:space="preserve">supra </w:t>
      </w:r>
      <w:r w:rsidR="00014A46" w:rsidRPr="007154F4">
        <w:rPr>
          <w:sz w:val="18"/>
          <w:szCs w:val="18"/>
          <w:lang w:val="es-US"/>
        </w:rPr>
        <w:t>nota 16</w:t>
      </w:r>
      <w:r w:rsidR="00A10CEF" w:rsidRPr="007154F4">
        <w:rPr>
          <w:sz w:val="18"/>
          <w:szCs w:val="18"/>
          <w:lang w:val="es-US"/>
        </w:rPr>
        <w:t>.</w:t>
      </w:r>
    </w:p>
  </w:footnote>
  <w:footnote w:id="42">
    <w:p w14:paraId="7FBED13C" w14:textId="5BDA6606" w:rsidR="00ED4A39" w:rsidRPr="007154F4" w:rsidRDefault="00ED4A39"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0B1E76" w:rsidRPr="007154F4">
        <w:rPr>
          <w:sz w:val="18"/>
          <w:szCs w:val="18"/>
          <w:lang w:val="es-US"/>
        </w:rPr>
        <w:t>Respuesta al Cuestionario</w:t>
      </w:r>
      <w:r w:rsidRPr="007154F4">
        <w:rPr>
          <w:sz w:val="18"/>
          <w:szCs w:val="18"/>
          <w:lang w:val="es-US"/>
        </w:rPr>
        <w:t xml:space="preserve">, </w:t>
      </w:r>
      <w:r w:rsidR="002D08AF" w:rsidRPr="007154F4">
        <w:rPr>
          <w:sz w:val="18"/>
          <w:szCs w:val="18"/>
          <w:lang w:val="es-US"/>
        </w:rPr>
        <w:t>págs.</w:t>
      </w:r>
      <w:r w:rsidRPr="007154F4">
        <w:rPr>
          <w:sz w:val="18"/>
          <w:szCs w:val="18"/>
          <w:lang w:val="es-US"/>
        </w:rPr>
        <w:t xml:space="preserve"> 19 – 20, </w:t>
      </w:r>
      <w:r w:rsidRPr="007154F4">
        <w:rPr>
          <w:i/>
          <w:iCs/>
          <w:sz w:val="18"/>
          <w:szCs w:val="18"/>
          <w:lang w:val="es-US"/>
        </w:rPr>
        <w:t xml:space="preserve">supra </w:t>
      </w:r>
      <w:r w:rsidRPr="007154F4">
        <w:rPr>
          <w:sz w:val="18"/>
          <w:szCs w:val="18"/>
          <w:lang w:val="es-US"/>
        </w:rPr>
        <w:t>not</w:t>
      </w:r>
      <w:r w:rsidR="000B1E76" w:rsidRPr="007154F4">
        <w:rPr>
          <w:sz w:val="18"/>
          <w:szCs w:val="18"/>
          <w:lang w:val="es-US"/>
        </w:rPr>
        <w:t>a</w:t>
      </w:r>
      <w:r w:rsidRPr="007154F4">
        <w:rPr>
          <w:sz w:val="18"/>
          <w:szCs w:val="18"/>
          <w:lang w:val="es-US"/>
        </w:rPr>
        <w:t xml:space="preserve"> 10.</w:t>
      </w:r>
    </w:p>
  </w:footnote>
  <w:footnote w:id="43">
    <w:p w14:paraId="0C3CCE81" w14:textId="3A2A4EFA" w:rsidR="00ED4A39" w:rsidRPr="007154F4" w:rsidRDefault="00ED4A39" w:rsidP="004C3313">
      <w:pPr>
        <w:pStyle w:val="FootnoteText"/>
        <w:jc w:val="both"/>
        <w:rPr>
          <w:sz w:val="18"/>
          <w:szCs w:val="18"/>
          <w:lang w:val="fr-CA"/>
        </w:rPr>
      </w:pPr>
      <w:r w:rsidRPr="007154F4">
        <w:rPr>
          <w:rStyle w:val="FootnoteReference"/>
          <w:sz w:val="18"/>
          <w:szCs w:val="18"/>
          <w:lang w:val="es-US"/>
        </w:rPr>
        <w:footnoteRef/>
      </w:r>
      <w:r w:rsidRPr="007154F4">
        <w:rPr>
          <w:sz w:val="18"/>
          <w:szCs w:val="18"/>
          <w:lang w:val="fr-CA"/>
        </w:rPr>
        <w:t xml:space="preserve"> </w:t>
      </w:r>
      <w:r w:rsidR="004F58CD" w:rsidRPr="007154F4">
        <w:rPr>
          <w:sz w:val="18"/>
          <w:szCs w:val="18"/>
          <w:lang w:val="fr-CA"/>
        </w:rPr>
        <w:t xml:space="preserve">Informe </w:t>
      </w:r>
      <w:proofErr w:type="spellStart"/>
      <w:r w:rsidR="004F58CD" w:rsidRPr="007154F4">
        <w:rPr>
          <w:sz w:val="18"/>
          <w:szCs w:val="18"/>
          <w:lang w:val="fr-CA"/>
        </w:rPr>
        <w:t>Anual</w:t>
      </w:r>
      <w:proofErr w:type="spellEnd"/>
      <w:r w:rsidR="004F58CD" w:rsidRPr="007154F4">
        <w:rPr>
          <w:sz w:val="18"/>
          <w:szCs w:val="18"/>
          <w:lang w:val="fr-CA"/>
        </w:rPr>
        <w:t xml:space="preserve"> de 2022</w:t>
      </w:r>
      <w:r w:rsidR="002D08AF" w:rsidRPr="007154F4">
        <w:rPr>
          <w:sz w:val="18"/>
          <w:szCs w:val="18"/>
          <w:lang w:val="fr-CA"/>
        </w:rPr>
        <w:t xml:space="preserve"> de la</w:t>
      </w:r>
      <w:r w:rsidR="00A51E14" w:rsidRPr="007154F4">
        <w:rPr>
          <w:sz w:val="18"/>
          <w:szCs w:val="18"/>
          <w:lang w:val="fr-CA"/>
        </w:rPr>
        <w:t xml:space="preserve"> IRS-CI, </w:t>
      </w:r>
      <w:hyperlink r:id="rId13" w:history="1">
        <w:r w:rsidR="00A51E14" w:rsidRPr="007154F4">
          <w:rPr>
            <w:rStyle w:val="Hyperlink"/>
            <w:sz w:val="18"/>
            <w:szCs w:val="18"/>
            <w:lang w:val="fr-CA"/>
          </w:rPr>
          <w:t>https://www.irs.gov/pub/irs-pdf/p3583.pdf</w:t>
        </w:r>
      </w:hyperlink>
      <w:r w:rsidR="00A51E14" w:rsidRPr="007154F4">
        <w:rPr>
          <w:sz w:val="18"/>
          <w:szCs w:val="18"/>
          <w:lang w:val="fr-CA"/>
        </w:rPr>
        <w:t xml:space="preserve"> </w:t>
      </w:r>
    </w:p>
  </w:footnote>
  <w:footnote w:id="44">
    <w:p w14:paraId="21212723" w14:textId="1F0C7906" w:rsidR="005D5522" w:rsidRPr="007154F4" w:rsidRDefault="005D5522"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B01E20" w:rsidRPr="007154F4">
        <w:rPr>
          <w:i/>
          <w:iCs/>
          <w:sz w:val="18"/>
          <w:szCs w:val="18"/>
          <w:lang w:val="es-US"/>
        </w:rPr>
        <w:t>Ibid.</w:t>
      </w:r>
      <w:r w:rsidRPr="007154F4">
        <w:rPr>
          <w:sz w:val="18"/>
          <w:szCs w:val="18"/>
          <w:lang w:val="es-US"/>
        </w:rPr>
        <w:t xml:space="preserve">, </w:t>
      </w:r>
      <w:r w:rsidR="00B01E20" w:rsidRPr="007154F4">
        <w:rPr>
          <w:sz w:val="18"/>
          <w:szCs w:val="18"/>
          <w:lang w:val="es-US"/>
        </w:rPr>
        <w:t>pág.</w:t>
      </w:r>
      <w:r w:rsidRPr="007154F4">
        <w:rPr>
          <w:sz w:val="18"/>
          <w:szCs w:val="18"/>
          <w:lang w:val="es-US"/>
        </w:rPr>
        <w:t xml:space="preserve"> 6.</w:t>
      </w:r>
    </w:p>
  </w:footnote>
  <w:footnote w:id="45">
    <w:p w14:paraId="03B7CCBB" w14:textId="3E314CA0" w:rsidR="005D5522" w:rsidRPr="007154F4" w:rsidRDefault="005D5522" w:rsidP="004C3313">
      <w:pPr>
        <w:pStyle w:val="ListParagraph"/>
        <w:ind w:left="10"/>
        <w:jc w:val="both"/>
        <w:rPr>
          <w:rFonts w:eastAsiaTheme="minorHAnsi"/>
          <w:bCs/>
          <w:iCs/>
          <w:sz w:val="18"/>
          <w:szCs w:val="18"/>
          <w:lang w:val="es-US"/>
        </w:rPr>
      </w:pPr>
      <w:r w:rsidRPr="007154F4">
        <w:rPr>
          <w:rStyle w:val="FootnoteReference"/>
          <w:sz w:val="18"/>
          <w:szCs w:val="18"/>
          <w:lang w:val="es-US"/>
        </w:rPr>
        <w:footnoteRef/>
      </w:r>
      <w:r w:rsidRPr="007154F4">
        <w:rPr>
          <w:sz w:val="18"/>
          <w:szCs w:val="18"/>
          <w:lang w:val="es-US"/>
        </w:rPr>
        <w:t xml:space="preserve"> </w:t>
      </w:r>
      <w:r w:rsidR="00C9064F" w:rsidRPr="007154F4">
        <w:rPr>
          <w:sz w:val="18"/>
          <w:szCs w:val="18"/>
          <w:lang w:val="es-US"/>
        </w:rPr>
        <w:t>Informe de la Tercera Ronda</w:t>
      </w:r>
      <w:r w:rsidRPr="007154F4">
        <w:rPr>
          <w:sz w:val="18"/>
          <w:szCs w:val="18"/>
          <w:lang w:val="es-US"/>
        </w:rPr>
        <w:t xml:space="preserve">, </w:t>
      </w:r>
      <w:r w:rsidR="00B01E20" w:rsidRPr="007154F4">
        <w:rPr>
          <w:sz w:val="18"/>
          <w:szCs w:val="18"/>
          <w:lang w:val="es-US"/>
        </w:rPr>
        <w:t>pág.</w:t>
      </w:r>
      <w:r w:rsidRPr="007154F4">
        <w:rPr>
          <w:sz w:val="18"/>
          <w:szCs w:val="18"/>
          <w:lang w:val="es-US"/>
        </w:rPr>
        <w:t xml:space="preserve"> </w:t>
      </w:r>
      <w:r w:rsidR="006A60BD" w:rsidRPr="007154F4">
        <w:rPr>
          <w:sz w:val="18"/>
          <w:szCs w:val="18"/>
          <w:lang w:val="es-US"/>
        </w:rPr>
        <w:t>10</w:t>
      </w:r>
      <w:r w:rsidRPr="007154F4">
        <w:rPr>
          <w:sz w:val="18"/>
          <w:szCs w:val="18"/>
          <w:lang w:val="es-US"/>
        </w:rPr>
        <w:t xml:space="preserve">, </w:t>
      </w:r>
      <w:r w:rsidRPr="007154F4">
        <w:rPr>
          <w:i/>
          <w:iCs/>
          <w:sz w:val="18"/>
          <w:szCs w:val="18"/>
          <w:lang w:val="es-US"/>
        </w:rPr>
        <w:t xml:space="preserve">supra </w:t>
      </w:r>
      <w:r w:rsidRPr="007154F4">
        <w:rPr>
          <w:sz w:val="18"/>
          <w:szCs w:val="18"/>
          <w:lang w:val="es-US"/>
        </w:rPr>
        <w:t>not</w:t>
      </w:r>
      <w:r w:rsidR="00C9064F" w:rsidRPr="007154F4">
        <w:rPr>
          <w:sz w:val="18"/>
          <w:szCs w:val="18"/>
          <w:lang w:val="es-US"/>
        </w:rPr>
        <w:t>a</w:t>
      </w:r>
      <w:r w:rsidRPr="007154F4">
        <w:rPr>
          <w:sz w:val="18"/>
          <w:szCs w:val="18"/>
          <w:lang w:val="es-US"/>
        </w:rPr>
        <w:t xml:space="preserve"> 3. </w:t>
      </w:r>
    </w:p>
  </w:footnote>
  <w:footnote w:id="46">
    <w:p w14:paraId="2F5214DD" w14:textId="7CAB7F15" w:rsidR="0018250F" w:rsidRPr="007154F4" w:rsidRDefault="0018250F"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C9064F" w:rsidRPr="007154F4">
        <w:rPr>
          <w:sz w:val="18"/>
          <w:szCs w:val="18"/>
          <w:lang w:val="es-US"/>
        </w:rPr>
        <w:t>Respuesta al Cuestionario</w:t>
      </w:r>
      <w:r w:rsidRPr="007154F4">
        <w:rPr>
          <w:sz w:val="18"/>
          <w:szCs w:val="18"/>
          <w:lang w:val="es-US"/>
        </w:rPr>
        <w:t xml:space="preserve">, </w:t>
      </w:r>
      <w:r w:rsidR="00B01E20" w:rsidRPr="007154F4">
        <w:rPr>
          <w:sz w:val="18"/>
          <w:szCs w:val="18"/>
          <w:lang w:val="es-US"/>
        </w:rPr>
        <w:t>pág.</w:t>
      </w:r>
      <w:r w:rsidRPr="007154F4">
        <w:rPr>
          <w:sz w:val="18"/>
          <w:szCs w:val="18"/>
          <w:lang w:val="es-US"/>
        </w:rPr>
        <w:t xml:space="preserve"> 35,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10.</w:t>
      </w:r>
    </w:p>
  </w:footnote>
  <w:footnote w:id="47">
    <w:p w14:paraId="09EB8E01" w14:textId="110B5A69" w:rsidR="0018250F" w:rsidRPr="007154F4" w:rsidRDefault="0018250F" w:rsidP="004C3313">
      <w:pPr>
        <w:pStyle w:val="FootnoteText"/>
        <w:jc w:val="both"/>
        <w:rPr>
          <w:sz w:val="18"/>
          <w:szCs w:val="18"/>
          <w:lang w:val="en-US"/>
        </w:rPr>
      </w:pPr>
      <w:r w:rsidRPr="007154F4">
        <w:rPr>
          <w:rStyle w:val="FootnoteReference"/>
          <w:sz w:val="18"/>
          <w:szCs w:val="18"/>
          <w:lang w:val="es-US"/>
        </w:rPr>
        <w:footnoteRef/>
      </w:r>
      <w:r w:rsidRPr="007154F4">
        <w:rPr>
          <w:sz w:val="18"/>
          <w:szCs w:val="18"/>
          <w:lang w:val="en-US"/>
        </w:rPr>
        <w:t xml:space="preserve"> </w:t>
      </w:r>
      <w:r w:rsidR="00B01E20" w:rsidRPr="007154F4">
        <w:rPr>
          <w:i/>
          <w:iCs/>
          <w:sz w:val="18"/>
          <w:szCs w:val="18"/>
          <w:lang w:val="en-US"/>
        </w:rPr>
        <w:t>Ibid</w:t>
      </w:r>
      <w:r w:rsidRPr="007154F4">
        <w:rPr>
          <w:sz w:val="18"/>
          <w:szCs w:val="18"/>
          <w:lang w:val="en-US"/>
        </w:rPr>
        <w:t>.</w:t>
      </w:r>
    </w:p>
  </w:footnote>
  <w:footnote w:id="48">
    <w:p w14:paraId="7F585E4C" w14:textId="63F8D5BB" w:rsidR="0018250F" w:rsidRPr="007154F4" w:rsidRDefault="0018250F" w:rsidP="004C3313">
      <w:pPr>
        <w:pStyle w:val="FootnoteText"/>
        <w:jc w:val="both"/>
        <w:rPr>
          <w:sz w:val="18"/>
          <w:szCs w:val="18"/>
          <w:lang w:val="en-US"/>
        </w:rPr>
      </w:pPr>
      <w:r w:rsidRPr="007154F4">
        <w:rPr>
          <w:rStyle w:val="FootnoteReference"/>
          <w:sz w:val="18"/>
          <w:szCs w:val="18"/>
          <w:lang w:val="es-US"/>
        </w:rPr>
        <w:footnoteRef/>
      </w:r>
      <w:r w:rsidRPr="007154F4">
        <w:rPr>
          <w:sz w:val="18"/>
          <w:szCs w:val="18"/>
          <w:lang w:val="en-US"/>
        </w:rPr>
        <w:t xml:space="preserve"> </w:t>
      </w:r>
      <w:r w:rsidR="001B34AB" w:rsidRPr="007154F4">
        <w:rPr>
          <w:i/>
          <w:iCs/>
          <w:sz w:val="18"/>
          <w:szCs w:val="18"/>
          <w:lang w:val="en-US"/>
        </w:rPr>
        <w:t>Ibid.</w:t>
      </w:r>
      <w:r w:rsidRPr="007154F4">
        <w:rPr>
          <w:sz w:val="18"/>
          <w:szCs w:val="18"/>
          <w:lang w:val="en-US"/>
        </w:rPr>
        <w:t xml:space="preserve">, </w:t>
      </w:r>
      <w:proofErr w:type="spellStart"/>
      <w:r w:rsidR="001B34AB" w:rsidRPr="007154F4">
        <w:rPr>
          <w:sz w:val="18"/>
          <w:szCs w:val="18"/>
          <w:lang w:val="en-US"/>
        </w:rPr>
        <w:t>pág</w:t>
      </w:r>
      <w:proofErr w:type="spellEnd"/>
      <w:r w:rsidR="001B34AB" w:rsidRPr="007154F4">
        <w:rPr>
          <w:sz w:val="18"/>
          <w:szCs w:val="18"/>
          <w:lang w:val="en-US"/>
        </w:rPr>
        <w:t>.</w:t>
      </w:r>
      <w:r w:rsidRPr="007154F4">
        <w:rPr>
          <w:sz w:val="18"/>
          <w:szCs w:val="18"/>
          <w:lang w:val="en-US"/>
        </w:rPr>
        <w:t xml:space="preserve"> 64.</w:t>
      </w:r>
    </w:p>
  </w:footnote>
  <w:footnote w:id="49">
    <w:p w14:paraId="1D648CF2" w14:textId="0238D49A" w:rsidR="00D51BB6" w:rsidRPr="007154F4" w:rsidRDefault="00D51BB6" w:rsidP="004C3313">
      <w:pPr>
        <w:pStyle w:val="FootnoteText"/>
        <w:jc w:val="both"/>
        <w:rPr>
          <w:sz w:val="18"/>
          <w:szCs w:val="18"/>
          <w:lang w:val="en-US"/>
        </w:rPr>
      </w:pPr>
      <w:r w:rsidRPr="007154F4">
        <w:rPr>
          <w:rStyle w:val="FootnoteReference"/>
          <w:sz w:val="18"/>
          <w:szCs w:val="18"/>
          <w:lang w:val="es-US"/>
        </w:rPr>
        <w:footnoteRef/>
      </w:r>
      <w:r w:rsidRPr="007154F4">
        <w:rPr>
          <w:sz w:val="18"/>
          <w:szCs w:val="18"/>
          <w:lang w:val="en-US"/>
        </w:rPr>
        <w:t xml:space="preserve"> </w:t>
      </w:r>
      <w:r w:rsidR="000E41CF" w:rsidRPr="007154F4">
        <w:rPr>
          <w:i/>
          <w:iCs/>
          <w:sz w:val="18"/>
          <w:szCs w:val="18"/>
          <w:lang w:val="en-US"/>
        </w:rPr>
        <w:t>Ibid</w:t>
      </w:r>
      <w:r w:rsidR="00412950" w:rsidRPr="007154F4">
        <w:rPr>
          <w:i/>
          <w:iCs/>
          <w:sz w:val="18"/>
          <w:szCs w:val="18"/>
          <w:lang w:val="en-US"/>
        </w:rPr>
        <w:t>.</w:t>
      </w:r>
      <w:r w:rsidR="00412950" w:rsidRPr="007154F4">
        <w:rPr>
          <w:sz w:val="18"/>
          <w:szCs w:val="18"/>
          <w:lang w:val="en-US"/>
        </w:rPr>
        <w:t>,</w:t>
      </w:r>
      <w:r w:rsidRPr="007154F4">
        <w:rPr>
          <w:sz w:val="18"/>
          <w:szCs w:val="18"/>
          <w:lang w:val="en-US"/>
        </w:rPr>
        <w:t xml:space="preserve"> </w:t>
      </w:r>
      <w:proofErr w:type="spellStart"/>
      <w:r w:rsidR="001B34AB" w:rsidRPr="007154F4">
        <w:rPr>
          <w:sz w:val="18"/>
          <w:szCs w:val="18"/>
          <w:lang w:val="en-US"/>
        </w:rPr>
        <w:t>pág</w:t>
      </w:r>
      <w:proofErr w:type="spellEnd"/>
      <w:r w:rsidR="001B34AB" w:rsidRPr="007154F4">
        <w:rPr>
          <w:sz w:val="18"/>
          <w:szCs w:val="18"/>
          <w:lang w:val="en-US"/>
        </w:rPr>
        <w:t>.</w:t>
      </w:r>
      <w:r w:rsidRPr="007154F4">
        <w:rPr>
          <w:sz w:val="18"/>
          <w:szCs w:val="18"/>
          <w:lang w:val="en-US"/>
        </w:rPr>
        <w:t xml:space="preserve"> 22.</w:t>
      </w:r>
    </w:p>
  </w:footnote>
  <w:footnote w:id="50">
    <w:p w14:paraId="192C62DA" w14:textId="13B0D383" w:rsidR="00255325" w:rsidRPr="007154F4" w:rsidRDefault="00255325" w:rsidP="004C3313">
      <w:pPr>
        <w:pStyle w:val="FootnoteText"/>
        <w:jc w:val="both"/>
        <w:rPr>
          <w:sz w:val="18"/>
          <w:szCs w:val="18"/>
          <w:lang w:val="en-US"/>
        </w:rPr>
      </w:pPr>
      <w:r w:rsidRPr="007154F4">
        <w:rPr>
          <w:rStyle w:val="FootnoteReference"/>
          <w:sz w:val="18"/>
          <w:szCs w:val="18"/>
          <w:lang w:val="es-US"/>
        </w:rPr>
        <w:footnoteRef/>
      </w:r>
      <w:r w:rsidRPr="007154F4">
        <w:rPr>
          <w:sz w:val="18"/>
          <w:szCs w:val="18"/>
          <w:lang w:val="es-US"/>
        </w:rPr>
        <w:t xml:space="preserve"> </w:t>
      </w:r>
      <w:r w:rsidR="00226B6F" w:rsidRPr="007154F4">
        <w:rPr>
          <w:sz w:val="18"/>
          <w:szCs w:val="18"/>
          <w:lang w:val="es-US"/>
        </w:rPr>
        <w:t>Véase</w:t>
      </w:r>
      <w:r w:rsidRPr="007154F4">
        <w:rPr>
          <w:sz w:val="18"/>
          <w:szCs w:val="18"/>
          <w:lang w:val="es-US"/>
        </w:rPr>
        <w:t xml:space="preserve"> </w:t>
      </w:r>
      <w:r w:rsidR="00226B6F" w:rsidRPr="007154F4">
        <w:rPr>
          <w:sz w:val="18"/>
          <w:szCs w:val="18"/>
          <w:lang w:val="es-US"/>
        </w:rPr>
        <w:t>párrafos</w:t>
      </w:r>
      <w:r w:rsidRPr="007154F4">
        <w:rPr>
          <w:sz w:val="18"/>
          <w:szCs w:val="18"/>
          <w:lang w:val="es-US"/>
        </w:rPr>
        <w:t xml:space="preserve"> 53 – 55, 65 </w:t>
      </w:r>
      <w:r w:rsidR="00A81BED" w:rsidRPr="007154F4">
        <w:rPr>
          <w:sz w:val="18"/>
          <w:szCs w:val="18"/>
          <w:lang w:val="es-US"/>
        </w:rPr>
        <w:t>y</w:t>
      </w:r>
      <w:r w:rsidRPr="007154F4">
        <w:rPr>
          <w:sz w:val="18"/>
          <w:szCs w:val="18"/>
          <w:lang w:val="es-US"/>
        </w:rPr>
        <w:t xml:space="preserve"> 74, </w:t>
      </w:r>
      <w:r w:rsidR="00A81BED" w:rsidRPr="007154F4">
        <w:rPr>
          <w:sz w:val="18"/>
          <w:szCs w:val="18"/>
          <w:lang w:val="es-US"/>
        </w:rPr>
        <w:t>Informe de la Tercera Ronda</w:t>
      </w:r>
      <w:r w:rsidRPr="007154F4">
        <w:rPr>
          <w:sz w:val="18"/>
          <w:szCs w:val="18"/>
          <w:lang w:val="es-US"/>
        </w:rPr>
        <w:t xml:space="preserve">, supra </w:t>
      </w:r>
      <w:r w:rsidR="001B34AB" w:rsidRPr="007154F4">
        <w:rPr>
          <w:sz w:val="18"/>
          <w:szCs w:val="18"/>
          <w:lang w:val="es-US"/>
        </w:rPr>
        <w:t>nota</w:t>
      </w:r>
      <w:r w:rsidRPr="007154F4">
        <w:rPr>
          <w:sz w:val="18"/>
          <w:szCs w:val="18"/>
          <w:lang w:val="es-US"/>
        </w:rPr>
        <w:t xml:space="preserve"> 3.</w:t>
      </w:r>
      <w:r w:rsidR="003D253C" w:rsidRPr="007154F4">
        <w:rPr>
          <w:sz w:val="18"/>
          <w:szCs w:val="18"/>
          <w:lang w:val="es-US"/>
        </w:rPr>
        <w:t xml:space="preserve"> El Estado analiz</w:t>
      </w:r>
      <w:r w:rsidR="00D04CAF" w:rsidRPr="007154F4">
        <w:rPr>
          <w:sz w:val="18"/>
          <w:szCs w:val="18"/>
          <w:lang w:val="es-US"/>
        </w:rPr>
        <w:t>ad</w:t>
      </w:r>
      <w:r w:rsidR="003D253C" w:rsidRPr="007154F4">
        <w:rPr>
          <w:sz w:val="18"/>
          <w:szCs w:val="18"/>
          <w:lang w:val="es-US"/>
        </w:rPr>
        <w:t>o, en sus observaciones al proyecto de informe preliminar, señal</w:t>
      </w:r>
      <w:r w:rsidR="00A26FAC" w:rsidRPr="007154F4">
        <w:rPr>
          <w:sz w:val="18"/>
          <w:szCs w:val="18"/>
          <w:lang w:val="es-US"/>
        </w:rPr>
        <w:t>a</w:t>
      </w:r>
      <w:r w:rsidR="003D253C" w:rsidRPr="007154F4">
        <w:rPr>
          <w:sz w:val="18"/>
          <w:szCs w:val="18"/>
          <w:lang w:val="es-US"/>
        </w:rPr>
        <w:t xml:space="preserve"> que</w:t>
      </w:r>
      <w:r w:rsidR="009A19BD" w:rsidRPr="007154F4">
        <w:rPr>
          <w:sz w:val="18"/>
          <w:szCs w:val="18"/>
          <w:lang w:val="es-US"/>
        </w:rPr>
        <w:t xml:space="preserve"> la norma AS 2405, Actos ilícitos cometidos por clientes, se enmendó en 2012, 2015 y 2017, después del Informe de la Tercera Ronda. En estas revisiones se señala explícitamente que el auditor debe indagar al comité de auditoría del cliente en cuanto al cumplimiento de las leyes y reglamentos por parte del cliente y sobre el conocimiento de infracciones o posibles infracciones a leyes o reglamentos. Se debe tomar en cuenta, además, que el PCAOB está proponiendo modificaciones a sus normas de auditoría relacionadas con la consideración por un auditor del incumplimiento de las leyes y reglamentos por parte de una empresa en la realización de una auditoría. </w:t>
      </w:r>
      <w:proofErr w:type="spellStart"/>
      <w:r w:rsidR="009A19BD" w:rsidRPr="007154F4">
        <w:rPr>
          <w:sz w:val="18"/>
          <w:szCs w:val="18"/>
          <w:lang w:val="en-US"/>
        </w:rPr>
        <w:t>Véase</w:t>
      </w:r>
      <w:proofErr w:type="spellEnd"/>
      <w:r w:rsidR="009A19BD" w:rsidRPr="007154F4">
        <w:rPr>
          <w:sz w:val="18"/>
          <w:szCs w:val="18"/>
          <w:lang w:val="en-US"/>
        </w:rPr>
        <w:t xml:space="preserve"> PCAOB, Proposing Release: Amendments to PCAOB Auditing Standards related to a Company’s Noncompliance with Laws and Regulations, Release No. 2023-003 (6 de </w:t>
      </w:r>
      <w:proofErr w:type="spellStart"/>
      <w:r w:rsidR="009A19BD" w:rsidRPr="007154F4">
        <w:rPr>
          <w:sz w:val="18"/>
          <w:szCs w:val="18"/>
          <w:lang w:val="en-US"/>
        </w:rPr>
        <w:t>junio</w:t>
      </w:r>
      <w:proofErr w:type="spellEnd"/>
      <w:r w:rsidR="009A19BD" w:rsidRPr="007154F4">
        <w:rPr>
          <w:sz w:val="18"/>
          <w:szCs w:val="18"/>
          <w:lang w:val="en-US"/>
        </w:rPr>
        <w:t xml:space="preserve"> de 2023), disponible </w:t>
      </w:r>
      <w:proofErr w:type="spellStart"/>
      <w:r w:rsidR="009A19BD" w:rsidRPr="007154F4">
        <w:rPr>
          <w:sz w:val="18"/>
          <w:szCs w:val="18"/>
          <w:lang w:val="en-US"/>
        </w:rPr>
        <w:t>en</w:t>
      </w:r>
      <w:proofErr w:type="spellEnd"/>
      <w:r w:rsidR="009A19BD" w:rsidRPr="007154F4">
        <w:rPr>
          <w:bCs/>
          <w:iCs/>
          <w:color w:val="000000"/>
          <w:sz w:val="18"/>
          <w:szCs w:val="18"/>
          <w:lang w:val="en-US"/>
        </w:rPr>
        <w:t xml:space="preserve"> </w:t>
      </w:r>
      <w:hyperlink r:id="rId14" w:history="1">
        <w:r w:rsidR="009A19BD" w:rsidRPr="007154F4">
          <w:rPr>
            <w:rStyle w:val="Hyperlink"/>
            <w:bCs/>
            <w:iCs/>
            <w:sz w:val="18"/>
            <w:szCs w:val="18"/>
            <w:lang w:val="en-US"/>
          </w:rPr>
          <w:t>https://assets.pcaobus.org/pcaob-dev/docs/default-source/rulemaking/docket-051/pcaob-release-no.-2023-003---noclar.pdf</w:t>
        </w:r>
      </w:hyperlink>
    </w:p>
  </w:footnote>
  <w:footnote w:id="51">
    <w:p w14:paraId="0670B40B" w14:textId="6517FCE3" w:rsidR="003F1923" w:rsidRPr="007154F4" w:rsidRDefault="003F1923" w:rsidP="004C3313">
      <w:pPr>
        <w:pStyle w:val="FootnoteText"/>
        <w:jc w:val="both"/>
        <w:rPr>
          <w:i/>
          <w:iCs/>
          <w:sz w:val="18"/>
          <w:szCs w:val="18"/>
          <w:lang w:val="es-US"/>
        </w:rPr>
      </w:pPr>
      <w:r w:rsidRPr="007154F4">
        <w:rPr>
          <w:rStyle w:val="FootnoteReference"/>
          <w:sz w:val="18"/>
          <w:szCs w:val="18"/>
          <w:lang w:val="es-US"/>
        </w:rPr>
        <w:footnoteRef/>
      </w:r>
      <w:r w:rsidRPr="007154F4">
        <w:rPr>
          <w:sz w:val="18"/>
          <w:szCs w:val="18"/>
          <w:lang w:val="es-US"/>
        </w:rPr>
        <w:t xml:space="preserve"> </w:t>
      </w:r>
      <w:r w:rsidR="00226B6F" w:rsidRPr="007154F4">
        <w:rPr>
          <w:sz w:val="18"/>
          <w:szCs w:val="18"/>
          <w:lang w:val="es-US"/>
        </w:rPr>
        <w:t xml:space="preserve">Véase la Regla 1.700.001, </w:t>
      </w:r>
      <w:proofErr w:type="spellStart"/>
      <w:r w:rsidR="00226B6F" w:rsidRPr="007154F4">
        <w:rPr>
          <w:sz w:val="18"/>
          <w:szCs w:val="18"/>
          <w:lang w:val="es-US"/>
        </w:rPr>
        <w:t>Confidential</w:t>
      </w:r>
      <w:proofErr w:type="spellEnd"/>
      <w:r w:rsidR="00226B6F" w:rsidRPr="007154F4">
        <w:rPr>
          <w:sz w:val="18"/>
          <w:szCs w:val="18"/>
          <w:lang w:val="es-US"/>
        </w:rPr>
        <w:t xml:space="preserve"> Client </w:t>
      </w:r>
      <w:proofErr w:type="spellStart"/>
      <w:r w:rsidR="00226B6F" w:rsidRPr="007154F4">
        <w:rPr>
          <w:sz w:val="18"/>
          <w:szCs w:val="18"/>
          <w:lang w:val="es-US"/>
        </w:rPr>
        <w:t>Information</w:t>
      </w:r>
      <w:proofErr w:type="spellEnd"/>
      <w:r w:rsidR="00226B6F" w:rsidRPr="007154F4">
        <w:rPr>
          <w:sz w:val="18"/>
          <w:szCs w:val="18"/>
          <w:lang w:val="es-US"/>
        </w:rPr>
        <w:t xml:space="preserve"> Rule, la Regla 1.310.001, </w:t>
      </w:r>
      <w:proofErr w:type="spellStart"/>
      <w:r w:rsidR="00226B6F" w:rsidRPr="007154F4">
        <w:rPr>
          <w:sz w:val="18"/>
          <w:szCs w:val="18"/>
          <w:lang w:val="es-US"/>
        </w:rPr>
        <w:t>Compliance</w:t>
      </w:r>
      <w:proofErr w:type="spellEnd"/>
      <w:r w:rsidR="00226B6F" w:rsidRPr="007154F4">
        <w:rPr>
          <w:sz w:val="18"/>
          <w:szCs w:val="18"/>
          <w:lang w:val="es-US"/>
        </w:rPr>
        <w:t xml:space="preserve"> </w:t>
      </w:r>
      <w:proofErr w:type="spellStart"/>
      <w:r w:rsidR="00226B6F" w:rsidRPr="007154F4">
        <w:rPr>
          <w:sz w:val="18"/>
          <w:szCs w:val="18"/>
          <w:lang w:val="es-US"/>
        </w:rPr>
        <w:t>with</w:t>
      </w:r>
      <w:proofErr w:type="spellEnd"/>
      <w:r w:rsidR="00226B6F" w:rsidRPr="007154F4">
        <w:rPr>
          <w:sz w:val="18"/>
          <w:szCs w:val="18"/>
          <w:lang w:val="es-US"/>
        </w:rPr>
        <w:t xml:space="preserve"> </w:t>
      </w:r>
      <w:proofErr w:type="spellStart"/>
      <w:r w:rsidR="00226B6F" w:rsidRPr="007154F4">
        <w:rPr>
          <w:sz w:val="18"/>
          <w:szCs w:val="18"/>
          <w:lang w:val="es-US"/>
        </w:rPr>
        <w:t>Standards</w:t>
      </w:r>
      <w:proofErr w:type="spellEnd"/>
      <w:r w:rsidR="00226B6F" w:rsidRPr="007154F4">
        <w:rPr>
          <w:sz w:val="18"/>
          <w:szCs w:val="18"/>
          <w:lang w:val="es-US"/>
        </w:rPr>
        <w:t xml:space="preserve"> Rule, y la Regla 1.320.001, </w:t>
      </w:r>
      <w:proofErr w:type="spellStart"/>
      <w:r w:rsidR="00226B6F" w:rsidRPr="007154F4">
        <w:rPr>
          <w:sz w:val="18"/>
          <w:szCs w:val="18"/>
          <w:lang w:val="es-US"/>
        </w:rPr>
        <w:t>Accounting</w:t>
      </w:r>
      <w:proofErr w:type="spellEnd"/>
      <w:r w:rsidR="00226B6F" w:rsidRPr="007154F4">
        <w:rPr>
          <w:sz w:val="18"/>
          <w:szCs w:val="18"/>
          <w:lang w:val="es-US"/>
        </w:rPr>
        <w:t xml:space="preserve"> </w:t>
      </w:r>
      <w:proofErr w:type="spellStart"/>
      <w:r w:rsidR="00226B6F" w:rsidRPr="007154F4">
        <w:rPr>
          <w:sz w:val="18"/>
          <w:szCs w:val="18"/>
          <w:lang w:val="es-US"/>
        </w:rPr>
        <w:t>Principles</w:t>
      </w:r>
      <w:proofErr w:type="spellEnd"/>
      <w:r w:rsidR="00226B6F" w:rsidRPr="007154F4">
        <w:rPr>
          <w:sz w:val="18"/>
          <w:szCs w:val="18"/>
          <w:lang w:val="es-US"/>
        </w:rPr>
        <w:t xml:space="preserve"> Rule, </w:t>
      </w:r>
      <w:hyperlink r:id="rId15" w:history="1">
        <w:r w:rsidR="00226B6F" w:rsidRPr="007154F4">
          <w:rPr>
            <w:rStyle w:val="Hyperlink"/>
            <w:sz w:val="18"/>
            <w:szCs w:val="18"/>
            <w:lang w:val="es-US"/>
          </w:rPr>
          <w:t xml:space="preserve">AICPA </w:t>
        </w:r>
        <w:proofErr w:type="spellStart"/>
        <w:r w:rsidR="00226B6F" w:rsidRPr="007154F4">
          <w:rPr>
            <w:rStyle w:val="Hyperlink"/>
            <w:sz w:val="18"/>
            <w:szCs w:val="18"/>
            <w:lang w:val="es-US"/>
          </w:rPr>
          <w:t>Code</w:t>
        </w:r>
        <w:proofErr w:type="spellEnd"/>
        <w:r w:rsidR="00226B6F" w:rsidRPr="007154F4">
          <w:rPr>
            <w:rStyle w:val="Hyperlink"/>
            <w:sz w:val="18"/>
            <w:szCs w:val="18"/>
            <w:lang w:val="es-US"/>
          </w:rPr>
          <w:t xml:space="preserve"> of Professional </w:t>
        </w:r>
        <w:proofErr w:type="spellStart"/>
        <w:r w:rsidR="00226B6F" w:rsidRPr="007154F4">
          <w:rPr>
            <w:rStyle w:val="Hyperlink"/>
            <w:sz w:val="18"/>
            <w:szCs w:val="18"/>
            <w:lang w:val="es-US"/>
          </w:rPr>
          <w:t>Conduct</w:t>
        </w:r>
        <w:proofErr w:type="spellEnd"/>
      </w:hyperlink>
      <w:r w:rsidR="00226B6F" w:rsidRPr="007154F4">
        <w:rPr>
          <w:sz w:val="18"/>
          <w:szCs w:val="18"/>
          <w:lang w:val="es-US"/>
        </w:rPr>
        <w:t xml:space="preserve">, así como el párrafo 67 y la nota al pie 22 del Informe de la Tercera Ronda, </w:t>
      </w:r>
      <w:r w:rsidR="00226B6F" w:rsidRPr="007154F4">
        <w:rPr>
          <w:i/>
          <w:iCs/>
          <w:sz w:val="18"/>
          <w:szCs w:val="18"/>
          <w:lang w:val="es-US"/>
        </w:rPr>
        <w:t>ibid</w:t>
      </w:r>
      <w:r w:rsidRPr="007154F4">
        <w:rPr>
          <w:i/>
          <w:iCs/>
          <w:sz w:val="18"/>
          <w:szCs w:val="18"/>
          <w:lang w:val="es-US"/>
        </w:rPr>
        <w:t>.</w:t>
      </w:r>
    </w:p>
  </w:footnote>
  <w:footnote w:id="52">
    <w:p w14:paraId="4B006E1A" w14:textId="77D31CCF" w:rsidR="00BF01E2" w:rsidRPr="007154F4" w:rsidRDefault="00BF01E2"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A81BED" w:rsidRPr="007154F4">
        <w:rPr>
          <w:sz w:val="18"/>
          <w:szCs w:val="18"/>
          <w:lang w:val="es-US"/>
        </w:rPr>
        <w:t>Respuesta al Cuestionario</w:t>
      </w:r>
      <w:r w:rsidRPr="007154F4">
        <w:rPr>
          <w:sz w:val="18"/>
          <w:szCs w:val="18"/>
          <w:lang w:val="es-US"/>
        </w:rPr>
        <w:t xml:space="preserve">, </w:t>
      </w:r>
      <w:r w:rsidR="00C36A78" w:rsidRPr="007154F4">
        <w:rPr>
          <w:sz w:val="18"/>
          <w:szCs w:val="18"/>
          <w:lang w:val="es-US"/>
        </w:rPr>
        <w:t>pág.</w:t>
      </w:r>
      <w:r w:rsidRPr="007154F4">
        <w:rPr>
          <w:sz w:val="18"/>
          <w:szCs w:val="18"/>
          <w:lang w:val="es-US"/>
        </w:rPr>
        <w:t xml:space="preserve"> 23,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10.</w:t>
      </w:r>
      <w:r w:rsidR="005950F1" w:rsidRPr="007154F4">
        <w:rPr>
          <w:sz w:val="18"/>
          <w:szCs w:val="18"/>
          <w:lang w:val="es-US"/>
        </w:rPr>
        <w:t xml:space="preserve"> </w:t>
      </w:r>
    </w:p>
  </w:footnote>
  <w:footnote w:id="53">
    <w:p w14:paraId="08960168" w14:textId="26A79B95" w:rsidR="0020512F" w:rsidRPr="007154F4" w:rsidRDefault="0020512F"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Ibid.</w:t>
      </w:r>
      <w:r w:rsidR="0058751A" w:rsidRPr="007154F4">
        <w:rPr>
          <w:i/>
          <w:iCs/>
          <w:sz w:val="18"/>
          <w:szCs w:val="18"/>
          <w:lang w:val="es-US"/>
        </w:rPr>
        <w:t xml:space="preserve"> </w:t>
      </w:r>
      <w:r w:rsidR="000C3ED4" w:rsidRPr="007154F4">
        <w:rPr>
          <w:sz w:val="18"/>
          <w:szCs w:val="18"/>
          <w:lang w:val="es-US"/>
        </w:rPr>
        <w:t xml:space="preserve">La </w:t>
      </w:r>
      <w:r w:rsidR="006B7904" w:rsidRPr="007154F4">
        <w:rPr>
          <w:sz w:val="18"/>
          <w:szCs w:val="18"/>
          <w:lang w:val="es-US"/>
        </w:rPr>
        <w:t>Guía</w:t>
      </w:r>
      <w:r w:rsidR="000C3ED4" w:rsidRPr="007154F4">
        <w:rPr>
          <w:sz w:val="18"/>
          <w:szCs w:val="18"/>
          <w:lang w:val="es-US"/>
        </w:rPr>
        <w:t xml:space="preserve"> de Referencia sobre </w:t>
      </w:r>
      <w:r w:rsidR="00075B17" w:rsidRPr="007154F4">
        <w:rPr>
          <w:sz w:val="18"/>
          <w:szCs w:val="18"/>
          <w:lang w:val="es-US"/>
        </w:rPr>
        <w:t xml:space="preserve">la Ley de </w:t>
      </w:r>
      <w:r w:rsidR="006B7904" w:rsidRPr="007154F4">
        <w:rPr>
          <w:sz w:val="18"/>
          <w:szCs w:val="18"/>
          <w:lang w:val="es-US"/>
        </w:rPr>
        <w:t>Prácticas</w:t>
      </w:r>
      <w:r w:rsidR="00075B17" w:rsidRPr="007154F4">
        <w:rPr>
          <w:sz w:val="18"/>
          <w:szCs w:val="18"/>
          <w:lang w:val="es-US"/>
        </w:rPr>
        <w:t xml:space="preserve"> Corruptas en el Extranjero.</w:t>
      </w:r>
      <w:r w:rsidR="00C3510C" w:rsidRPr="007154F4">
        <w:rPr>
          <w:sz w:val="18"/>
          <w:szCs w:val="18"/>
          <w:lang w:val="es-US"/>
        </w:rPr>
        <w:t xml:space="preserve"> (FCPA)</w:t>
      </w:r>
      <w:r w:rsidR="00075B17" w:rsidRPr="007154F4">
        <w:rPr>
          <w:sz w:val="18"/>
          <w:szCs w:val="18"/>
          <w:lang w:val="es-US"/>
        </w:rPr>
        <w:t xml:space="preserve"> </w:t>
      </w:r>
      <w:r w:rsidR="00603B80" w:rsidRPr="007154F4">
        <w:rPr>
          <w:sz w:val="18"/>
          <w:szCs w:val="18"/>
          <w:lang w:val="es-US"/>
        </w:rPr>
        <w:t>está</w:t>
      </w:r>
      <w:r w:rsidR="00075B17" w:rsidRPr="007154F4">
        <w:rPr>
          <w:sz w:val="18"/>
          <w:szCs w:val="18"/>
          <w:lang w:val="es-US"/>
        </w:rPr>
        <w:t xml:space="preserve"> </w:t>
      </w:r>
      <w:r w:rsidR="006B7904" w:rsidRPr="007154F4">
        <w:rPr>
          <w:sz w:val="18"/>
          <w:szCs w:val="18"/>
          <w:lang w:val="es-US"/>
        </w:rPr>
        <w:t>disponible</w:t>
      </w:r>
      <w:r w:rsidR="00075B17" w:rsidRPr="007154F4">
        <w:rPr>
          <w:sz w:val="18"/>
          <w:szCs w:val="18"/>
          <w:lang w:val="es-US"/>
        </w:rPr>
        <w:t xml:space="preserve"> en</w:t>
      </w:r>
      <w:r w:rsidR="0058751A" w:rsidRPr="007154F4">
        <w:rPr>
          <w:sz w:val="18"/>
          <w:szCs w:val="18"/>
          <w:lang w:val="es-US"/>
        </w:rPr>
        <w:t xml:space="preserve">: </w:t>
      </w:r>
      <w:hyperlink r:id="rId16" w:history="1">
        <w:r w:rsidR="0058751A" w:rsidRPr="007154F4">
          <w:rPr>
            <w:rStyle w:val="Hyperlink"/>
            <w:sz w:val="18"/>
            <w:szCs w:val="18"/>
            <w:lang w:val="es-US"/>
          </w:rPr>
          <w:t>https://www.sec.gov/spotlight/fcpa/fcpa-resource-guide.pdf</w:t>
        </w:r>
      </w:hyperlink>
      <w:r w:rsidR="0058751A" w:rsidRPr="007154F4">
        <w:rPr>
          <w:sz w:val="18"/>
          <w:szCs w:val="18"/>
          <w:lang w:val="es-US"/>
        </w:rPr>
        <w:t xml:space="preserve"> </w:t>
      </w:r>
    </w:p>
  </w:footnote>
  <w:footnote w:id="54">
    <w:p w14:paraId="614239A1" w14:textId="23DE3765" w:rsidR="00CD5FDB" w:rsidRPr="007154F4" w:rsidRDefault="00CD5FDB"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C3510C" w:rsidRPr="007154F4">
        <w:rPr>
          <w:sz w:val="18"/>
          <w:szCs w:val="18"/>
          <w:lang w:val="es-US"/>
        </w:rPr>
        <w:t xml:space="preserve">La versión en español de la </w:t>
      </w:r>
      <w:r w:rsidR="006B7904" w:rsidRPr="007154F4">
        <w:rPr>
          <w:sz w:val="18"/>
          <w:szCs w:val="18"/>
          <w:lang w:val="es-US"/>
        </w:rPr>
        <w:t>Guía</w:t>
      </w:r>
      <w:r w:rsidR="00C3510C" w:rsidRPr="007154F4">
        <w:rPr>
          <w:sz w:val="18"/>
          <w:szCs w:val="18"/>
          <w:lang w:val="es-US"/>
        </w:rPr>
        <w:t xml:space="preserve"> </w:t>
      </w:r>
      <w:r w:rsidR="00A5607A" w:rsidRPr="007154F4">
        <w:rPr>
          <w:sz w:val="18"/>
          <w:szCs w:val="18"/>
          <w:lang w:val="es-US"/>
        </w:rPr>
        <w:t>está</w:t>
      </w:r>
      <w:r w:rsidR="00C3510C" w:rsidRPr="007154F4">
        <w:rPr>
          <w:sz w:val="18"/>
          <w:szCs w:val="18"/>
          <w:lang w:val="es-US"/>
        </w:rPr>
        <w:t xml:space="preserve"> disponible en</w:t>
      </w:r>
      <w:r w:rsidRPr="007154F4">
        <w:rPr>
          <w:sz w:val="18"/>
          <w:szCs w:val="18"/>
          <w:lang w:val="es-US"/>
        </w:rPr>
        <w:t xml:space="preserve">: </w:t>
      </w:r>
      <w:hyperlink r:id="rId17" w:history="1">
        <w:r w:rsidR="0003371A" w:rsidRPr="007154F4">
          <w:rPr>
            <w:rStyle w:val="Hyperlink"/>
            <w:sz w:val="18"/>
            <w:szCs w:val="18"/>
            <w:lang w:val="es-US"/>
          </w:rPr>
          <w:t>https://www.justice.gov/media/1283651/dl?inline</w:t>
        </w:r>
      </w:hyperlink>
      <w:r w:rsidR="0003371A" w:rsidRPr="007154F4">
        <w:rPr>
          <w:sz w:val="18"/>
          <w:szCs w:val="18"/>
          <w:lang w:val="es-US"/>
        </w:rPr>
        <w:t xml:space="preserve"> </w:t>
      </w:r>
    </w:p>
  </w:footnote>
  <w:footnote w:id="55">
    <w:p w14:paraId="3299440B" w14:textId="6C758780" w:rsidR="00A77C7B" w:rsidRPr="007154F4" w:rsidRDefault="00A77C7B">
      <w:pPr>
        <w:pStyle w:val="FootnoteText"/>
        <w:rPr>
          <w:sz w:val="18"/>
          <w:szCs w:val="18"/>
          <w:lang w:val="es-US"/>
        </w:rPr>
      </w:pPr>
      <w:r w:rsidRPr="007154F4">
        <w:rPr>
          <w:rStyle w:val="FootnoteReference"/>
          <w:sz w:val="18"/>
          <w:szCs w:val="18"/>
          <w:lang w:val="es-US"/>
        </w:rPr>
        <w:footnoteRef/>
      </w:r>
      <w:r w:rsidRPr="007154F4">
        <w:rPr>
          <w:sz w:val="18"/>
          <w:szCs w:val="18"/>
          <w:lang w:val="es-US"/>
        </w:rPr>
        <w:t xml:space="preserve"> </w:t>
      </w:r>
      <w:r w:rsidR="005F7601" w:rsidRPr="007154F4">
        <w:rPr>
          <w:sz w:val="18"/>
          <w:szCs w:val="18"/>
          <w:lang w:val="es-US"/>
        </w:rPr>
        <w:t>Guía</w:t>
      </w:r>
      <w:r w:rsidRPr="007154F4">
        <w:rPr>
          <w:sz w:val="18"/>
          <w:szCs w:val="18"/>
          <w:lang w:val="es-US"/>
        </w:rPr>
        <w:t xml:space="preserve"> de Referencia (FCPA), </w:t>
      </w:r>
      <w:r w:rsidR="005F7601" w:rsidRPr="007154F4">
        <w:rPr>
          <w:sz w:val="18"/>
          <w:szCs w:val="18"/>
          <w:lang w:val="es-US"/>
        </w:rPr>
        <w:t>pág.</w:t>
      </w:r>
      <w:r w:rsidRPr="007154F4">
        <w:rPr>
          <w:sz w:val="18"/>
          <w:szCs w:val="18"/>
          <w:lang w:val="es-US"/>
        </w:rPr>
        <w:t xml:space="preserve"> 38, </w:t>
      </w:r>
      <w:r w:rsidR="005F7601" w:rsidRPr="007154F4">
        <w:rPr>
          <w:sz w:val="18"/>
          <w:szCs w:val="18"/>
          <w:lang w:val="es-US"/>
        </w:rPr>
        <w:t>supra nota 52.</w:t>
      </w:r>
    </w:p>
  </w:footnote>
  <w:footnote w:id="56">
    <w:p w14:paraId="2B951A97" w14:textId="3FA0E8BD" w:rsidR="00AB1441" w:rsidRPr="007154F4" w:rsidRDefault="00AB1441" w:rsidP="004C3313">
      <w:pPr>
        <w:pStyle w:val="FootnoteText"/>
        <w:jc w:val="both"/>
        <w:rPr>
          <w:i/>
          <w:iCs/>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 xml:space="preserve">Ibid. </w:t>
      </w:r>
    </w:p>
  </w:footnote>
  <w:footnote w:id="57">
    <w:p w14:paraId="3F7CA1CA" w14:textId="4748B33D" w:rsidR="00AB1441" w:rsidRPr="007154F4" w:rsidRDefault="00AB1441" w:rsidP="004C3313">
      <w:pPr>
        <w:pStyle w:val="FootnoteText"/>
        <w:jc w:val="both"/>
        <w:rPr>
          <w:i/>
          <w:iCs/>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 xml:space="preserve">Ibid. </w:t>
      </w:r>
    </w:p>
  </w:footnote>
  <w:footnote w:id="58">
    <w:p w14:paraId="3FEF6EC7" w14:textId="23619AF3" w:rsidR="003047A3" w:rsidRPr="007154F4" w:rsidRDefault="003047A3"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6B7904" w:rsidRPr="007154F4">
        <w:rPr>
          <w:sz w:val="18"/>
          <w:szCs w:val="18"/>
          <w:lang w:val="es-US"/>
        </w:rPr>
        <w:t>Evaluación de los Programas de Cumplimiento Corporativo</w:t>
      </w:r>
      <w:r w:rsidRPr="007154F4">
        <w:rPr>
          <w:sz w:val="18"/>
          <w:szCs w:val="18"/>
          <w:lang w:val="es-US"/>
        </w:rPr>
        <w:t xml:space="preserve">, </w:t>
      </w:r>
      <w:hyperlink r:id="rId18" w:history="1">
        <w:r w:rsidRPr="007154F4">
          <w:rPr>
            <w:rStyle w:val="Hyperlink"/>
            <w:sz w:val="18"/>
            <w:szCs w:val="18"/>
            <w:lang w:val="es-US"/>
          </w:rPr>
          <w:t>https://www.justice.gov/media/1160391/dl?inline</w:t>
        </w:r>
      </w:hyperlink>
      <w:r w:rsidRPr="007154F4">
        <w:rPr>
          <w:sz w:val="18"/>
          <w:szCs w:val="18"/>
          <w:lang w:val="es-US"/>
        </w:rPr>
        <w:t xml:space="preserve"> </w:t>
      </w:r>
    </w:p>
  </w:footnote>
  <w:footnote w:id="59">
    <w:p w14:paraId="1F3A5D57" w14:textId="1537D057" w:rsidR="007C628E" w:rsidRPr="007154F4" w:rsidRDefault="007C628E"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5901A4" w:rsidRPr="007154F4">
        <w:rPr>
          <w:sz w:val="18"/>
          <w:szCs w:val="18"/>
          <w:lang w:val="es-US"/>
        </w:rPr>
        <w:t>Guía de Referencia FCPA</w:t>
      </w:r>
      <w:r w:rsidRPr="007154F4">
        <w:rPr>
          <w:sz w:val="18"/>
          <w:szCs w:val="18"/>
          <w:lang w:val="es-US"/>
        </w:rPr>
        <w:t xml:space="preserve">, </w:t>
      </w:r>
      <w:r w:rsidR="00E103D0" w:rsidRPr="007154F4">
        <w:rPr>
          <w:sz w:val="18"/>
          <w:szCs w:val="18"/>
          <w:lang w:val="es-US"/>
        </w:rPr>
        <w:t>pág.</w:t>
      </w:r>
      <w:r w:rsidRPr="007154F4">
        <w:rPr>
          <w:sz w:val="18"/>
          <w:szCs w:val="18"/>
          <w:lang w:val="es-US"/>
        </w:rPr>
        <w:t xml:space="preserve"> 4,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5</w:t>
      </w:r>
      <w:r w:rsidR="00713072" w:rsidRPr="007154F4">
        <w:rPr>
          <w:sz w:val="18"/>
          <w:szCs w:val="18"/>
          <w:lang w:val="es-US"/>
        </w:rPr>
        <w:t>2</w:t>
      </w:r>
      <w:r w:rsidRPr="007154F4">
        <w:rPr>
          <w:sz w:val="18"/>
          <w:szCs w:val="18"/>
          <w:lang w:val="es-US"/>
        </w:rPr>
        <w:t>.</w:t>
      </w:r>
    </w:p>
  </w:footnote>
  <w:footnote w:id="60">
    <w:p w14:paraId="3DAEA828" w14:textId="3838ACC9" w:rsidR="00B73C97" w:rsidRPr="007154F4" w:rsidRDefault="00B73C97"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231A67" w:rsidRPr="007154F4">
        <w:rPr>
          <w:sz w:val="18"/>
          <w:szCs w:val="18"/>
          <w:lang w:val="es-US"/>
        </w:rPr>
        <w:t>Véase</w:t>
      </w:r>
      <w:r w:rsidRPr="007154F4">
        <w:rPr>
          <w:sz w:val="18"/>
          <w:szCs w:val="18"/>
          <w:lang w:val="es-US"/>
        </w:rPr>
        <w:t xml:space="preserve"> </w:t>
      </w:r>
      <w:r w:rsidR="007B2D83" w:rsidRPr="007154F4">
        <w:rPr>
          <w:sz w:val="18"/>
          <w:szCs w:val="18"/>
          <w:lang w:val="es-US"/>
        </w:rPr>
        <w:t>Servicios Forenses</w:t>
      </w:r>
      <w:r w:rsidRPr="007154F4">
        <w:rPr>
          <w:sz w:val="18"/>
          <w:szCs w:val="18"/>
          <w:lang w:val="es-US"/>
        </w:rPr>
        <w:t xml:space="preserve">, </w:t>
      </w:r>
      <w:hyperlink r:id="rId19" w:history="1">
        <w:r w:rsidRPr="007154F4">
          <w:rPr>
            <w:rStyle w:val="Hyperlink"/>
            <w:sz w:val="18"/>
            <w:szCs w:val="18"/>
            <w:lang w:val="es-US"/>
          </w:rPr>
          <w:t>https://www.aicpa-cima.com/cpe-learning/forensic-services</w:t>
        </w:r>
      </w:hyperlink>
      <w:r w:rsidRPr="007154F4">
        <w:rPr>
          <w:sz w:val="18"/>
          <w:szCs w:val="18"/>
          <w:lang w:val="es-US"/>
        </w:rPr>
        <w:t xml:space="preserve"> </w:t>
      </w:r>
    </w:p>
  </w:footnote>
  <w:footnote w:id="61">
    <w:p w14:paraId="6AA6F629" w14:textId="070861D9" w:rsidR="0084771A" w:rsidRPr="007154F4" w:rsidRDefault="0084771A"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231A67" w:rsidRPr="007154F4">
        <w:rPr>
          <w:sz w:val="18"/>
          <w:szCs w:val="18"/>
          <w:lang w:val="es-US"/>
        </w:rPr>
        <w:t>Véase</w:t>
      </w:r>
      <w:r w:rsidRPr="007154F4">
        <w:rPr>
          <w:sz w:val="18"/>
          <w:szCs w:val="18"/>
          <w:lang w:val="es-US"/>
        </w:rPr>
        <w:t xml:space="preserve"> </w:t>
      </w:r>
      <w:r w:rsidR="000E7EB0" w:rsidRPr="007154F4">
        <w:rPr>
          <w:sz w:val="18"/>
          <w:szCs w:val="18"/>
          <w:lang w:val="es-US"/>
        </w:rPr>
        <w:t>Fraude en los Estados Financieros, Corrupción y Apropiación Indebida de Activos</w:t>
      </w:r>
      <w:r w:rsidRPr="007154F4">
        <w:rPr>
          <w:sz w:val="18"/>
          <w:szCs w:val="18"/>
          <w:lang w:val="es-US"/>
        </w:rPr>
        <w:t xml:space="preserve">, </w:t>
      </w:r>
      <w:hyperlink r:id="rId20" w:history="1">
        <w:r w:rsidRPr="007154F4">
          <w:rPr>
            <w:rStyle w:val="Hyperlink"/>
            <w:sz w:val="18"/>
            <w:szCs w:val="18"/>
            <w:lang w:val="es-US"/>
          </w:rPr>
          <w:t>https://www.aicpa-cima.com/cpe-learning/course/financial-statement-fraud-corruption-and-asset-misappropriation-part-1-and-part-2</w:t>
        </w:r>
      </w:hyperlink>
      <w:r w:rsidRPr="007154F4">
        <w:rPr>
          <w:sz w:val="18"/>
          <w:szCs w:val="18"/>
          <w:lang w:val="es-US"/>
        </w:rPr>
        <w:t xml:space="preserve">, </w:t>
      </w:r>
      <w:r w:rsidR="00603B80" w:rsidRPr="007154F4">
        <w:rPr>
          <w:sz w:val="18"/>
          <w:szCs w:val="18"/>
          <w:lang w:val="es-US"/>
        </w:rPr>
        <w:t xml:space="preserve">y </w:t>
      </w:r>
      <w:r w:rsidR="00E103D0" w:rsidRPr="007154F4">
        <w:rPr>
          <w:sz w:val="18"/>
          <w:szCs w:val="18"/>
          <w:lang w:val="es-US"/>
        </w:rPr>
        <w:t xml:space="preserve">Fraude en los </w:t>
      </w:r>
      <w:r w:rsidR="00A94598" w:rsidRPr="007154F4">
        <w:rPr>
          <w:sz w:val="18"/>
          <w:szCs w:val="18"/>
          <w:lang w:val="es-US"/>
        </w:rPr>
        <w:t>Estados Financieros y Apropiación Indebida de Activos</w:t>
      </w:r>
      <w:r w:rsidRPr="007154F4">
        <w:rPr>
          <w:sz w:val="18"/>
          <w:szCs w:val="18"/>
          <w:lang w:val="es-US"/>
        </w:rPr>
        <w:t xml:space="preserve">, </w:t>
      </w:r>
      <w:hyperlink r:id="rId21" w:history="1">
        <w:r w:rsidRPr="007154F4">
          <w:rPr>
            <w:rStyle w:val="Hyperlink"/>
            <w:sz w:val="18"/>
            <w:szCs w:val="18"/>
            <w:lang w:val="es-US"/>
          </w:rPr>
          <w:t>https://www.aicpa-cima.com/cpe-learning/course/financial-statement-fraud-and-asset-misappropriation</w:t>
        </w:r>
      </w:hyperlink>
      <w:r w:rsidRPr="007154F4">
        <w:rPr>
          <w:sz w:val="18"/>
          <w:szCs w:val="18"/>
          <w:lang w:val="es-US"/>
        </w:rPr>
        <w:t xml:space="preserve">. </w:t>
      </w:r>
    </w:p>
  </w:footnote>
  <w:footnote w:id="62">
    <w:p w14:paraId="03CFDCF4" w14:textId="53B4FA71" w:rsidR="00DC3F8E" w:rsidRPr="007154F4" w:rsidRDefault="00DC3F8E"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5C6FBD" w:rsidRPr="007154F4">
        <w:rPr>
          <w:sz w:val="18"/>
          <w:szCs w:val="18"/>
          <w:lang w:val="es-US"/>
        </w:rPr>
        <w:t>Respuesta al Cuestionario</w:t>
      </w:r>
      <w:r w:rsidRPr="007154F4">
        <w:rPr>
          <w:sz w:val="18"/>
          <w:szCs w:val="18"/>
          <w:lang w:val="es-US"/>
        </w:rPr>
        <w:t xml:space="preserve">, </w:t>
      </w:r>
      <w:r w:rsidR="00A20003" w:rsidRPr="007154F4">
        <w:rPr>
          <w:sz w:val="18"/>
          <w:szCs w:val="18"/>
          <w:lang w:val="es-US"/>
        </w:rPr>
        <w:t>págs.</w:t>
      </w:r>
      <w:r w:rsidRPr="007154F4">
        <w:rPr>
          <w:sz w:val="18"/>
          <w:szCs w:val="18"/>
          <w:lang w:val="es-US"/>
        </w:rPr>
        <w:t xml:space="preserve"> 25 – 26,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10.</w:t>
      </w:r>
    </w:p>
  </w:footnote>
  <w:footnote w:id="63">
    <w:p w14:paraId="16EB8F55" w14:textId="776B91A1" w:rsidR="007C628E" w:rsidRPr="007154F4" w:rsidRDefault="007C628E"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A20003" w:rsidRPr="007154F4">
        <w:rPr>
          <w:sz w:val="18"/>
          <w:szCs w:val="18"/>
          <w:lang w:val="es-US"/>
        </w:rPr>
        <w:t>Véase</w:t>
      </w:r>
      <w:r w:rsidRPr="007154F4">
        <w:rPr>
          <w:sz w:val="18"/>
          <w:szCs w:val="18"/>
          <w:lang w:val="es-US"/>
        </w:rPr>
        <w:t xml:space="preserve"> </w:t>
      </w:r>
      <w:r w:rsidR="00E106AF" w:rsidRPr="007154F4">
        <w:rPr>
          <w:sz w:val="18"/>
          <w:szCs w:val="18"/>
          <w:lang w:val="es-US"/>
        </w:rPr>
        <w:t>Opiniones sobre la FCPA</w:t>
      </w:r>
      <w:r w:rsidRPr="007154F4">
        <w:rPr>
          <w:sz w:val="18"/>
          <w:szCs w:val="18"/>
          <w:lang w:val="es-US"/>
        </w:rPr>
        <w:t xml:space="preserve">, </w:t>
      </w:r>
      <w:hyperlink r:id="rId22" w:history="1">
        <w:r w:rsidRPr="007154F4">
          <w:rPr>
            <w:rStyle w:val="Hyperlink"/>
            <w:sz w:val="18"/>
            <w:szCs w:val="18"/>
            <w:lang w:val="es-US"/>
          </w:rPr>
          <w:t>https://www.justice.gov/criminal/criminal-fraud/fcpa-opinions</w:t>
        </w:r>
      </w:hyperlink>
      <w:r w:rsidRPr="007154F4">
        <w:rPr>
          <w:sz w:val="18"/>
          <w:szCs w:val="18"/>
          <w:lang w:val="es-US"/>
        </w:rPr>
        <w:t xml:space="preserve"> </w:t>
      </w:r>
    </w:p>
  </w:footnote>
  <w:footnote w:id="64">
    <w:p w14:paraId="207D74FF" w14:textId="5308FD89" w:rsidR="007C628E" w:rsidRPr="007154F4" w:rsidRDefault="007C628E"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75137A" w:rsidRPr="007154F4">
        <w:rPr>
          <w:sz w:val="18"/>
          <w:szCs w:val="18"/>
          <w:lang w:val="es-US"/>
        </w:rPr>
        <w:t xml:space="preserve">El sitio web </w:t>
      </w:r>
      <w:r w:rsidR="00A20003" w:rsidRPr="007154F4">
        <w:rPr>
          <w:sz w:val="18"/>
          <w:szCs w:val="18"/>
          <w:lang w:val="es-US"/>
        </w:rPr>
        <w:t>está</w:t>
      </w:r>
      <w:r w:rsidR="0075137A" w:rsidRPr="007154F4">
        <w:rPr>
          <w:sz w:val="18"/>
          <w:szCs w:val="18"/>
          <w:lang w:val="es-US"/>
        </w:rPr>
        <w:t xml:space="preserve"> disponible en</w:t>
      </w:r>
      <w:r w:rsidRPr="007154F4">
        <w:rPr>
          <w:sz w:val="18"/>
          <w:szCs w:val="18"/>
          <w:lang w:val="es-US"/>
        </w:rPr>
        <w:t xml:space="preserve">: </w:t>
      </w:r>
      <w:hyperlink r:id="rId23" w:history="1">
        <w:r w:rsidRPr="007154F4">
          <w:rPr>
            <w:rStyle w:val="Hyperlink"/>
            <w:sz w:val="18"/>
            <w:szCs w:val="18"/>
            <w:lang w:val="es-US"/>
          </w:rPr>
          <w:t>https://www.sec.gov/enforcement/foreign-corrupt-practices-act</w:t>
        </w:r>
      </w:hyperlink>
      <w:r w:rsidRPr="007154F4">
        <w:rPr>
          <w:sz w:val="18"/>
          <w:szCs w:val="18"/>
          <w:lang w:val="es-US"/>
        </w:rPr>
        <w:t xml:space="preserve">  </w:t>
      </w:r>
    </w:p>
  </w:footnote>
  <w:footnote w:id="65">
    <w:p w14:paraId="42F7B0DE" w14:textId="06D5837C" w:rsidR="000C333F" w:rsidRPr="007154F4" w:rsidRDefault="000C333F"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4031FA" w:rsidRPr="007154F4">
        <w:rPr>
          <w:sz w:val="18"/>
          <w:szCs w:val="18"/>
          <w:lang w:val="es-US"/>
        </w:rPr>
        <w:t>Respuesta al Cuestionario</w:t>
      </w:r>
      <w:r w:rsidRPr="007154F4">
        <w:rPr>
          <w:sz w:val="18"/>
          <w:szCs w:val="18"/>
          <w:lang w:val="es-US"/>
        </w:rPr>
        <w:t xml:space="preserve">, </w:t>
      </w:r>
      <w:r w:rsidR="00E83B00" w:rsidRPr="007154F4">
        <w:rPr>
          <w:sz w:val="18"/>
          <w:szCs w:val="18"/>
          <w:lang w:val="es-US"/>
        </w:rPr>
        <w:t>pág.</w:t>
      </w:r>
      <w:r w:rsidRPr="007154F4">
        <w:rPr>
          <w:sz w:val="18"/>
          <w:szCs w:val="18"/>
          <w:lang w:val="es-US"/>
        </w:rPr>
        <w:t xml:space="preserve"> 27,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10.</w:t>
      </w:r>
    </w:p>
  </w:footnote>
  <w:footnote w:id="66">
    <w:p w14:paraId="6030693C" w14:textId="2EC1D15B" w:rsidR="00B7262A" w:rsidRPr="007154F4" w:rsidRDefault="00B7262A" w:rsidP="004C3313">
      <w:pPr>
        <w:pStyle w:val="FootnoteText"/>
        <w:jc w:val="both"/>
        <w:rPr>
          <w:i/>
          <w:iCs/>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Ibid.</w:t>
      </w:r>
    </w:p>
  </w:footnote>
  <w:footnote w:id="67">
    <w:p w14:paraId="7BF67DC8" w14:textId="36788E28" w:rsidR="00434252" w:rsidRPr="007154F4" w:rsidRDefault="00434252" w:rsidP="00C65707">
      <w:pPr>
        <w:pStyle w:val="FootnoteText"/>
        <w:jc w:val="both"/>
        <w:rPr>
          <w:sz w:val="18"/>
          <w:szCs w:val="18"/>
          <w:lang w:val="es-US"/>
        </w:rPr>
      </w:pPr>
      <w:r w:rsidRPr="007154F4">
        <w:rPr>
          <w:rStyle w:val="FootnoteReference"/>
          <w:sz w:val="18"/>
          <w:szCs w:val="18"/>
        </w:rPr>
        <w:footnoteRef/>
      </w:r>
      <w:r w:rsidRPr="007154F4">
        <w:rPr>
          <w:sz w:val="18"/>
          <w:szCs w:val="18"/>
        </w:rPr>
        <w:t xml:space="preserve"> </w:t>
      </w:r>
      <w:r w:rsidRPr="007154F4">
        <w:rPr>
          <w:bCs/>
          <w:iCs/>
          <w:color w:val="000000"/>
          <w:sz w:val="18"/>
          <w:szCs w:val="18"/>
          <w:lang w:val="es-ES_tradnl"/>
        </w:rPr>
        <w:t xml:space="preserve">Véase, por ejemplo, PCAOB, 2023 </w:t>
      </w:r>
      <w:proofErr w:type="spellStart"/>
      <w:r w:rsidRPr="007154F4">
        <w:rPr>
          <w:bCs/>
          <w:iCs/>
          <w:color w:val="000000"/>
          <w:sz w:val="18"/>
          <w:szCs w:val="18"/>
          <w:lang w:val="es-ES_tradnl"/>
        </w:rPr>
        <w:t>Inspections</w:t>
      </w:r>
      <w:proofErr w:type="spellEnd"/>
      <w:r w:rsidRPr="007154F4">
        <w:rPr>
          <w:bCs/>
          <w:iCs/>
          <w:color w:val="000000"/>
          <w:sz w:val="18"/>
          <w:szCs w:val="18"/>
          <w:lang w:val="es-ES_tradnl"/>
        </w:rPr>
        <w:t xml:space="preserve"> </w:t>
      </w:r>
      <w:proofErr w:type="spellStart"/>
      <w:r w:rsidRPr="007154F4">
        <w:rPr>
          <w:bCs/>
          <w:iCs/>
          <w:color w:val="000000"/>
          <w:sz w:val="18"/>
          <w:szCs w:val="18"/>
          <w:lang w:val="es-ES_tradnl"/>
        </w:rPr>
        <w:t>to</w:t>
      </w:r>
      <w:proofErr w:type="spellEnd"/>
      <w:r w:rsidRPr="007154F4">
        <w:rPr>
          <w:bCs/>
          <w:iCs/>
          <w:color w:val="000000"/>
          <w:sz w:val="18"/>
          <w:szCs w:val="18"/>
          <w:lang w:val="es-ES_tradnl"/>
        </w:rPr>
        <w:t xml:space="preserve"> </w:t>
      </w:r>
      <w:proofErr w:type="spellStart"/>
      <w:r w:rsidRPr="007154F4">
        <w:rPr>
          <w:bCs/>
          <w:iCs/>
          <w:color w:val="000000"/>
          <w:sz w:val="18"/>
          <w:szCs w:val="18"/>
          <w:lang w:val="es-ES_tradnl"/>
        </w:rPr>
        <w:t>Prioritize</w:t>
      </w:r>
      <w:proofErr w:type="spellEnd"/>
      <w:r w:rsidRPr="007154F4">
        <w:rPr>
          <w:bCs/>
          <w:iCs/>
          <w:color w:val="000000"/>
          <w:sz w:val="18"/>
          <w:szCs w:val="18"/>
          <w:lang w:val="es-ES_tradnl"/>
        </w:rPr>
        <w:t xml:space="preserve"> Audit </w:t>
      </w:r>
      <w:proofErr w:type="spellStart"/>
      <w:r w:rsidRPr="007154F4">
        <w:rPr>
          <w:bCs/>
          <w:iCs/>
          <w:color w:val="000000"/>
          <w:sz w:val="18"/>
          <w:szCs w:val="18"/>
          <w:lang w:val="es-ES_tradnl"/>
        </w:rPr>
        <w:t>Risks</w:t>
      </w:r>
      <w:proofErr w:type="spellEnd"/>
      <w:r w:rsidRPr="007154F4">
        <w:rPr>
          <w:bCs/>
          <w:iCs/>
          <w:color w:val="000000"/>
          <w:sz w:val="18"/>
          <w:szCs w:val="18"/>
          <w:lang w:val="es-ES_tradnl"/>
        </w:rPr>
        <w:t xml:space="preserve"> </w:t>
      </w:r>
      <w:proofErr w:type="spellStart"/>
      <w:r w:rsidRPr="007154F4">
        <w:rPr>
          <w:bCs/>
          <w:iCs/>
          <w:color w:val="000000"/>
          <w:sz w:val="18"/>
          <w:szCs w:val="18"/>
          <w:lang w:val="es-ES_tradnl"/>
        </w:rPr>
        <w:t>Related</w:t>
      </w:r>
      <w:proofErr w:type="spellEnd"/>
      <w:r w:rsidRPr="007154F4">
        <w:rPr>
          <w:bCs/>
          <w:iCs/>
          <w:color w:val="000000"/>
          <w:sz w:val="18"/>
          <w:szCs w:val="18"/>
          <w:lang w:val="es-ES_tradnl"/>
        </w:rPr>
        <w:t xml:space="preserve"> </w:t>
      </w:r>
      <w:proofErr w:type="spellStart"/>
      <w:r w:rsidRPr="007154F4">
        <w:rPr>
          <w:bCs/>
          <w:iCs/>
          <w:color w:val="000000"/>
          <w:sz w:val="18"/>
          <w:szCs w:val="18"/>
          <w:lang w:val="es-ES_tradnl"/>
        </w:rPr>
        <w:t>to</w:t>
      </w:r>
      <w:proofErr w:type="spellEnd"/>
      <w:r w:rsidRPr="007154F4">
        <w:rPr>
          <w:bCs/>
          <w:iCs/>
          <w:color w:val="000000"/>
          <w:sz w:val="18"/>
          <w:szCs w:val="18"/>
          <w:lang w:val="es-ES_tradnl"/>
        </w:rPr>
        <w:t xml:space="preserve"> </w:t>
      </w:r>
      <w:proofErr w:type="spellStart"/>
      <w:r w:rsidRPr="007154F4">
        <w:rPr>
          <w:bCs/>
          <w:iCs/>
          <w:color w:val="000000"/>
          <w:sz w:val="18"/>
          <w:szCs w:val="18"/>
          <w:lang w:val="es-ES_tradnl"/>
        </w:rPr>
        <w:t>Fraud</w:t>
      </w:r>
      <w:proofErr w:type="spellEnd"/>
      <w:r w:rsidRPr="007154F4">
        <w:rPr>
          <w:bCs/>
          <w:iCs/>
          <w:color w:val="000000"/>
          <w:sz w:val="18"/>
          <w:szCs w:val="18"/>
          <w:lang w:val="es-ES_tradnl"/>
        </w:rPr>
        <w:t xml:space="preserve">, the </w:t>
      </w:r>
      <w:proofErr w:type="spellStart"/>
      <w:r w:rsidRPr="007154F4">
        <w:rPr>
          <w:bCs/>
          <w:iCs/>
          <w:color w:val="000000"/>
          <w:sz w:val="18"/>
          <w:szCs w:val="18"/>
          <w:lang w:val="es-ES_tradnl"/>
        </w:rPr>
        <w:t>Financial</w:t>
      </w:r>
      <w:proofErr w:type="spellEnd"/>
      <w:r w:rsidRPr="007154F4">
        <w:rPr>
          <w:bCs/>
          <w:iCs/>
          <w:color w:val="000000"/>
          <w:sz w:val="18"/>
          <w:szCs w:val="18"/>
          <w:lang w:val="es-ES_tradnl"/>
        </w:rPr>
        <w:t xml:space="preserve"> </w:t>
      </w:r>
      <w:proofErr w:type="spellStart"/>
      <w:r w:rsidRPr="007154F4">
        <w:rPr>
          <w:bCs/>
          <w:iCs/>
          <w:color w:val="000000"/>
          <w:sz w:val="18"/>
          <w:szCs w:val="18"/>
          <w:lang w:val="es-ES_tradnl"/>
        </w:rPr>
        <w:t>Services</w:t>
      </w:r>
      <w:proofErr w:type="spellEnd"/>
      <w:r w:rsidRPr="007154F4">
        <w:rPr>
          <w:bCs/>
          <w:iCs/>
          <w:color w:val="000000"/>
          <w:sz w:val="18"/>
          <w:szCs w:val="18"/>
          <w:lang w:val="es-ES_tradnl"/>
        </w:rPr>
        <w:t xml:space="preserve"> Sector, </w:t>
      </w:r>
      <w:proofErr w:type="spellStart"/>
      <w:r w:rsidRPr="007154F4">
        <w:rPr>
          <w:bCs/>
          <w:iCs/>
          <w:color w:val="000000"/>
          <w:sz w:val="18"/>
          <w:szCs w:val="18"/>
          <w:lang w:val="es-ES_tradnl"/>
        </w:rPr>
        <w:t>Crypto</w:t>
      </w:r>
      <w:proofErr w:type="spellEnd"/>
      <w:r w:rsidRPr="007154F4">
        <w:rPr>
          <w:bCs/>
          <w:iCs/>
          <w:color w:val="000000"/>
          <w:sz w:val="18"/>
          <w:szCs w:val="18"/>
          <w:lang w:val="es-ES_tradnl"/>
        </w:rPr>
        <w:t xml:space="preserve"> (17 de abril de 2023), disponible en </w:t>
      </w:r>
      <w:hyperlink r:id="rId24" w:history="1">
        <w:r w:rsidRPr="007154F4">
          <w:rPr>
            <w:rStyle w:val="Hyperlink"/>
            <w:bCs/>
            <w:iCs/>
            <w:sz w:val="18"/>
            <w:szCs w:val="18"/>
            <w:lang w:val="es-ES_tradnl"/>
          </w:rPr>
          <w:t>https://pcaobus.org/news-events/news-releases/news-release-detail/2023-inspections-to-prioritize-audit-risks-related-to-fraud-the-financial-services-sector-crypto</w:t>
        </w:r>
      </w:hyperlink>
      <w:r w:rsidR="000165EE" w:rsidRPr="007154F4">
        <w:rPr>
          <w:rStyle w:val="Hyperlink"/>
          <w:bCs/>
          <w:iCs/>
          <w:sz w:val="18"/>
          <w:szCs w:val="18"/>
          <w:lang w:val="es-ES_tradnl"/>
        </w:rPr>
        <w:t>.</w:t>
      </w:r>
    </w:p>
  </w:footnote>
  <w:footnote w:id="68">
    <w:p w14:paraId="75C79E0F" w14:textId="59F25FF7" w:rsidR="009954FE" w:rsidRPr="007154F4" w:rsidRDefault="009954FE" w:rsidP="00C65707">
      <w:pPr>
        <w:pStyle w:val="FootnoteText"/>
        <w:jc w:val="both"/>
        <w:rPr>
          <w:sz w:val="18"/>
          <w:szCs w:val="18"/>
          <w:lang w:val="es-US"/>
        </w:rPr>
      </w:pPr>
      <w:r w:rsidRPr="007154F4">
        <w:rPr>
          <w:rStyle w:val="FootnoteReference"/>
          <w:sz w:val="18"/>
          <w:szCs w:val="18"/>
        </w:rPr>
        <w:footnoteRef/>
      </w:r>
      <w:r w:rsidRPr="007154F4">
        <w:rPr>
          <w:sz w:val="18"/>
          <w:szCs w:val="18"/>
        </w:rPr>
        <w:t xml:space="preserve"> </w:t>
      </w:r>
      <w:r w:rsidR="00C65707" w:rsidRPr="007154F4">
        <w:rPr>
          <w:bCs/>
          <w:iCs/>
          <w:color w:val="000000"/>
          <w:sz w:val="18"/>
          <w:szCs w:val="18"/>
          <w:lang w:val="es-ES_tradnl"/>
        </w:rPr>
        <w:t xml:space="preserve">Véase, por ejemplo, AICPA, Peer </w:t>
      </w:r>
      <w:proofErr w:type="spellStart"/>
      <w:r w:rsidR="00C65707" w:rsidRPr="007154F4">
        <w:rPr>
          <w:bCs/>
          <w:iCs/>
          <w:color w:val="000000"/>
          <w:sz w:val="18"/>
          <w:szCs w:val="18"/>
          <w:lang w:val="es-ES_tradnl"/>
        </w:rPr>
        <w:t>Review</w:t>
      </w:r>
      <w:proofErr w:type="spellEnd"/>
      <w:r w:rsidR="00C65707" w:rsidRPr="007154F4">
        <w:rPr>
          <w:bCs/>
          <w:iCs/>
          <w:color w:val="000000"/>
          <w:sz w:val="18"/>
          <w:szCs w:val="18"/>
          <w:lang w:val="es-ES_tradnl"/>
        </w:rPr>
        <w:t xml:space="preserve"> </w:t>
      </w:r>
      <w:proofErr w:type="spellStart"/>
      <w:r w:rsidR="00C65707" w:rsidRPr="007154F4">
        <w:rPr>
          <w:bCs/>
          <w:iCs/>
          <w:color w:val="000000"/>
          <w:sz w:val="18"/>
          <w:szCs w:val="18"/>
          <w:lang w:val="es-ES_tradnl"/>
        </w:rPr>
        <w:t>Summary</w:t>
      </w:r>
      <w:proofErr w:type="spellEnd"/>
      <w:r w:rsidR="00C65707" w:rsidRPr="007154F4">
        <w:rPr>
          <w:bCs/>
          <w:iCs/>
          <w:color w:val="000000"/>
          <w:sz w:val="18"/>
          <w:szCs w:val="18"/>
          <w:lang w:val="es-ES_tradnl"/>
        </w:rPr>
        <w:t xml:space="preserve">, disponible en </w:t>
      </w:r>
      <w:hyperlink r:id="rId25" w:history="1">
        <w:r w:rsidR="00C65707" w:rsidRPr="007154F4">
          <w:rPr>
            <w:rStyle w:val="Hyperlink"/>
            <w:bCs/>
            <w:iCs/>
            <w:sz w:val="18"/>
            <w:szCs w:val="18"/>
            <w:lang w:val="es-ES_tradnl"/>
          </w:rPr>
          <w:t>https://us.aicpa.org/research/standards/peerreview/peer-review-summary</w:t>
        </w:r>
      </w:hyperlink>
    </w:p>
  </w:footnote>
  <w:footnote w:id="69">
    <w:p w14:paraId="67B412F1" w14:textId="627C9826" w:rsidR="00B7262A" w:rsidRPr="007154F4" w:rsidRDefault="00B7262A"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E83B00" w:rsidRPr="007154F4">
        <w:rPr>
          <w:sz w:val="18"/>
          <w:szCs w:val="18"/>
          <w:lang w:val="es-US"/>
        </w:rPr>
        <w:t>Véase</w:t>
      </w:r>
      <w:r w:rsidR="004031FA" w:rsidRPr="007154F4">
        <w:rPr>
          <w:sz w:val="18"/>
          <w:szCs w:val="18"/>
          <w:lang w:val="es-US"/>
        </w:rPr>
        <w:t xml:space="preserve"> Informe de la Tercera Ronda</w:t>
      </w:r>
      <w:r w:rsidR="00713072" w:rsidRPr="007154F4">
        <w:rPr>
          <w:sz w:val="18"/>
          <w:szCs w:val="18"/>
          <w:lang w:val="es-US"/>
        </w:rPr>
        <w:t xml:space="preserve">, </w:t>
      </w:r>
      <w:r w:rsidR="00E83B00" w:rsidRPr="007154F4">
        <w:rPr>
          <w:sz w:val="18"/>
          <w:szCs w:val="18"/>
          <w:lang w:val="es-US"/>
        </w:rPr>
        <w:t>párrafos</w:t>
      </w:r>
      <w:r w:rsidRPr="007154F4">
        <w:rPr>
          <w:sz w:val="18"/>
          <w:szCs w:val="18"/>
          <w:lang w:val="es-US"/>
        </w:rPr>
        <w:t xml:space="preserve"> 53 – 55, </w:t>
      </w:r>
      <w:r w:rsidR="00443BDF" w:rsidRPr="007154F4">
        <w:rPr>
          <w:sz w:val="18"/>
          <w:szCs w:val="18"/>
          <w:lang w:val="es-US"/>
        </w:rPr>
        <w:t>59</w:t>
      </w:r>
      <w:r w:rsidR="005857D8" w:rsidRPr="007154F4">
        <w:rPr>
          <w:sz w:val="18"/>
          <w:szCs w:val="18"/>
          <w:lang w:val="es-US"/>
        </w:rPr>
        <w:t xml:space="preserve">, 64 </w:t>
      </w:r>
      <w:r w:rsidR="00464AB0" w:rsidRPr="007154F4">
        <w:rPr>
          <w:sz w:val="18"/>
          <w:szCs w:val="18"/>
          <w:lang w:val="es-US"/>
        </w:rPr>
        <w:t>–</w:t>
      </w:r>
      <w:r w:rsidR="005857D8" w:rsidRPr="007154F4">
        <w:rPr>
          <w:sz w:val="18"/>
          <w:szCs w:val="18"/>
          <w:lang w:val="es-US"/>
        </w:rPr>
        <w:t xml:space="preserve"> 67</w:t>
      </w:r>
      <w:r w:rsidR="00443BDF" w:rsidRPr="007154F4">
        <w:rPr>
          <w:sz w:val="18"/>
          <w:szCs w:val="18"/>
          <w:lang w:val="es-US"/>
        </w:rPr>
        <w:t xml:space="preserve">, </w:t>
      </w:r>
      <w:r w:rsidR="00E83B00" w:rsidRPr="007154F4">
        <w:rPr>
          <w:sz w:val="18"/>
          <w:szCs w:val="18"/>
          <w:lang w:val="es-US"/>
        </w:rPr>
        <w:t>y nota final</w:t>
      </w:r>
      <w:r w:rsidR="00443BDF" w:rsidRPr="007154F4">
        <w:rPr>
          <w:sz w:val="18"/>
          <w:szCs w:val="18"/>
          <w:lang w:val="es-US"/>
        </w:rPr>
        <w:t xml:space="preserve"> </w:t>
      </w:r>
      <w:proofErr w:type="spellStart"/>
      <w:r w:rsidR="00443BDF" w:rsidRPr="007154F4">
        <w:rPr>
          <w:sz w:val="18"/>
          <w:szCs w:val="18"/>
          <w:lang w:val="es-US"/>
        </w:rPr>
        <w:t>iv</w:t>
      </w:r>
      <w:proofErr w:type="spellEnd"/>
      <w:r w:rsidRPr="007154F4">
        <w:rPr>
          <w:sz w:val="18"/>
          <w:szCs w:val="18"/>
          <w:lang w:val="es-US"/>
        </w:rPr>
        <w:t xml:space="preserve">,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3.</w:t>
      </w:r>
    </w:p>
  </w:footnote>
  <w:footnote w:id="70">
    <w:p w14:paraId="09A9BA8A" w14:textId="1683389B" w:rsidR="00443BDF" w:rsidRPr="007154F4" w:rsidRDefault="00443BDF"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540141" w:rsidRPr="007154F4">
        <w:rPr>
          <w:sz w:val="18"/>
          <w:szCs w:val="18"/>
          <w:lang w:val="es-US"/>
        </w:rPr>
        <w:t>Respuesta</w:t>
      </w:r>
      <w:r w:rsidR="0043304D" w:rsidRPr="007154F4">
        <w:rPr>
          <w:sz w:val="18"/>
          <w:szCs w:val="18"/>
          <w:lang w:val="es-US"/>
        </w:rPr>
        <w:t xml:space="preserve"> al Cuestionario</w:t>
      </w:r>
      <w:r w:rsidRPr="007154F4">
        <w:rPr>
          <w:sz w:val="18"/>
          <w:szCs w:val="18"/>
          <w:lang w:val="es-US"/>
        </w:rPr>
        <w:t xml:space="preserve">, </w:t>
      </w:r>
      <w:r w:rsidR="00540141" w:rsidRPr="007154F4">
        <w:rPr>
          <w:sz w:val="18"/>
          <w:szCs w:val="18"/>
          <w:lang w:val="es-US"/>
        </w:rPr>
        <w:t>pág.</w:t>
      </w:r>
      <w:r w:rsidRPr="007154F4">
        <w:rPr>
          <w:sz w:val="18"/>
          <w:szCs w:val="18"/>
          <w:lang w:val="es-US"/>
        </w:rPr>
        <w:t xml:space="preserve"> 28,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10.</w:t>
      </w:r>
    </w:p>
  </w:footnote>
  <w:footnote w:id="71">
    <w:p w14:paraId="4E242C05" w14:textId="089EA551" w:rsidR="002523D0" w:rsidRPr="007154F4" w:rsidRDefault="002523D0"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540141" w:rsidRPr="007154F4">
        <w:rPr>
          <w:sz w:val="18"/>
          <w:szCs w:val="18"/>
          <w:lang w:val="es-US"/>
        </w:rPr>
        <w:t>Véase</w:t>
      </w:r>
      <w:r w:rsidR="0043304D" w:rsidRPr="007154F4">
        <w:rPr>
          <w:sz w:val="18"/>
          <w:szCs w:val="18"/>
          <w:lang w:val="es-US"/>
        </w:rPr>
        <w:t xml:space="preserve"> Informe de la Tercera Ronda</w:t>
      </w:r>
      <w:r w:rsidR="00713072" w:rsidRPr="007154F4">
        <w:rPr>
          <w:sz w:val="18"/>
          <w:szCs w:val="18"/>
          <w:lang w:val="es-US"/>
        </w:rPr>
        <w:t xml:space="preserve">, </w:t>
      </w:r>
      <w:r w:rsidR="00540141" w:rsidRPr="007154F4">
        <w:rPr>
          <w:sz w:val="18"/>
          <w:szCs w:val="18"/>
          <w:lang w:val="es-US"/>
        </w:rPr>
        <w:t>párrafos</w:t>
      </w:r>
      <w:r w:rsidRPr="007154F4">
        <w:rPr>
          <w:sz w:val="18"/>
          <w:szCs w:val="18"/>
          <w:lang w:val="es-US"/>
        </w:rPr>
        <w:t xml:space="preserve"> 53 – 55, 59,</w:t>
      </w:r>
      <w:r w:rsidR="005B0D63" w:rsidRPr="007154F4">
        <w:rPr>
          <w:sz w:val="18"/>
          <w:szCs w:val="18"/>
          <w:lang w:val="es-US"/>
        </w:rPr>
        <w:t xml:space="preserve"> y</w:t>
      </w:r>
      <w:r w:rsidRPr="007154F4">
        <w:rPr>
          <w:sz w:val="18"/>
          <w:szCs w:val="18"/>
          <w:lang w:val="es-US"/>
        </w:rPr>
        <w:t xml:space="preserve"> </w:t>
      </w:r>
      <w:r w:rsidR="00540141" w:rsidRPr="007154F4">
        <w:rPr>
          <w:sz w:val="18"/>
          <w:szCs w:val="18"/>
          <w:lang w:val="es-US"/>
        </w:rPr>
        <w:t>nota final</w:t>
      </w:r>
      <w:r w:rsidRPr="007154F4">
        <w:rPr>
          <w:sz w:val="18"/>
          <w:szCs w:val="18"/>
          <w:lang w:val="es-US"/>
        </w:rPr>
        <w:t xml:space="preserve"> </w:t>
      </w:r>
      <w:proofErr w:type="spellStart"/>
      <w:r w:rsidRPr="007154F4">
        <w:rPr>
          <w:sz w:val="18"/>
          <w:szCs w:val="18"/>
          <w:lang w:val="es-US"/>
        </w:rPr>
        <w:t>iv</w:t>
      </w:r>
      <w:proofErr w:type="spellEnd"/>
      <w:r w:rsidRPr="007154F4">
        <w:rPr>
          <w:sz w:val="18"/>
          <w:szCs w:val="18"/>
          <w:lang w:val="es-US"/>
        </w:rPr>
        <w:t xml:space="preserve">,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3.</w:t>
      </w:r>
    </w:p>
  </w:footnote>
  <w:footnote w:id="72">
    <w:p w14:paraId="5122FB98" w14:textId="0D15DB18" w:rsidR="002523D0" w:rsidRPr="007154F4" w:rsidRDefault="002523D0"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540141" w:rsidRPr="007154F4">
        <w:rPr>
          <w:sz w:val="18"/>
          <w:szCs w:val="18"/>
          <w:lang w:val="es-US"/>
        </w:rPr>
        <w:t>Respuesta al Cuestionario</w:t>
      </w:r>
      <w:r w:rsidRPr="007154F4">
        <w:rPr>
          <w:sz w:val="18"/>
          <w:szCs w:val="18"/>
          <w:lang w:val="es-US"/>
        </w:rPr>
        <w:t xml:space="preserve">, </w:t>
      </w:r>
      <w:r w:rsidR="00540141" w:rsidRPr="007154F4">
        <w:rPr>
          <w:sz w:val="18"/>
          <w:szCs w:val="18"/>
          <w:lang w:val="es-US"/>
        </w:rPr>
        <w:t>pág.</w:t>
      </w:r>
      <w:r w:rsidRPr="007154F4">
        <w:rPr>
          <w:sz w:val="18"/>
          <w:szCs w:val="18"/>
          <w:lang w:val="es-US"/>
        </w:rPr>
        <w:t xml:space="preserve"> 28,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10.</w:t>
      </w:r>
    </w:p>
  </w:footnote>
  <w:footnote w:id="73">
    <w:p w14:paraId="334DD2C4" w14:textId="64F585AB" w:rsidR="005B6FF7" w:rsidRPr="007154F4" w:rsidRDefault="005B6FF7">
      <w:pPr>
        <w:pStyle w:val="FootnoteText"/>
        <w:rPr>
          <w:b/>
          <w:bCs/>
          <w:sz w:val="18"/>
          <w:szCs w:val="18"/>
          <w:u w:val="single"/>
        </w:rPr>
      </w:pPr>
      <w:r w:rsidRPr="007154F4">
        <w:rPr>
          <w:rStyle w:val="FootnoteReference"/>
          <w:b/>
          <w:bCs/>
          <w:sz w:val="18"/>
          <w:szCs w:val="18"/>
          <w:u w:val="single"/>
        </w:rPr>
        <w:footnoteRef/>
      </w:r>
      <w:r w:rsidRPr="007154F4">
        <w:rPr>
          <w:b/>
          <w:bCs/>
          <w:sz w:val="18"/>
          <w:szCs w:val="18"/>
          <w:u w:val="single"/>
        </w:rPr>
        <w:t xml:space="preserve"> Los estados financieros están disponibles en la plataforma </w:t>
      </w:r>
      <w:r w:rsidR="00A222CA" w:rsidRPr="007154F4">
        <w:rPr>
          <w:b/>
          <w:bCs/>
          <w:sz w:val="18"/>
          <w:szCs w:val="18"/>
          <w:u w:val="single"/>
        </w:rPr>
        <w:t>EDGAR</w:t>
      </w:r>
      <w:r w:rsidR="00602086" w:rsidRPr="007154F4">
        <w:rPr>
          <w:b/>
          <w:bCs/>
          <w:sz w:val="18"/>
          <w:szCs w:val="18"/>
          <w:u w:val="single"/>
        </w:rPr>
        <w:t xml:space="preserve"> </w:t>
      </w:r>
      <w:r w:rsidRPr="007154F4">
        <w:rPr>
          <w:b/>
          <w:bCs/>
          <w:sz w:val="18"/>
          <w:szCs w:val="18"/>
          <w:u w:val="single"/>
        </w:rPr>
        <w:t>de la SEC en</w:t>
      </w:r>
      <w:r w:rsidR="00602086" w:rsidRPr="007154F4">
        <w:rPr>
          <w:b/>
          <w:bCs/>
          <w:sz w:val="18"/>
          <w:szCs w:val="18"/>
          <w:u w:val="single"/>
        </w:rPr>
        <w:t xml:space="preserve"> </w:t>
      </w:r>
      <w:hyperlink r:id="rId26" w:history="1">
        <w:r w:rsidR="001B3094" w:rsidRPr="007154F4">
          <w:rPr>
            <w:rStyle w:val="Hyperlink"/>
            <w:b/>
            <w:bCs/>
            <w:sz w:val="18"/>
            <w:szCs w:val="18"/>
            <w:lang w:val="es-US"/>
          </w:rPr>
          <w:t>https://www.sec.gov/edgar</w:t>
        </w:r>
      </w:hyperlink>
      <w:r w:rsidR="00602086" w:rsidRPr="007154F4">
        <w:rPr>
          <w:b/>
          <w:bCs/>
          <w:sz w:val="18"/>
          <w:szCs w:val="18"/>
          <w:u w:val="single"/>
        </w:rPr>
        <w:t xml:space="preserve">   </w:t>
      </w:r>
      <w:r w:rsidR="00A222CA" w:rsidRPr="007154F4">
        <w:rPr>
          <w:b/>
          <w:bCs/>
          <w:sz w:val="18"/>
          <w:szCs w:val="18"/>
          <w:u w:val="single"/>
        </w:rPr>
        <w:t xml:space="preserve"> </w:t>
      </w:r>
    </w:p>
  </w:footnote>
  <w:footnote w:id="74">
    <w:p w14:paraId="42E05142" w14:textId="7EE576E2" w:rsidR="009C1FC0" w:rsidRPr="007154F4" w:rsidRDefault="009C1FC0"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Ibid.</w:t>
      </w:r>
      <w:r w:rsidRPr="007154F4">
        <w:rPr>
          <w:sz w:val="18"/>
          <w:szCs w:val="18"/>
          <w:lang w:val="es-US"/>
        </w:rPr>
        <w:t xml:space="preserve">, </w:t>
      </w:r>
      <w:r w:rsidR="005F3D70" w:rsidRPr="007154F4">
        <w:rPr>
          <w:sz w:val="18"/>
          <w:szCs w:val="18"/>
          <w:lang w:val="es-US"/>
        </w:rPr>
        <w:t>pág.</w:t>
      </w:r>
      <w:r w:rsidRPr="007154F4">
        <w:rPr>
          <w:sz w:val="18"/>
          <w:szCs w:val="18"/>
          <w:lang w:val="es-US"/>
        </w:rPr>
        <w:t xml:space="preserve"> 29.</w:t>
      </w:r>
    </w:p>
  </w:footnote>
  <w:footnote w:id="75">
    <w:p w14:paraId="1429A46F" w14:textId="64B8E648" w:rsidR="00B31B11" w:rsidRPr="007154F4" w:rsidRDefault="00B31B11" w:rsidP="004C3313">
      <w:pPr>
        <w:pStyle w:val="FootnoteText"/>
        <w:jc w:val="both"/>
        <w:rPr>
          <w:sz w:val="18"/>
          <w:szCs w:val="18"/>
          <w:lang w:val="en-US"/>
        </w:rPr>
      </w:pPr>
      <w:r w:rsidRPr="007154F4">
        <w:rPr>
          <w:rStyle w:val="FootnoteReference"/>
          <w:sz w:val="18"/>
          <w:szCs w:val="18"/>
          <w:lang w:val="es-US"/>
        </w:rPr>
        <w:footnoteRef/>
      </w:r>
      <w:r w:rsidRPr="007154F4">
        <w:rPr>
          <w:sz w:val="18"/>
          <w:szCs w:val="18"/>
          <w:lang w:val="es-US"/>
        </w:rPr>
        <w:t xml:space="preserve"> </w:t>
      </w:r>
      <w:r w:rsidR="005F1EDD" w:rsidRPr="007154F4">
        <w:rPr>
          <w:sz w:val="18"/>
          <w:szCs w:val="18"/>
          <w:lang w:val="es-US"/>
        </w:rPr>
        <w:t>Véase</w:t>
      </w:r>
      <w:r w:rsidRPr="007154F4">
        <w:rPr>
          <w:sz w:val="18"/>
          <w:szCs w:val="18"/>
          <w:lang w:val="es-US"/>
        </w:rPr>
        <w:t xml:space="preserve"> </w:t>
      </w:r>
      <w:r w:rsidR="00C069EF" w:rsidRPr="007154F4">
        <w:rPr>
          <w:sz w:val="18"/>
          <w:szCs w:val="18"/>
          <w:lang w:val="es-US"/>
        </w:rPr>
        <w:t xml:space="preserve">Informe de la Tercera Ronda, </w:t>
      </w:r>
      <w:r w:rsidR="005F1EDD" w:rsidRPr="007154F4">
        <w:rPr>
          <w:sz w:val="18"/>
          <w:szCs w:val="18"/>
          <w:lang w:val="es-US"/>
        </w:rPr>
        <w:t>párrafos</w:t>
      </w:r>
      <w:r w:rsidRPr="007154F4">
        <w:rPr>
          <w:sz w:val="18"/>
          <w:szCs w:val="18"/>
          <w:lang w:val="es-US"/>
        </w:rPr>
        <w:t xml:space="preserve"> 53 – 55 </w:t>
      </w:r>
      <w:r w:rsidR="005B0D63" w:rsidRPr="007154F4">
        <w:rPr>
          <w:sz w:val="18"/>
          <w:szCs w:val="18"/>
          <w:lang w:val="es-US"/>
        </w:rPr>
        <w:t>y</w:t>
      </w:r>
      <w:r w:rsidRPr="007154F4">
        <w:rPr>
          <w:sz w:val="18"/>
          <w:szCs w:val="18"/>
          <w:lang w:val="es-US"/>
        </w:rPr>
        <w:t xml:space="preserve"> 65,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3.</w:t>
      </w:r>
      <w:r w:rsidR="004A6D31" w:rsidRPr="007154F4">
        <w:rPr>
          <w:sz w:val="18"/>
          <w:szCs w:val="18"/>
          <w:lang w:val="es-US"/>
        </w:rPr>
        <w:t xml:space="preserve"> </w:t>
      </w:r>
      <w:r w:rsidR="006B1E23" w:rsidRPr="007154F4">
        <w:rPr>
          <w:sz w:val="18"/>
          <w:szCs w:val="18"/>
          <w:lang w:val="es-US"/>
        </w:rPr>
        <w:t xml:space="preserve">El Comité toma nota de que uno de los estándares de auditoría emitidos por el PCAOB, AS2405: </w:t>
      </w:r>
      <w:proofErr w:type="spellStart"/>
      <w:r w:rsidR="006B1E23" w:rsidRPr="007154F4">
        <w:rPr>
          <w:sz w:val="18"/>
          <w:szCs w:val="18"/>
          <w:lang w:val="es-US"/>
        </w:rPr>
        <w:t>Illegal</w:t>
      </w:r>
      <w:proofErr w:type="spellEnd"/>
      <w:r w:rsidR="006B1E23" w:rsidRPr="007154F4">
        <w:rPr>
          <w:sz w:val="18"/>
          <w:szCs w:val="18"/>
          <w:lang w:val="es-US"/>
        </w:rPr>
        <w:t xml:space="preserve"> </w:t>
      </w:r>
      <w:proofErr w:type="spellStart"/>
      <w:r w:rsidR="006B1E23" w:rsidRPr="007154F4">
        <w:rPr>
          <w:sz w:val="18"/>
          <w:szCs w:val="18"/>
          <w:lang w:val="es-US"/>
        </w:rPr>
        <w:t>Acts</w:t>
      </w:r>
      <w:proofErr w:type="spellEnd"/>
      <w:r w:rsidR="006B1E23" w:rsidRPr="007154F4">
        <w:rPr>
          <w:sz w:val="18"/>
          <w:szCs w:val="18"/>
          <w:lang w:val="es-US"/>
        </w:rPr>
        <w:t xml:space="preserve"> </w:t>
      </w:r>
      <w:proofErr w:type="spellStart"/>
      <w:r w:rsidR="006B1E23" w:rsidRPr="007154F4">
        <w:rPr>
          <w:sz w:val="18"/>
          <w:szCs w:val="18"/>
          <w:lang w:val="es-US"/>
        </w:rPr>
        <w:t>by</w:t>
      </w:r>
      <w:proofErr w:type="spellEnd"/>
      <w:r w:rsidR="006B1E23" w:rsidRPr="007154F4">
        <w:rPr>
          <w:sz w:val="18"/>
          <w:szCs w:val="18"/>
          <w:lang w:val="es-US"/>
        </w:rPr>
        <w:t xml:space="preserve"> </w:t>
      </w:r>
      <w:proofErr w:type="spellStart"/>
      <w:r w:rsidR="006B1E23" w:rsidRPr="007154F4">
        <w:rPr>
          <w:sz w:val="18"/>
          <w:szCs w:val="18"/>
          <w:lang w:val="es-US"/>
        </w:rPr>
        <w:t>Clients</w:t>
      </w:r>
      <w:proofErr w:type="spellEnd"/>
      <w:r w:rsidR="006B1E23" w:rsidRPr="007154F4">
        <w:rPr>
          <w:sz w:val="18"/>
          <w:szCs w:val="18"/>
          <w:lang w:val="es-US"/>
        </w:rPr>
        <w:t xml:space="preserve">, que el Comité </w:t>
      </w:r>
      <w:r w:rsidR="006A7965" w:rsidRPr="007154F4">
        <w:rPr>
          <w:sz w:val="18"/>
          <w:szCs w:val="18"/>
          <w:lang w:val="es-US"/>
        </w:rPr>
        <w:t>revis</w:t>
      </w:r>
      <w:r w:rsidR="006B1E23" w:rsidRPr="007154F4">
        <w:rPr>
          <w:sz w:val="18"/>
          <w:szCs w:val="18"/>
          <w:lang w:val="es-US"/>
        </w:rPr>
        <w:t xml:space="preserve">ó en la Tercera Ronda, se está revisando actualmente para tener en cuenta los nuevos avances, ya que se ha mantenido prácticamente sin cambios desde su publicación en 1988. </w:t>
      </w:r>
      <w:proofErr w:type="spellStart"/>
      <w:r w:rsidR="006B1E23" w:rsidRPr="007154F4">
        <w:rPr>
          <w:sz w:val="18"/>
          <w:szCs w:val="18"/>
          <w:lang w:val="en-US"/>
        </w:rPr>
        <w:t>Véase</w:t>
      </w:r>
      <w:proofErr w:type="spellEnd"/>
      <w:r w:rsidR="006B1E23" w:rsidRPr="007154F4">
        <w:rPr>
          <w:sz w:val="18"/>
          <w:szCs w:val="18"/>
          <w:lang w:val="en-US"/>
        </w:rPr>
        <w:t xml:space="preserve"> </w:t>
      </w:r>
      <w:r w:rsidR="006B1E23" w:rsidRPr="007154F4">
        <w:rPr>
          <w:iCs/>
          <w:sz w:val="18"/>
          <w:szCs w:val="18"/>
          <w:lang w:val="en-US"/>
        </w:rPr>
        <w:t>Noncompliance with Laws and Regulations</w:t>
      </w:r>
      <w:r w:rsidR="006B1E23" w:rsidRPr="007154F4">
        <w:rPr>
          <w:sz w:val="18"/>
          <w:szCs w:val="18"/>
          <w:lang w:val="en-US"/>
        </w:rPr>
        <w:t xml:space="preserve">, </w:t>
      </w:r>
      <w:hyperlink r:id="rId27" w:history="1">
        <w:r w:rsidR="006B1E23" w:rsidRPr="007154F4">
          <w:rPr>
            <w:rStyle w:val="Hyperlink"/>
            <w:sz w:val="18"/>
            <w:szCs w:val="18"/>
            <w:lang w:val="en-US"/>
          </w:rPr>
          <w:t>https://pcaobus.org/oversight/standards/standard-setting-research-projects/noncompliance-with-laws-regulations</w:t>
        </w:r>
      </w:hyperlink>
    </w:p>
  </w:footnote>
  <w:footnote w:id="76">
    <w:p w14:paraId="552BAB76" w14:textId="71B4159B" w:rsidR="004A6D31" w:rsidRPr="007154F4" w:rsidRDefault="004A6D31"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6B1E23" w:rsidRPr="007154F4">
        <w:rPr>
          <w:sz w:val="18"/>
          <w:szCs w:val="18"/>
          <w:lang w:val="es-US"/>
        </w:rPr>
        <w:t>Respuesta al Cuestionario</w:t>
      </w:r>
      <w:r w:rsidRPr="007154F4">
        <w:rPr>
          <w:sz w:val="18"/>
          <w:szCs w:val="18"/>
          <w:lang w:val="es-US"/>
        </w:rPr>
        <w:t xml:space="preserve">, </w:t>
      </w:r>
      <w:r w:rsidR="006B2EF2" w:rsidRPr="007154F4">
        <w:rPr>
          <w:sz w:val="18"/>
          <w:szCs w:val="18"/>
          <w:lang w:val="es-US"/>
        </w:rPr>
        <w:t>pág.</w:t>
      </w:r>
      <w:r w:rsidRPr="007154F4">
        <w:rPr>
          <w:sz w:val="18"/>
          <w:szCs w:val="18"/>
          <w:lang w:val="es-US"/>
        </w:rPr>
        <w:t xml:space="preserve"> 30,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10.</w:t>
      </w:r>
    </w:p>
  </w:footnote>
  <w:footnote w:id="77">
    <w:p w14:paraId="69460C9A" w14:textId="794239C6" w:rsidR="0033406F" w:rsidRPr="007154F4" w:rsidRDefault="0033406F" w:rsidP="00035948">
      <w:pPr>
        <w:pStyle w:val="FootnoteText"/>
        <w:rPr>
          <w:sz w:val="18"/>
          <w:szCs w:val="18"/>
          <w:lang w:val="es-US"/>
        </w:rPr>
      </w:pPr>
      <w:r w:rsidRPr="007154F4">
        <w:rPr>
          <w:rStyle w:val="FootnoteReference"/>
          <w:sz w:val="18"/>
          <w:szCs w:val="18"/>
          <w:lang w:val="es-US"/>
        </w:rPr>
        <w:footnoteRef/>
      </w:r>
      <w:r w:rsidR="009105B4" w:rsidRPr="007154F4">
        <w:rPr>
          <w:sz w:val="18"/>
          <w:szCs w:val="18"/>
          <w:lang w:val="es-US"/>
        </w:rPr>
        <w:t xml:space="preserve"> I</w:t>
      </w:r>
      <w:r w:rsidR="005F1EDD" w:rsidRPr="007154F4">
        <w:rPr>
          <w:sz w:val="18"/>
          <w:szCs w:val="18"/>
          <w:lang w:val="es-US"/>
        </w:rPr>
        <w:t>nformación</w:t>
      </w:r>
      <w:r w:rsidR="006B5160" w:rsidRPr="007154F4">
        <w:rPr>
          <w:sz w:val="18"/>
          <w:szCs w:val="18"/>
          <w:lang w:val="es-US"/>
        </w:rPr>
        <w:t xml:space="preserve"> Adicional sobre los </w:t>
      </w:r>
      <w:r w:rsidR="005F1EDD" w:rsidRPr="007154F4">
        <w:rPr>
          <w:sz w:val="18"/>
          <w:szCs w:val="18"/>
          <w:lang w:val="es-US"/>
        </w:rPr>
        <w:t>Temas Analizados</w:t>
      </w:r>
      <w:r w:rsidRPr="007154F4">
        <w:rPr>
          <w:sz w:val="18"/>
          <w:szCs w:val="18"/>
          <w:lang w:val="es-US"/>
        </w:rPr>
        <w:t xml:space="preserve">, </w:t>
      </w:r>
      <w:r w:rsidR="009105B4" w:rsidRPr="007154F4">
        <w:rPr>
          <w:sz w:val="18"/>
          <w:szCs w:val="18"/>
          <w:lang w:val="es-US"/>
        </w:rPr>
        <w:t>pág.</w:t>
      </w:r>
      <w:r w:rsidRPr="007154F4">
        <w:rPr>
          <w:sz w:val="18"/>
          <w:szCs w:val="18"/>
          <w:lang w:val="es-US"/>
        </w:rPr>
        <w:t xml:space="preserve"> 1, </w:t>
      </w:r>
      <w:hyperlink r:id="rId28" w:history="1">
        <w:r w:rsidRPr="007154F4">
          <w:rPr>
            <w:rStyle w:val="Hyperlink"/>
            <w:sz w:val="18"/>
            <w:szCs w:val="18"/>
            <w:lang w:val="es-US"/>
          </w:rPr>
          <w:t>http://www.oas.org/en/sla/dlc/mesicic/paises-rondas.html?c=United%20States&amp;r=6</w:t>
        </w:r>
      </w:hyperlink>
      <w:r w:rsidRPr="007154F4">
        <w:rPr>
          <w:sz w:val="18"/>
          <w:szCs w:val="18"/>
          <w:lang w:val="es-US"/>
        </w:rPr>
        <w:t xml:space="preserve"> </w:t>
      </w:r>
    </w:p>
  </w:footnote>
  <w:footnote w:id="78">
    <w:p w14:paraId="20D03A02" w14:textId="55865A77" w:rsidR="00781112" w:rsidRPr="007154F4" w:rsidRDefault="00781112">
      <w:pPr>
        <w:pStyle w:val="FootnoteText"/>
        <w:rPr>
          <w:sz w:val="18"/>
          <w:szCs w:val="18"/>
          <w:lang w:val="es-US"/>
        </w:rPr>
      </w:pPr>
      <w:r w:rsidRPr="007154F4">
        <w:rPr>
          <w:rStyle w:val="FootnoteReference"/>
          <w:sz w:val="18"/>
          <w:szCs w:val="18"/>
          <w:lang w:val="es-US"/>
        </w:rPr>
        <w:footnoteRef/>
      </w:r>
      <w:r w:rsidRPr="007154F4">
        <w:rPr>
          <w:sz w:val="18"/>
          <w:szCs w:val="18"/>
          <w:lang w:val="es-US"/>
        </w:rPr>
        <w:t xml:space="preserve"> Véase Tecnología, </w:t>
      </w:r>
      <w:hyperlink r:id="rId29" w:history="1">
        <w:r w:rsidR="000908B0" w:rsidRPr="007154F4">
          <w:rPr>
            <w:rStyle w:val="Hyperlink"/>
            <w:sz w:val="18"/>
            <w:szCs w:val="18"/>
            <w:lang w:val="es-US"/>
          </w:rPr>
          <w:t>https://www.aicpa-cima.com/topic/technology</w:t>
        </w:r>
      </w:hyperlink>
    </w:p>
  </w:footnote>
  <w:footnote w:id="79">
    <w:p w14:paraId="1E923C2D" w14:textId="3665A9FD" w:rsidR="000908B0" w:rsidRPr="007154F4" w:rsidRDefault="000908B0">
      <w:pPr>
        <w:pStyle w:val="FootnoteText"/>
        <w:rPr>
          <w:sz w:val="18"/>
          <w:szCs w:val="18"/>
          <w:lang w:val="es-US"/>
        </w:rPr>
      </w:pPr>
      <w:r w:rsidRPr="007154F4">
        <w:rPr>
          <w:rStyle w:val="FootnoteReference"/>
          <w:sz w:val="18"/>
          <w:szCs w:val="18"/>
          <w:lang w:val="es-US"/>
        </w:rPr>
        <w:footnoteRef/>
      </w:r>
      <w:r w:rsidRPr="007154F4">
        <w:rPr>
          <w:sz w:val="18"/>
          <w:szCs w:val="18"/>
          <w:lang w:val="es-US"/>
        </w:rPr>
        <w:t xml:space="preserve"> </w:t>
      </w:r>
      <w:r w:rsidR="004B3767" w:rsidRPr="007154F4">
        <w:rPr>
          <w:sz w:val="18"/>
          <w:szCs w:val="18"/>
          <w:lang w:val="es-US"/>
        </w:rPr>
        <w:t xml:space="preserve">Guía para el Análisis de Datos de Auditoría, </w:t>
      </w:r>
      <w:hyperlink r:id="rId30" w:history="1">
        <w:r w:rsidR="001E5F14" w:rsidRPr="007154F4">
          <w:rPr>
            <w:rStyle w:val="Hyperlink"/>
            <w:sz w:val="18"/>
            <w:szCs w:val="18"/>
            <w:lang w:val="es-US"/>
          </w:rPr>
          <w:t>https://www.aicpa-cima.com/resources/article/guide-to-audit-data-analytics-an-overview</w:t>
        </w:r>
      </w:hyperlink>
    </w:p>
  </w:footnote>
  <w:footnote w:id="80">
    <w:p w14:paraId="5874FE9C" w14:textId="31F77F1D" w:rsidR="00963B59" w:rsidRPr="007154F4" w:rsidRDefault="00963B59" w:rsidP="00720F44">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494E75" w:rsidRPr="007154F4">
        <w:rPr>
          <w:sz w:val="18"/>
          <w:szCs w:val="18"/>
          <w:lang w:val="es-US"/>
        </w:rPr>
        <w:t>Respuesta al Cuestionario</w:t>
      </w:r>
      <w:r w:rsidRPr="007154F4">
        <w:rPr>
          <w:sz w:val="18"/>
          <w:szCs w:val="18"/>
          <w:lang w:val="es-US"/>
        </w:rPr>
        <w:t xml:space="preserve">, </w:t>
      </w:r>
      <w:r w:rsidR="00F54934" w:rsidRPr="007154F4">
        <w:rPr>
          <w:sz w:val="18"/>
          <w:szCs w:val="18"/>
          <w:lang w:val="es-US"/>
        </w:rPr>
        <w:t>pág.</w:t>
      </w:r>
      <w:r w:rsidRPr="007154F4">
        <w:rPr>
          <w:sz w:val="18"/>
          <w:szCs w:val="18"/>
          <w:lang w:val="es-US"/>
        </w:rPr>
        <w:t xml:space="preserve"> 31,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10.</w:t>
      </w:r>
      <w:r w:rsidR="00E135A5" w:rsidRPr="007154F4">
        <w:rPr>
          <w:sz w:val="18"/>
          <w:szCs w:val="18"/>
          <w:lang w:val="es-US"/>
        </w:rPr>
        <w:t xml:space="preserve"> El Estado analiz</w:t>
      </w:r>
      <w:r w:rsidR="00D04CAF" w:rsidRPr="007154F4">
        <w:rPr>
          <w:sz w:val="18"/>
          <w:szCs w:val="18"/>
          <w:lang w:val="es-US"/>
        </w:rPr>
        <w:t>ad</w:t>
      </w:r>
      <w:r w:rsidR="00E135A5" w:rsidRPr="007154F4">
        <w:rPr>
          <w:sz w:val="18"/>
          <w:szCs w:val="18"/>
          <w:lang w:val="es-US"/>
        </w:rPr>
        <w:t>o, en sus observaciones al proyecto de informe preliminar, señal</w:t>
      </w:r>
      <w:r w:rsidR="00527AE2" w:rsidRPr="007154F4">
        <w:rPr>
          <w:sz w:val="18"/>
          <w:szCs w:val="18"/>
          <w:lang w:val="es-US"/>
        </w:rPr>
        <w:t>a</w:t>
      </w:r>
      <w:r w:rsidR="00E135A5" w:rsidRPr="007154F4">
        <w:rPr>
          <w:sz w:val="18"/>
          <w:szCs w:val="18"/>
          <w:lang w:val="es-US"/>
        </w:rPr>
        <w:t xml:space="preserve"> que</w:t>
      </w:r>
      <w:r w:rsidR="001C5BF9" w:rsidRPr="007154F4">
        <w:rPr>
          <w:sz w:val="18"/>
          <w:szCs w:val="18"/>
          <w:lang w:val="es-US"/>
        </w:rPr>
        <w:t xml:space="preserve"> </w:t>
      </w:r>
      <w:r w:rsidR="001C5BF9" w:rsidRPr="007154F4">
        <w:rPr>
          <w:bCs/>
          <w:iCs/>
          <w:sz w:val="18"/>
          <w:szCs w:val="18"/>
          <w:lang w:val="es-ES_tradnl"/>
        </w:rPr>
        <w:t xml:space="preserve">en el caso de las auditorías del PCAOB, la norma de auditoría pertinente es la AS 2310, que el PCAOB actualizó el año pasado. </w:t>
      </w:r>
      <w:r w:rsidR="003159D1" w:rsidRPr="007154F4">
        <w:rPr>
          <w:bCs/>
          <w:iCs/>
          <w:sz w:val="18"/>
          <w:szCs w:val="18"/>
          <w:lang w:val="es-ES_tradnl"/>
        </w:rPr>
        <w:t xml:space="preserve">Además, </w:t>
      </w:r>
      <w:r w:rsidR="001C5BF9" w:rsidRPr="007154F4">
        <w:rPr>
          <w:bCs/>
          <w:iCs/>
          <w:sz w:val="18"/>
          <w:szCs w:val="18"/>
          <w:lang w:val="es-ES_tradnl"/>
        </w:rPr>
        <w:t>el proceso de confirmación implica, y hace referencia expresa, a una serie de otras normas de auditoría, así como al proceso de inspecciones</w:t>
      </w:r>
      <w:r w:rsidR="00720F44" w:rsidRPr="007154F4">
        <w:rPr>
          <w:bCs/>
          <w:iCs/>
          <w:sz w:val="18"/>
          <w:szCs w:val="18"/>
          <w:lang w:val="es-ES_tradnl"/>
        </w:rPr>
        <w:t>, v</w:t>
      </w:r>
      <w:r w:rsidR="001C5BF9" w:rsidRPr="007154F4">
        <w:rPr>
          <w:bCs/>
          <w:iCs/>
          <w:sz w:val="18"/>
          <w:szCs w:val="18"/>
          <w:lang w:val="es-ES_tradnl"/>
        </w:rPr>
        <w:t>éanse la norma AS 2310 (</w:t>
      </w:r>
      <w:hyperlink r:id="rId31" w:history="1">
        <w:r w:rsidR="00720F44" w:rsidRPr="007154F4">
          <w:rPr>
            <w:rStyle w:val="Hyperlink"/>
            <w:bCs/>
            <w:iCs/>
            <w:sz w:val="18"/>
            <w:szCs w:val="18"/>
            <w:lang w:val="es-ES_tradnl"/>
          </w:rPr>
          <w:t>https://pcaobus.org/oversight/standards/auditing-standards/details/AS2310</w:t>
        </w:r>
      </w:hyperlink>
      <w:r w:rsidR="001C5BF9" w:rsidRPr="007154F4">
        <w:rPr>
          <w:bCs/>
          <w:iCs/>
          <w:sz w:val="18"/>
          <w:szCs w:val="18"/>
          <w:lang w:val="es-ES_tradnl"/>
        </w:rPr>
        <w:t>) y la norma actualizada que entrará en vigor para las auditorías de los ejercicios fiscales que finalicen a partir del 15 de junio de 2025 (</w:t>
      </w:r>
      <w:hyperlink r:id="rId32" w:history="1">
        <w:r w:rsidR="001C5BF9" w:rsidRPr="007154F4">
          <w:rPr>
            <w:rStyle w:val="Hyperlink"/>
            <w:bCs/>
            <w:iCs/>
            <w:sz w:val="18"/>
            <w:szCs w:val="18"/>
            <w:lang w:val="es-ES_tradnl"/>
          </w:rPr>
          <w:t>https://pcaobus.org/oversight/standards/auditing-standards/details/as-2310-the-auditor-s-use-of-confirmation-(effective-for-fye-on-or-after-6-15-2025</w:t>
        </w:r>
      </w:hyperlink>
      <w:r w:rsidR="001C5BF9" w:rsidRPr="007154F4">
        <w:rPr>
          <w:bCs/>
          <w:iCs/>
          <w:sz w:val="18"/>
          <w:szCs w:val="18"/>
          <w:lang w:val="es-ES_tradnl"/>
        </w:rPr>
        <w:t>).</w:t>
      </w:r>
    </w:p>
  </w:footnote>
  <w:footnote w:id="81">
    <w:p w14:paraId="1B589245" w14:textId="77B22FA9" w:rsidR="00963B59" w:rsidRPr="007154F4" w:rsidRDefault="00963B59"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09143E" w:rsidRPr="007154F4">
        <w:rPr>
          <w:sz w:val="18"/>
          <w:szCs w:val="18"/>
          <w:lang w:val="es-US"/>
        </w:rPr>
        <w:t>Información Adicional sobre los Temas Analizados</w:t>
      </w:r>
      <w:r w:rsidRPr="007154F4">
        <w:rPr>
          <w:sz w:val="18"/>
          <w:szCs w:val="18"/>
          <w:lang w:val="es-US"/>
        </w:rPr>
        <w:t>,</w:t>
      </w:r>
      <w:r w:rsidR="0009143E" w:rsidRPr="007154F4">
        <w:rPr>
          <w:sz w:val="18"/>
          <w:szCs w:val="18"/>
          <w:lang w:val="es-US"/>
        </w:rPr>
        <w:t xml:space="preserve"> </w:t>
      </w:r>
      <w:r w:rsidR="00F54934" w:rsidRPr="007154F4">
        <w:rPr>
          <w:sz w:val="18"/>
          <w:szCs w:val="18"/>
          <w:lang w:val="es-US"/>
        </w:rPr>
        <w:t>pág.</w:t>
      </w:r>
      <w:r w:rsidR="0009143E" w:rsidRPr="007154F4">
        <w:rPr>
          <w:sz w:val="18"/>
          <w:szCs w:val="18"/>
          <w:lang w:val="es-US"/>
        </w:rPr>
        <w:t xml:space="preserve"> 2,</w:t>
      </w:r>
      <w:r w:rsidRPr="007154F4">
        <w:rPr>
          <w:sz w:val="18"/>
          <w:szCs w:val="18"/>
          <w:lang w:val="es-US"/>
        </w:rPr>
        <w:t xml:space="preserve"> </w:t>
      </w:r>
      <w:r w:rsidRPr="007154F4">
        <w:rPr>
          <w:i/>
          <w:iCs/>
          <w:sz w:val="18"/>
          <w:szCs w:val="18"/>
          <w:lang w:val="es-US"/>
        </w:rPr>
        <w:t xml:space="preserve">supra </w:t>
      </w:r>
      <w:r w:rsidR="00882863" w:rsidRPr="007154F4">
        <w:rPr>
          <w:sz w:val="18"/>
          <w:szCs w:val="18"/>
          <w:lang w:val="es-US"/>
        </w:rPr>
        <w:t>nota 76</w:t>
      </w:r>
      <w:r w:rsidRPr="007154F4">
        <w:rPr>
          <w:sz w:val="18"/>
          <w:szCs w:val="18"/>
          <w:lang w:val="es-US"/>
        </w:rPr>
        <w:t>.</w:t>
      </w:r>
    </w:p>
  </w:footnote>
  <w:footnote w:id="82">
    <w:p w14:paraId="35AD6DE1" w14:textId="24CBE976" w:rsidR="00963B59" w:rsidRPr="007154F4" w:rsidRDefault="00963B59"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09143E" w:rsidRPr="007154F4">
        <w:rPr>
          <w:sz w:val="18"/>
          <w:szCs w:val="18"/>
          <w:lang w:val="es-US"/>
        </w:rPr>
        <w:t>Disponible en</w:t>
      </w:r>
      <w:r w:rsidRPr="007154F4">
        <w:rPr>
          <w:sz w:val="18"/>
          <w:szCs w:val="18"/>
          <w:lang w:val="es-US"/>
        </w:rPr>
        <w:t xml:space="preserve">: </w:t>
      </w:r>
      <w:hyperlink r:id="rId33" w:history="1">
        <w:r w:rsidR="001E507C" w:rsidRPr="007154F4">
          <w:rPr>
            <w:rStyle w:val="Hyperlink"/>
            <w:sz w:val="18"/>
            <w:szCs w:val="18"/>
            <w:lang w:val="es-US"/>
          </w:rPr>
          <w:t>https://us.aicpa.org/content/dam/aicpa/research/standards/auditattest/downloadabledocuments/au-c-00330.pdf</w:t>
        </w:r>
      </w:hyperlink>
      <w:r w:rsidR="001E507C" w:rsidRPr="007154F4">
        <w:rPr>
          <w:sz w:val="18"/>
          <w:szCs w:val="18"/>
          <w:lang w:val="es-US"/>
        </w:rPr>
        <w:t xml:space="preserve"> </w:t>
      </w:r>
    </w:p>
  </w:footnote>
  <w:footnote w:id="83">
    <w:p w14:paraId="196AE9E1" w14:textId="383445E9" w:rsidR="00963B59" w:rsidRPr="007154F4" w:rsidRDefault="00963B59"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C716DC" w:rsidRPr="007154F4">
        <w:rPr>
          <w:sz w:val="18"/>
          <w:szCs w:val="18"/>
          <w:lang w:val="es-US"/>
        </w:rPr>
        <w:t>Disponible</w:t>
      </w:r>
      <w:r w:rsidR="00965C20" w:rsidRPr="007154F4">
        <w:rPr>
          <w:sz w:val="18"/>
          <w:szCs w:val="18"/>
          <w:lang w:val="es-US"/>
        </w:rPr>
        <w:t xml:space="preserve"> en</w:t>
      </w:r>
      <w:r w:rsidRPr="007154F4">
        <w:rPr>
          <w:sz w:val="18"/>
          <w:szCs w:val="18"/>
          <w:lang w:val="es-US"/>
        </w:rPr>
        <w:t xml:space="preserve">: </w:t>
      </w:r>
      <w:hyperlink r:id="rId34" w:history="1">
        <w:r w:rsidRPr="007154F4">
          <w:rPr>
            <w:rStyle w:val="Hyperlink"/>
            <w:sz w:val="18"/>
            <w:szCs w:val="18"/>
            <w:lang w:val="es-US"/>
          </w:rPr>
          <w:t>https://www.federalregister.gov/documents/2023/10/17/2023-22491/public-company-accounting-oversight-board-notice-of-filing-of-proposed-rules-on-the-auditors-use-of</w:t>
        </w:r>
      </w:hyperlink>
      <w:r w:rsidRPr="007154F4">
        <w:rPr>
          <w:sz w:val="18"/>
          <w:szCs w:val="18"/>
          <w:lang w:val="es-US"/>
        </w:rPr>
        <w:t xml:space="preserve"> </w:t>
      </w:r>
    </w:p>
  </w:footnote>
  <w:footnote w:id="84">
    <w:p w14:paraId="2162220C" w14:textId="008FA49B" w:rsidR="00886FB2" w:rsidRPr="007154F4" w:rsidRDefault="00886FB2"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1B10CA" w:rsidRPr="007154F4">
        <w:rPr>
          <w:sz w:val="18"/>
          <w:szCs w:val="18"/>
          <w:lang w:val="es-US"/>
        </w:rPr>
        <w:t>Sección 330 de las Normas de Auditoría (AU-C), Realización de Procedimientos de Auditoría en Respuesta a los Riesgos Evaluados y Evaluación de las Pruebas de Auditoría Obtenidas</w:t>
      </w:r>
      <w:r w:rsidRPr="007154F4">
        <w:rPr>
          <w:sz w:val="18"/>
          <w:szCs w:val="18"/>
          <w:lang w:val="es-US"/>
        </w:rPr>
        <w:t xml:space="preserve">, </w:t>
      </w:r>
      <w:r w:rsidR="001B10CA" w:rsidRPr="007154F4">
        <w:rPr>
          <w:sz w:val="18"/>
          <w:szCs w:val="18"/>
          <w:lang w:val="es-US"/>
        </w:rPr>
        <w:t>párrafo</w:t>
      </w:r>
      <w:r w:rsidRPr="007154F4">
        <w:rPr>
          <w:sz w:val="18"/>
          <w:szCs w:val="18"/>
          <w:lang w:val="es-US"/>
        </w:rPr>
        <w:t xml:space="preserve"> A59, </w:t>
      </w:r>
      <w:r w:rsidRPr="007154F4">
        <w:rPr>
          <w:i/>
          <w:iCs/>
          <w:sz w:val="18"/>
          <w:szCs w:val="18"/>
          <w:lang w:val="es-US"/>
        </w:rPr>
        <w:t xml:space="preserve">supra </w:t>
      </w:r>
      <w:r w:rsidR="00882863" w:rsidRPr="007154F4">
        <w:rPr>
          <w:sz w:val="18"/>
          <w:szCs w:val="18"/>
          <w:lang w:val="es-US"/>
        </w:rPr>
        <w:t>nota 81</w:t>
      </w:r>
      <w:r w:rsidRPr="007154F4">
        <w:rPr>
          <w:sz w:val="18"/>
          <w:szCs w:val="18"/>
          <w:lang w:val="es-US"/>
        </w:rPr>
        <w:t>.</w:t>
      </w:r>
    </w:p>
  </w:footnote>
  <w:footnote w:id="85">
    <w:p w14:paraId="39929059" w14:textId="28F89C32" w:rsidR="005F4CF0" w:rsidRPr="007154F4" w:rsidRDefault="005F4CF0"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396C2E" w:rsidRPr="007154F4">
        <w:rPr>
          <w:sz w:val="18"/>
          <w:szCs w:val="18"/>
          <w:lang w:val="es-US"/>
        </w:rPr>
        <w:t xml:space="preserve">Como se señala en el Resumen de la propuesta: </w:t>
      </w:r>
      <w:r w:rsidR="00396C2E" w:rsidRPr="007154F4">
        <w:rPr>
          <w:i/>
          <w:sz w:val="18"/>
          <w:szCs w:val="18"/>
          <w:lang w:val="es-US"/>
        </w:rPr>
        <w:t>“Como se describe en la nueva norma, el proceso de confirmación implica la selección de uno o más elementos que es necesario confirmar, el envío de una solicitud de confirmación directamente a una parte confirmante (por ejemplo, una entidad financiera), la evaluación de la información que se reciba y el tratamiento de las respuestas que no se reciban y de las respuestas incompletas para obtener pruebas de auditoría sobre una o más afirmaciones de los estados financieros. Si un auditor lo diseña y ejecuta adecuadamente, el proceso de confirmación puede proporcionar pruebas importantes que el auditor obtiene como parte de la auditoría de los estados financieros de una empresa”,</w:t>
      </w:r>
      <w:r w:rsidRPr="007154F4">
        <w:rPr>
          <w:sz w:val="18"/>
          <w:szCs w:val="18"/>
          <w:lang w:val="es-US"/>
        </w:rPr>
        <w:t xml:space="preserve">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7</w:t>
      </w:r>
      <w:r w:rsidR="00713072" w:rsidRPr="007154F4">
        <w:rPr>
          <w:sz w:val="18"/>
          <w:szCs w:val="18"/>
          <w:lang w:val="es-US"/>
        </w:rPr>
        <w:t>9</w:t>
      </w:r>
      <w:r w:rsidRPr="007154F4">
        <w:rPr>
          <w:sz w:val="18"/>
          <w:szCs w:val="18"/>
          <w:lang w:val="es-US"/>
        </w:rPr>
        <w:t>.</w:t>
      </w:r>
      <w:r w:rsidR="00B4710C" w:rsidRPr="007154F4">
        <w:rPr>
          <w:sz w:val="18"/>
          <w:szCs w:val="18"/>
          <w:lang w:val="es-US"/>
        </w:rPr>
        <w:t xml:space="preserve"> Véase además </w:t>
      </w:r>
      <w:hyperlink r:id="rId35" w:history="1">
        <w:r w:rsidR="00B4710C" w:rsidRPr="007154F4">
          <w:rPr>
            <w:rStyle w:val="Hyperlink"/>
            <w:bCs/>
            <w:iCs/>
            <w:sz w:val="18"/>
            <w:szCs w:val="18"/>
            <w:lang w:val="es-ES_tradnl"/>
          </w:rPr>
          <w:t>https://assets.pcaobus.org/pcaob-dev/docs/default-source/rulemaking/docket_028/34-99060.pdf</w:t>
        </w:r>
      </w:hyperlink>
    </w:p>
  </w:footnote>
  <w:footnote w:id="86">
    <w:p w14:paraId="3AE7F51B" w14:textId="23419781" w:rsidR="006D14F5" w:rsidRPr="007154F4" w:rsidRDefault="006D14F5"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C716DC" w:rsidRPr="007154F4">
        <w:rPr>
          <w:sz w:val="18"/>
          <w:szCs w:val="18"/>
          <w:lang w:val="es-US"/>
        </w:rPr>
        <w:t>Respuesta al Cuestionario</w:t>
      </w:r>
      <w:r w:rsidRPr="007154F4">
        <w:rPr>
          <w:sz w:val="18"/>
          <w:szCs w:val="18"/>
          <w:lang w:val="es-US"/>
        </w:rPr>
        <w:t xml:space="preserve">, </w:t>
      </w:r>
      <w:r w:rsidR="00C716DC" w:rsidRPr="007154F4">
        <w:rPr>
          <w:sz w:val="18"/>
          <w:szCs w:val="18"/>
          <w:lang w:val="es-US"/>
        </w:rPr>
        <w:t>pág.</w:t>
      </w:r>
      <w:r w:rsidRPr="007154F4">
        <w:rPr>
          <w:sz w:val="18"/>
          <w:szCs w:val="18"/>
          <w:lang w:val="es-US"/>
        </w:rPr>
        <w:t xml:space="preserve"> 32,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10.</w:t>
      </w:r>
    </w:p>
  </w:footnote>
  <w:footnote w:id="87">
    <w:p w14:paraId="24A135AA" w14:textId="3E8369C8" w:rsidR="006D14F5" w:rsidRPr="007154F4" w:rsidRDefault="006D14F5"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9A3B0E" w:rsidRPr="007154F4">
        <w:rPr>
          <w:sz w:val="18"/>
          <w:szCs w:val="18"/>
          <w:lang w:val="es-US"/>
        </w:rPr>
        <w:t>Información Adicional sobre los Temas Analizados</w:t>
      </w:r>
      <w:r w:rsidRPr="007154F4">
        <w:rPr>
          <w:sz w:val="18"/>
          <w:szCs w:val="18"/>
          <w:lang w:val="es-US"/>
        </w:rPr>
        <w:t xml:space="preserve">, </w:t>
      </w:r>
      <w:r w:rsidR="00286A33" w:rsidRPr="007154F4">
        <w:rPr>
          <w:sz w:val="18"/>
          <w:szCs w:val="18"/>
          <w:lang w:val="es-US"/>
        </w:rPr>
        <w:t>pág.</w:t>
      </w:r>
      <w:r w:rsidR="009A3B0E" w:rsidRPr="007154F4">
        <w:rPr>
          <w:sz w:val="18"/>
          <w:szCs w:val="18"/>
          <w:lang w:val="es-US"/>
        </w:rPr>
        <w:t xml:space="preserve"> 2, </w:t>
      </w:r>
      <w:r w:rsidRPr="007154F4">
        <w:rPr>
          <w:i/>
          <w:iCs/>
          <w:sz w:val="18"/>
          <w:szCs w:val="18"/>
          <w:lang w:val="es-US"/>
        </w:rPr>
        <w:t xml:space="preserve">supra </w:t>
      </w:r>
      <w:r w:rsidR="00882863" w:rsidRPr="007154F4">
        <w:rPr>
          <w:sz w:val="18"/>
          <w:szCs w:val="18"/>
          <w:lang w:val="es-US"/>
        </w:rPr>
        <w:t>nota 76</w:t>
      </w:r>
      <w:r w:rsidRPr="007154F4">
        <w:rPr>
          <w:sz w:val="18"/>
          <w:szCs w:val="18"/>
          <w:lang w:val="es-US"/>
        </w:rPr>
        <w:t>.</w:t>
      </w:r>
    </w:p>
  </w:footnote>
  <w:footnote w:id="88">
    <w:p w14:paraId="158F4FE6" w14:textId="03E0184E" w:rsidR="00E55F07" w:rsidRPr="007154F4" w:rsidRDefault="00E55F07"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8438B6" w:rsidRPr="007154F4">
        <w:rPr>
          <w:sz w:val="18"/>
          <w:szCs w:val="18"/>
          <w:lang w:val="es-US"/>
        </w:rPr>
        <w:t>Véase Servicios Forenses</w:t>
      </w:r>
      <w:r w:rsidRPr="007154F4">
        <w:rPr>
          <w:sz w:val="18"/>
          <w:szCs w:val="18"/>
          <w:lang w:val="es-US"/>
        </w:rPr>
        <w:t xml:space="preserve">, </w:t>
      </w:r>
      <w:r w:rsidR="00707D89" w:rsidRPr="007154F4">
        <w:rPr>
          <w:i/>
          <w:iCs/>
          <w:sz w:val="18"/>
          <w:szCs w:val="18"/>
          <w:lang w:val="es-US"/>
        </w:rPr>
        <w:t xml:space="preserve">supra </w:t>
      </w:r>
      <w:r w:rsidR="00707D89" w:rsidRPr="007154F4">
        <w:rPr>
          <w:sz w:val="18"/>
          <w:szCs w:val="18"/>
          <w:lang w:val="es-US"/>
        </w:rPr>
        <w:t>nota 59.</w:t>
      </w:r>
    </w:p>
  </w:footnote>
  <w:footnote w:id="89">
    <w:p w14:paraId="1EBD9AC9" w14:textId="62E7359F" w:rsidR="00C0672C" w:rsidRPr="007154F4" w:rsidRDefault="00C0672C"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286A33" w:rsidRPr="007154F4">
        <w:rPr>
          <w:sz w:val="18"/>
          <w:szCs w:val="18"/>
          <w:lang w:val="es-US"/>
        </w:rPr>
        <w:t>Véase</w:t>
      </w:r>
      <w:r w:rsidRPr="007154F4">
        <w:rPr>
          <w:sz w:val="18"/>
          <w:szCs w:val="18"/>
          <w:lang w:val="es-US"/>
        </w:rPr>
        <w:t xml:space="preserve"> </w:t>
      </w:r>
      <w:r w:rsidR="00707D89" w:rsidRPr="007154F4">
        <w:rPr>
          <w:sz w:val="18"/>
          <w:szCs w:val="18"/>
          <w:lang w:val="es-US"/>
        </w:rPr>
        <w:t>Fraude en los Estados Financieros, Corrupción y Apropiación Indebida de Activos</w:t>
      </w:r>
      <w:r w:rsidRPr="007154F4">
        <w:rPr>
          <w:sz w:val="18"/>
          <w:szCs w:val="18"/>
          <w:lang w:val="es-US"/>
        </w:rPr>
        <w:t xml:space="preserve">,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w:t>
      </w:r>
      <w:r w:rsidR="00713072" w:rsidRPr="007154F4">
        <w:rPr>
          <w:sz w:val="18"/>
          <w:szCs w:val="18"/>
          <w:lang w:val="es-US"/>
        </w:rPr>
        <w:t>60</w:t>
      </w:r>
      <w:r w:rsidRPr="007154F4">
        <w:rPr>
          <w:sz w:val="18"/>
          <w:szCs w:val="18"/>
          <w:lang w:val="es-US"/>
        </w:rPr>
        <w:t>.</w:t>
      </w:r>
      <w:r w:rsidR="00707D89" w:rsidRPr="007154F4">
        <w:rPr>
          <w:sz w:val="18"/>
          <w:szCs w:val="18"/>
          <w:lang w:val="es-US"/>
        </w:rPr>
        <w:t xml:space="preserve"> </w:t>
      </w:r>
    </w:p>
  </w:footnote>
  <w:footnote w:id="90">
    <w:p w14:paraId="35F8E141" w14:textId="4FC844DB" w:rsidR="00E55F07" w:rsidRPr="007154F4" w:rsidRDefault="00E55F07"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286A33" w:rsidRPr="007154F4">
        <w:rPr>
          <w:sz w:val="18"/>
          <w:szCs w:val="18"/>
          <w:lang w:val="es-US"/>
        </w:rPr>
        <w:t>Véase</w:t>
      </w:r>
      <w:r w:rsidR="00707D89" w:rsidRPr="007154F4">
        <w:rPr>
          <w:sz w:val="18"/>
          <w:szCs w:val="18"/>
          <w:lang w:val="es-US"/>
        </w:rPr>
        <w:t xml:space="preserve"> Fraude en los Estados Financieros y Apropiación Indebida de Activos</w:t>
      </w:r>
      <w:r w:rsidRPr="007154F4">
        <w:rPr>
          <w:sz w:val="18"/>
          <w:szCs w:val="18"/>
          <w:lang w:val="es-US"/>
        </w:rPr>
        <w:t xml:space="preserve">, </w:t>
      </w:r>
      <w:r w:rsidR="00C0672C" w:rsidRPr="007154F4">
        <w:rPr>
          <w:i/>
          <w:iCs/>
          <w:sz w:val="18"/>
          <w:szCs w:val="18"/>
          <w:lang w:val="es-US"/>
        </w:rPr>
        <w:t xml:space="preserve">supra </w:t>
      </w:r>
      <w:r w:rsidR="001B34AB" w:rsidRPr="007154F4">
        <w:rPr>
          <w:sz w:val="18"/>
          <w:szCs w:val="18"/>
          <w:lang w:val="es-US"/>
        </w:rPr>
        <w:t>nota</w:t>
      </w:r>
      <w:r w:rsidR="00C0672C" w:rsidRPr="007154F4">
        <w:rPr>
          <w:sz w:val="18"/>
          <w:szCs w:val="18"/>
          <w:lang w:val="es-US"/>
        </w:rPr>
        <w:t xml:space="preserve"> </w:t>
      </w:r>
      <w:r w:rsidR="00713072" w:rsidRPr="007154F4">
        <w:rPr>
          <w:sz w:val="18"/>
          <w:szCs w:val="18"/>
          <w:lang w:val="es-US"/>
        </w:rPr>
        <w:t>60</w:t>
      </w:r>
      <w:r w:rsidR="00C0672C" w:rsidRPr="007154F4">
        <w:rPr>
          <w:sz w:val="18"/>
          <w:szCs w:val="18"/>
          <w:lang w:val="es-US"/>
        </w:rPr>
        <w:t>.</w:t>
      </w:r>
    </w:p>
  </w:footnote>
  <w:footnote w:id="91">
    <w:p w14:paraId="434C6F92" w14:textId="794347D7" w:rsidR="00C0672C" w:rsidRPr="007154F4" w:rsidRDefault="00C0672C"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A808B4" w:rsidRPr="007154F4">
        <w:rPr>
          <w:sz w:val="18"/>
          <w:szCs w:val="18"/>
          <w:lang w:val="es-US"/>
        </w:rPr>
        <w:t>Respuesta al Cuestionario</w:t>
      </w:r>
      <w:r w:rsidRPr="007154F4">
        <w:rPr>
          <w:sz w:val="18"/>
          <w:szCs w:val="18"/>
          <w:lang w:val="es-US"/>
        </w:rPr>
        <w:t xml:space="preserve">, </w:t>
      </w:r>
      <w:r w:rsidR="00A808B4" w:rsidRPr="007154F4">
        <w:rPr>
          <w:sz w:val="18"/>
          <w:szCs w:val="18"/>
          <w:lang w:val="es-US"/>
        </w:rPr>
        <w:t>pág.</w:t>
      </w:r>
      <w:r w:rsidRPr="007154F4">
        <w:rPr>
          <w:sz w:val="18"/>
          <w:szCs w:val="18"/>
          <w:lang w:val="es-US"/>
        </w:rPr>
        <w:t xml:space="preserve"> 35,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10.</w:t>
      </w:r>
    </w:p>
  </w:footnote>
  <w:footnote w:id="92">
    <w:p w14:paraId="66610D94" w14:textId="1B3B4FD4" w:rsidR="00C0672C" w:rsidRPr="007154F4" w:rsidRDefault="00C0672C"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A808B4" w:rsidRPr="007154F4">
        <w:rPr>
          <w:i/>
          <w:iCs/>
          <w:sz w:val="18"/>
          <w:szCs w:val="18"/>
          <w:lang w:val="es-US"/>
        </w:rPr>
        <w:t>Ibid</w:t>
      </w:r>
      <w:r w:rsidR="00A808B4" w:rsidRPr="007154F4">
        <w:rPr>
          <w:sz w:val="18"/>
          <w:szCs w:val="18"/>
          <w:lang w:val="es-US"/>
        </w:rPr>
        <w:t>.</w:t>
      </w:r>
      <w:r w:rsidRPr="007154F4">
        <w:rPr>
          <w:sz w:val="18"/>
          <w:szCs w:val="18"/>
          <w:lang w:val="es-US"/>
        </w:rPr>
        <w:t xml:space="preserve">, </w:t>
      </w:r>
      <w:r w:rsidR="00A808B4" w:rsidRPr="007154F4">
        <w:rPr>
          <w:sz w:val="18"/>
          <w:szCs w:val="18"/>
          <w:lang w:val="es-US"/>
        </w:rPr>
        <w:t>pág.</w:t>
      </w:r>
      <w:r w:rsidRPr="007154F4">
        <w:rPr>
          <w:sz w:val="18"/>
          <w:szCs w:val="18"/>
          <w:lang w:val="es-US"/>
        </w:rPr>
        <w:t xml:space="preserve"> 36.</w:t>
      </w:r>
    </w:p>
  </w:footnote>
  <w:footnote w:id="93">
    <w:p w14:paraId="53FEA562" w14:textId="18AC3E47" w:rsidR="00C0672C" w:rsidRPr="007154F4" w:rsidRDefault="00C0672C"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Ibid</w:t>
      </w:r>
      <w:r w:rsidR="00A808B4" w:rsidRPr="007154F4">
        <w:rPr>
          <w:sz w:val="18"/>
          <w:szCs w:val="18"/>
          <w:lang w:val="es-US"/>
        </w:rPr>
        <w:t>.</w:t>
      </w:r>
    </w:p>
  </w:footnote>
  <w:footnote w:id="94">
    <w:p w14:paraId="67273D72" w14:textId="29029DD5" w:rsidR="004325B1" w:rsidRPr="007154F4" w:rsidRDefault="004325B1"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B96F93" w:rsidRPr="007154F4">
        <w:rPr>
          <w:sz w:val="18"/>
          <w:szCs w:val="18"/>
          <w:lang w:val="es-US"/>
        </w:rPr>
        <w:t xml:space="preserve">Acciones de aplicación </w:t>
      </w:r>
      <w:r w:rsidR="006E4100" w:rsidRPr="007154F4">
        <w:rPr>
          <w:sz w:val="18"/>
          <w:szCs w:val="18"/>
          <w:lang w:val="es-US"/>
        </w:rPr>
        <w:t xml:space="preserve">de la </w:t>
      </w:r>
      <w:r w:rsidR="00A04A0B" w:rsidRPr="007154F4">
        <w:rPr>
          <w:sz w:val="18"/>
          <w:szCs w:val="18"/>
          <w:lang w:val="es-US"/>
        </w:rPr>
        <w:t>FCPA</w:t>
      </w:r>
      <w:r w:rsidR="006E4100" w:rsidRPr="007154F4">
        <w:rPr>
          <w:sz w:val="18"/>
          <w:szCs w:val="18"/>
          <w:lang w:val="es-US"/>
        </w:rPr>
        <w:t xml:space="preserve"> </w:t>
      </w:r>
      <w:r w:rsidR="00A04A0B" w:rsidRPr="007154F4">
        <w:rPr>
          <w:sz w:val="18"/>
          <w:szCs w:val="18"/>
          <w:lang w:val="es-US"/>
        </w:rPr>
        <w:t>de la</w:t>
      </w:r>
      <w:r w:rsidR="006E4100" w:rsidRPr="007154F4">
        <w:rPr>
          <w:sz w:val="18"/>
          <w:szCs w:val="18"/>
          <w:lang w:val="es-US"/>
        </w:rPr>
        <w:t xml:space="preserve"> </w:t>
      </w:r>
      <w:r w:rsidR="00A04A0B" w:rsidRPr="007154F4">
        <w:rPr>
          <w:sz w:val="18"/>
          <w:szCs w:val="18"/>
          <w:lang w:val="es-US"/>
        </w:rPr>
        <w:t>SEC</w:t>
      </w:r>
      <w:r w:rsidRPr="007154F4">
        <w:rPr>
          <w:sz w:val="18"/>
          <w:szCs w:val="18"/>
          <w:lang w:val="es-US"/>
        </w:rPr>
        <w:t xml:space="preserve">, </w:t>
      </w:r>
      <w:hyperlink r:id="rId36" w:history="1">
        <w:r w:rsidRPr="007154F4">
          <w:rPr>
            <w:rStyle w:val="Hyperlink"/>
            <w:sz w:val="18"/>
            <w:szCs w:val="18"/>
            <w:lang w:val="es-US"/>
          </w:rPr>
          <w:t>https://www.sec.gov/enforce/sec-enforcement-actions-fcpa-cases</w:t>
        </w:r>
      </w:hyperlink>
      <w:r w:rsidR="00DB47C0" w:rsidRPr="007154F4">
        <w:rPr>
          <w:sz w:val="18"/>
          <w:szCs w:val="18"/>
          <w:lang w:val="es-US"/>
        </w:rPr>
        <w:t>. El Estado analiz</w:t>
      </w:r>
      <w:r w:rsidR="00D04CAF" w:rsidRPr="007154F4">
        <w:rPr>
          <w:sz w:val="18"/>
          <w:szCs w:val="18"/>
          <w:lang w:val="es-US"/>
        </w:rPr>
        <w:t>ad</w:t>
      </w:r>
      <w:r w:rsidR="00DB47C0" w:rsidRPr="007154F4">
        <w:rPr>
          <w:sz w:val="18"/>
          <w:szCs w:val="18"/>
          <w:lang w:val="es-US"/>
        </w:rPr>
        <w:t xml:space="preserve">o, en sus observaciones al proyecto de informe preliminar, señala </w:t>
      </w:r>
      <w:r w:rsidR="00D04CAF" w:rsidRPr="007154F4">
        <w:rPr>
          <w:sz w:val="18"/>
          <w:szCs w:val="18"/>
          <w:lang w:val="es-US"/>
        </w:rPr>
        <w:t>que de</w:t>
      </w:r>
      <w:r w:rsidR="008F3EB2" w:rsidRPr="007154F4">
        <w:rPr>
          <w:sz w:val="18"/>
          <w:szCs w:val="18"/>
          <w:lang w:val="es-US"/>
        </w:rPr>
        <w:t xml:space="preserve"> conformidad con la legislación nacional sobre valores, la SEC no lleva a cabo acciones </w:t>
      </w:r>
      <w:r w:rsidR="00B45CF0" w:rsidRPr="007154F4">
        <w:rPr>
          <w:sz w:val="18"/>
          <w:szCs w:val="18"/>
          <w:lang w:val="es-US"/>
        </w:rPr>
        <w:t>de aplicación</w:t>
      </w:r>
      <w:r w:rsidR="008F3EB2" w:rsidRPr="007154F4">
        <w:rPr>
          <w:sz w:val="18"/>
          <w:szCs w:val="18"/>
          <w:lang w:val="es-US"/>
        </w:rPr>
        <w:t xml:space="preserve"> por violaciones de las disposiciones sobre libros y registros que impliquen actos de corrupción </w:t>
      </w:r>
      <w:r w:rsidR="00ED6A57" w:rsidRPr="007154F4">
        <w:rPr>
          <w:sz w:val="18"/>
          <w:szCs w:val="18"/>
          <w:lang w:val="es-US"/>
        </w:rPr>
        <w:t>realizado a nivel nacional</w:t>
      </w:r>
      <w:r w:rsidR="008F3EB2" w:rsidRPr="007154F4">
        <w:rPr>
          <w:sz w:val="18"/>
          <w:szCs w:val="18"/>
          <w:lang w:val="es-US"/>
        </w:rPr>
        <w:t>.</w:t>
      </w:r>
    </w:p>
  </w:footnote>
  <w:footnote w:id="95">
    <w:p w14:paraId="2E3A0946" w14:textId="77777777" w:rsidR="0060265D" w:rsidRPr="007154F4" w:rsidRDefault="0060265D" w:rsidP="0060265D">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Por ejemplo, para el reembolso y los intereses de demora, o las multas, por infringir las disposiciones contra el soborno, la teneduría de libros y los controles contables internos de la FCPA. Todas las cifras están en dólares estadounidenses.</w:t>
      </w:r>
    </w:p>
  </w:footnote>
  <w:footnote w:id="96">
    <w:p w14:paraId="3C0CA7D1" w14:textId="5A89F1B4" w:rsidR="00425F88" w:rsidRPr="007154F4" w:rsidRDefault="00425F88"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162E53" w:rsidRPr="007154F4">
        <w:rPr>
          <w:sz w:val="18"/>
          <w:szCs w:val="18"/>
          <w:lang w:val="es-US"/>
        </w:rPr>
        <w:t xml:space="preserve">Véase, </w:t>
      </w:r>
      <w:proofErr w:type="spellStart"/>
      <w:r w:rsidR="00162E53" w:rsidRPr="007154F4">
        <w:rPr>
          <w:i/>
          <w:sz w:val="18"/>
          <w:szCs w:val="18"/>
          <w:lang w:val="es-US"/>
        </w:rPr>
        <w:t>Litigation</w:t>
      </w:r>
      <w:proofErr w:type="spellEnd"/>
      <w:r w:rsidR="00162E53" w:rsidRPr="007154F4">
        <w:rPr>
          <w:i/>
          <w:sz w:val="18"/>
          <w:szCs w:val="18"/>
          <w:lang w:val="es-US"/>
        </w:rPr>
        <w:t xml:space="preserve"> </w:t>
      </w:r>
      <w:proofErr w:type="spellStart"/>
      <w:r w:rsidR="00162E53" w:rsidRPr="007154F4">
        <w:rPr>
          <w:i/>
          <w:sz w:val="18"/>
          <w:szCs w:val="18"/>
          <w:lang w:val="es-US"/>
        </w:rPr>
        <w:t>Releases</w:t>
      </w:r>
      <w:proofErr w:type="spellEnd"/>
      <w:r w:rsidR="00162E53" w:rsidRPr="007154F4">
        <w:rPr>
          <w:sz w:val="18"/>
          <w:szCs w:val="18"/>
          <w:lang w:val="es-US"/>
        </w:rPr>
        <w:t xml:space="preserve">, </w:t>
      </w:r>
      <w:hyperlink r:id="rId37" w:history="1">
        <w:r w:rsidR="00162E53" w:rsidRPr="007154F4">
          <w:rPr>
            <w:rStyle w:val="Hyperlink"/>
            <w:sz w:val="18"/>
            <w:szCs w:val="18"/>
            <w:lang w:val="es-US"/>
          </w:rPr>
          <w:t>https://www.sec.gov/litigation/litreleases</w:t>
        </w:r>
      </w:hyperlink>
      <w:r w:rsidR="00162E53" w:rsidRPr="007154F4">
        <w:rPr>
          <w:sz w:val="18"/>
          <w:szCs w:val="18"/>
          <w:lang w:val="es-US"/>
        </w:rPr>
        <w:t xml:space="preserve">. Véanse también los documentos solicitados por la Secretaría, que proporcionan información al respecto, </w:t>
      </w:r>
      <w:hyperlink r:id="rId38" w:history="1">
        <w:r w:rsidR="00162E53" w:rsidRPr="007154F4">
          <w:rPr>
            <w:rStyle w:val="Hyperlink"/>
            <w:sz w:val="18"/>
            <w:szCs w:val="18"/>
            <w:lang w:val="es-US"/>
          </w:rPr>
          <w:t>http://www.oas.org/en/sla/dlc/mesicic/paises-rondas.html?c=United%20States&amp;r=6</w:t>
        </w:r>
      </w:hyperlink>
      <w:r w:rsidR="00A6697C" w:rsidRPr="007154F4">
        <w:rPr>
          <w:sz w:val="18"/>
          <w:szCs w:val="18"/>
          <w:lang w:val="es-US"/>
        </w:rPr>
        <w:t xml:space="preserve"> </w:t>
      </w:r>
    </w:p>
  </w:footnote>
  <w:footnote w:id="97">
    <w:p w14:paraId="3AAECF1A" w14:textId="6F05A3E1" w:rsidR="00DA4CF9" w:rsidRPr="007154F4" w:rsidRDefault="00DA4CF9"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4D7C51" w:rsidRPr="007154F4">
        <w:rPr>
          <w:sz w:val="18"/>
          <w:szCs w:val="18"/>
          <w:lang w:val="es-US"/>
        </w:rPr>
        <w:t>Disposiciones sobre el mantenimiento de registros y controles internos (</w:t>
      </w:r>
      <w:proofErr w:type="spellStart"/>
      <w:r w:rsidR="004D7C51" w:rsidRPr="007154F4">
        <w:rPr>
          <w:iCs/>
          <w:sz w:val="18"/>
          <w:szCs w:val="18"/>
          <w:lang w:val="es-US"/>
        </w:rPr>
        <w:t>Record</w:t>
      </w:r>
      <w:proofErr w:type="spellEnd"/>
      <w:r w:rsidR="004D7C51" w:rsidRPr="007154F4">
        <w:rPr>
          <w:iCs/>
          <w:sz w:val="18"/>
          <w:szCs w:val="18"/>
          <w:lang w:val="es-US"/>
        </w:rPr>
        <w:t xml:space="preserve"> </w:t>
      </w:r>
      <w:proofErr w:type="spellStart"/>
      <w:r w:rsidR="004D7C51" w:rsidRPr="007154F4">
        <w:rPr>
          <w:iCs/>
          <w:sz w:val="18"/>
          <w:szCs w:val="18"/>
          <w:lang w:val="es-US"/>
        </w:rPr>
        <w:t>Keeping</w:t>
      </w:r>
      <w:proofErr w:type="spellEnd"/>
      <w:r w:rsidR="004D7C51" w:rsidRPr="007154F4">
        <w:rPr>
          <w:iCs/>
          <w:sz w:val="18"/>
          <w:szCs w:val="18"/>
          <w:lang w:val="es-US"/>
        </w:rPr>
        <w:t xml:space="preserve"> and </w:t>
      </w:r>
      <w:proofErr w:type="spellStart"/>
      <w:r w:rsidR="004D7C51" w:rsidRPr="007154F4">
        <w:rPr>
          <w:iCs/>
          <w:sz w:val="18"/>
          <w:szCs w:val="18"/>
          <w:lang w:val="es-US"/>
        </w:rPr>
        <w:t>Internal</w:t>
      </w:r>
      <w:proofErr w:type="spellEnd"/>
      <w:r w:rsidR="004D7C51" w:rsidRPr="007154F4">
        <w:rPr>
          <w:iCs/>
          <w:sz w:val="18"/>
          <w:szCs w:val="18"/>
          <w:lang w:val="es-US"/>
        </w:rPr>
        <w:t xml:space="preserve"> </w:t>
      </w:r>
      <w:proofErr w:type="spellStart"/>
      <w:r w:rsidR="004D7C51" w:rsidRPr="007154F4">
        <w:rPr>
          <w:iCs/>
          <w:sz w:val="18"/>
          <w:szCs w:val="18"/>
          <w:lang w:val="es-US"/>
        </w:rPr>
        <w:t>Controls</w:t>
      </w:r>
      <w:proofErr w:type="spellEnd"/>
      <w:r w:rsidR="004D7C51" w:rsidRPr="007154F4">
        <w:rPr>
          <w:iCs/>
          <w:sz w:val="18"/>
          <w:szCs w:val="18"/>
          <w:lang w:val="es-US"/>
        </w:rPr>
        <w:t xml:space="preserve"> </w:t>
      </w:r>
      <w:proofErr w:type="spellStart"/>
      <w:r w:rsidR="004D7C51" w:rsidRPr="007154F4">
        <w:rPr>
          <w:iCs/>
          <w:sz w:val="18"/>
          <w:szCs w:val="18"/>
          <w:lang w:val="es-US"/>
        </w:rPr>
        <w:t>Provision</w:t>
      </w:r>
      <w:proofErr w:type="spellEnd"/>
      <w:r w:rsidR="004D7C51" w:rsidRPr="007154F4">
        <w:rPr>
          <w:sz w:val="18"/>
          <w:szCs w:val="18"/>
          <w:lang w:val="es-US"/>
        </w:rPr>
        <w:t>)</w:t>
      </w:r>
      <w:r w:rsidRPr="007154F4">
        <w:rPr>
          <w:sz w:val="18"/>
          <w:szCs w:val="18"/>
          <w:lang w:val="es-US"/>
        </w:rPr>
        <w:t xml:space="preserve">, </w:t>
      </w:r>
      <w:hyperlink r:id="rId39" w:history="1">
        <w:r w:rsidRPr="007154F4">
          <w:rPr>
            <w:rStyle w:val="Hyperlink"/>
            <w:sz w:val="18"/>
            <w:szCs w:val="18"/>
            <w:lang w:val="es-US"/>
          </w:rPr>
          <w:t>https://www.sec.gov/spotlight/fcpa/fcpa-recordkeeping.pdf</w:t>
        </w:r>
      </w:hyperlink>
      <w:r w:rsidRPr="007154F4">
        <w:rPr>
          <w:sz w:val="18"/>
          <w:szCs w:val="18"/>
          <w:lang w:val="es-US"/>
        </w:rPr>
        <w:t xml:space="preserve"> </w:t>
      </w:r>
    </w:p>
  </w:footnote>
  <w:footnote w:id="98">
    <w:p w14:paraId="77CC1EF3" w14:textId="218B8BF2" w:rsidR="00DA4CF9" w:rsidRPr="007154F4" w:rsidRDefault="00DA4CF9"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192ADB" w:rsidRPr="007154F4">
        <w:rPr>
          <w:sz w:val="18"/>
          <w:szCs w:val="18"/>
          <w:lang w:val="es-US"/>
        </w:rPr>
        <w:t>Ley Sarbanes Oxley</w:t>
      </w:r>
      <w:r w:rsidRPr="007154F4">
        <w:rPr>
          <w:sz w:val="18"/>
          <w:szCs w:val="18"/>
          <w:lang w:val="es-US"/>
        </w:rPr>
        <w:t xml:space="preserve">, </w:t>
      </w:r>
      <w:hyperlink r:id="rId40" w:history="1">
        <w:r w:rsidRPr="007154F4">
          <w:rPr>
            <w:rStyle w:val="Hyperlink"/>
            <w:sz w:val="18"/>
            <w:szCs w:val="18"/>
            <w:lang w:val="es-US"/>
          </w:rPr>
          <w:t>https://www.govinfo.gov/content/pkg/PLAW-107publ204/html/PLAW-107publ204.htm</w:t>
        </w:r>
      </w:hyperlink>
      <w:r w:rsidRPr="007154F4">
        <w:rPr>
          <w:sz w:val="18"/>
          <w:szCs w:val="18"/>
          <w:lang w:val="es-US"/>
        </w:rPr>
        <w:t xml:space="preserve"> </w:t>
      </w:r>
    </w:p>
  </w:footnote>
  <w:footnote w:id="99">
    <w:p w14:paraId="3559F073" w14:textId="37439DAB" w:rsidR="0044463E" w:rsidRPr="007154F4" w:rsidRDefault="0044463E"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7B568A" w:rsidRPr="007154F4">
        <w:rPr>
          <w:sz w:val="18"/>
          <w:szCs w:val="18"/>
          <w:lang w:val="es-US"/>
        </w:rPr>
        <w:t>Respuesta al Cuestionario</w:t>
      </w:r>
      <w:r w:rsidRPr="007154F4">
        <w:rPr>
          <w:sz w:val="18"/>
          <w:szCs w:val="18"/>
          <w:lang w:val="es-US"/>
        </w:rPr>
        <w:t xml:space="preserve">, </w:t>
      </w:r>
      <w:r w:rsidR="007B568A" w:rsidRPr="007154F4">
        <w:rPr>
          <w:sz w:val="18"/>
          <w:szCs w:val="18"/>
          <w:lang w:val="es-US"/>
        </w:rPr>
        <w:t>págs.</w:t>
      </w:r>
      <w:r w:rsidRPr="007154F4">
        <w:rPr>
          <w:sz w:val="18"/>
          <w:szCs w:val="18"/>
          <w:lang w:val="es-US"/>
        </w:rPr>
        <w:t xml:space="preserve"> 25 – 26,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10.</w:t>
      </w:r>
    </w:p>
  </w:footnote>
  <w:footnote w:id="100">
    <w:p w14:paraId="13D9A3D3" w14:textId="6E63F1FA" w:rsidR="00CF638C" w:rsidRPr="007154F4" w:rsidRDefault="00CF638C"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bookmarkStart w:id="19" w:name="_Hlk156409052"/>
      <w:r w:rsidR="004C526D" w:rsidRPr="007154F4">
        <w:rPr>
          <w:sz w:val="18"/>
          <w:szCs w:val="18"/>
          <w:lang w:val="es-US"/>
        </w:rPr>
        <w:t xml:space="preserve">Tratado entre </w:t>
      </w:r>
      <w:r w:rsidR="00AF03DD" w:rsidRPr="007154F4">
        <w:rPr>
          <w:sz w:val="18"/>
          <w:szCs w:val="18"/>
          <w:lang w:val="es-US"/>
        </w:rPr>
        <w:t>México</w:t>
      </w:r>
      <w:r w:rsidR="004C526D" w:rsidRPr="007154F4">
        <w:rPr>
          <w:sz w:val="18"/>
          <w:szCs w:val="18"/>
          <w:lang w:val="es-US"/>
        </w:rPr>
        <w:t xml:space="preserve">, Estados Unidos, y </w:t>
      </w:r>
      <w:r w:rsidR="00AF03DD" w:rsidRPr="007154F4">
        <w:rPr>
          <w:sz w:val="18"/>
          <w:szCs w:val="18"/>
          <w:lang w:val="es-US"/>
        </w:rPr>
        <w:t>Canadá</w:t>
      </w:r>
      <w:bookmarkEnd w:id="19"/>
      <w:r w:rsidR="00E638A5" w:rsidRPr="007154F4">
        <w:rPr>
          <w:sz w:val="18"/>
          <w:szCs w:val="18"/>
          <w:lang w:val="es-US"/>
        </w:rPr>
        <w:t xml:space="preserve">, </w:t>
      </w:r>
      <w:hyperlink r:id="rId41" w:history="1">
        <w:r w:rsidR="00E638A5" w:rsidRPr="007154F4">
          <w:rPr>
            <w:rStyle w:val="Hyperlink"/>
            <w:sz w:val="18"/>
            <w:szCs w:val="18"/>
            <w:lang w:val="es-US"/>
          </w:rPr>
          <w:t>https://ustr.gov/trade-agreements/free-trade-agreements/united-states-mexico-canada-agreement/agreement-between</w:t>
        </w:r>
      </w:hyperlink>
      <w:r w:rsidR="00E638A5" w:rsidRPr="007154F4">
        <w:rPr>
          <w:sz w:val="18"/>
          <w:szCs w:val="18"/>
          <w:lang w:val="es-US"/>
        </w:rPr>
        <w:t xml:space="preserve"> </w:t>
      </w:r>
    </w:p>
  </w:footnote>
  <w:footnote w:id="101">
    <w:p w14:paraId="45939772" w14:textId="504C1C31" w:rsidR="00A12F31" w:rsidRPr="007154F4" w:rsidRDefault="00A12F31" w:rsidP="00764755">
      <w:pPr>
        <w:pStyle w:val="FootnoteText"/>
        <w:jc w:val="both"/>
        <w:rPr>
          <w:b/>
          <w:bCs/>
          <w:sz w:val="18"/>
          <w:szCs w:val="18"/>
          <w:u w:val="single"/>
          <w:lang w:val="es-US"/>
        </w:rPr>
      </w:pPr>
      <w:r w:rsidRPr="007154F4">
        <w:rPr>
          <w:rStyle w:val="FootnoteReference"/>
          <w:b/>
          <w:bCs/>
          <w:sz w:val="18"/>
          <w:szCs w:val="18"/>
          <w:u w:val="single"/>
        </w:rPr>
        <w:footnoteRef/>
      </w:r>
      <w:r w:rsidRPr="007154F4">
        <w:rPr>
          <w:b/>
          <w:bCs/>
          <w:sz w:val="18"/>
          <w:szCs w:val="18"/>
          <w:u w:val="single"/>
        </w:rPr>
        <w:t xml:space="preserve"> </w:t>
      </w:r>
      <w:r w:rsidR="00764755" w:rsidRPr="007154F4">
        <w:rPr>
          <w:b/>
          <w:bCs/>
          <w:sz w:val="18"/>
          <w:szCs w:val="18"/>
          <w:u w:val="single"/>
        </w:rPr>
        <w:t>El Estado analizado señala que la prohibición del soborno de la FCPA contiene una excepción limitada para “pagos de facilitación o agilización” que se aplica solamente cuando un pago es realizado para propulsar una “acción gubernamental de rutina” que comprenda actos no discrecionales. Ejemplos de “acciones gubernamentales de rutina” incluyen procesamiento de visas, protección policial o servicios de correo, y prestación de servicios públicos tales como telefonía, electricidad y agua. Las acciones gubernamentales de rutina no incluyen una decisión para otorgar un nuevo negocio o para continuar negocios con una parte en particular.</w:t>
      </w:r>
    </w:p>
  </w:footnote>
  <w:footnote w:id="102">
    <w:p w14:paraId="11F3DA62" w14:textId="1FF991A0" w:rsidR="00A30658" w:rsidRPr="007154F4" w:rsidRDefault="00A30658"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D36BEF" w:rsidRPr="007154F4">
        <w:rPr>
          <w:sz w:val="18"/>
          <w:szCs w:val="18"/>
          <w:lang w:val="es-US"/>
        </w:rPr>
        <w:t>Informe de la Tercera Ronda</w:t>
      </w:r>
      <w:r w:rsidRPr="007154F4">
        <w:rPr>
          <w:sz w:val="18"/>
          <w:szCs w:val="18"/>
          <w:lang w:val="es-US"/>
        </w:rPr>
        <w:t xml:space="preserve">, </w:t>
      </w:r>
      <w:r w:rsidR="00AF03DD" w:rsidRPr="007154F4">
        <w:rPr>
          <w:sz w:val="18"/>
          <w:szCs w:val="18"/>
          <w:lang w:val="es-US"/>
        </w:rPr>
        <w:t>pág.</w:t>
      </w:r>
      <w:r w:rsidRPr="007154F4">
        <w:rPr>
          <w:sz w:val="18"/>
          <w:szCs w:val="18"/>
          <w:lang w:val="es-US"/>
        </w:rPr>
        <w:t xml:space="preserve"> 9,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3.</w:t>
      </w:r>
    </w:p>
  </w:footnote>
  <w:footnote w:id="103">
    <w:p w14:paraId="29055C9A" w14:textId="69F4F4D1" w:rsidR="000972F5" w:rsidRPr="007154F4" w:rsidRDefault="000972F5"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071867" w:rsidRPr="007154F4">
        <w:rPr>
          <w:sz w:val="18"/>
          <w:szCs w:val="18"/>
          <w:lang w:val="es-US"/>
        </w:rPr>
        <w:t xml:space="preserve">House </w:t>
      </w:r>
      <w:proofErr w:type="spellStart"/>
      <w:r w:rsidR="00071867" w:rsidRPr="007154F4">
        <w:rPr>
          <w:sz w:val="18"/>
          <w:szCs w:val="18"/>
          <w:lang w:val="es-US"/>
        </w:rPr>
        <w:t>Report</w:t>
      </w:r>
      <w:proofErr w:type="spellEnd"/>
      <w:r w:rsidR="00071867" w:rsidRPr="007154F4">
        <w:rPr>
          <w:sz w:val="18"/>
          <w:szCs w:val="18"/>
          <w:lang w:val="es-US"/>
        </w:rPr>
        <w:t xml:space="preserve"> No. 95-640, </w:t>
      </w:r>
      <w:hyperlink r:id="rId42" w:history="1">
        <w:r w:rsidR="00071867" w:rsidRPr="007154F4">
          <w:rPr>
            <w:rStyle w:val="Hyperlink"/>
            <w:sz w:val="18"/>
            <w:szCs w:val="18"/>
            <w:lang w:val="es-US"/>
          </w:rPr>
          <w:t>https://www.justice.gov/sites/default/files/criminal-fraud/legacy/2010/04/11/houseprt-95-640.pdf</w:t>
        </w:r>
      </w:hyperlink>
      <w:r w:rsidR="00071867" w:rsidRPr="007154F4">
        <w:rPr>
          <w:sz w:val="18"/>
          <w:szCs w:val="18"/>
          <w:lang w:val="es-US"/>
        </w:rPr>
        <w:t xml:space="preserve">. En este informe también se cita el </w:t>
      </w:r>
      <w:proofErr w:type="spellStart"/>
      <w:r w:rsidR="00071867" w:rsidRPr="007154F4">
        <w:rPr>
          <w:sz w:val="18"/>
          <w:szCs w:val="18"/>
          <w:lang w:val="es-US"/>
        </w:rPr>
        <w:t>Minority</w:t>
      </w:r>
      <w:proofErr w:type="spellEnd"/>
      <w:r w:rsidR="00071867" w:rsidRPr="007154F4">
        <w:rPr>
          <w:sz w:val="18"/>
          <w:szCs w:val="18"/>
          <w:lang w:val="es-US"/>
        </w:rPr>
        <w:t xml:space="preserve"> View, que es el partido que no tiene la mayoría de escaños en la Cámara de Representantes, en el que  se señaló: </w:t>
      </w:r>
      <w:r w:rsidR="00071867" w:rsidRPr="007154F4">
        <w:rPr>
          <w:i/>
          <w:sz w:val="18"/>
          <w:szCs w:val="18"/>
          <w:lang w:val="es-US"/>
        </w:rPr>
        <w:t>“Entendemos que el proyecto de ley no pretende abarcar los pagos “facilitadores” o “de engrase”, como las gratificaciones que se le pagan a un funcionario de aduanas para acelerar la tramitación de documentos, los pagos efectuados para obtener licencias o permisos que se expedirían de todas maneras, o los pagos que se  realizan bajo coacción para proteger una inversión empresarial. Aunque este tipo de pagos no serían apropiados en Estados Unidos, somos conscientes de que son una parte reconocida de hacer negocios en determinados países extranjeros y estamos de acuerdo en que ninguna legislación debería intentar eliminarlos</w:t>
      </w:r>
      <w:r w:rsidR="00A229C3" w:rsidRPr="007154F4">
        <w:rPr>
          <w:sz w:val="18"/>
          <w:szCs w:val="18"/>
          <w:lang w:val="es-US"/>
        </w:rPr>
        <w:t>.”</w:t>
      </w:r>
    </w:p>
  </w:footnote>
  <w:footnote w:id="104">
    <w:p w14:paraId="2E237DB3" w14:textId="5967390D" w:rsidR="005D5E99" w:rsidRPr="007154F4" w:rsidRDefault="005D5E99">
      <w:pPr>
        <w:pStyle w:val="FootnoteText"/>
        <w:rPr>
          <w:sz w:val="18"/>
          <w:szCs w:val="18"/>
          <w:lang w:val="es-US"/>
        </w:rPr>
      </w:pPr>
      <w:r w:rsidRPr="007154F4">
        <w:rPr>
          <w:rStyle w:val="FootnoteReference"/>
          <w:sz w:val="18"/>
          <w:szCs w:val="18"/>
          <w:lang w:val="es-US"/>
        </w:rPr>
        <w:footnoteRef/>
      </w:r>
      <w:r w:rsidRPr="007154F4">
        <w:rPr>
          <w:sz w:val="18"/>
          <w:szCs w:val="18"/>
          <w:lang w:val="es-US"/>
        </w:rPr>
        <w:t xml:space="preserve"> </w:t>
      </w:r>
      <w:r w:rsidR="00B27099" w:rsidRPr="007154F4">
        <w:rPr>
          <w:sz w:val="18"/>
          <w:szCs w:val="18"/>
          <w:lang w:val="es-US"/>
        </w:rPr>
        <w:t>Véase</w:t>
      </w:r>
      <w:r w:rsidR="0096039A" w:rsidRPr="007154F4">
        <w:rPr>
          <w:sz w:val="18"/>
          <w:szCs w:val="18"/>
          <w:lang w:val="es-US"/>
        </w:rPr>
        <w:t xml:space="preserve"> el</w:t>
      </w:r>
      <w:r w:rsidR="00575634" w:rsidRPr="007154F4">
        <w:rPr>
          <w:sz w:val="18"/>
          <w:szCs w:val="18"/>
          <w:lang w:val="es-US"/>
        </w:rPr>
        <w:t xml:space="preserve"> </w:t>
      </w:r>
      <w:r w:rsidR="00D12EAA" w:rsidRPr="007154F4">
        <w:rPr>
          <w:sz w:val="18"/>
          <w:szCs w:val="18"/>
          <w:lang w:val="es-US"/>
        </w:rPr>
        <w:t xml:space="preserve">Informe </w:t>
      </w:r>
      <w:r w:rsidR="00B27099" w:rsidRPr="007154F4">
        <w:rPr>
          <w:sz w:val="18"/>
          <w:szCs w:val="18"/>
          <w:lang w:val="es-US"/>
        </w:rPr>
        <w:t>Hemisférico</w:t>
      </w:r>
      <w:r w:rsidR="00D12EAA" w:rsidRPr="007154F4">
        <w:rPr>
          <w:sz w:val="18"/>
          <w:szCs w:val="18"/>
          <w:lang w:val="es-US"/>
        </w:rPr>
        <w:t xml:space="preserve"> de la Segunda Ronda de </w:t>
      </w:r>
      <w:r w:rsidR="00B27099" w:rsidRPr="007154F4">
        <w:rPr>
          <w:sz w:val="18"/>
          <w:szCs w:val="18"/>
          <w:lang w:val="es-US"/>
        </w:rPr>
        <w:t>Análisis</w:t>
      </w:r>
      <w:r w:rsidR="00575634" w:rsidRPr="007154F4">
        <w:rPr>
          <w:sz w:val="18"/>
          <w:szCs w:val="18"/>
          <w:lang w:val="es-US"/>
        </w:rPr>
        <w:t xml:space="preserve">, </w:t>
      </w:r>
      <w:r w:rsidR="00B27099" w:rsidRPr="007154F4">
        <w:rPr>
          <w:sz w:val="18"/>
          <w:szCs w:val="18"/>
          <w:lang w:val="es-US"/>
        </w:rPr>
        <w:t>págs.</w:t>
      </w:r>
      <w:r w:rsidR="00575634" w:rsidRPr="007154F4">
        <w:rPr>
          <w:sz w:val="18"/>
          <w:szCs w:val="18"/>
          <w:lang w:val="es-US"/>
        </w:rPr>
        <w:t xml:space="preserve"> 2</w:t>
      </w:r>
      <w:r w:rsidR="00623F58" w:rsidRPr="007154F4">
        <w:rPr>
          <w:sz w:val="18"/>
          <w:szCs w:val="18"/>
          <w:lang w:val="es-US"/>
        </w:rPr>
        <w:t xml:space="preserve">2 – 23 </w:t>
      </w:r>
      <w:r w:rsidR="003F73C2" w:rsidRPr="007154F4">
        <w:rPr>
          <w:sz w:val="18"/>
          <w:szCs w:val="18"/>
          <w:lang w:val="es-US"/>
        </w:rPr>
        <w:t>y</w:t>
      </w:r>
      <w:r w:rsidR="00575634" w:rsidRPr="007154F4">
        <w:rPr>
          <w:sz w:val="18"/>
          <w:szCs w:val="18"/>
          <w:lang w:val="es-US"/>
        </w:rPr>
        <w:t xml:space="preserve"> </w:t>
      </w:r>
      <w:r w:rsidR="00B45B2A" w:rsidRPr="007154F4">
        <w:rPr>
          <w:sz w:val="18"/>
          <w:szCs w:val="18"/>
          <w:lang w:val="es-US"/>
        </w:rPr>
        <w:t>51</w:t>
      </w:r>
      <w:r w:rsidR="00575634" w:rsidRPr="007154F4">
        <w:rPr>
          <w:sz w:val="18"/>
          <w:szCs w:val="18"/>
          <w:lang w:val="es-US"/>
        </w:rPr>
        <w:t xml:space="preserve">, </w:t>
      </w:r>
      <w:r w:rsidR="00B45B2A" w:rsidRPr="007154F4">
        <w:rPr>
          <w:sz w:val="18"/>
          <w:szCs w:val="18"/>
          <w:lang w:val="es-US"/>
        </w:rPr>
        <w:t>y</w:t>
      </w:r>
      <w:r w:rsidR="00D70738" w:rsidRPr="007154F4">
        <w:rPr>
          <w:sz w:val="18"/>
          <w:szCs w:val="18"/>
          <w:lang w:val="es-US"/>
        </w:rPr>
        <w:t xml:space="preserve"> el</w:t>
      </w:r>
      <w:r w:rsidR="00575634" w:rsidRPr="007154F4">
        <w:rPr>
          <w:sz w:val="18"/>
          <w:szCs w:val="18"/>
          <w:lang w:val="es-US"/>
        </w:rPr>
        <w:t xml:space="preserve"> </w:t>
      </w:r>
      <w:r w:rsidR="00B45B2A" w:rsidRPr="007154F4">
        <w:rPr>
          <w:sz w:val="18"/>
          <w:szCs w:val="18"/>
          <w:lang w:val="es-US"/>
        </w:rPr>
        <w:t xml:space="preserve">Informe </w:t>
      </w:r>
      <w:r w:rsidR="00B27099" w:rsidRPr="007154F4">
        <w:rPr>
          <w:sz w:val="18"/>
          <w:szCs w:val="18"/>
          <w:lang w:val="es-US"/>
        </w:rPr>
        <w:t>Hemisférico</w:t>
      </w:r>
      <w:r w:rsidR="00B45B2A" w:rsidRPr="007154F4">
        <w:rPr>
          <w:sz w:val="18"/>
          <w:szCs w:val="18"/>
          <w:lang w:val="es-US"/>
        </w:rPr>
        <w:t xml:space="preserve"> de la Qu</w:t>
      </w:r>
      <w:r w:rsidR="000F413A" w:rsidRPr="007154F4">
        <w:rPr>
          <w:sz w:val="18"/>
          <w:szCs w:val="18"/>
          <w:lang w:val="es-US"/>
        </w:rPr>
        <w:t>i</w:t>
      </w:r>
      <w:r w:rsidR="00B45B2A" w:rsidRPr="007154F4">
        <w:rPr>
          <w:sz w:val="18"/>
          <w:szCs w:val="18"/>
          <w:lang w:val="es-US"/>
        </w:rPr>
        <w:t xml:space="preserve">nta Ronda de </w:t>
      </w:r>
      <w:r w:rsidR="00B27099" w:rsidRPr="007154F4">
        <w:rPr>
          <w:sz w:val="18"/>
          <w:szCs w:val="18"/>
          <w:lang w:val="es-US"/>
        </w:rPr>
        <w:t>Análisis</w:t>
      </w:r>
      <w:r w:rsidR="00B45B2A" w:rsidRPr="007154F4">
        <w:rPr>
          <w:sz w:val="18"/>
          <w:szCs w:val="18"/>
          <w:lang w:val="es-US"/>
        </w:rPr>
        <w:t xml:space="preserve">, </w:t>
      </w:r>
      <w:r w:rsidR="00B27099" w:rsidRPr="007154F4">
        <w:rPr>
          <w:sz w:val="18"/>
          <w:szCs w:val="18"/>
          <w:lang w:val="es-US"/>
        </w:rPr>
        <w:t>págs.</w:t>
      </w:r>
      <w:r w:rsidR="00575634" w:rsidRPr="007154F4">
        <w:rPr>
          <w:sz w:val="18"/>
          <w:szCs w:val="18"/>
          <w:lang w:val="es-US"/>
        </w:rPr>
        <w:t xml:space="preserve"> 7</w:t>
      </w:r>
      <w:r w:rsidR="00087F83" w:rsidRPr="007154F4">
        <w:rPr>
          <w:sz w:val="18"/>
          <w:szCs w:val="18"/>
          <w:lang w:val="es-US"/>
        </w:rPr>
        <w:t>1</w:t>
      </w:r>
      <w:r w:rsidR="00575634" w:rsidRPr="007154F4">
        <w:rPr>
          <w:sz w:val="18"/>
          <w:szCs w:val="18"/>
          <w:lang w:val="es-US"/>
        </w:rPr>
        <w:t xml:space="preserve"> – 7</w:t>
      </w:r>
      <w:r w:rsidR="00087F83" w:rsidRPr="007154F4">
        <w:rPr>
          <w:sz w:val="18"/>
          <w:szCs w:val="18"/>
          <w:lang w:val="es-US"/>
        </w:rPr>
        <w:t>2</w:t>
      </w:r>
      <w:r w:rsidR="00575634" w:rsidRPr="007154F4">
        <w:rPr>
          <w:sz w:val="18"/>
          <w:szCs w:val="18"/>
          <w:lang w:val="es-US"/>
        </w:rPr>
        <w:t xml:space="preserve">, </w:t>
      </w:r>
      <w:r w:rsidR="00B45B2A" w:rsidRPr="007154F4">
        <w:rPr>
          <w:sz w:val="18"/>
          <w:szCs w:val="18"/>
          <w:lang w:val="es-US"/>
        </w:rPr>
        <w:t xml:space="preserve">y </w:t>
      </w:r>
      <w:r w:rsidR="00575634" w:rsidRPr="007154F4">
        <w:rPr>
          <w:sz w:val="18"/>
          <w:szCs w:val="18"/>
          <w:lang w:val="es-US"/>
        </w:rPr>
        <w:t>12</w:t>
      </w:r>
      <w:r w:rsidR="00B27099" w:rsidRPr="007154F4">
        <w:rPr>
          <w:sz w:val="18"/>
          <w:szCs w:val="18"/>
          <w:lang w:val="es-US"/>
        </w:rPr>
        <w:t>4</w:t>
      </w:r>
      <w:r w:rsidR="00575634" w:rsidRPr="007154F4">
        <w:rPr>
          <w:sz w:val="18"/>
          <w:szCs w:val="18"/>
          <w:lang w:val="es-US"/>
        </w:rPr>
        <w:t xml:space="preserve">, </w:t>
      </w:r>
      <w:r w:rsidR="00B45B2A" w:rsidRPr="007154F4">
        <w:rPr>
          <w:sz w:val="18"/>
          <w:szCs w:val="18"/>
          <w:lang w:val="es-US"/>
        </w:rPr>
        <w:t>disponible en</w:t>
      </w:r>
      <w:r w:rsidR="00575634" w:rsidRPr="007154F4">
        <w:rPr>
          <w:sz w:val="18"/>
          <w:szCs w:val="18"/>
          <w:lang w:val="es-US"/>
        </w:rPr>
        <w:t xml:space="preserve">: </w:t>
      </w:r>
      <w:hyperlink r:id="rId43" w:history="1">
        <w:r w:rsidR="000F413A" w:rsidRPr="007154F4">
          <w:rPr>
            <w:rStyle w:val="Hyperlink"/>
            <w:sz w:val="18"/>
            <w:szCs w:val="18"/>
            <w:lang w:val="es-US"/>
          </w:rPr>
          <w:t>https://www.oas.org/es/sla/dlc/mesicic/documentos.html</w:t>
        </w:r>
      </w:hyperlink>
    </w:p>
  </w:footnote>
  <w:footnote w:id="105">
    <w:p w14:paraId="45B6C3EC" w14:textId="1177B6BC" w:rsidR="008C43BD" w:rsidRPr="007154F4" w:rsidRDefault="008C43BD"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666240" w:rsidRPr="007154F4">
        <w:rPr>
          <w:sz w:val="18"/>
          <w:szCs w:val="18"/>
          <w:lang w:val="es-US"/>
        </w:rPr>
        <w:t>Respuesta al Cuestionario</w:t>
      </w:r>
      <w:r w:rsidRPr="007154F4">
        <w:rPr>
          <w:sz w:val="18"/>
          <w:szCs w:val="18"/>
          <w:lang w:val="es-US"/>
        </w:rPr>
        <w:t xml:space="preserve">, </w:t>
      </w:r>
      <w:r w:rsidR="0060148D" w:rsidRPr="007154F4">
        <w:rPr>
          <w:sz w:val="18"/>
          <w:szCs w:val="18"/>
          <w:lang w:val="es-US"/>
        </w:rPr>
        <w:t>pág.</w:t>
      </w:r>
      <w:r w:rsidRPr="007154F4">
        <w:rPr>
          <w:sz w:val="18"/>
          <w:szCs w:val="18"/>
          <w:lang w:val="es-US"/>
        </w:rPr>
        <w:t xml:space="preserve"> 36,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10.</w:t>
      </w:r>
    </w:p>
  </w:footnote>
  <w:footnote w:id="106">
    <w:p w14:paraId="08DC0B9A" w14:textId="0DCB766C" w:rsidR="008C43BD" w:rsidRPr="007154F4" w:rsidRDefault="008C43BD"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Ibid</w:t>
      </w:r>
      <w:r w:rsidRPr="007154F4">
        <w:rPr>
          <w:sz w:val="18"/>
          <w:szCs w:val="18"/>
          <w:lang w:val="es-US"/>
        </w:rPr>
        <w:t>.</w:t>
      </w:r>
    </w:p>
  </w:footnote>
  <w:footnote w:id="107">
    <w:p w14:paraId="68E7CF91" w14:textId="5418D4D1" w:rsidR="008C43BD" w:rsidRPr="007154F4" w:rsidRDefault="008C43BD" w:rsidP="004C3313">
      <w:pPr>
        <w:pStyle w:val="FootnoteText"/>
        <w:jc w:val="both"/>
        <w:rPr>
          <w:i/>
          <w:iCs/>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Ibid.</w:t>
      </w:r>
    </w:p>
  </w:footnote>
  <w:footnote w:id="108">
    <w:p w14:paraId="38C54417" w14:textId="5FD8CC45" w:rsidR="008C43BD" w:rsidRPr="007154F4" w:rsidRDefault="008C43BD"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6F130E" w:rsidRPr="007154F4">
        <w:rPr>
          <w:sz w:val="18"/>
          <w:szCs w:val="18"/>
          <w:lang w:val="es-US"/>
        </w:rPr>
        <w:t>Véanse</w:t>
      </w:r>
      <w:r w:rsidR="00F80692" w:rsidRPr="007154F4">
        <w:rPr>
          <w:sz w:val="18"/>
          <w:szCs w:val="18"/>
          <w:lang w:val="es-US"/>
        </w:rPr>
        <w:t xml:space="preserve"> </w:t>
      </w:r>
      <w:r w:rsidR="006F130E" w:rsidRPr="007154F4">
        <w:rPr>
          <w:sz w:val="18"/>
          <w:szCs w:val="18"/>
          <w:lang w:val="es-US"/>
        </w:rPr>
        <w:t>párrafos</w:t>
      </w:r>
      <w:r w:rsidR="00F80692" w:rsidRPr="007154F4">
        <w:rPr>
          <w:sz w:val="18"/>
          <w:szCs w:val="18"/>
          <w:lang w:val="es-US"/>
        </w:rPr>
        <w:t xml:space="preserve"> 132 – 133</w:t>
      </w:r>
      <w:r w:rsidR="00B60C85" w:rsidRPr="007154F4">
        <w:rPr>
          <w:sz w:val="18"/>
          <w:szCs w:val="18"/>
          <w:lang w:val="es-US"/>
        </w:rPr>
        <w:t xml:space="preserve"> de este Informe.</w:t>
      </w:r>
    </w:p>
  </w:footnote>
  <w:footnote w:id="109">
    <w:p w14:paraId="5C23E0F8" w14:textId="06463BAF" w:rsidR="005E6964" w:rsidRPr="007154F4" w:rsidRDefault="005E6964" w:rsidP="005E6964">
      <w:pPr>
        <w:pStyle w:val="FootnoteText"/>
        <w:rPr>
          <w:sz w:val="18"/>
          <w:szCs w:val="18"/>
          <w:lang w:val="es-US"/>
        </w:rPr>
      </w:pPr>
      <w:r w:rsidRPr="007154F4">
        <w:rPr>
          <w:rStyle w:val="FootnoteReference"/>
          <w:sz w:val="18"/>
          <w:szCs w:val="18"/>
          <w:lang w:val="es-US"/>
        </w:rPr>
        <w:footnoteRef/>
      </w:r>
      <w:r w:rsidRPr="007154F4">
        <w:rPr>
          <w:sz w:val="18"/>
          <w:szCs w:val="18"/>
          <w:lang w:val="es-US"/>
        </w:rPr>
        <w:t xml:space="preserve"> </w:t>
      </w:r>
      <w:r w:rsidR="004C162C" w:rsidRPr="007154F4">
        <w:rPr>
          <w:sz w:val="18"/>
          <w:szCs w:val="18"/>
          <w:lang w:val="es-US"/>
        </w:rPr>
        <w:t xml:space="preserve">Estos informes están </w:t>
      </w:r>
      <w:r w:rsidR="00A42FF2" w:rsidRPr="007154F4">
        <w:rPr>
          <w:sz w:val="18"/>
          <w:szCs w:val="18"/>
          <w:lang w:val="es-US"/>
        </w:rPr>
        <w:t>disponibles</w:t>
      </w:r>
      <w:r w:rsidR="004C162C" w:rsidRPr="007154F4">
        <w:rPr>
          <w:sz w:val="18"/>
          <w:szCs w:val="18"/>
          <w:lang w:val="es-US"/>
        </w:rPr>
        <w:t xml:space="preserve"> en</w:t>
      </w:r>
      <w:r w:rsidRPr="007154F4">
        <w:rPr>
          <w:sz w:val="18"/>
          <w:szCs w:val="18"/>
          <w:lang w:val="es-US"/>
        </w:rPr>
        <w:t xml:space="preserve">: </w:t>
      </w:r>
      <w:hyperlink r:id="rId44" w:history="1">
        <w:r w:rsidRPr="007154F4">
          <w:rPr>
            <w:rStyle w:val="Hyperlink"/>
            <w:sz w:val="18"/>
            <w:szCs w:val="18"/>
            <w:lang w:val="es-US"/>
          </w:rPr>
          <w:t>https://www.justice.gov/criminal/criminal-fraud</w:t>
        </w:r>
      </w:hyperlink>
      <w:r w:rsidRPr="007154F4">
        <w:rPr>
          <w:sz w:val="18"/>
          <w:szCs w:val="18"/>
          <w:lang w:val="es-US"/>
        </w:rPr>
        <w:t xml:space="preserve"> </w:t>
      </w:r>
    </w:p>
  </w:footnote>
  <w:footnote w:id="110">
    <w:p w14:paraId="19008E2D" w14:textId="4E5D5BBC" w:rsidR="00A66642" w:rsidRPr="007154F4" w:rsidRDefault="00A66642"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CC3F2E" w:rsidRPr="007154F4">
        <w:rPr>
          <w:sz w:val="18"/>
          <w:szCs w:val="18"/>
          <w:lang w:val="es-US"/>
        </w:rPr>
        <w:t>Sección</w:t>
      </w:r>
      <w:r w:rsidR="00FA30A3" w:rsidRPr="007154F4">
        <w:rPr>
          <w:sz w:val="18"/>
          <w:szCs w:val="18"/>
          <w:lang w:val="es-US"/>
        </w:rPr>
        <w:t xml:space="preserve"> de Fraude</w:t>
      </w:r>
      <w:r w:rsidRPr="007154F4">
        <w:rPr>
          <w:sz w:val="18"/>
          <w:szCs w:val="18"/>
          <w:lang w:val="es-US"/>
        </w:rPr>
        <w:t xml:space="preserve"> </w:t>
      </w:r>
      <w:proofErr w:type="spellStart"/>
      <w:r w:rsidRPr="007154F4">
        <w:rPr>
          <w:sz w:val="18"/>
          <w:szCs w:val="18"/>
          <w:lang w:val="es-US"/>
        </w:rPr>
        <w:t>Year</w:t>
      </w:r>
      <w:proofErr w:type="spellEnd"/>
      <w:r w:rsidRPr="007154F4">
        <w:rPr>
          <w:sz w:val="18"/>
          <w:szCs w:val="18"/>
          <w:lang w:val="es-US"/>
        </w:rPr>
        <w:t xml:space="preserve"> in </w:t>
      </w:r>
      <w:proofErr w:type="spellStart"/>
      <w:r w:rsidRPr="007154F4">
        <w:rPr>
          <w:sz w:val="18"/>
          <w:szCs w:val="18"/>
          <w:lang w:val="es-US"/>
        </w:rPr>
        <w:t>Review</w:t>
      </w:r>
      <w:proofErr w:type="spellEnd"/>
      <w:r w:rsidRPr="007154F4">
        <w:rPr>
          <w:sz w:val="18"/>
          <w:szCs w:val="18"/>
          <w:lang w:val="es-US"/>
        </w:rPr>
        <w:t xml:space="preserve">, 2022, </w:t>
      </w:r>
      <w:hyperlink r:id="rId45" w:history="1">
        <w:r w:rsidRPr="007154F4">
          <w:rPr>
            <w:rStyle w:val="Hyperlink"/>
            <w:sz w:val="18"/>
            <w:szCs w:val="18"/>
            <w:lang w:val="es-US"/>
          </w:rPr>
          <w:t>https://www.justice.gov/criminal-fraud/file/1568606/download</w:t>
        </w:r>
      </w:hyperlink>
      <w:r w:rsidR="00065650" w:rsidRPr="007154F4">
        <w:rPr>
          <w:sz w:val="18"/>
          <w:szCs w:val="18"/>
          <w:lang w:val="es-US"/>
        </w:rPr>
        <w:t>. El Estado analizado, en sus observaciones al proyecto de informe preliminar, señala que</w:t>
      </w:r>
      <w:r w:rsidR="00011E17" w:rsidRPr="007154F4">
        <w:rPr>
          <w:sz w:val="18"/>
          <w:szCs w:val="18"/>
          <w:lang w:val="es-US"/>
        </w:rPr>
        <w:t xml:space="preserve"> en febrero de 2024 se publicó el Resumen del Año de</w:t>
      </w:r>
      <w:r w:rsidR="009B0D35" w:rsidRPr="007154F4">
        <w:rPr>
          <w:sz w:val="18"/>
          <w:szCs w:val="18"/>
          <w:lang w:val="es-US"/>
        </w:rPr>
        <w:t xml:space="preserve"> 2023 de</w:t>
      </w:r>
      <w:r w:rsidR="00011E17" w:rsidRPr="007154F4">
        <w:rPr>
          <w:sz w:val="18"/>
          <w:szCs w:val="18"/>
          <w:lang w:val="es-US"/>
        </w:rPr>
        <w:t xml:space="preserve"> la Sección de Fraude, el cual está disponible en línea.</w:t>
      </w:r>
    </w:p>
  </w:footnote>
  <w:footnote w:id="111">
    <w:p w14:paraId="461A8E64" w14:textId="7221A0EE" w:rsidR="001B23F3" w:rsidRPr="007154F4" w:rsidRDefault="001B23F3" w:rsidP="001B23F3">
      <w:pPr>
        <w:pStyle w:val="FootnoteText"/>
        <w:rPr>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Ibid.</w:t>
      </w:r>
      <w:r w:rsidRPr="007154F4">
        <w:rPr>
          <w:sz w:val="18"/>
          <w:szCs w:val="18"/>
          <w:lang w:val="es-US"/>
        </w:rPr>
        <w:t xml:space="preserve">, </w:t>
      </w:r>
      <w:r w:rsidR="004C162C" w:rsidRPr="007154F4">
        <w:rPr>
          <w:sz w:val="18"/>
          <w:szCs w:val="18"/>
          <w:lang w:val="es-US"/>
        </w:rPr>
        <w:t>págs.</w:t>
      </w:r>
      <w:r w:rsidRPr="007154F4">
        <w:rPr>
          <w:sz w:val="18"/>
          <w:szCs w:val="18"/>
          <w:lang w:val="es-US"/>
        </w:rPr>
        <w:t xml:space="preserve"> 5 </w:t>
      </w:r>
      <w:r w:rsidR="004C162C" w:rsidRPr="007154F4">
        <w:rPr>
          <w:sz w:val="18"/>
          <w:szCs w:val="18"/>
          <w:lang w:val="es-US"/>
        </w:rPr>
        <w:t>y</w:t>
      </w:r>
      <w:r w:rsidRPr="007154F4">
        <w:rPr>
          <w:sz w:val="18"/>
          <w:szCs w:val="18"/>
          <w:lang w:val="es-US"/>
        </w:rPr>
        <w:t xml:space="preserve"> 10. El Informe observa que estas cifras incluyen algunos cargos y declaraciones presentados bajo sello en 2020 y 2021 que se desprecintaron en 2022. </w:t>
      </w:r>
    </w:p>
  </w:footnote>
  <w:footnote w:id="112">
    <w:p w14:paraId="1FA3C0FE" w14:textId="788CBA9A" w:rsidR="00E71351" w:rsidRPr="007154F4" w:rsidRDefault="00E71351" w:rsidP="004C3313">
      <w:pPr>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 xml:space="preserve">Ibid., </w:t>
      </w:r>
      <w:r w:rsidR="00CC3F2E" w:rsidRPr="007154F4">
        <w:rPr>
          <w:sz w:val="18"/>
          <w:szCs w:val="18"/>
          <w:lang w:val="es-US"/>
        </w:rPr>
        <w:t>pág.</w:t>
      </w:r>
      <w:r w:rsidRPr="007154F4">
        <w:rPr>
          <w:sz w:val="18"/>
          <w:szCs w:val="18"/>
          <w:lang w:val="es-US"/>
        </w:rPr>
        <w:t xml:space="preserve"> 6. </w:t>
      </w:r>
      <w:r w:rsidR="006F130E" w:rsidRPr="007154F4">
        <w:rPr>
          <w:sz w:val="18"/>
          <w:szCs w:val="18"/>
          <w:lang w:val="es-US"/>
        </w:rPr>
        <w:t xml:space="preserve">El Informe define los términos “Monto Monetario Global Total”, “Monto Monetario Global Total de Estados Unidos” y “Monto Monetario Penal Total de Estados Unidos” como sigue: “Montos Monetarios Globales Totales” son los importes totales de las acciones de aplicación de la ley penal pagaderas tanto a (1) las autoridades penales y civiles estadounidenses como a (2) las autoridades penales y civiles </w:t>
      </w:r>
      <w:r w:rsidR="00CC3F2E" w:rsidRPr="007154F4">
        <w:rPr>
          <w:sz w:val="18"/>
          <w:szCs w:val="18"/>
          <w:lang w:val="es-US"/>
        </w:rPr>
        <w:t>extranjeras.” Montos</w:t>
      </w:r>
      <w:r w:rsidR="006F130E" w:rsidRPr="007154F4">
        <w:rPr>
          <w:sz w:val="18"/>
          <w:szCs w:val="18"/>
          <w:lang w:val="es-US"/>
        </w:rPr>
        <w:t xml:space="preserve"> Monetarios Totales de Estados Unidos” son los importes totales de las acciones de aplicación pagaderas a las autoridades penales y civiles </w:t>
      </w:r>
      <w:r w:rsidR="00CC3F2E" w:rsidRPr="007154F4">
        <w:rPr>
          <w:sz w:val="18"/>
          <w:szCs w:val="18"/>
          <w:lang w:val="es-US"/>
        </w:rPr>
        <w:t>estadounidenses. “Montos</w:t>
      </w:r>
      <w:r w:rsidR="006F130E" w:rsidRPr="007154F4">
        <w:rPr>
          <w:sz w:val="18"/>
          <w:szCs w:val="18"/>
          <w:lang w:val="es-US"/>
        </w:rPr>
        <w:t xml:space="preserve"> Monetarios Penales Totales de Estados Unidos” son los importes totales de aplicación penal pagaderos (1) al Departamento de Justicia y (2) mediante restitución obligatoria o permisiva u otros fondos de compensación en virtud de un acuerdo de culpabilidad, un acuerdo de enjuiciamiento diferido o un acuerdo de no enjuiciamiento. El Monto Monetario Penal Total de Estados Unidos puede incluir alguno o una combinación de los siguientes componentes monetarios: multa penal, sanción monetaria penal, decomiso penal, devolución de ganancias ilícitas, restitución y otros pagos compensatorios</w:t>
      </w:r>
      <w:r w:rsidRPr="007154F4">
        <w:rPr>
          <w:sz w:val="18"/>
          <w:szCs w:val="18"/>
          <w:lang w:val="es-US"/>
        </w:rPr>
        <w:t>.</w:t>
      </w:r>
    </w:p>
  </w:footnote>
  <w:footnote w:id="113">
    <w:p w14:paraId="1B403C68" w14:textId="0E92ACEF" w:rsidR="003D1E8F" w:rsidRPr="007154F4" w:rsidRDefault="003D1E8F"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Ibid</w:t>
      </w:r>
      <w:r w:rsidRPr="007154F4">
        <w:rPr>
          <w:sz w:val="18"/>
          <w:szCs w:val="18"/>
          <w:lang w:val="es-US"/>
        </w:rPr>
        <w:t xml:space="preserve">., </w:t>
      </w:r>
      <w:r w:rsidR="00EA3C5A" w:rsidRPr="007154F4">
        <w:rPr>
          <w:sz w:val="18"/>
          <w:szCs w:val="18"/>
          <w:lang w:val="es-US"/>
        </w:rPr>
        <w:t>págs.</w:t>
      </w:r>
      <w:r w:rsidRPr="007154F4">
        <w:rPr>
          <w:sz w:val="18"/>
          <w:szCs w:val="18"/>
          <w:lang w:val="es-US"/>
        </w:rPr>
        <w:t xml:space="preserve"> 12 – 20.</w:t>
      </w:r>
    </w:p>
  </w:footnote>
  <w:footnote w:id="114">
    <w:p w14:paraId="3A58A940" w14:textId="72C9D487" w:rsidR="00995DFC" w:rsidRPr="007154F4" w:rsidRDefault="00995DFC"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EA3C5A" w:rsidRPr="007154F4">
        <w:rPr>
          <w:sz w:val="18"/>
          <w:szCs w:val="18"/>
          <w:lang w:val="es-US"/>
        </w:rPr>
        <w:t>Véase</w:t>
      </w:r>
      <w:r w:rsidRPr="007154F4">
        <w:rPr>
          <w:sz w:val="18"/>
          <w:szCs w:val="18"/>
          <w:lang w:val="es-US"/>
        </w:rPr>
        <w:t xml:space="preserve"> </w:t>
      </w:r>
      <w:r w:rsidR="005842BE" w:rsidRPr="007154F4">
        <w:rPr>
          <w:sz w:val="18"/>
          <w:szCs w:val="18"/>
          <w:lang w:val="es-US"/>
        </w:rPr>
        <w:t>Ley de Prácticas Corruptas en el Extranjero</w:t>
      </w:r>
      <w:r w:rsidRPr="007154F4">
        <w:rPr>
          <w:sz w:val="18"/>
          <w:szCs w:val="18"/>
          <w:lang w:val="es-US"/>
        </w:rPr>
        <w:t xml:space="preserve">, </w:t>
      </w:r>
      <w:hyperlink r:id="rId46" w:history="1">
        <w:r w:rsidRPr="007154F4">
          <w:rPr>
            <w:rStyle w:val="Hyperlink"/>
            <w:sz w:val="18"/>
            <w:szCs w:val="18"/>
            <w:lang w:val="es-US"/>
          </w:rPr>
          <w:t>https://www.justice.gov/criminal/criminal-fraud/foreign-corrupt-practices-act</w:t>
        </w:r>
      </w:hyperlink>
      <w:r w:rsidRPr="007154F4">
        <w:rPr>
          <w:sz w:val="18"/>
          <w:szCs w:val="18"/>
          <w:lang w:val="es-US"/>
        </w:rPr>
        <w:t xml:space="preserve"> </w:t>
      </w:r>
    </w:p>
  </w:footnote>
  <w:footnote w:id="115">
    <w:p w14:paraId="798F1C4A" w14:textId="1A3706F7" w:rsidR="00995DFC" w:rsidRPr="007154F4" w:rsidRDefault="00995DFC"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686E12" w:rsidRPr="007154F4">
        <w:rPr>
          <w:bCs/>
          <w:iCs/>
          <w:sz w:val="18"/>
          <w:szCs w:val="18"/>
          <w:lang w:val="es-US"/>
        </w:rPr>
        <w:t>Acciones de Aplicación</w:t>
      </w:r>
      <w:r w:rsidRPr="007154F4">
        <w:rPr>
          <w:sz w:val="18"/>
          <w:szCs w:val="18"/>
          <w:lang w:val="es-US"/>
        </w:rPr>
        <w:t xml:space="preserve">, </w:t>
      </w:r>
      <w:hyperlink r:id="rId47" w:history="1">
        <w:r w:rsidRPr="007154F4">
          <w:rPr>
            <w:rStyle w:val="Hyperlink"/>
            <w:sz w:val="18"/>
            <w:szCs w:val="18"/>
            <w:lang w:val="es-US"/>
          </w:rPr>
          <w:t>https://www.justice.gov/criminal/criminal-fraud/enforcement-actions</w:t>
        </w:r>
      </w:hyperlink>
      <w:r w:rsidRPr="007154F4">
        <w:rPr>
          <w:sz w:val="18"/>
          <w:szCs w:val="18"/>
          <w:lang w:val="es-US"/>
        </w:rPr>
        <w:t xml:space="preserve"> </w:t>
      </w:r>
    </w:p>
  </w:footnote>
  <w:footnote w:id="116">
    <w:p w14:paraId="06A2C6D9" w14:textId="6D08ABF1" w:rsidR="00BA0F95" w:rsidRPr="007154F4" w:rsidRDefault="00BA0F95" w:rsidP="00BA0F95">
      <w:pPr>
        <w:pStyle w:val="FootnoteText"/>
        <w:jc w:val="both"/>
        <w:rPr>
          <w:i/>
          <w:iCs/>
          <w:sz w:val="18"/>
          <w:szCs w:val="18"/>
          <w:lang w:val="es-US"/>
        </w:rPr>
      </w:pPr>
      <w:r w:rsidRPr="007154F4">
        <w:rPr>
          <w:rStyle w:val="FootnoteReference"/>
          <w:sz w:val="18"/>
          <w:szCs w:val="18"/>
          <w:lang w:val="es-US"/>
        </w:rPr>
        <w:footnoteRef/>
      </w:r>
      <w:r w:rsidRPr="007154F4">
        <w:rPr>
          <w:sz w:val="18"/>
          <w:szCs w:val="18"/>
          <w:lang w:val="es-US"/>
        </w:rPr>
        <w:t xml:space="preserve"> </w:t>
      </w:r>
      <w:r w:rsidR="00B05D61" w:rsidRPr="007154F4">
        <w:rPr>
          <w:sz w:val="18"/>
          <w:szCs w:val="18"/>
          <w:lang w:val="es-US"/>
        </w:rPr>
        <w:t xml:space="preserve">Véase, por ejemplo, el </w:t>
      </w:r>
      <w:r w:rsidR="00B05D61" w:rsidRPr="007154F4">
        <w:rPr>
          <w:rFonts w:eastAsiaTheme="minorHAnsi"/>
          <w:bCs/>
          <w:iCs/>
          <w:sz w:val="18"/>
          <w:szCs w:val="18"/>
          <w:lang w:val="es-US"/>
        </w:rPr>
        <w:t xml:space="preserve">Reporte 2020 de la Fase 4 de la Implementación de la Convención de la OCDE en Estados Unidos, pág. 78, </w:t>
      </w:r>
      <w:hyperlink r:id="rId48" w:history="1">
        <w:r w:rsidR="00B05D61" w:rsidRPr="007154F4">
          <w:rPr>
            <w:rStyle w:val="Hyperlink"/>
            <w:rFonts w:eastAsiaTheme="minorHAnsi"/>
            <w:bCs/>
            <w:iCs/>
            <w:sz w:val="18"/>
            <w:szCs w:val="18"/>
            <w:lang w:val="es-US"/>
          </w:rPr>
          <w:t>https://www2.oecd.org/daf/anti-bribery/United-States-Phase-4-Report-ENG.pdf</w:t>
        </w:r>
      </w:hyperlink>
    </w:p>
  </w:footnote>
  <w:footnote w:id="117">
    <w:p w14:paraId="0CD0409B" w14:textId="49DC2548" w:rsidR="00984667" w:rsidRPr="007154F4" w:rsidRDefault="00984667"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A32340" w:rsidRPr="007154F4">
        <w:rPr>
          <w:sz w:val="18"/>
          <w:szCs w:val="18"/>
          <w:lang w:val="es-US"/>
        </w:rPr>
        <w:t>Informe de la Tercera Ronda</w:t>
      </w:r>
      <w:r w:rsidRPr="007154F4">
        <w:rPr>
          <w:sz w:val="18"/>
          <w:szCs w:val="18"/>
          <w:lang w:val="es-US"/>
        </w:rPr>
        <w:t xml:space="preserve">, </w:t>
      </w:r>
      <w:r w:rsidR="00D8229D" w:rsidRPr="007154F4">
        <w:rPr>
          <w:sz w:val="18"/>
          <w:szCs w:val="18"/>
          <w:lang w:val="es-US"/>
        </w:rPr>
        <w:t>pág.</w:t>
      </w:r>
      <w:r w:rsidR="00AB4B39" w:rsidRPr="007154F4">
        <w:rPr>
          <w:sz w:val="18"/>
          <w:szCs w:val="18"/>
          <w:lang w:val="es-US"/>
        </w:rPr>
        <w:t xml:space="preserve"> 2</w:t>
      </w:r>
      <w:r w:rsidR="00D8229D" w:rsidRPr="007154F4">
        <w:rPr>
          <w:sz w:val="18"/>
          <w:szCs w:val="18"/>
          <w:lang w:val="es-US"/>
        </w:rPr>
        <w:t>2</w:t>
      </w:r>
      <w:r w:rsidR="00AB4B39" w:rsidRPr="007154F4">
        <w:rPr>
          <w:sz w:val="18"/>
          <w:szCs w:val="18"/>
          <w:lang w:val="es-US"/>
        </w:rPr>
        <w:t xml:space="preserve">,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3</w:t>
      </w:r>
      <w:r w:rsidR="00AB4B39" w:rsidRPr="007154F4">
        <w:rPr>
          <w:sz w:val="18"/>
          <w:szCs w:val="18"/>
          <w:lang w:val="es-US"/>
        </w:rPr>
        <w:t>.</w:t>
      </w:r>
    </w:p>
  </w:footnote>
  <w:footnote w:id="118">
    <w:p w14:paraId="2C4B417E" w14:textId="48A350A0" w:rsidR="00984667" w:rsidRPr="007154F4" w:rsidRDefault="00984667"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251FD0" w:rsidRPr="007154F4">
        <w:rPr>
          <w:sz w:val="18"/>
          <w:szCs w:val="18"/>
          <w:lang w:val="es-US"/>
        </w:rPr>
        <w:t>Respuesta al Cuestionario</w:t>
      </w:r>
      <w:r w:rsidRPr="007154F4">
        <w:rPr>
          <w:sz w:val="18"/>
          <w:szCs w:val="18"/>
          <w:lang w:val="es-US"/>
        </w:rPr>
        <w:t xml:space="preserve">, </w:t>
      </w:r>
      <w:r w:rsidR="00500021" w:rsidRPr="007154F4">
        <w:rPr>
          <w:sz w:val="18"/>
          <w:szCs w:val="18"/>
          <w:lang w:val="es-US"/>
        </w:rPr>
        <w:t>pág.</w:t>
      </w:r>
      <w:r w:rsidRPr="007154F4">
        <w:rPr>
          <w:sz w:val="18"/>
          <w:szCs w:val="18"/>
          <w:lang w:val="es-US"/>
        </w:rPr>
        <w:t xml:space="preserve"> </w:t>
      </w:r>
      <w:r w:rsidR="00AB4B39" w:rsidRPr="007154F4">
        <w:rPr>
          <w:sz w:val="18"/>
          <w:szCs w:val="18"/>
          <w:lang w:val="es-US"/>
        </w:rPr>
        <w:t>36</w:t>
      </w:r>
      <w:r w:rsidRPr="007154F4">
        <w:rPr>
          <w:sz w:val="18"/>
          <w:szCs w:val="18"/>
          <w:lang w:val="es-US"/>
        </w:rPr>
        <w:t xml:space="preserve">,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10.</w:t>
      </w:r>
    </w:p>
  </w:footnote>
  <w:footnote w:id="119">
    <w:p w14:paraId="5E1C47AD" w14:textId="77777777" w:rsidR="00984667" w:rsidRPr="007154F4" w:rsidRDefault="00984667" w:rsidP="004C3313">
      <w:pPr>
        <w:pStyle w:val="FootnoteText"/>
        <w:jc w:val="both"/>
        <w:rPr>
          <w:i/>
          <w:iCs/>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Ibid.</w:t>
      </w:r>
    </w:p>
  </w:footnote>
  <w:footnote w:id="120">
    <w:p w14:paraId="7DF6ADEE" w14:textId="773C2837" w:rsidR="00984667" w:rsidRPr="007154F4" w:rsidRDefault="00984667"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Ibid.</w:t>
      </w:r>
      <w:r w:rsidR="00AB4B39" w:rsidRPr="007154F4">
        <w:rPr>
          <w:i/>
          <w:iCs/>
          <w:sz w:val="18"/>
          <w:szCs w:val="18"/>
          <w:lang w:val="es-US"/>
        </w:rPr>
        <w:t xml:space="preserve">, </w:t>
      </w:r>
      <w:r w:rsidR="00500021" w:rsidRPr="007154F4">
        <w:rPr>
          <w:sz w:val="18"/>
          <w:szCs w:val="18"/>
          <w:lang w:val="es-US"/>
        </w:rPr>
        <w:t>pág.</w:t>
      </w:r>
      <w:r w:rsidR="00AB4B39" w:rsidRPr="007154F4">
        <w:rPr>
          <w:sz w:val="18"/>
          <w:szCs w:val="18"/>
          <w:lang w:val="es-US"/>
        </w:rPr>
        <w:t xml:space="preserve"> 37.</w:t>
      </w:r>
    </w:p>
  </w:footnote>
  <w:footnote w:id="121">
    <w:p w14:paraId="7B7B8DDA" w14:textId="6FC4BA17" w:rsidR="00984667" w:rsidRPr="007154F4" w:rsidRDefault="00984667"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251FD0" w:rsidRPr="007154F4">
        <w:rPr>
          <w:sz w:val="18"/>
          <w:szCs w:val="18"/>
          <w:lang w:val="es-US"/>
        </w:rPr>
        <w:t>Informe de la Tercera Ronda</w:t>
      </w:r>
      <w:r w:rsidRPr="007154F4">
        <w:rPr>
          <w:sz w:val="18"/>
          <w:szCs w:val="18"/>
          <w:lang w:val="es-US"/>
        </w:rPr>
        <w:t xml:space="preserve">, </w:t>
      </w:r>
      <w:r w:rsidR="00500021" w:rsidRPr="007154F4">
        <w:rPr>
          <w:sz w:val="18"/>
          <w:szCs w:val="18"/>
          <w:lang w:val="es-US"/>
        </w:rPr>
        <w:t>págs.</w:t>
      </w:r>
      <w:r w:rsidRPr="007154F4">
        <w:rPr>
          <w:sz w:val="18"/>
          <w:szCs w:val="18"/>
          <w:lang w:val="es-US"/>
        </w:rPr>
        <w:t xml:space="preserve"> 2</w:t>
      </w:r>
      <w:r w:rsidR="0096517E" w:rsidRPr="007154F4">
        <w:rPr>
          <w:sz w:val="18"/>
          <w:szCs w:val="18"/>
          <w:lang w:val="es-US"/>
        </w:rPr>
        <w:t>2</w:t>
      </w:r>
      <w:r w:rsidR="00E13BDE" w:rsidRPr="007154F4">
        <w:rPr>
          <w:sz w:val="18"/>
          <w:szCs w:val="18"/>
          <w:lang w:val="es-US"/>
        </w:rPr>
        <w:t xml:space="preserve"> – 2</w:t>
      </w:r>
      <w:r w:rsidR="0096517E" w:rsidRPr="007154F4">
        <w:rPr>
          <w:sz w:val="18"/>
          <w:szCs w:val="18"/>
          <w:lang w:val="es-US"/>
        </w:rPr>
        <w:t>3</w:t>
      </w:r>
      <w:r w:rsidRPr="007154F4">
        <w:rPr>
          <w:sz w:val="18"/>
          <w:szCs w:val="18"/>
          <w:lang w:val="es-US"/>
        </w:rPr>
        <w:t xml:space="preserve">, </w:t>
      </w:r>
      <w:r w:rsidRPr="007154F4">
        <w:rPr>
          <w:i/>
          <w:iCs/>
          <w:sz w:val="18"/>
          <w:szCs w:val="18"/>
          <w:lang w:val="es-US"/>
        </w:rPr>
        <w:t xml:space="preserve">supra </w:t>
      </w:r>
      <w:r w:rsidR="001B34AB" w:rsidRPr="007154F4">
        <w:rPr>
          <w:sz w:val="18"/>
          <w:szCs w:val="18"/>
          <w:lang w:val="es-US"/>
        </w:rPr>
        <w:t>nota</w:t>
      </w:r>
      <w:r w:rsidR="00AB4B39" w:rsidRPr="007154F4">
        <w:rPr>
          <w:sz w:val="18"/>
          <w:szCs w:val="18"/>
          <w:lang w:val="es-US"/>
        </w:rPr>
        <w:t xml:space="preserve"> 3</w:t>
      </w:r>
      <w:r w:rsidRPr="007154F4">
        <w:rPr>
          <w:sz w:val="18"/>
          <w:szCs w:val="18"/>
          <w:lang w:val="es-US"/>
        </w:rPr>
        <w:t>.</w:t>
      </w:r>
    </w:p>
  </w:footnote>
  <w:footnote w:id="122">
    <w:p w14:paraId="6B29865D" w14:textId="01D7E42A" w:rsidR="00074A1E" w:rsidRPr="007154F4" w:rsidRDefault="00074A1E" w:rsidP="004C3313">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E603CC" w:rsidRPr="007154F4">
        <w:rPr>
          <w:i/>
          <w:iCs/>
          <w:sz w:val="18"/>
          <w:szCs w:val="18"/>
          <w:lang w:val="es-US"/>
        </w:rPr>
        <w:t>Ibid.</w:t>
      </w:r>
      <w:r w:rsidRPr="007154F4">
        <w:rPr>
          <w:sz w:val="18"/>
          <w:szCs w:val="18"/>
          <w:lang w:val="es-US"/>
        </w:rPr>
        <w:t xml:space="preserve">, </w:t>
      </w:r>
      <w:r w:rsidR="00E603CC" w:rsidRPr="007154F4">
        <w:rPr>
          <w:sz w:val="18"/>
          <w:szCs w:val="18"/>
          <w:lang w:val="es-US"/>
        </w:rPr>
        <w:t>pág.</w:t>
      </w:r>
      <w:r w:rsidRPr="007154F4">
        <w:rPr>
          <w:sz w:val="18"/>
          <w:szCs w:val="18"/>
          <w:lang w:val="es-US"/>
        </w:rPr>
        <w:t xml:space="preserve"> 2</w:t>
      </w:r>
      <w:r w:rsidR="00441C4A" w:rsidRPr="007154F4">
        <w:rPr>
          <w:sz w:val="18"/>
          <w:szCs w:val="18"/>
          <w:lang w:val="es-US"/>
        </w:rPr>
        <w:t>6</w:t>
      </w:r>
      <w:r w:rsidRPr="007154F4">
        <w:rPr>
          <w:sz w:val="18"/>
          <w:szCs w:val="18"/>
          <w:lang w:val="es-US"/>
        </w:rPr>
        <w:t>.</w:t>
      </w:r>
    </w:p>
  </w:footnote>
  <w:footnote w:id="123">
    <w:p w14:paraId="679F3A9B" w14:textId="1CE756CA" w:rsidR="009A5A72" w:rsidRPr="007154F4" w:rsidRDefault="009A5A72" w:rsidP="009A5A72">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030063" w:rsidRPr="007154F4">
        <w:rPr>
          <w:sz w:val="18"/>
          <w:szCs w:val="18"/>
          <w:lang w:val="es-US"/>
        </w:rPr>
        <w:t xml:space="preserve">El Estado analizado señaló en su Respuesta al Cuestionario que el secreto bancario no es un concepto legal en Estados Unidos. Véase la Respuesta al Cuestionario, pág. 3, </w:t>
      </w:r>
      <w:r w:rsidR="00030063" w:rsidRPr="007154F4">
        <w:rPr>
          <w:i/>
          <w:sz w:val="18"/>
          <w:szCs w:val="18"/>
          <w:lang w:val="es-US"/>
        </w:rPr>
        <w:t>supra</w:t>
      </w:r>
      <w:r w:rsidR="00030063" w:rsidRPr="007154F4">
        <w:rPr>
          <w:sz w:val="18"/>
          <w:szCs w:val="18"/>
          <w:lang w:val="es-US"/>
        </w:rPr>
        <w:t xml:space="preserve"> nota 10</w:t>
      </w:r>
      <w:r w:rsidRPr="007154F4">
        <w:rPr>
          <w:sz w:val="18"/>
          <w:szCs w:val="18"/>
          <w:lang w:val="es-US"/>
        </w:rPr>
        <w:t>.</w:t>
      </w:r>
    </w:p>
  </w:footnote>
  <w:footnote w:id="124">
    <w:p w14:paraId="506933E3" w14:textId="6DF338B1" w:rsidR="00BD697E" w:rsidRPr="007154F4" w:rsidRDefault="00BD697E">
      <w:pPr>
        <w:pStyle w:val="FootnoteText"/>
        <w:rPr>
          <w:sz w:val="18"/>
          <w:szCs w:val="18"/>
          <w:lang w:val="es-US"/>
        </w:rPr>
      </w:pPr>
      <w:r w:rsidRPr="007154F4">
        <w:rPr>
          <w:rStyle w:val="FootnoteReference"/>
          <w:sz w:val="18"/>
          <w:szCs w:val="18"/>
          <w:lang w:val="es-US"/>
        </w:rPr>
        <w:footnoteRef/>
      </w:r>
      <w:r w:rsidRPr="007154F4">
        <w:rPr>
          <w:sz w:val="18"/>
          <w:szCs w:val="18"/>
          <w:lang w:val="es-US"/>
        </w:rPr>
        <w:t xml:space="preserve"> </w:t>
      </w:r>
      <w:r w:rsidR="00495839" w:rsidRPr="007154F4">
        <w:rPr>
          <w:bCs/>
          <w:iCs/>
          <w:sz w:val="18"/>
          <w:szCs w:val="18"/>
          <w:lang w:val="es-US"/>
        </w:rPr>
        <w:t>La Ley sobre el Derecho a la Privacidad Financiera</w:t>
      </w:r>
      <w:r w:rsidRPr="007154F4">
        <w:rPr>
          <w:sz w:val="18"/>
          <w:szCs w:val="18"/>
          <w:lang w:val="es-US"/>
        </w:rPr>
        <w:t xml:space="preserve">, 12 U.S.C. </w:t>
      </w:r>
      <w:r w:rsidR="00EB5C08" w:rsidRPr="007154F4">
        <w:rPr>
          <w:sz w:val="18"/>
          <w:szCs w:val="18"/>
          <w:lang w:val="es-US"/>
        </w:rPr>
        <w:t>Capítulo</w:t>
      </w:r>
      <w:r w:rsidRPr="007154F4">
        <w:rPr>
          <w:sz w:val="18"/>
          <w:szCs w:val="18"/>
          <w:lang w:val="es-US"/>
        </w:rPr>
        <w:t xml:space="preserve"> 35, </w:t>
      </w:r>
      <w:hyperlink r:id="rId49" w:history="1">
        <w:r w:rsidRPr="007154F4">
          <w:rPr>
            <w:rStyle w:val="Hyperlink"/>
            <w:sz w:val="18"/>
            <w:szCs w:val="18"/>
            <w:lang w:val="es-US"/>
          </w:rPr>
          <w:t>https://www.law.cornell.edu/uscode/text/12/chapter-35</w:t>
        </w:r>
      </w:hyperlink>
      <w:r w:rsidRPr="007154F4">
        <w:rPr>
          <w:sz w:val="18"/>
          <w:szCs w:val="18"/>
          <w:lang w:val="es-US"/>
        </w:rPr>
        <w:t xml:space="preserve"> </w:t>
      </w:r>
    </w:p>
  </w:footnote>
  <w:footnote w:id="125">
    <w:p w14:paraId="31FED424" w14:textId="13081AA5" w:rsidR="0025276D" w:rsidRPr="007154F4" w:rsidRDefault="0025276D" w:rsidP="002B1D72">
      <w:pPr>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D34DBD" w:rsidRPr="007154F4">
        <w:rPr>
          <w:sz w:val="18"/>
          <w:szCs w:val="18"/>
          <w:lang w:val="es-US"/>
        </w:rPr>
        <w:t xml:space="preserve">De acuerdo con la Ley sobre el Derecho a la Privacidad Financiera, “autoridad gubernamental” se define como cualquier agencia o departamento de Estados Unidos, o cualquier funcionario, empleado o agente </w:t>
      </w:r>
      <w:proofErr w:type="gramStart"/>
      <w:r w:rsidR="00D34DBD" w:rsidRPr="007154F4">
        <w:rPr>
          <w:sz w:val="18"/>
          <w:szCs w:val="18"/>
          <w:lang w:val="es-US"/>
        </w:rPr>
        <w:t>del mismo</w:t>
      </w:r>
      <w:proofErr w:type="gramEnd"/>
      <w:r w:rsidR="00D34DBD" w:rsidRPr="007154F4">
        <w:rPr>
          <w:sz w:val="18"/>
          <w:szCs w:val="18"/>
          <w:lang w:val="es-US"/>
        </w:rPr>
        <w:t>. “Institución financiera” significa, entre otras cosas, cualquier oficina de un banco, caja de ahorros, emisor de tarjetas, compañía de préstamos industriales, compañía fiduciaria, asociación de ahorros, de construcción y préstamo, o asociación de vivienda (incluidos los bancos cooperativos), cooperativa de crédito o institución financiera de consumo, situada en cualquier Estado o territorio de Estados Unidos, el Distrito de Columbia, Puerto Rico, Guam, Samoa Americana o las Islas Vírgenes. “Registro financiero” se refiere a un original, una copia o la información que se sabe que se ha obtenido de cualquier registro que posea una institución financiera y que pertenezca a la relación de un cliente con la institución financiera. “Cliente” se refiere a toda persona o representante autorizado de esa persona que haya utilizado o esté utilizando cualquier servicio de una institución financiera, o para quien una institución financiera esté actuando o haya actuado como fiduciaria, en relación con una cuenta mantenida a nombre de la persona. “Persona” significa un individuo o una sociedad de cinco o menos individuos</w:t>
      </w:r>
      <w:r w:rsidR="00E42775" w:rsidRPr="007154F4">
        <w:rPr>
          <w:color w:val="333333"/>
          <w:sz w:val="18"/>
          <w:szCs w:val="18"/>
          <w:shd w:val="clear" w:color="auto" w:fill="FFFFFF"/>
          <w:lang w:val="es-US"/>
        </w:rPr>
        <w:t xml:space="preserve">. </w:t>
      </w:r>
    </w:p>
  </w:footnote>
  <w:footnote w:id="126">
    <w:p w14:paraId="39E4F02E" w14:textId="77777777" w:rsidR="000D0179" w:rsidRPr="007154F4" w:rsidRDefault="000D0179" w:rsidP="000D0179">
      <w:pPr>
        <w:pStyle w:val="FootnoteText"/>
        <w:rPr>
          <w:sz w:val="18"/>
          <w:szCs w:val="18"/>
          <w:lang w:val="es-US"/>
        </w:rPr>
      </w:pPr>
      <w:r w:rsidRPr="007154F4">
        <w:rPr>
          <w:rStyle w:val="FootnoteReference"/>
          <w:sz w:val="18"/>
          <w:szCs w:val="18"/>
          <w:lang w:val="es-US"/>
        </w:rPr>
        <w:footnoteRef/>
      </w:r>
      <w:r w:rsidRPr="007154F4">
        <w:rPr>
          <w:sz w:val="18"/>
          <w:szCs w:val="18"/>
          <w:lang w:val="es-US"/>
        </w:rPr>
        <w:t xml:space="preserve"> Respuesta al Cuestionario, pág. 3, </w:t>
      </w:r>
      <w:r w:rsidRPr="007154F4">
        <w:rPr>
          <w:i/>
          <w:iCs/>
          <w:sz w:val="18"/>
          <w:szCs w:val="18"/>
          <w:lang w:val="es-US"/>
        </w:rPr>
        <w:t xml:space="preserve">supra </w:t>
      </w:r>
      <w:r w:rsidRPr="007154F4">
        <w:rPr>
          <w:sz w:val="18"/>
          <w:szCs w:val="18"/>
          <w:lang w:val="es-US"/>
        </w:rPr>
        <w:t>nota 10.</w:t>
      </w:r>
    </w:p>
  </w:footnote>
  <w:footnote w:id="127">
    <w:p w14:paraId="1EDEF239" w14:textId="446A41DF" w:rsidR="000D0179" w:rsidRPr="007154F4" w:rsidRDefault="000D0179" w:rsidP="000D0179">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Información Adicional sobre los Temas Analizados, pág. 1, </w:t>
      </w:r>
      <w:r w:rsidRPr="007154F4">
        <w:rPr>
          <w:i/>
          <w:iCs/>
          <w:sz w:val="18"/>
          <w:szCs w:val="18"/>
          <w:lang w:val="es-US"/>
        </w:rPr>
        <w:t xml:space="preserve">supra </w:t>
      </w:r>
      <w:r w:rsidR="00882863" w:rsidRPr="007154F4">
        <w:rPr>
          <w:sz w:val="18"/>
          <w:szCs w:val="18"/>
          <w:lang w:val="es-US"/>
        </w:rPr>
        <w:t>nota 76</w:t>
      </w:r>
      <w:r w:rsidRPr="007154F4">
        <w:rPr>
          <w:sz w:val="18"/>
          <w:szCs w:val="18"/>
          <w:lang w:val="es-US"/>
        </w:rPr>
        <w:t>.</w:t>
      </w:r>
    </w:p>
  </w:footnote>
  <w:footnote w:id="128">
    <w:p w14:paraId="15BCA880" w14:textId="66169892" w:rsidR="00D2419E" w:rsidRPr="007154F4" w:rsidRDefault="00D2419E">
      <w:pPr>
        <w:pStyle w:val="FootnoteText"/>
        <w:rPr>
          <w:sz w:val="18"/>
          <w:szCs w:val="18"/>
        </w:rPr>
      </w:pPr>
      <w:r w:rsidRPr="007154F4">
        <w:rPr>
          <w:rStyle w:val="FootnoteReference"/>
          <w:sz w:val="18"/>
          <w:szCs w:val="18"/>
        </w:rPr>
        <w:footnoteRef/>
      </w:r>
      <w:r w:rsidRPr="007154F4">
        <w:rPr>
          <w:sz w:val="18"/>
          <w:szCs w:val="18"/>
        </w:rPr>
        <w:t xml:space="preserve"> </w:t>
      </w:r>
      <w:r w:rsidRPr="007154F4">
        <w:rPr>
          <w:iCs/>
          <w:sz w:val="18"/>
          <w:szCs w:val="18"/>
          <w:lang w:val="es-ES_tradnl"/>
        </w:rPr>
        <w:t xml:space="preserve">La Ley de Eficiencia de las Pruebas Extranjeras, </w:t>
      </w:r>
      <w:hyperlink r:id="rId50" w:history="1">
        <w:r w:rsidR="000705A6" w:rsidRPr="007154F4">
          <w:rPr>
            <w:rStyle w:val="Hyperlink"/>
            <w:sz w:val="18"/>
            <w:szCs w:val="18"/>
            <w:lang w:val="es-US"/>
          </w:rPr>
          <w:t>https://www.law.cornell.edu/uscode/text/18/3512</w:t>
        </w:r>
      </w:hyperlink>
    </w:p>
  </w:footnote>
  <w:footnote w:id="129">
    <w:p w14:paraId="21197583" w14:textId="4CAB1640" w:rsidR="0063496B" w:rsidRPr="007154F4" w:rsidRDefault="0063496B">
      <w:pPr>
        <w:pStyle w:val="FootnoteText"/>
        <w:rPr>
          <w:sz w:val="18"/>
          <w:szCs w:val="18"/>
          <w:lang w:val="es-US"/>
        </w:rPr>
      </w:pPr>
      <w:r w:rsidRPr="007154F4">
        <w:rPr>
          <w:rStyle w:val="FootnoteReference"/>
          <w:sz w:val="18"/>
          <w:szCs w:val="18"/>
          <w:lang w:val="es-US"/>
        </w:rPr>
        <w:footnoteRef/>
      </w:r>
      <w:r w:rsidRPr="007154F4">
        <w:rPr>
          <w:sz w:val="18"/>
          <w:szCs w:val="18"/>
          <w:lang w:val="es-US"/>
        </w:rPr>
        <w:t xml:space="preserve"> </w:t>
      </w:r>
      <w:r w:rsidR="00D804F2" w:rsidRPr="007154F4">
        <w:rPr>
          <w:sz w:val="18"/>
          <w:szCs w:val="18"/>
          <w:lang w:val="es-US"/>
        </w:rPr>
        <w:t>Respuesta al Cuestionario</w:t>
      </w:r>
      <w:r w:rsidRPr="007154F4">
        <w:rPr>
          <w:sz w:val="18"/>
          <w:szCs w:val="18"/>
          <w:lang w:val="es-US"/>
        </w:rPr>
        <w:t xml:space="preserve">, </w:t>
      </w:r>
      <w:r w:rsidR="0033463A" w:rsidRPr="007154F4">
        <w:rPr>
          <w:sz w:val="18"/>
          <w:szCs w:val="18"/>
          <w:lang w:val="es-US"/>
        </w:rPr>
        <w:t>pág.</w:t>
      </w:r>
      <w:r w:rsidRPr="007154F4">
        <w:rPr>
          <w:sz w:val="18"/>
          <w:szCs w:val="18"/>
          <w:lang w:val="es-US"/>
        </w:rPr>
        <w:t xml:space="preserve"> 3,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10.</w:t>
      </w:r>
    </w:p>
  </w:footnote>
  <w:footnote w:id="130">
    <w:p w14:paraId="05AF630B" w14:textId="5BAA6A3E" w:rsidR="0063496B" w:rsidRPr="007154F4" w:rsidRDefault="0063496B" w:rsidP="005329CC">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7B090F" w:rsidRPr="007154F4">
        <w:rPr>
          <w:sz w:val="18"/>
          <w:szCs w:val="18"/>
          <w:lang w:val="es-US"/>
        </w:rPr>
        <w:t>Preguntas Frecuentes Sobre Asistencia Legal en Materia Penal</w:t>
      </w:r>
      <w:r w:rsidRPr="007154F4">
        <w:rPr>
          <w:sz w:val="18"/>
          <w:szCs w:val="18"/>
          <w:lang w:val="es-US"/>
        </w:rPr>
        <w:t xml:space="preserve">, </w:t>
      </w:r>
      <w:r w:rsidR="00DB19B5" w:rsidRPr="007154F4">
        <w:rPr>
          <w:bCs/>
          <w:iCs/>
          <w:sz w:val="18"/>
          <w:szCs w:val="18"/>
          <w:lang w:val="es-US"/>
        </w:rPr>
        <w:t xml:space="preserve">Oficina de Asuntos Internacionales del Departamento de </w:t>
      </w:r>
      <w:r w:rsidR="00B45BEE" w:rsidRPr="007154F4">
        <w:rPr>
          <w:bCs/>
          <w:iCs/>
          <w:sz w:val="18"/>
          <w:szCs w:val="18"/>
          <w:lang w:val="es-US"/>
        </w:rPr>
        <w:t>Justicia</w:t>
      </w:r>
      <w:r w:rsidR="00B45BEE" w:rsidRPr="007154F4">
        <w:rPr>
          <w:sz w:val="18"/>
          <w:szCs w:val="18"/>
          <w:lang w:val="es-US"/>
        </w:rPr>
        <w:t>, pág.</w:t>
      </w:r>
      <w:r w:rsidRPr="007154F4">
        <w:rPr>
          <w:sz w:val="18"/>
          <w:szCs w:val="18"/>
          <w:lang w:val="es-US"/>
        </w:rPr>
        <w:t xml:space="preserve"> 2, </w:t>
      </w:r>
      <w:hyperlink r:id="rId51" w:history="1">
        <w:r w:rsidRPr="007154F4">
          <w:rPr>
            <w:rStyle w:val="Hyperlink"/>
            <w:sz w:val="18"/>
            <w:szCs w:val="18"/>
            <w:lang w:val="es-US"/>
          </w:rPr>
          <w:t>https://www.justice.gov/criminal-oia/file/1498811/download</w:t>
        </w:r>
      </w:hyperlink>
      <w:r w:rsidRPr="007154F4">
        <w:rPr>
          <w:sz w:val="18"/>
          <w:szCs w:val="18"/>
          <w:lang w:val="es-US"/>
        </w:rPr>
        <w:t xml:space="preserve"> </w:t>
      </w:r>
    </w:p>
  </w:footnote>
  <w:footnote w:id="131">
    <w:p w14:paraId="2D9FB622" w14:textId="715E091E" w:rsidR="0063496B" w:rsidRPr="007154F4" w:rsidRDefault="0063496B" w:rsidP="005329CC">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164A36" w:rsidRPr="007154F4">
        <w:rPr>
          <w:sz w:val="18"/>
          <w:szCs w:val="18"/>
          <w:lang w:val="es-US"/>
        </w:rPr>
        <w:t>Tratados sobre Asistencia Mutua en Materia Penal de Estados Unidos</w:t>
      </w:r>
      <w:r w:rsidRPr="007154F4">
        <w:rPr>
          <w:sz w:val="18"/>
          <w:szCs w:val="18"/>
          <w:lang w:val="es-US"/>
        </w:rPr>
        <w:t xml:space="preserve">, </w:t>
      </w:r>
      <w:hyperlink r:id="rId52" w:history="1">
        <w:r w:rsidRPr="007154F4">
          <w:rPr>
            <w:rStyle w:val="Hyperlink"/>
            <w:sz w:val="18"/>
            <w:szCs w:val="18"/>
            <w:lang w:val="es-US"/>
          </w:rPr>
          <w:t>https://www.justice.gov/criminal-oia/file/1498806/download</w:t>
        </w:r>
      </w:hyperlink>
      <w:r w:rsidRPr="007154F4">
        <w:rPr>
          <w:sz w:val="18"/>
          <w:szCs w:val="18"/>
          <w:lang w:val="es-US"/>
        </w:rPr>
        <w:t xml:space="preserve"> </w:t>
      </w:r>
    </w:p>
  </w:footnote>
  <w:footnote w:id="132">
    <w:p w14:paraId="2D9D2D09" w14:textId="72FE2EF3" w:rsidR="004F51F2" w:rsidRPr="007154F4" w:rsidRDefault="004F51F2" w:rsidP="005329CC">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164A36" w:rsidRPr="007154F4">
        <w:rPr>
          <w:sz w:val="18"/>
          <w:szCs w:val="18"/>
          <w:lang w:val="es-US"/>
        </w:rPr>
        <w:t>Preguntas Frecuentes</w:t>
      </w:r>
      <w:r w:rsidRPr="007154F4">
        <w:rPr>
          <w:sz w:val="18"/>
          <w:szCs w:val="18"/>
          <w:lang w:val="es-US"/>
        </w:rPr>
        <w:t xml:space="preserve">, </w:t>
      </w:r>
      <w:r w:rsidR="00B45BEE" w:rsidRPr="007154F4">
        <w:rPr>
          <w:sz w:val="18"/>
          <w:szCs w:val="18"/>
          <w:lang w:val="es-US"/>
        </w:rPr>
        <w:t>pág.</w:t>
      </w:r>
      <w:r w:rsidRPr="007154F4">
        <w:rPr>
          <w:sz w:val="18"/>
          <w:szCs w:val="18"/>
          <w:lang w:val="es-US"/>
        </w:rPr>
        <w:t xml:space="preserve"> 3, </w:t>
      </w:r>
      <w:r w:rsidRPr="007154F4">
        <w:rPr>
          <w:i/>
          <w:iCs/>
          <w:sz w:val="18"/>
          <w:szCs w:val="18"/>
          <w:lang w:val="es-US"/>
        </w:rPr>
        <w:t xml:space="preserve">supra </w:t>
      </w:r>
      <w:r w:rsidR="00882863" w:rsidRPr="007154F4">
        <w:rPr>
          <w:sz w:val="18"/>
          <w:szCs w:val="18"/>
          <w:lang w:val="es-US"/>
        </w:rPr>
        <w:t>nota 129</w:t>
      </w:r>
      <w:r w:rsidRPr="007154F4">
        <w:rPr>
          <w:sz w:val="18"/>
          <w:szCs w:val="18"/>
          <w:lang w:val="es-US"/>
        </w:rPr>
        <w:t>.</w:t>
      </w:r>
    </w:p>
  </w:footnote>
  <w:footnote w:id="133">
    <w:p w14:paraId="2AFA707A" w14:textId="7FDF5E4D" w:rsidR="00F76C82" w:rsidRPr="007154F4" w:rsidRDefault="00F76C82">
      <w:pPr>
        <w:pStyle w:val="FootnoteText"/>
        <w:rPr>
          <w:i/>
          <w:iCs/>
          <w:sz w:val="18"/>
          <w:szCs w:val="18"/>
          <w:lang w:val="es-US"/>
        </w:rPr>
      </w:pPr>
      <w:r w:rsidRPr="007154F4">
        <w:rPr>
          <w:rStyle w:val="FootnoteReference"/>
          <w:sz w:val="18"/>
          <w:szCs w:val="18"/>
          <w:lang w:val="es-US"/>
        </w:rPr>
        <w:footnoteRef/>
      </w:r>
      <w:r w:rsidRPr="007154F4">
        <w:rPr>
          <w:sz w:val="18"/>
          <w:szCs w:val="18"/>
          <w:lang w:val="es-US"/>
        </w:rPr>
        <w:t xml:space="preserve"> </w:t>
      </w:r>
      <w:r w:rsidR="002733A3" w:rsidRPr="007154F4">
        <w:rPr>
          <w:i/>
          <w:iCs/>
          <w:sz w:val="18"/>
          <w:szCs w:val="18"/>
          <w:lang w:val="es-US"/>
        </w:rPr>
        <w:t>Ibid.</w:t>
      </w:r>
    </w:p>
  </w:footnote>
  <w:footnote w:id="134">
    <w:p w14:paraId="6E8F5B27" w14:textId="10C0CF0E" w:rsidR="003F5055" w:rsidRPr="007154F4" w:rsidRDefault="003F5055" w:rsidP="005329CC">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B45BEE" w:rsidRPr="007154F4">
        <w:rPr>
          <w:sz w:val="18"/>
          <w:szCs w:val="18"/>
          <w:lang w:val="es-US"/>
        </w:rPr>
        <w:t>Las versiones de este documento en francés, portugués y español se pueden consultar en</w:t>
      </w:r>
      <w:r w:rsidRPr="007154F4">
        <w:rPr>
          <w:sz w:val="18"/>
          <w:szCs w:val="18"/>
          <w:lang w:val="es-US"/>
        </w:rPr>
        <w:t xml:space="preserve">: </w:t>
      </w:r>
      <w:hyperlink r:id="rId53" w:history="1">
        <w:r w:rsidRPr="007154F4">
          <w:rPr>
            <w:rStyle w:val="Hyperlink"/>
            <w:sz w:val="18"/>
            <w:szCs w:val="18"/>
            <w:lang w:val="es-US"/>
          </w:rPr>
          <w:t>https://www.justice.gov/criminal/criminal-oia/resources-foreign-authorities</w:t>
        </w:r>
      </w:hyperlink>
      <w:r w:rsidRPr="007154F4">
        <w:rPr>
          <w:sz w:val="18"/>
          <w:szCs w:val="18"/>
          <w:lang w:val="es-US"/>
        </w:rPr>
        <w:t xml:space="preserve"> </w:t>
      </w:r>
    </w:p>
  </w:footnote>
  <w:footnote w:id="135">
    <w:p w14:paraId="7C0FB68B" w14:textId="135FD6FE" w:rsidR="00E826CF" w:rsidRPr="007154F4" w:rsidRDefault="00E826CF" w:rsidP="005329CC">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B45BEE" w:rsidRPr="007154F4">
        <w:rPr>
          <w:sz w:val="18"/>
          <w:szCs w:val="18"/>
          <w:lang w:val="es-US"/>
        </w:rPr>
        <w:t>Preguntas Frecuentes</w:t>
      </w:r>
      <w:r w:rsidRPr="007154F4">
        <w:rPr>
          <w:sz w:val="18"/>
          <w:szCs w:val="18"/>
          <w:lang w:val="es-US"/>
        </w:rPr>
        <w:t xml:space="preserve">, </w:t>
      </w:r>
      <w:r w:rsidR="00B45BEE" w:rsidRPr="007154F4">
        <w:rPr>
          <w:sz w:val="18"/>
          <w:szCs w:val="18"/>
          <w:lang w:val="es-US"/>
        </w:rPr>
        <w:t>pág.</w:t>
      </w:r>
      <w:r w:rsidRPr="007154F4">
        <w:rPr>
          <w:sz w:val="18"/>
          <w:szCs w:val="18"/>
          <w:lang w:val="es-US"/>
        </w:rPr>
        <w:t xml:space="preserve"> 4</w:t>
      </w:r>
      <w:r w:rsidR="005329CC" w:rsidRPr="007154F4">
        <w:rPr>
          <w:sz w:val="18"/>
          <w:szCs w:val="18"/>
          <w:lang w:val="es-US"/>
        </w:rPr>
        <w:t xml:space="preserve">, </w:t>
      </w:r>
      <w:r w:rsidR="005329CC" w:rsidRPr="007154F4">
        <w:rPr>
          <w:i/>
          <w:iCs/>
          <w:sz w:val="18"/>
          <w:szCs w:val="18"/>
          <w:lang w:val="es-US"/>
        </w:rPr>
        <w:t xml:space="preserve">supra </w:t>
      </w:r>
      <w:r w:rsidR="00882863" w:rsidRPr="007154F4">
        <w:rPr>
          <w:sz w:val="18"/>
          <w:szCs w:val="18"/>
          <w:lang w:val="es-US"/>
        </w:rPr>
        <w:t>nota 129</w:t>
      </w:r>
      <w:r w:rsidR="005329CC" w:rsidRPr="007154F4">
        <w:rPr>
          <w:sz w:val="18"/>
          <w:szCs w:val="18"/>
          <w:lang w:val="es-US"/>
        </w:rPr>
        <w:t>.</w:t>
      </w:r>
    </w:p>
  </w:footnote>
  <w:footnote w:id="136">
    <w:p w14:paraId="3B2F84FD" w14:textId="2917BD62" w:rsidR="003F5055" w:rsidRPr="007154F4" w:rsidRDefault="003F5055">
      <w:pPr>
        <w:pStyle w:val="FootnoteText"/>
        <w:rPr>
          <w:i/>
          <w:iCs/>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Ibid.</w:t>
      </w:r>
    </w:p>
  </w:footnote>
  <w:footnote w:id="137">
    <w:p w14:paraId="016012E1" w14:textId="55EBB53B" w:rsidR="005329CC" w:rsidRPr="007154F4" w:rsidRDefault="005329CC">
      <w:pPr>
        <w:pStyle w:val="FootnoteText"/>
        <w:rPr>
          <w:sz w:val="18"/>
          <w:szCs w:val="18"/>
          <w:lang w:val="es-US"/>
        </w:rPr>
      </w:pPr>
      <w:r w:rsidRPr="007154F4">
        <w:rPr>
          <w:rStyle w:val="FootnoteReference"/>
          <w:sz w:val="18"/>
          <w:szCs w:val="18"/>
          <w:lang w:val="es-US"/>
        </w:rPr>
        <w:footnoteRef/>
      </w:r>
      <w:r w:rsidRPr="007154F4">
        <w:rPr>
          <w:sz w:val="18"/>
          <w:szCs w:val="18"/>
          <w:lang w:val="es-US"/>
        </w:rPr>
        <w:t xml:space="preserve"> </w:t>
      </w:r>
      <w:r w:rsidRPr="007154F4">
        <w:rPr>
          <w:i/>
          <w:iCs/>
          <w:sz w:val="18"/>
          <w:szCs w:val="18"/>
          <w:lang w:val="es-US"/>
        </w:rPr>
        <w:t>Ibid.</w:t>
      </w:r>
      <w:r w:rsidRPr="007154F4">
        <w:rPr>
          <w:sz w:val="18"/>
          <w:szCs w:val="18"/>
          <w:lang w:val="es-US"/>
        </w:rPr>
        <w:t xml:space="preserve">, </w:t>
      </w:r>
      <w:r w:rsidR="00D54703" w:rsidRPr="007154F4">
        <w:rPr>
          <w:sz w:val="18"/>
          <w:szCs w:val="18"/>
          <w:lang w:val="es-US"/>
        </w:rPr>
        <w:t>pág.</w:t>
      </w:r>
      <w:r w:rsidRPr="007154F4">
        <w:rPr>
          <w:sz w:val="18"/>
          <w:szCs w:val="18"/>
          <w:lang w:val="es-US"/>
        </w:rPr>
        <w:t xml:space="preserve"> 5.</w:t>
      </w:r>
    </w:p>
  </w:footnote>
  <w:footnote w:id="138">
    <w:p w14:paraId="2ABBE734" w14:textId="458E027B" w:rsidR="00F67301" w:rsidRPr="007154F4" w:rsidRDefault="00F67301" w:rsidP="00F67301">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E90E99" w:rsidRPr="007154F4">
        <w:rPr>
          <w:sz w:val="18"/>
          <w:szCs w:val="18"/>
          <w:lang w:val="es-US"/>
        </w:rPr>
        <w:t xml:space="preserve">Respuesta al </w:t>
      </w:r>
      <w:r w:rsidR="00D54703" w:rsidRPr="007154F4">
        <w:rPr>
          <w:sz w:val="18"/>
          <w:szCs w:val="18"/>
          <w:lang w:val="es-US"/>
        </w:rPr>
        <w:t>Cuestionario</w:t>
      </w:r>
      <w:r w:rsidRPr="007154F4">
        <w:rPr>
          <w:sz w:val="18"/>
          <w:szCs w:val="18"/>
          <w:lang w:val="es-US"/>
        </w:rPr>
        <w:t xml:space="preserve">, </w:t>
      </w:r>
      <w:r w:rsidR="00D54703" w:rsidRPr="007154F4">
        <w:rPr>
          <w:sz w:val="18"/>
          <w:szCs w:val="18"/>
          <w:lang w:val="es-US"/>
        </w:rPr>
        <w:t>pág.</w:t>
      </w:r>
      <w:r w:rsidRPr="007154F4">
        <w:rPr>
          <w:sz w:val="18"/>
          <w:szCs w:val="18"/>
          <w:lang w:val="es-US"/>
        </w:rPr>
        <w:t xml:space="preserve"> 4, </w:t>
      </w:r>
      <w:r w:rsidRPr="007154F4">
        <w:rPr>
          <w:i/>
          <w:iCs/>
          <w:sz w:val="18"/>
          <w:szCs w:val="18"/>
          <w:lang w:val="es-US"/>
        </w:rPr>
        <w:t xml:space="preserve">supra </w:t>
      </w:r>
      <w:r w:rsidR="001B34AB" w:rsidRPr="007154F4">
        <w:rPr>
          <w:sz w:val="18"/>
          <w:szCs w:val="18"/>
          <w:lang w:val="es-US"/>
        </w:rPr>
        <w:t>nota</w:t>
      </w:r>
      <w:r w:rsidRPr="007154F4">
        <w:rPr>
          <w:sz w:val="18"/>
          <w:szCs w:val="18"/>
          <w:lang w:val="es-US"/>
        </w:rPr>
        <w:t xml:space="preserve"> 3.</w:t>
      </w:r>
    </w:p>
  </w:footnote>
  <w:footnote w:id="139">
    <w:p w14:paraId="6F3E709C" w14:textId="7B77B850" w:rsidR="00BE4A7A" w:rsidRPr="007154F4" w:rsidRDefault="00BE4A7A" w:rsidP="00F67301">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F67301" w:rsidRPr="007154F4">
        <w:rPr>
          <w:i/>
          <w:iCs/>
          <w:sz w:val="18"/>
          <w:szCs w:val="18"/>
          <w:lang w:val="es-US"/>
        </w:rPr>
        <w:t>Ibid.</w:t>
      </w:r>
    </w:p>
  </w:footnote>
  <w:footnote w:id="140">
    <w:p w14:paraId="636A0AFE" w14:textId="70BD890F" w:rsidR="000D1087" w:rsidRPr="007154F4" w:rsidRDefault="000D1087" w:rsidP="00F67301">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D54703" w:rsidRPr="007154F4">
        <w:rPr>
          <w:sz w:val="18"/>
          <w:szCs w:val="18"/>
          <w:lang w:val="es-US"/>
        </w:rPr>
        <w:t xml:space="preserve">Véanse el Artículo 25 de la Convención Interamericana sobre Asistencia. Mutua en Materia Penal,  </w:t>
      </w:r>
      <w:hyperlink r:id="rId54" w:history="1">
        <w:r w:rsidR="00D54703" w:rsidRPr="007154F4">
          <w:rPr>
            <w:rStyle w:val="Hyperlink"/>
            <w:sz w:val="18"/>
            <w:szCs w:val="18"/>
            <w:lang w:val="es-US"/>
          </w:rPr>
          <w:t>https://www.oas.org/juridico/spanish/firmas/a-55.html</w:t>
        </w:r>
      </w:hyperlink>
      <w:r w:rsidR="00D54703" w:rsidRPr="007154F4">
        <w:rPr>
          <w:sz w:val="18"/>
          <w:szCs w:val="18"/>
          <w:lang w:val="es-US"/>
        </w:rPr>
        <w:t xml:space="preserve"> así como los tratados de asistencia mutua en materia penal de Estados Unidos, pág. 8, </w:t>
      </w:r>
      <w:r w:rsidR="00D54703" w:rsidRPr="007154F4">
        <w:rPr>
          <w:i/>
          <w:iCs/>
          <w:sz w:val="18"/>
          <w:szCs w:val="18"/>
          <w:lang w:val="es-US"/>
        </w:rPr>
        <w:t xml:space="preserve">supra </w:t>
      </w:r>
      <w:r w:rsidR="00D54703" w:rsidRPr="007154F4">
        <w:rPr>
          <w:sz w:val="18"/>
          <w:szCs w:val="18"/>
          <w:lang w:val="es-US"/>
        </w:rPr>
        <w:t>nota 1</w:t>
      </w:r>
      <w:r w:rsidR="00FE73EC" w:rsidRPr="007154F4">
        <w:rPr>
          <w:sz w:val="18"/>
          <w:szCs w:val="18"/>
          <w:lang w:val="es-US"/>
        </w:rPr>
        <w:t>29</w:t>
      </w:r>
      <w:r w:rsidR="002E1B97" w:rsidRPr="007154F4">
        <w:rPr>
          <w:sz w:val="18"/>
          <w:szCs w:val="18"/>
          <w:lang w:val="es-US"/>
        </w:rPr>
        <w:t>.</w:t>
      </w:r>
    </w:p>
  </w:footnote>
  <w:footnote w:id="141">
    <w:p w14:paraId="14AD7EE4" w14:textId="4458FE37" w:rsidR="00B957C8" w:rsidRPr="007154F4" w:rsidRDefault="00B957C8" w:rsidP="00B957C8">
      <w:pPr>
        <w:pStyle w:val="FootnoteText"/>
        <w:rPr>
          <w:sz w:val="18"/>
          <w:szCs w:val="18"/>
          <w:lang w:val="es-US"/>
        </w:rPr>
      </w:pPr>
      <w:r w:rsidRPr="007154F4">
        <w:rPr>
          <w:rStyle w:val="FootnoteReference"/>
          <w:sz w:val="18"/>
          <w:szCs w:val="18"/>
          <w:lang w:val="es-US"/>
        </w:rPr>
        <w:footnoteRef/>
      </w:r>
      <w:r w:rsidRPr="007154F4">
        <w:rPr>
          <w:sz w:val="18"/>
          <w:szCs w:val="18"/>
          <w:lang w:val="es-US"/>
        </w:rPr>
        <w:t xml:space="preserve"> </w:t>
      </w:r>
      <w:r w:rsidR="00E11106" w:rsidRPr="007154F4">
        <w:rPr>
          <w:sz w:val="18"/>
          <w:szCs w:val="18"/>
          <w:lang w:val="es-US"/>
        </w:rPr>
        <w:t>Preguntas Frecuentes</w:t>
      </w:r>
      <w:r w:rsidRPr="007154F4">
        <w:rPr>
          <w:sz w:val="18"/>
          <w:szCs w:val="18"/>
          <w:lang w:val="es-US"/>
        </w:rPr>
        <w:t xml:space="preserve">, </w:t>
      </w:r>
      <w:r w:rsidR="00E11106" w:rsidRPr="007154F4">
        <w:rPr>
          <w:sz w:val="18"/>
          <w:szCs w:val="18"/>
          <w:lang w:val="es-US"/>
        </w:rPr>
        <w:t>pág.</w:t>
      </w:r>
      <w:r w:rsidRPr="007154F4">
        <w:rPr>
          <w:sz w:val="18"/>
          <w:szCs w:val="18"/>
          <w:lang w:val="es-US"/>
        </w:rPr>
        <w:t xml:space="preserve"> 5, </w:t>
      </w:r>
      <w:r w:rsidRPr="007154F4">
        <w:rPr>
          <w:i/>
          <w:iCs/>
          <w:sz w:val="18"/>
          <w:szCs w:val="18"/>
          <w:lang w:val="es-US"/>
        </w:rPr>
        <w:t xml:space="preserve">supra </w:t>
      </w:r>
      <w:r w:rsidR="00882863" w:rsidRPr="007154F4">
        <w:rPr>
          <w:sz w:val="18"/>
          <w:szCs w:val="18"/>
          <w:lang w:val="es-US"/>
        </w:rPr>
        <w:t>nota 129</w:t>
      </w:r>
      <w:r w:rsidRPr="007154F4">
        <w:rPr>
          <w:sz w:val="18"/>
          <w:szCs w:val="18"/>
          <w:lang w:val="es-US"/>
        </w:rPr>
        <w:t>.</w:t>
      </w:r>
    </w:p>
  </w:footnote>
  <w:footnote w:id="142">
    <w:p w14:paraId="27D44399" w14:textId="415E426A" w:rsidR="00B327E9" w:rsidRPr="007154F4" w:rsidRDefault="00B327E9" w:rsidP="00B327E9">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686E58" w:rsidRPr="007154F4">
        <w:rPr>
          <w:sz w:val="18"/>
          <w:szCs w:val="18"/>
          <w:lang w:val="es-US"/>
        </w:rPr>
        <w:t>Respuesta al Cuestionario</w:t>
      </w:r>
      <w:r w:rsidRPr="007154F4">
        <w:rPr>
          <w:sz w:val="18"/>
          <w:szCs w:val="18"/>
          <w:lang w:val="es-US"/>
        </w:rPr>
        <w:t xml:space="preserve">., </w:t>
      </w:r>
      <w:r w:rsidR="00686E58" w:rsidRPr="007154F4">
        <w:rPr>
          <w:sz w:val="18"/>
          <w:szCs w:val="18"/>
          <w:lang w:val="es-US"/>
        </w:rPr>
        <w:t>pág.</w:t>
      </w:r>
      <w:r w:rsidRPr="007154F4">
        <w:rPr>
          <w:sz w:val="18"/>
          <w:szCs w:val="18"/>
          <w:lang w:val="es-US"/>
        </w:rPr>
        <w:t xml:space="preserve"> </w:t>
      </w:r>
      <w:r w:rsidR="00EF2A26" w:rsidRPr="007154F4">
        <w:rPr>
          <w:sz w:val="18"/>
          <w:szCs w:val="18"/>
          <w:lang w:val="es-US"/>
        </w:rPr>
        <w:t xml:space="preserve">5, </w:t>
      </w:r>
      <w:r w:rsidR="00EF2A26" w:rsidRPr="007154F4">
        <w:rPr>
          <w:i/>
          <w:iCs/>
          <w:sz w:val="18"/>
          <w:szCs w:val="18"/>
          <w:lang w:val="es-US"/>
        </w:rPr>
        <w:t xml:space="preserve">supra </w:t>
      </w:r>
      <w:r w:rsidR="001B34AB" w:rsidRPr="007154F4">
        <w:rPr>
          <w:sz w:val="18"/>
          <w:szCs w:val="18"/>
          <w:lang w:val="es-US"/>
        </w:rPr>
        <w:t>nota</w:t>
      </w:r>
      <w:r w:rsidR="00EF2A26" w:rsidRPr="007154F4">
        <w:rPr>
          <w:sz w:val="18"/>
          <w:szCs w:val="18"/>
          <w:lang w:val="es-US"/>
        </w:rPr>
        <w:t xml:space="preserve"> 3.</w:t>
      </w:r>
    </w:p>
  </w:footnote>
  <w:footnote w:id="143">
    <w:p w14:paraId="3555745C" w14:textId="31113E75" w:rsidR="009C21AA" w:rsidRPr="007154F4" w:rsidRDefault="009C21AA">
      <w:pPr>
        <w:pStyle w:val="FootnoteText"/>
        <w:rPr>
          <w:sz w:val="18"/>
          <w:szCs w:val="18"/>
          <w:lang w:val="es-US"/>
        </w:rPr>
      </w:pPr>
      <w:r w:rsidRPr="007154F4">
        <w:rPr>
          <w:rStyle w:val="FootnoteReference"/>
          <w:sz w:val="18"/>
          <w:szCs w:val="18"/>
          <w:lang w:val="es-US"/>
        </w:rPr>
        <w:footnoteRef/>
      </w:r>
      <w:r w:rsidRPr="007154F4">
        <w:rPr>
          <w:sz w:val="18"/>
          <w:szCs w:val="18"/>
          <w:lang w:val="es-US"/>
        </w:rPr>
        <w:t xml:space="preserve"> </w:t>
      </w:r>
      <w:r w:rsidR="00686E58" w:rsidRPr="007154F4">
        <w:rPr>
          <w:sz w:val="18"/>
          <w:szCs w:val="18"/>
          <w:lang w:val="es-US"/>
        </w:rPr>
        <w:t>Información Adicional sobre los Temas Analizados</w:t>
      </w:r>
      <w:r w:rsidRPr="007154F4">
        <w:rPr>
          <w:sz w:val="18"/>
          <w:szCs w:val="18"/>
          <w:lang w:val="es-US"/>
        </w:rPr>
        <w:t xml:space="preserve">, </w:t>
      </w:r>
      <w:r w:rsidR="00686E58" w:rsidRPr="007154F4">
        <w:rPr>
          <w:sz w:val="18"/>
          <w:szCs w:val="18"/>
          <w:lang w:val="es-US"/>
        </w:rPr>
        <w:t>pág.</w:t>
      </w:r>
      <w:r w:rsidRPr="007154F4">
        <w:rPr>
          <w:sz w:val="18"/>
          <w:szCs w:val="18"/>
          <w:lang w:val="es-US"/>
        </w:rPr>
        <w:t xml:space="preserve"> 1, </w:t>
      </w:r>
      <w:r w:rsidRPr="007154F4">
        <w:rPr>
          <w:i/>
          <w:iCs/>
          <w:sz w:val="18"/>
          <w:szCs w:val="18"/>
          <w:lang w:val="es-US"/>
        </w:rPr>
        <w:t xml:space="preserve">supra </w:t>
      </w:r>
      <w:r w:rsidR="00882863" w:rsidRPr="007154F4">
        <w:rPr>
          <w:sz w:val="18"/>
          <w:szCs w:val="18"/>
          <w:lang w:val="es-US"/>
        </w:rPr>
        <w:t>nota 76</w:t>
      </w:r>
      <w:r w:rsidRPr="007154F4">
        <w:rPr>
          <w:sz w:val="18"/>
          <w:szCs w:val="18"/>
          <w:lang w:val="es-US"/>
        </w:rPr>
        <w:t>.</w:t>
      </w:r>
    </w:p>
  </w:footnote>
  <w:footnote w:id="144">
    <w:p w14:paraId="27EFAEE8" w14:textId="532FBD43" w:rsidR="0034328B" w:rsidRPr="007154F4" w:rsidRDefault="0034328B" w:rsidP="0034328B">
      <w:pPr>
        <w:pStyle w:val="FootnoteText"/>
        <w:jc w:val="both"/>
        <w:rPr>
          <w:sz w:val="18"/>
          <w:szCs w:val="18"/>
          <w:lang w:val="es-US"/>
        </w:rPr>
      </w:pPr>
      <w:r w:rsidRPr="007154F4">
        <w:rPr>
          <w:rStyle w:val="FootnoteReference"/>
          <w:sz w:val="18"/>
          <w:szCs w:val="18"/>
          <w:lang w:val="es-US"/>
        </w:rPr>
        <w:footnoteRef/>
      </w:r>
      <w:r w:rsidRPr="007154F4">
        <w:rPr>
          <w:sz w:val="18"/>
          <w:szCs w:val="18"/>
          <w:lang w:val="es-US"/>
        </w:rPr>
        <w:t xml:space="preserve"> </w:t>
      </w:r>
      <w:r w:rsidR="004533C5" w:rsidRPr="007154F4">
        <w:rPr>
          <w:sz w:val="18"/>
          <w:szCs w:val="18"/>
          <w:lang w:val="es-US"/>
        </w:rPr>
        <w:t>Respuesta al Cuestionario</w:t>
      </w:r>
      <w:r w:rsidRPr="007154F4">
        <w:rPr>
          <w:sz w:val="18"/>
          <w:szCs w:val="18"/>
          <w:lang w:val="es-US"/>
        </w:rPr>
        <w:t xml:space="preserve">, </w:t>
      </w:r>
      <w:r w:rsidR="004533C5" w:rsidRPr="007154F4">
        <w:rPr>
          <w:sz w:val="18"/>
          <w:szCs w:val="18"/>
          <w:lang w:val="es-US"/>
        </w:rPr>
        <w:t>págs.</w:t>
      </w:r>
      <w:r w:rsidRPr="007154F4">
        <w:rPr>
          <w:sz w:val="18"/>
          <w:szCs w:val="18"/>
          <w:lang w:val="es-US"/>
        </w:rPr>
        <w:t xml:space="preserve"> 38 – 39, </w:t>
      </w:r>
      <w:r w:rsidRPr="007154F4">
        <w:rPr>
          <w:i/>
          <w:iCs/>
          <w:sz w:val="18"/>
          <w:szCs w:val="18"/>
          <w:lang w:val="es-US"/>
        </w:rPr>
        <w:t>supra</w:t>
      </w:r>
      <w:r w:rsidRPr="007154F4">
        <w:rPr>
          <w:sz w:val="18"/>
          <w:szCs w:val="18"/>
          <w:lang w:val="es-US"/>
        </w:rPr>
        <w:t xml:space="preserve"> </w:t>
      </w:r>
      <w:r w:rsidR="001B34AB" w:rsidRPr="007154F4">
        <w:rPr>
          <w:sz w:val="18"/>
          <w:szCs w:val="18"/>
          <w:lang w:val="es-US"/>
        </w:rPr>
        <w:t>nota</w:t>
      </w:r>
      <w:r w:rsidRPr="007154F4">
        <w:rPr>
          <w:sz w:val="18"/>
          <w:szCs w:val="18"/>
          <w:lang w:val="es-US"/>
        </w:rPr>
        <w:t xml:space="preserv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520668"/>
      <w:docPartObj>
        <w:docPartGallery w:val="Page Numbers (Top of Page)"/>
        <w:docPartUnique/>
      </w:docPartObj>
    </w:sdtPr>
    <w:sdtEndPr>
      <w:rPr>
        <w:noProof/>
      </w:rPr>
    </w:sdtEndPr>
    <w:sdtContent>
      <w:p w14:paraId="4871B8C0" w14:textId="6C437C3B" w:rsidR="006D76BC" w:rsidRDefault="006D76B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3C6E4D" w14:textId="77777777" w:rsidR="006D76BC" w:rsidRDefault="006D7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13C8" w14:textId="2BDF8C0A" w:rsidR="00FB448C" w:rsidRDefault="00FB448C" w:rsidP="00425783">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01B3">
      <w:rPr>
        <w:rStyle w:val="PageNumber"/>
        <w:noProof/>
      </w:rPr>
      <w:t>- 2 -</w:t>
    </w:r>
    <w:r>
      <w:rPr>
        <w:rStyle w:val="PageNumber"/>
      </w:rPr>
      <w:fldChar w:fldCharType="end"/>
    </w:r>
  </w:p>
  <w:p w14:paraId="7EE5D06B" w14:textId="77777777" w:rsidR="00FB448C" w:rsidRDefault="00FB448C" w:rsidP="00C738E3">
    <w:pPr>
      <w:pStyle w:val="Header"/>
      <w:ind w:right="360"/>
    </w:pPr>
  </w:p>
  <w:p w14:paraId="15B7C2FD" w14:textId="77777777" w:rsidR="00FB448C" w:rsidRDefault="00FB44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154753"/>
      <w:docPartObj>
        <w:docPartGallery w:val="Page Numbers (Top of Page)"/>
        <w:docPartUnique/>
      </w:docPartObj>
    </w:sdtPr>
    <w:sdtEndPr>
      <w:rPr>
        <w:noProof/>
      </w:rPr>
    </w:sdtEndPr>
    <w:sdtContent>
      <w:p w14:paraId="55B72AE4" w14:textId="4C12E259" w:rsidR="00A23850" w:rsidRDefault="00A2385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EA3649F" w14:textId="77777777" w:rsidR="00FB448C" w:rsidRDefault="00FB44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hint="default"/>
        <w:sz w:val="22"/>
        <w:szCs w:val="22"/>
        <w:vertAlign w:val="superscript"/>
        <w:lang w:val="es-CO"/>
      </w:rPr>
    </w:lvl>
    <w:lvl w:ilvl="1">
      <w:numFmt w:val="bullet"/>
      <w:lvlText w:val="-"/>
      <w:lvlJc w:val="left"/>
      <w:pPr>
        <w:tabs>
          <w:tab w:val="num" w:pos="1440"/>
        </w:tabs>
        <w:ind w:left="1440" w:hanging="360"/>
      </w:pPr>
      <w:rPr>
        <w:rFonts w:ascii="Times New Roman" w:hAnsi="Times New Roman" w:cs="Times New Roman" w:hint="default"/>
        <w:sz w:val="22"/>
        <w:szCs w:val="22"/>
        <w:lang w:val="es-E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0458AD"/>
    <w:multiLevelType w:val="multilevel"/>
    <w:tmpl w:val="8006F632"/>
    <w:lvl w:ilvl="0">
      <w:start w:val="6"/>
      <w:numFmt w:val="decimal"/>
      <w:lvlText w:val="%1."/>
      <w:lvlJc w:val="left"/>
      <w:pPr>
        <w:ind w:left="500" w:hanging="500"/>
      </w:pPr>
      <w:rPr>
        <w:rFonts w:hint="default"/>
      </w:rPr>
    </w:lvl>
    <w:lvl w:ilvl="1">
      <w:start w:val="4"/>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8B2C20"/>
    <w:multiLevelType w:val="hybridMultilevel"/>
    <w:tmpl w:val="79D2F7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8E6048C"/>
    <w:multiLevelType w:val="multilevel"/>
    <w:tmpl w:val="665681F2"/>
    <w:lvl w:ilvl="0">
      <w:start w:val="1"/>
      <w:numFmt w:val="decimal"/>
      <w:lvlText w:val="%1."/>
      <w:lvlJc w:val="left"/>
      <w:pPr>
        <w:tabs>
          <w:tab w:val="num" w:pos="360"/>
        </w:tabs>
        <w:ind w:left="360" w:hanging="360"/>
      </w:pPr>
      <w:rPr>
        <w:rFonts w:hint="default"/>
        <w:i w:val="0"/>
        <w:iCs/>
      </w:rPr>
    </w:lvl>
    <w:lvl w:ilvl="1">
      <w:start w:val="1"/>
      <w:numFmt w:val="decimal"/>
      <w:lvlText w:val="%1.%2."/>
      <w:lvlJc w:val="left"/>
      <w:pPr>
        <w:tabs>
          <w:tab w:val="num" w:pos="720"/>
        </w:tabs>
        <w:ind w:left="720" w:hanging="360"/>
      </w:pPr>
      <w:rPr>
        <w:rFonts w:hint="default"/>
        <w:b/>
        <w:bCs/>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4386E09"/>
    <w:multiLevelType w:val="multilevel"/>
    <w:tmpl w:val="EC84437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7960B6C"/>
    <w:multiLevelType w:val="multilevel"/>
    <w:tmpl w:val="B03EC6A8"/>
    <w:lvl w:ilvl="0">
      <w:start w:val="1"/>
      <w:numFmt w:val="decimal"/>
      <w:lvlText w:val="%1"/>
      <w:lvlJc w:val="left"/>
      <w:pPr>
        <w:ind w:left="440" w:hanging="440"/>
      </w:pPr>
      <w:rPr>
        <w:rFonts w:hint="default"/>
      </w:rPr>
    </w:lvl>
    <w:lvl w:ilvl="1">
      <w:start w:val="2"/>
      <w:numFmt w:val="decimal"/>
      <w:lvlText w:val="%1.%2"/>
      <w:lvlJc w:val="left"/>
      <w:pPr>
        <w:ind w:left="800" w:hanging="4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6430E5"/>
    <w:multiLevelType w:val="hybridMultilevel"/>
    <w:tmpl w:val="D85A9C20"/>
    <w:styleLink w:val="Estiloimportado6"/>
    <w:lvl w:ilvl="0" w:tplc="0262E654">
      <w:start w:val="1"/>
      <w:numFmt w:val="lowerRoman"/>
      <w:lvlText w:val="%1."/>
      <w:lvlJc w:val="left"/>
      <w:pPr>
        <w:ind w:left="0" w:firstLine="0"/>
      </w:pPr>
      <w:rPr>
        <w:rFonts w:hAnsi="Arial Unicode MS"/>
        <w:i/>
        <w:iCs/>
        <w:caps w:val="0"/>
        <w:smallCaps w:val="0"/>
        <w:strike w:val="0"/>
        <w:dstrike w:val="0"/>
        <w:color w:val="000000"/>
        <w:spacing w:val="0"/>
        <w:w w:val="100"/>
        <w:kern w:val="0"/>
        <w:position w:val="0"/>
        <w:highlight w:val="none"/>
        <w:u w:val="none"/>
        <w:effect w:val="none"/>
        <w:vertAlign w:val="baseline"/>
      </w:rPr>
    </w:lvl>
    <w:lvl w:ilvl="1" w:tplc="B1FA5BBA">
      <w:start w:val="1"/>
      <w:numFmt w:val="lowerLetter"/>
      <w:lvlText w:val="%2."/>
      <w:lvlJc w:val="left"/>
      <w:pPr>
        <w:ind w:left="0" w:firstLine="0"/>
      </w:pPr>
      <w:rPr>
        <w:rFonts w:hAnsi="Arial Unicode MS"/>
        <w:i/>
        <w:iCs/>
        <w:caps w:val="0"/>
        <w:smallCaps w:val="0"/>
        <w:strike w:val="0"/>
        <w:dstrike w:val="0"/>
        <w:color w:val="000000"/>
        <w:spacing w:val="0"/>
        <w:w w:val="100"/>
        <w:kern w:val="0"/>
        <w:position w:val="0"/>
        <w:highlight w:val="none"/>
        <w:u w:val="none"/>
        <w:effect w:val="none"/>
        <w:vertAlign w:val="baseline"/>
      </w:rPr>
    </w:lvl>
    <w:lvl w:ilvl="2" w:tplc="7B3C2A42">
      <w:start w:val="1"/>
      <w:numFmt w:val="lowerRoman"/>
      <w:lvlText w:val="%3."/>
      <w:lvlJc w:val="left"/>
      <w:pPr>
        <w:ind w:left="0" w:firstLine="0"/>
      </w:pPr>
      <w:rPr>
        <w:rFonts w:hAnsi="Arial Unicode MS"/>
        <w:i/>
        <w:iCs/>
        <w:caps w:val="0"/>
        <w:smallCaps w:val="0"/>
        <w:strike w:val="0"/>
        <w:dstrike w:val="0"/>
        <w:color w:val="000000"/>
        <w:spacing w:val="0"/>
        <w:w w:val="100"/>
        <w:kern w:val="0"/>
        <w:position w:val="0"/>
        <w:highlight w:val="none"/>
        <w:u w:val="none"/>
        <w:effect w:val="none"/>
        <w:vertAlign w:val="baseline"/>
      </w:rPr>
    </w:lvl>
    <w:lvl w:ilvl="3" w:tplc="8A72C040">
      <w:start w:val="1"/>
      <w:numFmt w:val="decimal"/>
      <w:lvlText w:val="%4."/>
      <w:lvlJc w:val="left"/>
      <w:pPr>
        <w:ind w:left="0" w:firstLine="0"/>
      </w:pPr>
      <w:rPr>
        <w:rFonts w:hAnsi="Arial Unicode MS"/>
        <w:i/>
        <w:iCs/>
        <w:caps w:val="0"/>
        <w:smallCaps w:val="0"/>
        <w:strike w:val="0"/>
        <w:dstrike w:val="0"/>
        <w:color w:val="000000"/>
        <w:spacing w:val="0"/>
        <w:w w:val="100"/>
        <w:kern w:val="0"/>
        <w:position w:val="0"/>
        <w:highlight w:val="none"/>
        <w:u w:val="none"/>
        <w:effect w:val="none"/>
        <w:vertAlign w:val="baseline"/>
      </w:rPr>
    </w:lvl>
    <w:lvl w:ilvl="4" w:tplc="F47CE266">
      <w:start w:val="1"/>
      <w:numFmt w:val="lowerLetter"/>
      <w:lvlText w:val="%5."/>
      <w:lvlJc w:val="left"/>
      <w:pPr>
        <w:ind w:left="0" w:firstLine="0"/>
      </w:pPr>
      <w:rPr>
        <w:rFonts w:hAnsi="Arial Unicode MS"/>
        <w:i/>
        <w:iCs/>
        <w:caps w:val="0"/>
        <w:smallCaps w:val="0"/>
        <w:strike w:val="0"/>
        <w:dstrike w:val="0"/>
        <w:color w:val="000000"/>
        <w:spacing w:val="0"/>
        <w:w w:val="100"/>
        <w:kern w:val="0"/>
        <w:position w:val="0"/>
        <w:highlight w:val="none"/>
        <w:u w:val="none"/>
        <w:effect w:val="none"/>
        <w:vertAlign w:val="baseline"/>
      </w:rPr>
    </w:lvl>
    <w:lvl w:ilvl="5" w:tplc="FB6C1C18">
      <w:start w:val="1"/>
      <w:numFmt w:val="lowerRoman"/>
      <w:lvlText w:val="%6."/>
      <w:lvlJc w:val="left"/>
      <w:pPr>
        <w:ind w:left="0" w:firstLine="0"/>
      </w:pPr>
      <w:rPr>
        <w:rFonts w:hAnsi="Arial Unicode MS"/>
        <w:i/>
        <w:iCs/>
        <w:caps w:val="0"/>
        <w:smallCaps w:val="0"/>
        <w:strike w:val="0"/>
        <w:dstrike w:val="0"/>
        <w:color w:val="000000"/>
        <w:spacing w:val="0"/>
        <w:w w:val="100"/>
        <w:kern w:val="0"/>
        <w:position w:val="0"/>
        <w:highlight w:val="none"/>
        <w:u w:val="none"/>
        <w:effect w:val="none"/>
        <w:vertAlign w:val="baseline"/>
      </w:rPr>
    </w:lvl>
    <w:lvl w:ilvl="6" w:tplc="3398CE60">
      <w:start w:val="1"/>
      <w:numFmt w:val="decimal"/>
      <w:lvlText w:val="%7."/>
      <w:lvlJc w:val="left"/>
      <w:pPr>
        <w:ind w:left="0" w:firstLine="0"/>
      </w:pPr>
      <w:rPr>
        <w:rFonts w:hAnsi="Arial Unicode MS"/>
        <w:i/>
        <w:iCs/>
        <w:caps w:val="0"/>
        <w:smallCaps w:val="0"/>
        <w:strike w:val="0"/>
        <w:dstrike w:val="0"/>
        <w:color w:val="000000"/>
        <w:spacing w:val="0"/>
        <w:w w:val="100"/>
        <w:kern w:val="0"/>
        <w:position w:val="0"/>
        <w:highlight w:val="none"/>
        <w:u w:val="none"/>
        <w:effect w:val="none"/>
        <w:vertAlign w:val="baseline"/>
      </w:rPr>
    </w:lvl>
    <w:lvl w:ilvl="7" w:tplc="B32C0E2C">
      <w:start w:val="1"/>
      <w:numFmt w:val="lowerLetter"/>
      <w:lvlText w:val="%8."/>
      <w:lvlJc w:val="left"/>
      <w:pPr>
        <w:ind w:left="0" w:firstLine="0"/>
      </w:pPr>
      <w:rPr>
        <w:rFonts w:hAnsi="Arial Unicode MS"/>
        <w:i/>
        <w:iCs/>
        <w:caps w:val="0"/>
        <w:smallCaps w:val="0"/>
        <w:strike w:val="0"/>
        <w:dstrike w:val="0"/>
        <w:color w:val="000000"/>
        <w:spacing w:val="0"/>
        <w:w w:val="100"/>
        <w:kern w:val="0"/>
        <w:position w:val="0"/>
        <w:highlight w:val="none"/>
        <w:u w:val="none"/>
        <w:effect w:val="none"/>
        <w:vertAlign w:val="baseline"/>
      </w:rPr>
    </w:lvl>
    <w:lvl w:ilvl="8" w:tplc="134E0CF2">
      <w:start w:val="1"/>
      <w:numFmt w:val="lowerRoman"/>
      <w:lvlText w:val="%9."/>
      <w:lvlJc w:val="left"/>
      <w:pPr>
        <w:ind w:left="0" w:firstLine="0"/>
      </w:pPr>
      <w:rPr>
        <w:rFonts w:hAnsi="Arial Unicode MS"/>
        <w:i/>
        <w:iCs/>
        <w:caps w:val="0"/>
        <w:smallCaps w:val="0"/>
        <w:strike w:val="0"/>
        <w:dstrike w:val="0"/>
        <w:color w:val="000000"/>
        <w:spacing w:val="0"/>
        <w:w w:val="100"/>
        <w:kern w:val="0"/>
        <w:position w:val="0"/>
        <w:highlight w:val="none"/>
        <w:u w:val="none"/>
        <w:effect w:val="none"/>
        <w:vertAlign w:val="baseline"/>
      </w:rPr>
    </w:lvl>
  </w:abstractNum>
  <w:abstractNum w:abstractNumId="8" w15:restartNumberingAfterBreak="0">
    <w:nsid w:val="1F9B3377"/>
    <w:multiLevelType w:val="multilevel"/>
    <w:tmpl w:val="580E8EC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0064941"/>
    <w:multiLevelType w:val="hybridMultilevel"/>
    <w:tmpl w:val="E8A0D656"/>
    <w:lvl w:ilvl="0" w:tplc="D03886F6">
      <w:start w:val="1"/>
      <w:numFmt w:val="decimal"/>
      <w:lvlText w:val="[%1]"/>
      <w:lvlJc w:val="left"/>
      <w:pPr>
        <w:ind w:left="10"/>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lang w:val="es-CR"/>
      </w:rPr>
    </w:lvl>
    <w:lvl w:ilvl="1" w:tplc="DA86C4F6">
      <w:numFmt w:val="bullet"/>
      <w:lvlText w:val="-"/>
      <w:lvlJc w:val="left"/>
      <w:pPr>
        <w:ind w:left="1440" w:hanging="360"/>
      </w:pPr>
      <w:rPr>
        <w:rFonts w:ascii="Calibri" w:eastAsiaTheme="minorHAnsi" w:hAnsi="Calibri" w:cs="Calibri" w:hint="default"/>
        <w:b w:val="0"/>
        <w:i w:val="0"/>
        <w:strike w:val="0"/>
        <w:dstrike w:val="0"/>
        <w:color w:val="auto"/>
        <w:sz w:val="22"/>
        <w:szCs w:val="22"/>
        <w:u w:val="none" w:color="000000"/>
        <w:bdr w:val="none" w:sz="0" w:space="0" w:color="auto"/>
        <w:shd w:val="clear" w:color="auto" w:fill="auto"/>
        <w:vertAlign w:val="baseline"/>
      </w:rPr>
    </w:lvl>
    <w:lvl w:ilvl="2" w:tplc="69ECF0F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726B3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4A69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CD1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D4E4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521D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3C2F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7C696C"/>
    <w:multiLevelType w:val="multilevel"/>
    <w:tmpl w:val="286AF30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1" w15:restartNumberingAfterBreak="0">
    <w:nsid w:val="3127602A"/>
    <w:multiLevelType w:val="multilevel"/>
    <w:tmpl w:val="8034F12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3D109F"/>
    <w:multiLevelType w:val="multilevel"/>
    <w:tmpl w:val="CE4A9D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367B47"/>
    <w:multiLevelType w:val="hybridMultilevel"/>
    <w:tmpl w:val="09ECEDAC"/>
    <w:lvl w:ilvl="0" w:tplc="7DC4613E">
      <w:start w:val="5"/>
      <w:numFmt w:val="decimal"/>
      <w:lvlText w:val="%1."/>
      <w:lvlJc w:val="left"/>
      <w:pPr>
        <w:ind w:left="720" w:hanging="360"/>
      </w:pPr>
      <w:rPr>
        <w:rFonts w:hint="default"/>
        <w:b/>
        <w:bCs w:val="0"/>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15:restartNumberingAfterBreak="0">
    <w:nsid w:val="4ADE666A"/>
    <w:multiLevelType w:val="hybridMultilevel"/>
    <w:tmpl w:val="B748BC3E"/>
    <w:lvl w:ilvl="0" w:tplc="04090001">
      <w:start w:val="1"/>
      <w:numFmt w:val="bullet"/>
      <w:lvlText w:val=""/>
      <w:lvlJc w:val="left"/>
      <w:pPr>
        <w:tabs>
          <w:tab w:val="num" w:pos="720"/>
        </w:tabs>
        <w:ind w:left="720" w:hanging="360"/>
      </w:pPr>
      <w:rPr>
        <w:rFonts w:ascii="Symbol" w:hAnsi="Symbol" w:hint="default"/>
      </w:rPr>
    </w:lvl>
    <w:lvl w:ilvl="1" w:tplc="69E281B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F139F"/>
    <w:multiLevelType w:val="hybridMultilevel"/>
    <w:tmpl w:val="25DE429A"/>
    <w:lvl w:ilvl="0" w:tplc="AD4EFE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646ED"/>
    <w:multiLevelType w:val="hybridMultilevel"/>
    <w:tmpl w:val="9E3048FE"/>
    <w:lvl w:ilvl="0" w:tplc="1876A72C">
      <w:start w:val="1"/>
      <w:numFmt w:val="upperRoman"/>
      <w:lvlText w:val="%1."/>
      <w:lvlJc w:val="left"/>
      <w:pPr>
        <w:tabs>
          <w:tab w:val="num" w:pos="1080"/>
        </w:tabs>
        <w:ind w:left="1080" w:hanging="720"/>
      </w:pPr>
      <w:rPr>
        <w:b/>
        <w:color w:val="auto"/>
      </w:rPr>
    </w:lvl>
    <w:lvl w:ilvl="1" w:tplc="8E48C3AC">
      <w:start w:val="1"/>
      <w:numFmt w:val="bullet"/>
      <w:lvlText w:val="-"/>
      <w:lvlJc w:val="left"/>
      <w:pPr>
        <w:tabs>
          <w:tab w:val="num" w:pos="1440"/>
        </w:tabs>
        <w:ind w:left="1440" w:hanging="360"/>
      </w:pPr>
      <w:rPr>
        <w:rFonts w:ascii="Times New Roman" w:eastAsia="Times New Roman" w:hAnsi="Times New Roman" w:cs="Times New Roman" w:hint="default"/>
        <w:color w:val="auto"/>
      </w:rPr>
    </w:lvl>
    <w:lvl w:ilvl="2" w:tplc="FFFFFFFF">
      <w:start w:val="5"/>
      <w:numFmt w:val="decimal"/>
      <w:lvlText w:val="%3."/>
      <w:lvlJc w:val="left"/>
      <w:pPr>
        <w:tabs>
          <w:tab w:val="num" w:pos="2340"/>
        </w:tabs>
        <w:ind w:left="2340" w:hanging="360"/>
      </w:pPr>
    </w:lvl>
    <w:lvl w:ilvl="3" w:tplc="AA089252">
      <w:start w:val="1"/>
      <w:numFmt w:val="decimal"/>
      <w:lvlText w:val="%4."/>
      <w:lvlJc w:val="left"/>
      <w:pPr>
        <w:tabs>
          <w:tab w:val="num" w:pos="2880"/>
        </w:tabs>
        <w:ind w:left="2880" w:hanging="360"/>
      </w:pPr>
      <w:rPr>
        <w:b/>
      </w:rPr>
    </w:lvl>
    <w:lvl w:ilvl="4" w:tplc="FFFFFFFF">
      <w:start w:val="1"/>
      <w:numFmt w:val="decimal"/>
      <w:lvlText w:val="%5."/>
      <w:lvlJc w:val="left"/>
      <w:pPr>
        <w:tabs>
          <w:tab w:val="num" w:pos="3600"/>
        </w:tabs>
        <w:ind w:left="3600" w:hanging="360"/>
      </w:pPr>
    </w:lvl>
    <w:lvl w:ilvl="5" w:tplc="62B675F2">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0DA2206"/>
    <w:multiLevelType w:val="multilevel"/>
    <w:tmpl w:val="11F6596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EE4379"/>
    <w:multiLevelType w:val="multilevel"/>
    <w:tmpl w:val="7130DB32"/>
    <w:lvl w:ilvl="0">
      <w:start w:val="3"/>
      <w:numFmt w:val="decimal"/>
      <w:lvlText w:val="%1"/>
      <w:lvlJc w:val="left"/>
      <w:pPr>
        <w:ind w:left="440" w:hanging="440"/>
      </w:pPr>
      <w:rPr>
        <w:rFonts w:hint="default"/>
      </w:rPr>
    </w:lvl>
    <w:lvl w:ilvl="1">
      <w:start w:val="2"/>
      <w:numFmt w:val="decimal"/>
      <w:lvlText w:val="%1.%2"/>
      <w:lvlJc w:val="left"/>
      <w:pPr>
        <w:ind w:left="890" w:hanging="4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num w:numId="1" w16cid:durableId="1191726033">
    <w:abstractNumId w:val="9"/>
  </w:num>
  <w:num w:numId="2" w16cid:durableId="1871256207">
    <w:abstractNumId w:val="3"/>
  </w:num>
  <w:num w:numId="3" w16cid:durableId="966394150">
    <w:abstractNumId w:val="16"/>
  </w:num>
  <w:num w:numId="4" w16cid:durableId="876623402">
    <w:abstractNumId w:val="18"/>
  </w:num>
  <w:num w:numId="5" w16cid:durableId="1253971980">
    <w:abstractNumId w:val="7"/>
  </w:num>
  <w:num w:numId="6" w16cid:durableId="1914730555">
    <w:abstractNumId w:val="4"/>
  </w:num>
  <w:num w:numId="7" w16cid:durableId="1877349869">
    <w:abstractNumId w:val="5"/>
  </w:num>
  <w:num w:numId="8" w16cid:durableId="840127002">
    <w:abstractNumId w:val="13"/>
  </w:num>
  <w:num w:numId="9" w16cid:durableId="373316723">
    <w:abstractNumId w:val="12"/>
  </w:num>
  <w:num w:numId="10" w16cid:durableId="1934123624">
    <w:abstractNumId w:val="11"/>
  </w:num>
  <w:num w:numId="11" w16cid:durableId="167208742">
    <w:abstractNumId w:val="8"/>
  </w:num>
  <w:num w:numId="12" w16cid:durableId="1788891125">
    <w:abstractNumId w:val="6"/>
  </w:num>
  <w:num w:numId="13" w16cid:durableId="1710103721">
    <w:abstractNumId w:val="10"/>
  </w:num>
  <w:num w:numId="14" w16cid:durableId="1656061149">
    <w:abstractNumId w:val="14"/>
  </w:num>
  <w:num w:numId="15" w16cid:durableId="824979022">
    <w:abstractNumId w:val="2"/>
  </w:num>
  <w:num w:numId="16" w16cid:durableId="2009868743">
    <w:abstractNumId w:val="17"/>
  </w:num>
  <w:num w:numId="17" w16cid:durableId="351032207">
    <w:abstractNumId w:val="15"/>
  </w:num>
  <w:num w:numId="18" w16cid:durableId="182015222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BD"/>
    <w:rsid w:val="00000376"/>
    <w:rsid w:val="00000D59"/>
    <w:rsid w:val="00000EDA"/>
    <w:rsid w:val="00001162"/>
    <w:rsid w:val="000015CA"/>
    <w:rsid w:val="00001A3C"/>
    <w:rsid w:val="00001BDA"/>
    <w:rsid w:val="00002608"/>
    <w:rsid w:val="00003368"/>
    <w:rsid w:val="0000356F"/>
    <w:rsid w:val="00003E82"/>
    <w:rsid w:val="00003F7C"/>
    <w:rsid w:val="00004718"/>
    <w:rsid w:val="00004729"/>
    <w:rsid w:val="000049BD"/>
    <w:rsid w:val="00004F9B"/>
    <w:rsid w:val="000058B7"/>
    <w:rsid w:val="00005A37"/>
    <w:rsid w:val="00005B96"/>
    <w:rsid w:val="00005D55"/>
    <w:rsid w:val="0000618A"/>
    <w:rsid w:val="00006AD2"/>
    <w:rsid w:val="00006C8E"/>
    <w:rsid w:val="00007017"/>
    <w:rsid w:val="00007131"/>
    <w:rsid w:val="00007498"/>
    <w:rsid w:val="00007B10"/>
    <w:rsid w:val="00007BB4"/>
    <w:rsid w:val="000102F1"/>
    <w:rsid w:val="00010B95"/>
    <w:rsid w:val="00011127"/>
    <w:rsid w:val="0001118A"/>
    <w:rsid w:val="0001156B"/>
    <w:rsid w:val="00011816"/>
    <w:rsid w:val="000119A9"/>
    <w:rsid w:val="00011E17"/>
    <w:rsid w:val="0001218D"/>
    <w:rsid w:val="00012360"/>
    <w:rsid w:val="00012395"/>
    <w:rsid w:val="00012852"/>
    <w:rsid w:val="00012899"/>
    <w:rsid w:val="000134C9"/>
    <w:rsid w:val="00013C92"/>
    <w:rsid w:val="000143D1"/>
    <w:rsid w:val="00014505"/>
    <w:rsid w:val="00014594"/>
    <w:rsid w:val="00014A46"/>
    <w:rsid w:val="00014A4F"/>
    <w:rsid w:val="00014BFB"/>
    <w:rsid w:val="00014EFC"/>
    <w:rsid w:val="00015019"/>
    <w:rsid w:val="00015231"/>
    <w:rsid w:val="0001590C"/>
    <w:rsid w:val="00015B54"/>
    <w:rsid w:val="00015FC2"/>
    <w:rsid w:val="00016270"/>
    <w:rsid w:val="000165EE"/>
    <w:rsid w:val="0001684B"/>
    <w:rsid w:val="00016A48"/>
    <w:rsid w:val="00016ABC"/>
    <w:rsid w:val="00016BEF"/>
    <w:rsid w:val="00016D22"/>
    <w:rsid w:val="000173B1"/>
    <w:rsid w:val="0001752D"/>
    <w:rsid w:val="000179A9"/>
    <w:rsid w:val="00017C9A"/>
    <w:rsid w:val="00017E27"/>
    <w:rsid w:val="00017ECE"/>
    <w:rsid w:val="00020247"/>
    <w:rsid w:val="00020CFF"/>
    <w:rsid w:val="000217EF"/>
    <w:rsid w:val="00022208"/>
    <w:rsid w:val="000222EB"/>
    <w:rsid w:val="000226CD"/>
    <w:rsid w:val="00022945"/>
    <w:rsid w:val="00022982"/>
    <w:rsid w:val="000229EC"/>
    <w:rsid w:val="00022B0E"/>
    <w:rsid w:val="00022FFF"/>
    <w:rsid w:val="0002326E"/>
    <w:rsid w:val="00023615"/>
    <w:rsid w:val="00023BB8"/>
    <w:rsid w:val="00023D2D"/>
    <w:rsid w:val="00023ECE"/>
    <w:rsid w:val="00023F37"/>
    <w:rsid w:val="00023FA5"/>
    <w:rsid w:val="000244E4"/>
    <w:rsid w:val="0002453D"/>
    <w:rsid w:val="00024596"/>
    <w:rsid w:val="00024D59"/>
    <w:rsid w:val="00025D89"/>
    <w:rsid w:val="00025E9F"/>
    <w:rsid w:val="00025ED0"/>
    <w:rsid w:val="00030063"/>
    <w:rsid w:val="0003084C"/>
    <w:rsid w:val="00030E03"/>
    <w:rsid w:val="0003105F"/>
    <w:rsid w:val="0003154E"/>
    <w:rsid w:val="00031691"/>
    <w:rsid w:val="00031AF2"/>
    <w:rsid w:val="00031F15"/>
    <w:rsid w:val="00032160"/>
    <w:rsid w:val="0003274C"/>
    <w:rsid w:val="0003280B"/>
    <w:rsid w:val="00032D25"/>
    <w:rsid w:val="00033099"/>
    <w:rsid w:val="0003330B"/>
    <w:rsid w:val="00033359"/>
    <w:rsid w:val="00033629"/>
    <w:rsid w:val="0003371A"/>
    <w:rsid w:val="0003374E"/>
    <w:rsid w:val="0003375E"/>
    <w:rsid w:val="00033FCF"/>
    <w:rsid w:val="00033FD2"/>
    <w:rsid w:val="000340B2"/>
    <w:rsid w:val="000340F0"/>
    <w:rsid w:val="0003417C"/>
    <w:rsid w:val="000344E6"/>
    <w:rsid w:val="00034D19"/>
    <w:rsid w:val="00035330"/>
    <w:rsid w:val="000353B6"/>
    <w:rsid w:val="000354F8"/>
    <w:rsid w:val="000355BC"/>
    <w:rsid w:val="00035948"/>
    <w:rsid w:val="000359B6"/>
    <w:rsid w:val="000362B3"/>
    <w:rsid w:val="000364A4"/>
    <w:rsid w:val="0003656D"/>
    <w:rsid w:val="00036690"/>
    <w:rsid w:val="000368C6"/>
    <w:rsid w:val="00036BB3"/>
    <w:rsid w:val="00036DB9"/>
    <w:rsid w:val="00036FE3"/>
    <w:rsid w:val="00037768"/>
    <w:rsid w:val="00037D17"/>
    <w:rsid w:val="00037F2C"/>
    <w:rsid w:val="00040033"/>
    <w:rsid w:val="0004077B"/>
    <w:rsid w:val="00040E5E"/>
    <w:rsid w:val="00041325"/>
    <w:rsid w:val="00041482"/>
    <w:rsid w:val="0004167B"/>
    <w:rsid w:val="00041D2D"/>
    <w:rsid w:val="00041FF9"/>
    <w:rsid w:val="00042036"/>
    <w:rsid w:val="000421F3"/>
    <w:rsid w:val="00042A7B"/>
    <w:rsid w:val="00042CA3"/>
    <w:rsid w:val="00042F9D"/>
    <w:rsid w:val="000431C2"/>
    <w:rsid w:val="000432F0"/>
    <w:rsid w:val="00043650"/>
    <w:rsid w:val="0004387B"/>
    <w:rsid w:val="00043CB9"/>
    <w:rsid w:val="00043F97"/>
    <w:rsid w:val="000440C7"/>
    <w:rsid w:val="000441B1"/>
    <w:rsid w:val="000446DF"/>
    <w:rsid w:val="00044ABD"/>
    <w:rsid w:val="00044AEB"/>
    <w:rsid w:val="00044CF1"/>
    <w:rsid w:val="00044EFC"/>
    <w:rsid w:val="00044F35"/>
    <w:rsid w:val="00044F91"/>
    <w:rsid w:val="00045521"/>
    <w:rsid w:val="0004556B"/>
    <w:rsid w:val="0004557A"/>
    <w:rsid w:val="000468CB"/>
    <w:rsid w:val="000468D8"/>
    <w:rsid w:val="00046D41"/>
    <w:rsid w:val="00046E0B"/>
    <w:rsid w:val="00047914"/>
    <w:rsid w:val="0005002C"/>
    <w:rsid w:val="00050599"/>
    <w:rsid w:val="000505CB"/>
    <w:rsid w:val="00050783"/>
    <w:rsid w:val="00050B90"/>
    <w:rsid w:val="00050EE4"/>
    <w:rsid w:val="0005124C"/>
    <w:rsid w:val="00051863"/>
    <w:rsid w:val="00052614"/>
    <w:rsid w:val="000526D5"/>
    <w:rsid w:val="00052715"/>
    <w:rsid w:val="000528A9"/>
    <w:rsid w:val="00052A16"/>
    <w:rsid w:val="00052AAF"/>
    <w:rsid w:val="00052AB7"/>
    <w:rsid w:val="00052B69"/>
    <w:rsid w:val="00052CAB"/>
    <w:rsid w:val="00052CE0"/>
    <w:rsid w:val="000530F5"/>
    <w:rsid w:val="000534AF"/>
    <w:rsid w:val="00053532"/>
    <w:rsid w:val="00053714"/>
    <w:rsid w:val="00053F48"/>
    <w:rsid w:val="00054ADC"/>
    <w:rsid w:val="00054D3F"/>
    <w:rsid w:val="00054E5A"/>
    <w:rsid w:val="00055118"/>
    <w:rsid w:val="000551E6"/>
    <w:rsid w:val="000552BC"/>
    <w:rsid w:val="00055874"/>
    <w:rsid w:val="000559F9"/>
    <w:rsid w:val="00056566"/>
    <w:rsid w:val="00056604"/>
    <w:rsid w:val="00057060"/>
    <w:rsid w:val="000571E8"/>
    <w:rsid w:val="0005737C"/>
    <w:rsid w:val="00057E3E"/>
    <w:rsid w:val="000609B9"/>
    <w:rsid w:val="00060BAA"/>
    <w:rsid w:val="00060C32"/>
    <w:rsid w:val="00060EA9"/>
    <w:rsid w:val="000610F9"/>
    <w:rsid w:val="0006138B"/>
    <w:rsid w:val="000615B6"/>
    <w:rsid w:val="00061B1E"/>
    <w:rsid w:val="000625BC"/>
    <w:rsid w:val="000628A8"/>
    <w:rsid w:val="00062BB5"/>
    <w:rsid w:val="0006366B"/>
    <w:rsid w:val="00063973"/>
    <w:rsid w:val="000641F0"/>
    <w:rsid w:val="00064C16"/>
    <w:rsid w:val="000650A7"/>
    <w:rsid w:val="000653CC"/>
    <w:rsid w:val="000653F7"/>
    <w:rsid w:val="00065650"/>
    <w:rsid w:val="0006574F"/>
    <w:rsid w:val="000659F1"/>
    <w:rsid w:val="00065B9B"/>
    <w:rsid w:val="00065DAB"/>
    <w:rsid w:val="00066050"/>
    <w:rsid w:val="000665FE"/>
    <w:rsid w:val="0006661D"/>
    <w:rsid w:val="000668F5"/>
    <w:rsid w:val="000677F8"/>
    <w:rsid w:val="000679B0"/>
    <w:rsid w:val="00070269"/>
    <w:rsid w:val="000705A6"/>
    <w:rsid w:val="00071061"/>
    <w:rsid w:val="000713B1"/>
    <w:rsid w:val="000713CD"/>
    <w:rsid w:val="0007148C"/>
    <w:rsid w:val="00071867"/>
    <w:rsid w:val="00071AA7"/>
    <w:rsid w:val="00071B87"/>
    <w:rsid w:val="00071F13"/>
    <w:rsid w:val="00072024"/>
    <w:rsid w:val="0007202D"/>
    <w:rsid w:val="0007261C"/>
    <w:rsid w:val="00072A1D"/>
    <w:rsid w:val="00072B15"/>
    <w:rsid w:val="00072EBF"/>
    <w:rsid w:val="000736A9"/>
    <w:rsid w:val="00073955"/>
    <w:rsid w:val="00073E08"/>
    <w:rsid w:val="000746F5"/>
    <w:rsid w:val="00074A1E"/>
    <w:rsid w:val="00074CCC"/>
    <w:rsid w:val="00074DB1"/>
    <w:rsid w:val="00074EEF"/>
    <w:rsid w:val="00074F94"/>
    <w:rsid w:val="00075053"/>
    <w:rsid w:val="0007567A"/>
    <w:rsid w:val="00075917"/>
    <w:rsid w:val="00075AF8"/>
    <w:rsid w:val="00075B17"/>
    <w:rsid w:val="0007606E"/>
    <w:rsid w:val="00076079"/>
    <w:rsid w:val="000761FE"/>
    <w:rsid w:val="0007622A"/>
    <w:rsid w:val="00076310"/>
    <w:rsid w:val="0007643A"/>
    <w:rsid w:val="00076584"/>
    <w:rsid w:val="000765A9"/>
    <w:rsid w:val="00076904"/>
    <w:rsid w:val="00076907"/>
    <w:rsid w:val="00076997"/>
    <w:rsid w:val="00076BB3"/>
    <w:rsid w:val="00076E78"/>
    <w:rsid w:val="000772C1"/>
    <w:rsid w:val="00077360"/>
    <w:rsid w:val="00077389"/>
    <w:rsid w:val="00077923"/>
    <w:rsid w:val="0007795A"/>
    <w:rsid w:val="00077A9E"/>
    <w:rsid w:val="00077AF5"/>
    <w:rsid w:val="00077BF7"/>
    <w:rsid w:val="00077D4A"/>
    <w:rsid w:val="000806E4"/>
    <w:rsid w:val="00080B02"/>
    <w:rsid w:val="00080BDA"/>
    <w:rsid w:val="0008195C"/>
    <w:rsid w:val="0008203C"/>
    <w:rsid w:val="00082246"/>
    <w:rsid w:val="00082FA0"/>
    <w:rsid w:val="0008349D"/>
    <w:rsid w:val="000834DF"/>
    <w:rsid w:val="00083508"/>
    <w:rsid w:val="00083ACD"/>
    <w:rsid w:val="00083CC5"/>
    <w:rsid w:val="00084256"/>
    <w:rsid w:val="0008431C"/>
    <w:rsid w:val="000845E5"/>
    <w:rsid w:val="00084665"/>
    <w:rsid w:val="00084889"/>
    <w:rsid w:val="000849BE"/>
    <w:rsid w:val="00084FD5"/>
    <w:rsid w:val="00085F3B"/>
    <w:rsid w:val="00086130"/>
    <w:rsid w:val="000861FA"/>
    <w:rsid w:val="00086446"/>
    <w:rsid w:val="0008655C"/>
    <w:rsid w:val="00086E03"/>
    <w:rsid w:val="000870F9"/>
    <w:rsid w:val="00087147"/>
    <w:rsid w:val="00087362"/>
    <w:rsid w:val="000874D7"/>
    <w:rsid w:val="000874EC"/>
    <w:rsid w:val="00087B44"/>
    <w:rsid w:val="00087EE4"/>
    <w:rsid w:val="00087F83"/>
    <w:rsid w:val="000908B0"/>
    <w:rsid w:val="000908F6"/>
    <w:rsid w:val="000909D8"/>
    <w:rsid w:val="00091296"/>
    <w:rsid w:val="000913C9"/>
    <w:rsid w:val="0009143E"/>
    <w:rsid w:val="00091AD1"/>
    <w:rsid w:val="00091B26"/>
    <w:rsid w:val="00091DBE"/>
    <w:rsid w:val="00091E03"/>
    <w:rsid w:val="00091FE7"/>
    <w:rsid w:val="0009205C"/>
    <w:rsid w:val="000923C7"/>
    <w:rsid w:val="000924A6"/>
    <w:rsid w:val="00092666"/>
    <w:rsid w:val="00092684"/>
    <w:rsid w:val="0009288C"/>
    <w:rsid w:val="000928C3"/>
    <w:rsid w:val="00093083"/>
    <w:rsid w:val="000930F1"/>
    <w:rsid w:val="00093278"/>
    <w:rsid w:val="000932AB"/>
    <w:rsid w:val="00093C09"/>
    <w:rsid w:val="00094435"/>
    <w:rsid w:val="000944D6"/>
    <w:rsid w:val="000945E9"/>
    <w:rsid w:val="00094B65"/>
    <w:rsid w:val="00095AD4"/>
    <w:rsid w:val="00095D58"/>
    <w:rsid w:val="00095E84"/>
    <w:rsid w:val="0009605D"/>
    <w:rsid w:val="0009615F"/>
    <w:rsid w:val="000964C5"/>
    <w:rsid w:val="000967D8"/>
    <w:rsid w:val="00096F8B"/>
    <w:rsid w:val="000970D5"/>
    <w:rsid w:val="000972F5"/>
    <w:rsid w:val="00097A43"/>
    <w:rsid w:val="00097C1D"/>
    <w:rsid w:val="000A01B9"/>
    <w:rsid w:val="000A02F0"/>
    <w:rsid w:val="000A04AA"/>
    <w:rsid w:val="000A0572"/>
    <w:rsid w:val="000A0DFC"/>
    <w:rsid w:val="000A1255"/>
    <w:rsid w:val="000A12CD"/>
    <w:rsid w:val="000A16B4"/>
    <w:rsid w:val="000A1A3C"/>
    <w:rsid w:val="000A1C5E"/>
    <w:rsid w:val="000A1CEA"/>
    <w:rsid w:val="000A1E38"/>
    <w:rsid w:val="000A1E42"/>
    <w:rsid w:val="000A20F6"/>
    <w:rsid w:val="000A2A8A"/>
    <w:rsid w:val="000A3071"/>
    <w:rsid w:val="000A367F"/>
    <w:rsid w:val="000A394F"/>
    <w:rsid w:val="000A3A8C"/>
    <w:rsid w:val="000A3D80"/>
    <w:rsid w:val="000A49F1"/>
    <w:rsid w:val="000A4E98"/>
    <w:rsid w:val="000A50A6"/>
    <w:rsid w:val="000A569F"/>
    <w:rsid w:val="000A5732"/>
    <w:rsid w:val="000A58B4"/>
    <w:rsid w:val="000A5DC2"/>
    <w:rsid w:val="000A6510"/>
    <w:rsid w:val="000A6773"/>
    <w:rsid w:val="000A67CE"/>
    <w:rsid w:val="000A6F20"/>
    <w:rsid w:val="000A75E1"/>
    <w:rsid w:val="000A76CB"/>
    <w:rsid w:val="000A7991"/>
    <w:rsid w:val="000A7AFC"/>
    <w:rsid w:val="000B0194"/>
    <w:rsid w:val="000B0616"/>
    <w:rsid w:val="000B0628"/>
    <w:rsid w:val="000B098D"/>
    <w:rsid w:val="000B1071"/>
    <w:rsid w:val="000B130A"/>
    <w:rsid w:val="000B1356"/>
    <w:rsid w:val="000B1566"/>
    <w:rsid w:val="000B1CEC"/>
    <w:rsid w:val="000B1E76"/>
    <w:rsid w:val="000B1FDE"/>
    <w:rsid w:val="000B267E"/>
    <w:rsid w:val="000B2E03"/>
    <w:rsid w:val="000B301C"/>
    <w:rsid w:val="000B3073"/>
    <w:rsid w:val="000B3096"/>
    <w:rsid w:val="000B3099"/>
    <w:rsid w:val="000B322C"/>
    <w:rsid w:val="000B3476"/>
    <w:rsid w:val="000B3C0D"/>
    <w:rsid w:val="000B3D08"/>
    <w:rsid w:val="000B3DAB"/>
    <w:rsid w:val="000B40E3"/>
    <w:rsid w:val="000B4115"/>
    <w:rsid w:val="000B4520"/>
    <w:rsid w:val="000B46CB"/>
    <w:rsid w:val="000B47BF"/>
    <w:rsid w:val="000B4A58"/>
    <w:rsid w:val="000B4D6D"/>
    <w:rsid w:val="000B51EB"/>
    <w:rsid w:val="000B556A"/>
    <w:rsid w:val="000B56A5"/>
    <w:rsid w:val="000B5AA5"/>
    <w:rsid w:val="000B5F17"/>
    <w:rsid w:val="000B6809"/>
    <w:rsid w:val="000B69C4"/>
    <w:rsid w:val="000B6C90"/>
    <w:rsid w:val="000B6D3D"/>
    <w:rsid w:val="000B6EBE"/>
    <w:rsid w:val="000B7BB8"/>
    <w:rsid w:val="000C064F"/>
    <w:rsid w:val="000C06E4"/>
    <w:rsid w:val="000C0931"/>
    <w:rsid w:val="000C0A2C"/>
    <w:rsid w:val="000C0B92"/>
    <w:rsid w:val="000C0C14"/>
    <w:rsid w:val="000C0C42"/>
    <w:rsid w:val="000C1055"/>
    <w:rsid w:val="000C127D"/>
    <w:rsid w:val="000C1B06"/>
    <w:rsid w:val="000C1C6E"/>
    <w:rsid w:val="000C1D8C"/>
    <w:rsid w:val="000C1E23"/>
    <w:rsid w:val="000C1F90"/>
    <w:rsid w:val="000C2B73"/>
    <w:rsid w:val="000C2CEB"/>
    <w:rsid w:val="000C2E83"/>
    <w:rsid w:val="000C333F"/>
    <w:rsid w:val="000C33E0"/>
    <w:rsid w:val="000C35D4"/>
    <w:rsid w:val="000C3A19"/>
    <w:rsid w:val="000C3C9F"/>
    <w:rsid w:val="000C3CBD"/>
    <w:rsid w:val="000C3DB8"/>
    <w:rsid w:val="000C3ED4"/>
    <w:rsid w:val="000C45B9"/>
    <w:rsid w:val="000C491E"/>
    <w:rsid w:val="000C5181"/>
    <w:rsid w:val="000C5443"/>
    <w:rsid w:val="000C578B"/>
    <w:rsid w:val="000C59A9"/>
    <w:rsid w:val="000C5AB4"/>
    <w:rsid w:val="000C5FC5"/>
    <w:rsid w:val="000C615A"/>
    <w:rsid w:val="000C646C"/>
    <w:rsid w:val="000C669E"/>
    <w:rsid w:val="000C68B2"/>
    <w:rsid w:val="000C7996"/>
    <w:rsid w:val="000C7EE7"/>
    <w:rsid w:val="000C7F6E"/>
    <w:rsid w:val="000D00CC"/>
    <w:rsid w:val="000D0179"/>
    <w:rsid w:val="000D029B"/>
    <w:rsid w:val="000D0405"/>
    <w:rsid w:val="000D04E0"/>
    <w:rsid w:val="000D0CE8"/>
    <w:rsid w:val="000D1087"/>
    <w:rsid w:val="000D1798"/>
    <w:rsid w:val="000D18E6"/>
    <w:rsid w:val="000D1D03"/>
    <w:rsid w:val="000D1FA4"/>
    <w:rsid w:val="000D22EB"/>
    <w:rsid w:val="000D247B"/>
    <w:rsid w:val="000D27BB"/>
    <w:rsid w:val="000D27F9"/>
    <w:rsid w:val="000D2927"/>
    <w:rsid w:val="000D3113"/>
    <w:rsid w:val="000D31B8"/>
    <w:rsid w:val="000D32C5"/>
    <w:rsid w:val="000D3E93"/>
    <w:rsid w:val="000D4A98"/>
    <w:rsid w:val="000D4DF9"/>
    <w:rsid w:val="000D5319"/>
    <w:rsid w:val="000D5647"/>
    <w:rsid w:val="000D5708"/>
    <w:rsid w:val="000D5D9B"/>
    <w:rsid w:val="000D6017"/>
    <w:rsid w:val="000D6598"/>
    <w:rsid w:val="000D66D4"/>
    <w:rsid w:val="000D6D14"/>
    <w:rsid w:val="000D6D1B"/>
    <w:rsid w:val="000D6E83"/>
    <w:rsid w:val="000D7106"/>
    <w:rsid w:val="000D7120"/>
    <w:rsid w:val="000D716F"/>
    <w:rsid w:val="000D73E6"/>
    <w:rsid w:val="000D79B4"/>
    <w:rsid w:val="000D7BC8"/>
    <w:rsid w:val="000D7D46"/>
    <w:rsid w:val="000E02F4"/>
    <w:rsid w:val="000E03CC"/>
    <w:rsid w:val="000E04A5"/>
    <w:rsid w:val="000E0622"/>
    <w:rsid w:val="000E0AAF"/>
    <w:rsid w:val="000E12BE"/>
    <w:rsid w:val="000E13B5"/>
    <w:rsid w:val="000E17E4"/>
    <w:rsid w:val="000E1B33"/>
    <w:rsid w:val="000E1C3C"/>
    <w:rsid w:val="000E1E03"/>
    <w:rsid w:val="000E1E7B"/>
    <w:rsid w:val="000E1EFA"/>
    <w:rsid w:val="000E20FB"/>
    <w:rsid w:val="000E23F6"/>
    <w:rsid w:val="000E2460"/>
    <w:rsid w:val="000E2752"/>
    <w:rsid w:val="000E2957"/>
    <w:rsid w:val="000E2CF1"/>
    <w:rsid w:val="000E2E88"/>
    <w:rsid w:val="000E2F7A"/>
    <w:rsid w:val="000E2F90"/>
    <w:rsid w:val="000E3030"/>
    <w:rsid w:val="000E3645"/>
    <w:rsid w:val="000E3880"/>
    <w:rsid w:val="000E41CF"/>
    <w:rsid w:val="000E42F7"/>
    <w:rsid w:val="000E4387"/>
    <w:rsid w:val="000E4B63"/>
    <w:rsid w:val="000E4CF4"/>
    <w:rsid w:val="000E5041"/>
    <w:rsid w:val="000E5108"/>
    <w:rsid w:val="000E51B0"/>
    <w:rsid w:val="000E5769"/>
    <w:rsid w:val="000E638D"/>
    <w:rsid w:val="000E67F3"/>
    <w:rsid w:val="000E6A19"/>
    <w:rsid w:val="000E6E4B"/>
    <w:rsid w:val="000E6F9B"/>
    <w:rsid w:val="000E71F4"/>
    <w:rsid w:val="000E77FF"/>
    <w:rsid w:val="000E78EE"/>
    <w:rsid w:val="000E7C21"/>
    <w:rsid w:val="000E7EB0"/>
    <w:rsid w:val="000F0030"/>
    <w:rsid w:val="000F0195"/>
    <w:rsid w:val="000F0414"/>
    <w:rsid w:val="000F06ED"/>
    <w:rsid w:val="000F0B3D"/>
    <w:rsid w:val="000F116B"/>
    <w:rsid w:val="000F14C4"/>
    <w:rsid w:val="000F1515"/>
    <w:rsid w:val="000F15BB"/>
    <w:rsid w:val="000F1A2D"/>
    <w:rsid w:val="000F1CB3"/>
    <w:rsid w:val="000F1D0D"/>
    <w:rsid w:val="000F1E97"/>
    <w:rsid w:val="000F21AA"/>
    <w:rsid w:val="000F2A90"/>
    <w:rsid w:val="000F2E73"/>
    <w:rsid w:val="000F313D"/>
    <w:rsid w:val="000F327D"/>
    <w:rsid w:val="000F338E"/>
    <w:rsid w:val="000F3719"/>
    <w:rsid w:val="000F38D3"/>
    <w:rsid w:val="000F395E"/>
    <w:rsid w:val="000F3A24"/>
    <w:rsid w:val="000F3B5F"/>
    <w:rsid w:val="000F3C2B"/>
    <w:rsid w:val="000F3E4D"/>
    <w:rsid w:val="000F413A"/>
    <w:rsid w:val="000F478F"/>
    <w:rsid w:val="000F4E39"/>
    <w:rsid w:val="000F50D1"/>
    <w:rsid w:val="000F5854"/>
    <w:rsid w:val="000F592B"/>
    <w:rsid w:val="000F5987"/>
    <w:rsid w:val="000F5A29"/>
    <w:rsid w:val="000F5FB4"/>
    <w:rsid w:val="000F5FE4"/>
    <w:rsid w:val="000F642F"/>
    <w:rsid w:val="000F68F8"/>
    <w:rsid w:val="000F6947"/>
    <w:rsid w:val="000F6964"/>
    <w:rsid w:val="000F6B1D"/>
    <w:rsid w:val="000F6C2E"/>
    <w:rsid w:val="000F7130"/>
    <w:rsid w:val="000F7320"/>
    <w:rsid w:val="000F7D91"/>
    <w:rsid w:val="000F7F64"/>
    <w:rsid w:val="000F7F67"/>
    <w:rsid w:val="00100515"/>
    <w:rsid w:val="001005ED"/>
    <w:rsid w:val="0010089F"/>
    <w:rsid w:val="00100B35"/>
    <w:rsid w:val="00100F5A"/>
    <w:rsid w:val="00101022"/>
    <w:rsid w:val="00101097"/>
    <w:rsid w:val="0010123F"/>
    <w:rsid w:val="00101273"/>
    <w:rsid w:val="00101289"/>
    <w:rsid w:val="0010129D"/>
    <w:rsid w:val="00101959"/>
    <w:rsid w:val="00101A5E"/>
    <w:rsid w:val="00101C15"/>
    <w:rsid w:val="00101F41"/>
    <w:rsid w:val="00101FCE"/>
    <w:rsid w:val="001023EB"/>
    <w:rsid w:val="0010245C"/>
    <w:rsid w:val="00102812"/>
    <w:rsid w:val="00102A10"/>
    <w:rsid w:val="00102C07"/>
    <w:rsid w:val="00103423"/>
    <w:rsid w:val="00103476"/>
    <w:rsid w:val="00103A35"/>
    <w:rsid w:val="001044D3"/>
    <w:rsid w:val="0010486D"/>
    <w:rsid w:val="00104B54"/>
    <w:rsid w:val="00104C35"/>
    <w:rsid w:val="00104CB1"/>
    <w:rsid w:val="00104E77"/>
    <w:rsid w:val="00104EB9"/>
    <w:rsid w:val="00105495"/>
    <w:rsid w:val="001056A3"/>
    <w:rsid w:val="00105AB0"/>
    <w:rsid w:val="00105EA8"/>
    <w:rsid w:val="00106A4B"/>
    <w:rsid w:val="00106BB6"/>
    <w:rsid w:val="00106D0F"/>
    <w:rsid w:val="00107025"/>
    <w:rsid w:val="00107027"/>
    <w:rsid w:val="001073A5"/>
    <w:rsid w:val="00107A43"/>
    <w:rsid w:val="00107A7B"/>
    <w:rsid w:val="00107E83"/>
    <w:rsid w:val="001104ED"/>
    <w:rsid w:val="00110744"/>
    <w:rsid w:val="00110C90"/>
    <w:rsid w:val="00110D40"/>
    <w:rsid w:val="00110FD8"/>
    <w:rsid w:val="00111426"/>
    <w:rsid w:val="00111675"/>
    <w:rsid w:val="0011256D"/>
    <w:rsid w:val="001125D8"/>
    <w:rsid w:val="0011260D"/>
    <w:rsid w:val="001129B2"/>
    <w:rsid w:val="00112B76"/>
    <w:rsid w:val="00112E46"/>
    <w:rsid w:val="00112F2A"/>
    <w:rsid w:val="0011353C"/>
    <w:rsid w:val="001138C1"/>
    <w:rsid w:val="00113B65"/>
    <w:rsid w:val="00113DD9"/>
    <w:rsid w:val="001142F8"/>
    <w:rsid w:val="0011434D"/>
    <w:rsid w:val="00114466"/>
    <w:rsid w:val="001146B6"/>
    <w:rsid w:val="001146F7"/>
    <w:rsid w:val="001152EF"/>
    <w:rsid w:val="001159D5"/>
    <w:rsid w:val="00115C1E"/>
    <w:rsid w:val="00115E13"/>
    <w:rsid w:val="00116013"/>
    <w:rsid w:val="00116518"/>
    <w:rsid w:val="00116E43"/>
    <w:rsid w:val="001170CD"/>
    <w:rsid w:val="001176EE"/>
    <w:rsid w:val="00117E04"/>
    <w:rsid w:val="00117E0B"/>
    <w:rsid w:val="001202B6"/>
    <w:rsid w:val="0012042A"/>
    <w:rsid w:val="001209CF"/>
    <w:rsid w:val="00120B29"/>
    <w:rsid w:val="00120B2D"/>
    <w:rsid w:val="00120BBB"/>
    <w:rsid w:val="00120C05"/>
    <w:rsid w:val="001212C7"/>
    <w:rsid w:val="00121A38"/>
    <w:rsid w:val="00121FA6"/>
    <w:rsid w:val="00122374"/>
    <w:rsid w:val="001223AA"/>
    <w:rsid w:val="00122F39"/>
    <w:rsid w:val="0012382F"/>
    <w:rsid w:val="00123857"/>
    <w:rsid w:val="0012389A"/>
    <w:rsid w:val="00123E5C"/>
    <w:rsid w:val="00123EDA"/>
    <w:rsid w:val="00124A9D"/>
    <w:rsid w:val="00124D7B"/>
    <w:rsid w:val="00124E77"/>
    <w:rsid w:val="0012513D"/>
    <w:rsid w:val="001253B4"/>
    <w:rsid w:val="001258E4"/>
    <w:rsid w:val="00125FD8"/>
    <w:rsid w:val="001260A8"/>
    <w:rsid w:val="0012621F"/>
    <w:rsid w:val="00126514"/>
    <w:rsid w:val="00126707"/>
    <w:rsid w:val="00126929"/>
    <w:rsid w:val="00126A9E"/>
    <w:rsid w:val="00126C06"/>
    <w:rsid w:val="00126C6E"/>
    <w:rsid w:val="00126FC4"/>
    <w:rsid w:val="0012706A"/>
    <w:rsid w:val="0012708E"/>
    <w:rsid w:val="0012734C"/>
    <w:rsid w:val="001276CA"/>
    <w:rsid w:val="00127CE6"/>
    <w:rsid w:val="00127D05"/>
    <w:rsid w:val="00130857"/>
    <w:rsid w:val="001309B3"/>
    <w:rsid w:val="00130E84"/>
    <w:rsid w:val="00130FD3"/>
    <w:rsid w:val="001312A4"/>
    <w:rsid w:val="00131367"/>
    <w:rsid w:val="00131792"/>
    <w:rsid w:val="00131CBA"/>
    <w:rsid w:val="00131DBD"/>
    <w:rsid w:val="00131DFD"/>
    <w:rsid w:val="00131F55"/>
    <w:rsid w:val="00132087"/>
    <w:rsid w:val="00132612"/>
    <w:rsid w:val="0013269F"/>
    <w:rsid w:val="00132899"/>
    <w:rsid w:val="00132CE8"/>
    <w:rsid w:val="00133AE2"/>
    <w:rsid w:val="00134039"/>
    <w:rsid w:val="00134081"/>
    <w:rsid w:val="00134278"/>
    <w:rsid w:val="001344E7"/>
    <w:rsid w:val="0013492F"/>
    <w:rsid w:val="00134A9F"/>
    <w:rsid w:val="00134FE4"/>
    <w:rsid w:val="001350C1"/>
    <w:rsid w:val="001352FF"/>
    <w:rsid w:val="001354F5"/>
    <w:rsid w:val="00135925"/>
    <w:rsid w:val="00135CF7"/>
    <w:rsid w:val="00135D9D"/>
    <w:rsid w:val="00135EE7"/>
    <w:rsid w:val="001362A2"/>
    <w:rsid w:val="00136358"/>
    <w:rsid w:val="001364CB"/>
    <w:rsid w:val="00136A85"/>
    <w:rsid w:val="00136D0E"/>
    <w:rsid w:val="00136E8F"/>
    <w:rsid w:val="00136F4C"/>
    <w:rsid w:val="001377A7"/>
    <w:rsid w:val="001377F9"/>
    <w:rsid w:val="001378E4"/>
    <w:rsid w:val="00137F1D"/>
    <w:rsid w:val="0014014A"/>
    <w:rsid w:val="001406E6"/>
    <w:rsid w:val="00140AE2"/>
    <w:rsid w:val="00140DBE"/>
    <w:rsid w:val="0014129E"/>
    <w:rsid w:val="0014199A"/>
    <w:rsid w:val="00141D6F"/>
    <w:rsid w:val="001422D8"/>
    <w:rsid w:val="00142714"/>
    <w:rsid w:val="001427E6"/>
    <w:rsid w:val="00142817"/>
    <w:rsid w:val="00142DB2"/>
    <w:rsid w:val="00143AF1"/>
    <w:rsid w:val="00143BB5"/>
    <w:rsid w:val="00143C0A"/>
    <w:rsid w:val="00143C95"/>
    <w:rsid w:val="00143CCD"/>
    <w:rsid w:val="00143D5A"/>
    <w:rsid w:val="00144368"/>
    <w:rsid w:val="001445B3"/>
    <w:rsid w:val="0014502F"/>
    <w:rsid w:val="0014535D"/>
    <w:rsid w:val="0014547F"/>
    <w:rsid w:val="00145943"/>
    <w:rsid w:val="001460DE"/>
    <w:rsid w:val="0014617F"/>
    <w:rsid w:val="00146450"/>
    <w:rsid w:val="00146754"/>
    <w:rsid w:val="00146807"/>
    <w:rsid w:val="00146CC2"/>
    <w:rsid w:val="00146E9D"/>
    <w:rsid w:val="00146F9F"/>
    <w:rsid w:val="001473B8"/>
    <w:rsid w:val="0014793C"/>
    <w:rsid w:val="0014796A"/>
    <w:rsid w:val="00147ADA"/>
    <w:rsid w:val="00147B4E"/>
    <w:rsid w:val="00147BFF"/>
    <w:rsid w:val="00147C4D"/>
    <w:rsid w:val="00150910"/>
    <w:rsid w:val="00151287"/>
    <w:rsid w:val="0015149A"/>
    <w:rsid w:val="00151739"/>
    <w:rsid w:val="0015182C"/>
    <w:rsid w:val="00151E56"/>
    <w:rsid w:val="0015203A"/>
    <w:rsid w:val="001522D8"/>
    <w:rsid w:val="0015235C"/>
    <w:rsid w:val="00152750"/>
    <w:rsid w:val="00152BDA"/>
    <w:rsid w:val="00152EA4"/>
    <w:rsid w:val="00152F29"/>
    <w:rsid w:val="001531C3"/>
    <w:rsid w:val="0015364E"/>
    <w:rsid w:val="001538EB"/>
    <w:rsid w:val="00153945"/>
    <w:rsid w:val="001539AF"/>
    <w:rsid w:val="00153B4E"/>
    <w:rsid w:val="00153E19"/>
    <w:rsid w:val="00153F9E"/>
    <w:rsid w:val="00154116"/>
    <w:rsid w:val="00154167"/>
    <w:rsid w:val="001541CA"/>
    <w:rsid w:val="00154AA7"/>
    <w:rsid w:val="00154BB7"/>
    <w:rsid w:val="00154BC2"/>
    <w:rsid w:val="001551CD"/>
    <w:rsid w:val="00155C2D"/>
    <w:rsid w:val="00155CC0"/>
    <w:rsid w:val="00155E65"/>
    <w:rsid w:val="00156001"/>
    <w:rsid w:val="001560DB"/>
    <w:rsid w:val="0015652F"/>
    <w:rsid w:val="001574C4"/>
    <w:rsid w:val="00157547"/>
    <w:rsid w:val="00160707"/>
    <w:rsid w:val="001608CE"/>
    <w:rsid w:val="00161154"/>
    <w:rsid w:val="00161627"/>
    <w:rsid w:val="00161778"/>
    <w:rsid w:val="00161AB6"/>
    <w:rsid w:val="00161DBF"/>
    <w:rsid w:val="00161E01"/>
    <w:rsid w:val="00161F69"/>
    <w:rsid w:val="0016208E"/>
    <w:rsid w:val="001622BF"/>
    <w:rsid w:val="00162499"/>
    <w:rsid w:val="00162675"/>
    <w:rsid w:val="00162725"/>
    <w:rsid w:val="00162E53"/>
    <w:rsid w:val="00162E92"/>
    <w:rsid w:val="0016342B"/>
    <w:rsid w:val="00163563"/>
    <w:rsid w:val="00163718"/>
    <w:rsid w:val="00163931"/>
    <w:rsid w:val="0016393B"/>
    <w:rsid w:val="00163C76"/>
    <w:rsid w:val="0016404C"/>
    <w:rsid w:val="0016470C"/>
    <w:rsid w:val="00164A36"/>
    <w:rsid w:val="00164B98"/>
    <w:rsid w:val="001651DD"/>
    <w:rsid w:val="001653C6"/>
    <w:rsid w:val="0016560F"/>
    <w:rsid w:val="001657A2"/>
    <w:rsid w:val="001658A4"/>
    <w:rsid w:val="00165BD8"/>
    <w:rsid w:val="00165C2A"/>
    <w:rsid w:val="001660BC"/>
    <w:rsid w:val="001660C1"/>
    <w:rsid w:val="001665DA"/>
    <w:rsid w:val="001666DD"/>
    <w:rsid w:val="00166925"/>
    <w:rsid w:val="00166A81"/>
    <w:rsid w:val="00166AD2"/>
    <w:rsid w:val="00166DD4"/>
    <w:rsid w:val="00166F27"/>
    <w:rsid w:val="001673B1"/>
    <w:rsid w:val="00167495"/>
    <w:rsid w:val="00167508"/>
    <w:rsid w:val="001677A1"/>
    <w:rsid w:val="00167A12"/>
    <w:rsid w:val="00167F9D"/>
    <w:rsid w:val="00167FF9"/>
    <w:rsid w:val="00170E0C"/>
    <w:rsid w:val="00170EA6"/>
    <w:rsid w:val="00171658"/>
    <w:rsid w:val="001717C0"/>
    <w:rsid w:val="00171C50"/>
    <w:rsid w:val="0017266A"/>
    <w:rsid w:val="001727C9"/>
    <w:rsid w:val="00172A0A"/>
    <w:rsid w:val="001732FD"/>
    <w:rsid w:val="001733C5"/>
    <w:rsid w:val="00173672"/>
    <w:rsid w:val="001737E7"/>
    <w:rsid w:val="0017380E"/>
    <w:rsid w:val="00173B44"/>
    <w:rsid w:val="00173DD3"/>
    <w:rsid w:val="0017417A"/>
    <w:rsid w:val="001748FA"/>
    <w:rsid w:val="00174B46"/>
    <w:rsid w:val="00174C35"/>
    <w:rsid w:val="00174D29"/>
    <w:rsid w:val="001751EA"/>
    <w:rsid w:val="00175714"/>
    <w:rsid w:val="00175789"/>
    <w:rsid w:val="0017578D"/>
    <w:rsid w:val="00175906"/>
    <w:rsid w:val="00175AEF"/>
    <w:rsid w:val="00175CB9"/>
    <w:rsid w:val="0017605B"/>
    <w:rsid w:val="001761A9"/>
    <w:rsid w:val="001767DE"/>
    <w:rsid w:val="00176827"/>
    <w:rsid w:val="001769FB"/>
    <w:rsid w:val="00176D57"/>
    <w:rsid w:val="00176E26"/>
    <w:rsid w:val="00176E6B"/>
    <w:rsid w:val="0017739C"/>
    <w:rsid w:val="0017755B"/>
    <w:rsid w:val="001775A9"/>
    <w:rsid w:val="00177775"/>
    <w:rsid w:val="001779E2"/>
    <w:rsid w:val="00177F51"/>
    <w:rsid w:val="0018051A"/>
    <w:rsid w:val="00180BF1"/>
    <w:rsid w:val="00180CAC"/>
    <w:rsid w:val="00180E8F"/>
    <w:rsid w:val="00180EAE"/>
    <w:rsid w:val="001810E8"/>
    <w:rsid w:val="0018122B"/>
    <w:rsid w:val="0018127E"/>
    <w:rsid w:val="001819E0"/>
    <w:rsid w:val="00181D37"/>
    <w:rsid w:val="001821E7"/>
    <w:rsid w:val="0018227B"/>
    <w:rsid w:val="0018250F"/>
    <w:rsid w:val="00182A89"/>
    <w:rsid w:val="001834BF"/>
    <w:rsid w:val="00183DCB"/>
    <w:rsid w:val="00184413"/>
    <w:rsid w:val="0018451B"/>
    <w:rsid w:val="00184CDF"/>
    <w:rsid w:val="00184D59"/>
    <w:rsid w:val="00184ECE"/>
    <w:rsid w:val="00184FC3"/>
    <w:rsid w:val="001852B8"/>
    <w:rsid w:val="00185471"/>
    <w:rsid w:val="00185952"/>
    <w:rsid w:val="00185B4B"/>
    <w:rsid w:val="00185DF0"/>
    <w:rsid w:val="00186222"/>
    <w:rsid w:val="0018624C"/>
    <w:rsid w:val="00186C00"/>
    <w:rsid w:val="00186D0F"/>
    <w:rsid w:val="00186D96"/>
    <w:rsid w:val="00186E72"/>
    <w:rsid w:val="00187156"/>
    <w:rsid w:val="0018727C"/>
    <w:rsid w:val="0018728B"/>
    <w:rsid w:val="00187737"/>
    <w:rsid w:val="00187795"/>
    <w:rsid w:val="00187D47"/>
    <w:rsid w:val="001900CE"/>
    <w:rsid w:val="001903D5"/>
    <w:rsid w:val="001905F9"/>
    <w:rsid w:val="001913E6"/>
    <w:rsid w:val="001914D6"/>
    <w:rsid w:val="0019156B"/>
    <w:rsid w:val="00191AA6"/>
    <w:rsid w:val="00191CE8"/>
    <w:rsid w:val="00191DFA"/>
    <w:rsid w:val="00191E57"/>
    <w:rsid w:val="00191FA6"/>
    <w:rsid w:val="00191FCB"/>
    <w:rsid w:val="001925C5"/>
    <w:rsid w:val="00192ADB"/>
    <w:rsid w:val="00192BED"/>
    <w:rsid w:val="00192E84"/>
    <w:rsid w:val="001933B9"/>
    <w:rsid w:val="0019361C"/>
    <w:rsid w:val="00193636"/>
    <w:rsid w:val="001937B2"/>
    <w:rsid w:val="00193A7D"/>
    <w:rsid w:val="001949E1"/>
    <w:rsid w:val="00194C03"/>
    <w:rsid w:val="001950A3"/>
    <w:rsid w:val="00195163"/>
    <w:rsid w:val="00195575"/>
    <w:rsid w:val="00195710"/>
    <w:rsid w:val="00195784"/>
    <w:rsid w:val="0019598D"/>
    <w:rsid w:val="00195BED"/>
    <w:rsid w:val="00195C1E"/>
    <w:rsid w:val="00196D5B"/>
    <w:rsid w:val="00196DEA"/>
    <w:rsid w:val="001973E9"/>
    <w:rsid w:val="00197BD3"/>
    <w:rsid w:val="001A01E6"/>
    <w:rsid w:val="001A07A1"/>
    <w:rsid w:val="001A0AAD"/>
    <w:rsid w:val="001A0BAC"/>
    <w:rsid w:val="001A0CFB"/>
    <w:rsid w:val="001A0FCD"/>
    <w:rsid w:val="001A10F4"/>
    <w:rsid w:val="001A11E0"/>
    <w:rsid w:val="001A1541"/>
    <w:rsid w:val="001A176D"/>
    <w:rsid w:val="001A193A"/>
    <w:rsid w:val="001A1A9D"/>
    <w:rsid w:val="001A1D77"/>
    <w:rsid w:val="001A20A7"/>
    <w:rsid w:val="001A22DC"/>
    <w:rsid w:val="001A287F"/>
    <w:rsid w:val="001A29BF"/>
    <w:rsid w:val="001A2BA2"/>
    <w:rsid w:val="001A2DBC"/>
    <w:rsid w:val="001A2F6B"/>
    <w:rsid w:val="001A2FB6"/>
    <w:rsid w:val="001A33D8"/>
    <w:rsid w:val="001A37AA"/>
    <w:rsid w:val="001A3890"/>
    <w:rsid w:val="001A3BC8"/>
    <w:rsid w:val="001A4089"/>
    <w:rsid w:val="001A4415"/>
    <w:rsid w:val="001A45EC"/>
    <w:rsid w:val="001A49BE"/>
    <w:rsid w:val="001A4D35"/>
    <w:rsid w:val="001A51EF"/>
    <w:rsid w:val="001A5446"/>
    <w:rsid w:val="001A591F"/>
    <w:rsid w:val="001A5B96"/>
    <w:rsid w:val="001A679A"/>
    <w:rsid w:val="001A67C4"/>
    <w:rsid w:val="001A686D"/>
    <w:rsid w:val="001A695A"/>
    <w:rsid w:val="001A6B15"/>
    <w:rsid w:val="001A6C41"/>
    <w:rsid w:val="001A6C49"/>
    <w:rsid w:val="001A7027"/>
    <w:rsid w:val="001A7491"/>
    <w:rsid w:val="001A7682"/>
    <w:rsid w:val="001A7ED4"/>
    <w:rsid w:val="001A7FB4"/>
    <w:rsid w:val="001B012C"/>
    <w:rsid w:val="001B0448"/>
    <w:rsid w:val="001B0455"/>
    <w:rsid w:val="001B06A5"/>
    <w:rsid w:val="001B101B"/>
    <w:rsid w:val="001B10CA"/>
    <w:rsid w:val="001B16C6"/>
    <w:rsid w:val="001B16F6"/>
    <w:rsid w:val="001B18AC"/>
    <w:rsid w:val="001B1C44"/>
    <w:rsid w:val="001B1FE5"/>
    <w:rsid w:val="001B23F3"/>
    <w:rsid w:val="001B248F"/>
    <w:rsid w:val="001B28BA"/>
    <w:rsid w:val="001B2BA0"/>
    <w:rsid w:val="001B3094"/>
    <w:rsid w:val="001B31BD"/>
    <w:rsid w:val="001B31C8"/>
    <w:rsid w:val="001B34AB"/>
    <w:rsid w:val="001B3685"/>
    <w:rsid w:val="001B3954"/>
    <w:rsid w:val="001B3C7E"/>
    <w:rsid w:val="001B3E44"/>
    <w:rsid w:val="001B4036"/>
    <w:rsid w:val="001B415F"/>
    <w:rsid w:val="001B4B04"/>
    <w:rsid w:val="001B4B42"/>
    <w:rsid w:val="001B4BEB"/>
    <w:rsid w:val="001B4DA6"/>
    <w:rsid w:val="001B5034"/>
    <w:rsid w:val="001B5680"/>
    <w:rsid w:val="001B56C5"/>
    <w:rsid w:val="001B5A75"/>
    <w:rsid w:val="001B5B8D"/>
    <w:rsid w:val="001B5EAE"/>
    <w:rsid w:val="001B61BC"/>
    <w:rsid w:val="001B64FD"/>
    <w:rsid w:val="001B6843"/>
    <w:rsid w:val="001B6E5B"/>
    <w:rsid w:val="001B772A"/>
    <w:rsid w:val="001B7962"/>
    <w:rsid w:val="001B7B7C"/>
    <w:rsid w:val="001C0199"/>
    <w:rsid w:val="001C05F1"/>
    <w:rsid w:val="001C0806"/>
    <w:rsid w:val="001C0898"/>
    <w:rsid w:val="001C0CCC"/>
    <w:rsid w:val="001C11EF"/>
    <w:rsid w:val="001C1587"/>
    <w:rsid w:val="001C1752"/>
    <w:rsid w:val="001C1985"/>
    <w:rsid w:val="001C1A74"/>
    <w:rsid w:val="001C1DF0"/>
    <w:rsid w:val="001C2166"/>
    <w:rsid w:val="001C217A"/>
    <w:rsid w:val="001C31FA"/>
    <w:rsid w:val="001C3633"/>
    <w:rsid w:val="001C3A7F"/>
    <w:rsid w:val="001C4996"/>
    <w:rsid w:val="001C4B52"/>
    <w:rsid w:val="001C4DEB"/>
    <w:rsid w:val="001C5463"/>
    <w:rsid w:val="001C55EB"/>
    <w:rsid w:val="001C59C2"/>
    <w:rsid w:val="001C5BF9"/>
    <w:rsid w:val="001C610A"/>
    <w:rsid w:val="001C6B36"/>
    <w:rsid w:val="001C6D0C"/>
    <w:rsid w:val="001C6D73"/>
    <w:rsid w:val="001C7AB5"/>
    <w:rsid w:val="001C7BC3"/>
    <w:rsid w:val="001C7E9D"/>
    <w:rsid w:val="001D003C"/>
    <w:rsid w:val="001D0161"/>
    <w:rsid w:val="001D03A2"/>
    <w:rsid w:val="001D05FC"/>
    <w:rsid w:val="001D060E"/>
    <w:rsid w:val="001D0631"/>
    <w:rsid w:val="001D0AC1"/>
    <w:rsid w:val="001D0AE3"/>
    <w:rsid w:val="001D0B49"/>
    <w:rsid w:val="001D1005"/>
    <w:rsid w:val="001D134B"/>
    <w:rsid w:val="001D145D"/>
    <w:rsid w:val="001D16DA"/>
    <w:rsid w:val="001D17E6"/>
    <w:rsid w:val="001D1B75"/>
    <w:rsid w:val="001D1E0B"/>
    <w:rsid w:val="001D20DA"/>
    <w:rsid w:val="001D2218"/>
    <w:rsid w:val="001D28FE"/>
    <w:rsid w:val="001D297D"/>
    <w:rsid w:val="001D2E49"/>
    <w:rsid w:val="001D2E83"/>
    <w:rsid w:val="001D3007"/>
    <w:rsid w:val="001D31C7"/>
    <w:rsid w:val="001D37F1"/>
    <w:rsid w:val="001D3D6D"/>
    <w:rsid w:val="001D3E47"/>
    <w:rsid w:val="001D3EBC"/>
    <w:rsid w:val="001D41E6"/>
    <w:rsid w:val="001D427C"/>
    <w:rsid w:val="001D470A"/>
    <w:rsid w:val="001D4F86"/>
    <w:rsid w:val="001D5004"/>
    <w:rsid w:val="001D53D1"/>
    <w:rsid w:val="001D55EF"/>
    <w:rsid w:val="001D5672"/>
    <w:rsid w:val="001D5912"/>
    <w:rsid w:val="001D5BEB"/>
    <w:rsid w:val="001D6309"/>
    <w:rsid w:val="001D6585"/>
    <w:rsid w:val="001D65B7"/>
    <w:rsid w:val="001D6B22"/>
    <w:rsid w:val="001D6B80"/>
    <w:rsid w:val="001D6B82"/>
    <w:rsid w:val="001D6E34"/>
    <w:rsid w:val="001D6E65"/>
    <w:rsid w:val="001D7611"/>
    <w:rsid w:val="001D774D"/>
    <w:rsid w:val="001D79D2"/>
    <w:rsid w:val="001D7DEA"/>
    <w:rsid w:val="001E01F8"/>
    <w:rsid w:val="001E052B"/>
    <w:rsid w:val="001E067B"/>
    <w:rsid w:val="001E06E9"/>
    <w:rsid w:val="001E090C"/>
    <w:rsid w:val="001E0F8D"/>
    <w:rsid w:val="001E1010"/>
    <w:rsid w:val="001E11DA"/>
    <w:rsid w:val="001E16E5"/>
    <w:rsid w:val="001E177C"/>
    <w:rsid w:val="001E18CD"/>
    <w:rsid w:val="001E1ACF"/>
    <w:rsid w:val="001E1B4D"/>
    <w:rsid w:val="001E1BDF"/>
    <w:rsid w:val="001E1BEC"/>
    <w:rsid w:val="001E1DB2"/>
    <w:rsid w:val="001E21DB"/>
    <w:rsid w:val="001E292C"/>
    <w:rsid w:val="001E2AF5"/>
    <w:rsid w:val="001E2EDB"/>
    <w:rsid w:val="001E2FDA"/>
    <w:rsid w:val="001E3649"/>
    <w:rsid w:val="001E36E3"/>
    <w:rsid w:val="001E3733"/>
    <w:rsid w:val="001E3C82"/>
    <w:rsid w:val="001E3CAB"/>
    <w:rsid w:val="001E42F8"/>
    <w:rsid w:val="001E46B7"/>
    <w:rsid w:val="001E49CA"/>
    <w:rsid w:val="001E4A39"/>
    <w:rsid w:val="001E507C"/>
    <w:rsid w:val="001E51DC"/>
    <w:rsid w:val="001E53E7"/>
    <w:rsid w:val="001E57AC"/>
    <w:rsid w:val="001E5818"/>
    <w:rsid w:val="001E59EA"/>
    <w:rsid w:val="001E5A4F"/>
    <w:rsid w:val="001E5E13"/>
    <w:rsid w:val="001E5F14"/>
    <w:rsid w:val="001E6118"/>
    <w:rsid w:val="001E63A3"/>
    <w:rsid w:val="001E6EEE"/>
    <w:rsid w:val="001E6F14"/>
    <w:rsid w:val="001E6FE5"/>
    <w:rsid w:val="001E74CD"/>
    <w:rsid w:val="001E7742"/>
    <w:rsid w:val="001E7CFB"/>
    <w:rsid w:val="001F08F0"/>
    <w:rsid w:val="001F0923"/>
    <w:rsid w:val="001F0930"/>
    <w:rsid w:val="001F0C98"/>
    <w:rsid w:val="001F0D40"/>
    <w:rsid w:val="001F0EB4"/>
    <w:rsid w:val="001F1136"/>
    <w:rsid w:val="001F1A70"/>
    <w:rsid w:val="001F1B5C"/>
    <w:rsid w:val="001F1BD1"/>
    <w:rsid w:val="001F21D0"/>
    <w:rsid w:val="001F23B4"/>
    <w:rsid w:val="001F2424"/>
    <w:rsid w:val="001F254C"/>
    <w:rsid w:val="001F2A02"/>
    <w:rsid w:val="001F3198"/>
    <w:rsid w:val="001F3585"/>
    <w:rsid w:val="001F3648"/>
    <w:rsid w:val="001F38A7"/>
    <w:rsid w:val="001F3FBE"/>
    <w:rsid w:val="001F4076"/>
    <w:rsid w:val="001F4365"/>
    <w:rsid w:val="001F44E6"/>
    <w:rsid w:val="001F459F"/>
    <w:rsid w:val="001F46A8"/>
    <w:rsid w:val="001F4AF2"/>
    <w:rsid w:val="001F4C5C"/>
    <w:rsid w:val="001F4DDA"/>
    <w:rsid w:val="001F4F4A"/>
    <w:rsid w:val="001F5D67"/>
    <w:rsid w:val="001F606E"/>
    <w:rsid w:val="001F62C4"/>
    <w:rsid w:val="001F7818"/>
    <w:rsid w:val="001F7A94"/>
    <w:rsid w:val="001F7E35"/>
    <w:rsid w:val="002002A0"/>
    <w:rsid w:val="0020043F"/>
    <w:rsid w:val="00200D1A"/>
    <w:rsid w:val="0020140B"/>
    <w:rsid w:val="002016F0"/>
    <w:rsid w:val="00201738"/>
    <w:rsid w:val="0020193A"/>
    <w:rsid w:val="00202011"/>
    <w:rsid w:val="002021B5"/>
    <w:rsid w:val="002021BE"/>
    <w:rsid w:val="002023A6"/>
    <w:rsid w:val="0020241F"/>
    <w:rsid w:val="00202DFD"/>
    <w:rsid w:val="00202E7C"/>
    <w:rsid w:val="00203054"/>
    <w:rsid w:val="00203539"/>
    <w:rsid w:val="0020399B"/>
    <w:rsid w:val="00203A74"/>
    <w:rsid w:val="00203B79"/>
    <w:rsid w:val="0020404A"/>
    <w:rsid w:val="00204480"/>
    <w:rsid w:val="002045AE"/>
    <w:rsid w:val="00204634"/>
    <w:rsid w:val="00204828"/>
    <w:rsid w:val="00204894"/>
    <w:rsid w:val="00205123"/>
    <w:rsid w:val="0020512F"/>
    <w:rsid w:val="0020521B"/>
    <w:rsid w:val="002054C7"/>
    <w:rsid w:val="002054D6"/>
    <w:rsid w:val="00205848"/>
    <w:rsid w:val="00205A43"/>
    <w:rsid w:val="00206003"/>
    <w:rsid w:val="0020664A"/>
    <w:rsid w:val="00206774"/>
    <w:rsid w:val="00206976"/>
    <w:rsid w:val="00206B7F"/>
    <w:rsid w:val="00206DB8"/>
    <w:rsid w:val="00206E3A"/>
    <w:rsid w:val="00206E81"/>
    <w:rsid w:val="00207059"/>
    <w:rsid w:val="002076A9"/>
    <w:rsid w:val="0020792F"/>
    <w:rsid w:val="00207C42"/>
    <w:rsid w:val="00207D01"/>
    <w:rsid w:val="00210064"/>
    <w:rsid w:val="0021079F"/>
    <w:rsid w:val="00210A18"/>
    <w:rsid w:val="00210A53"/>
    <w:rsid w:val="00210B83"/>
    <w:rsid w:val="00210E04"/>
    <w:rsid w:val="002114D6"/>
    <w:rsid w:val="002114EB"/>
    <w:rsid w:val="0021181D"/>
    <w:rsid w:val="0021192D"/>
    <w:rsid w:val="002119E5"/>
    <w:rsid w:val="00211AFC"/>
    <w:rsid w:val="00211C31"/>
    <w:rsid w:val="00211CEC"/>
    <w:rsid w:val="00211F51"/>
    <w:rsid w:val="00212FD2"/>
    <w:rsid w:val="0021308C"/>
    <w:rsid w:val="002139ED"/>
    <w:rsid w:val="00214B81"/>
    <w:rsid w:val="00214EA2"/>
    <w:rsid w:val="00215258"/>
    <w:rsid w:val="002155A5"/>
    <w:rsid w:val="002157E8"/>
    <w:rsid w:val="0021594C"/>
    <w:rsid w:val="00215969"/>
    <w:rsid w:val="00215ABC"/>
    <w:rsid w:val="00215E06"/>
    <w:rsid w:val="00216340"/>
    <w:rsid w:val="00216E88"/>
    <w:rsid w:val="0021719E"/>
    <w:rsid w:val="0021764D"/>
    <w:rsid w:val="00217704"/>
    <w:rsid w:val="00217798"/>
    <w:rsid w:val="002179A8"/>
    <w:rsid w:val="00217C3C"/>
    <w:rsid w:val="00217E98"/>
    <w:rsid w:val="00217F50"/>
    <w:rsid w:val="00217FCC"/>
    <w:rsid w:val="002205A0"/>
    <w:rsid w:val="00220944"/>
    <w:rsid w:val="0022105C"/>
    <w:rsid w:val="002214D7"/>
    <w:rsid w:val="0022171A"/>
    <w:rsid w:val="00221A20"/>
    <w:rsid w:val="00221A4F"/>
    <w:rsid w:val="002223A7"/>
    <w:rsid w:val="00222496"/>
    <w:rsid w:val="00222969"/>
    <w:rsid w:val="002229B8"/>
    <w:rsid w:val="00222BCF"/>
    <w:rsid w:val="00222E09"/>
    <w:rsid w:val="0022373C"/>
    <w:rsid w:val="00223BC9"/>
    <w:rsid w:val="00224254"/>
    <w:rsid w:val="002244D9"/>
    <w:rsid w:val="00224B71"/>
    <w:rsid w:val="00224C89"/>
    <w:rsid w:val="00224D11"/>
    <w:rsid w:val="00224E29"/>
    <w:rsid w:val="00224EF5"/>
    <w:rsid w:val="00224EF7"/>
    <w:rsid w:val="00224F31"/>
    <w:rsid w:val="00224F4D"/>
    <w:rsid w:val="00224F6D"/>
    <w:rsid w:val="00224F87"/>
    <w:rsid w:val="002251B3"/>
    <w:rsid w:val="0022572E"/>
    <w:rsid w:val="00225DEF"/>
    <w:rsid w:val="00225FFC"/>
    <w:rsid w:val="00226156"/>
    <w:rsid w:val="0022625B"/>
    <w:rsid w:val="002262EB"/>
    <w:rsid w:val="002265BE"/>
    <w:rsid w:val="00226AB9"/>
    <w:rsid w:val="00226B6F"/>
    <w:rsid w:val="00226C06"/>
    <w:rsid w:val="00227D58"/>
    <w:rsid w:val="0023011E"/>
    <w:rsid w:val="002301CE"/>
    <w:rsid w:val="00230849"/>
    <w:rsid w:val="002309B0"/>
    <w:rsid w:val="002309B2"/>
    <w:rsid w:val="002312D7"/>
    <w:rsid w:val="00231684"/>
    <w:rsid w:val="00231A67"/>
    <w:rsid w:val="00231A96"/>
    <w:rsid w:val="00231B72"/>
    <w:rsid w:val="00232308"/>
    <w:rsid w:val="0023249A"/>
    <w:rsid w:val="00232975"/>
    <w:rsid w:val="00232A83"/>
    <w:rsid w:val="00232C80"/>
    <w:rsid w:val="00232CC6"/>
    <w:rsid w:val="00232E47"/>
    <w:rsid w:val="00232F04"/>
    <w:rsid w:val="002330F1"/>
    <w:rsid w:val="002330FC"/>
    <w:rsid w:val="00233175"/>
    <w:rsid w:val="0023371D"/>
    <w:rsid w:val="002337EB"/>
    <w:rsid w:val="00233A76"/>
    <w:rsid w:val="00233AB7"/>
    <w:rsid w:val="00233F7D"/>
    <w:rsid w:val="00233FA8"/>
    <w:rsid w:val="00234477"/>
    <w:rsid w:val="0023498F"/>
    <w:rsid w:val="00234C66"/>
    <w:rsid w:val="00235AD1"/>
    <w:rsid w:val="00235EE4"/>
    <w:rsid w:val="0023601B"/>
    <w:rsid w:val="00236610"/>
    <w:rsid w:val="00236DF3"/>
    <w:rsid w:val="00236F07"/>
    <w:rsid w:val="0023761C"/>
    <w:rsid w:val="00237963"/>
    <w:rsid w:val="00237A08"/>
    <w:rsid w:val="00237D21"/>
    <w:rsid w:val="00240479"/>
    <w:rsid w:val="00240A10"/>
    <w:rsid w:val="00240D37"/>
    <w:rsid w:val="00240EE0"/>
    <w:rsid w:val="002410A3"/>
    <w:rsid w:val="00241340"/>
    <w:rsid w:val="00241461"/>
    <w:rsid w:val="0024174D"/>
    <w:rsid w:val="002417DD"/>
    <w:rsid w:val="00241B40"/>
    <w:rsid w:val="0024289C"/>
    <w:rsid w:val="00242AF7"/>
    <w:rsid w:val="00242B87"/>
    <w:rsid w:val="00242B89"/>
    <w:rsid w:val="00242DE9"/>
    <w:rsid w:val="002433B7"/>
    <w:rsid w:val="00243801"/>
    <w:rsid w:val="00243AAE"/>
    <w:rsid w:val="00243C01"/>
    <w:rsid w:val="00243D97"/>
    <w:rsid w:val="00243EEC"/>
    <w:rsid w:val="0024410D"/>
    <w:rsid w:val="00244C7C"/>
    <w:rsid w:val="00244E88"/>
    <w:rsid w:val="00245061"/>
    <w:rsid w:val="00245459"/>
    <w:rsid w:val="0024549B"/>
    <w:rsid w:val="00245AAE"/>
    <w:rsid w:val="00245E13"/>
    <w:rsid w:val="00246655"/>
    <w:rsid w:val="00246FD9"/>
    <w:rsid w:val="00246FDB"/>
    <w:rsid w:val="0024726C"/>
    <w:rsid w:val="0024783A"/>
    <w:rsid w:val="00247A7C"/>
    <w:rsid w:val="00247AC4"/>
    <w:rsid w:val="00250093"/>
    <w:rsid w:val="00250441"/>
    <w:rsid w:val="00250665"/>
    <w:rsid w:val="00250876"/>
    <w:rsid w:val="0025097F"/>
    <w:rsid w:val="00250CDD"/>
    <w:rsid w:val="00251601"/>
    <w:rsid w:val="002519CC"/>
    <w:rsid w:val="00251B84"/>
    <w:rsid w:val="00251BDE"/>
    <w:rsid w:val="00251C54"/>
    <w:rsid w:val="00251FD0"/>
    <w:rsid w:val="002523D0"/>
    <w:rsid w:val="002525AE"/>
    <w:rsid w:val="0025276D"/>
    <w:rsid w:val="00252832"/>
    <w:rsid w:val="002528B5"/>
    <w:rsid w:val="00252BFE"/>
    <w:rsid w:val="00252E57"/>
    <w:rsid w:val="00252EF1"/>
    <w:rsid w:val="0025397C"/>
    <w:rsid w:val="00253B4E"/>
    <w:rsid w:val="00253DBD"/>
    <w:rsid w:val="00253FB5"/>
    <w:rsid w:val="00254018"/>
    <w:rsid w:val="00254165"/>
    <w:rsid w:val="002543E2"/>
    <w:rsid w:val="00254763"/>
    <w:rsid w:val="00254787"/>
    <w:rsid w:val="00254823"/>
    <w:rsid w:val="0025494F"/>
    <w:rsid w:val="00254BBB"/>
    <w:rsid w:val="00254FAD"/>
    <w:rsid w:val="00255325"/>
    <w:rsid w:val="00255327"/>
    <w:rsid w:val="00255558"/>
    <w:rsid w:val="00255D9E"/>
    <w:rsid w:val="0025602F"/>
    <w:rsid w:val="0025604B"/>
    <w:rsid w:val="002561AD"/>
    <w:rsid w:val="00256286"/>
    <w:rsid w:val="00256ABC"/>
    <w:rsid w:val="00257000"/>
    <w:rsid w:val="00257220"/>
    <w:rsid w:val="00257494"/>
    <w:rsid w:val="002575BD"/>
    <w:rsid w:val="00257736"/>
    <w:rsid w:val="00257A99"/>
    <w:rsid w:val="00257C86"/>
    <w:rsid w:val="002600C0"/>
    <w:rsid w:val="002600F7"/>
    <w:rsid w:val="00260583"/>
    <w:rsid w:val="002605E9"/>
    <w:rsid w:val="00260C38"/>
    <w:rsid w:val="00261350"/>
    <w:rsid w:val="00261718"/>
    <w:rsid w:val="00261755"/>
    <w:rsid w:val="0026190C"/>
    <w:rsid w:val="00261C67"/>
    <w:rsid w:val="0026242D"/>
    <w:rsid w:val="0026246A"/>
    <w:rsid w:val="00262492"/>
    <w:rsid w:val="002632AC"/>
    <w:rsid w:val="00263353"/>
    <w:rsid w:val="00263954"/>
    <w:rsid w:val="002639DD"/>
    <w:rsid w:val="00263EFE"/>
    <w:rsid w:val="00264645"/>
    <w:rsid w:val="00264872"/>
    <w:rsid w:val="00264B60"/>
    <w:rsid w:val="00264DE3"/>
    <w:rsid w:val="00264F91"/>
    <w:rsid w:val="00265148"/>
    <w:rsid w:val="00265679"/>
    <w:rsid w:val="00265BAA"/>
    <w:rsid w:val="00266354"/>
    <w:rsid w:val="00266465"/>
    <w:rsid w:val="002665C9"/>
    <w:rsid w:val="0026669A"/>
    <w:rsid w:val="00266823"/>
    <w:rsid w:val="002668FB"/>
    <w:rsid w:val="0026697C"/>
    <w:rsid w:val="00266EF3"/>
    <w:rsid w:val="002671C3"/>
    <w:rsid w:val="00267563"/>
    <w:rsid w:val="00267751"/>
    <w:rsid w:val="0026777D"/>
    <w:rsid w:val="002702B2"/>
    <w:rsid w:val="002705ED"/>
    <w:rsid w:val="00270955"/>
    <w:rsid w:val="00270B0D"/>
    <w:rsid w:val="00270C9B"/>
    <w:rsid w:val="00270CD5"/>
    <w:rsid w:val="00270E51"/>
    <w:rsid w:val="002714AF"/>
    <w:rsid w:val="002718EA"/>
    <w:rsid w:val="00271E2B"/>
    <w:rsid w:val="00272052"/>
    <w:rsid w:val="002726F5"/>
    <w:rsid w:val="00272B5A"/>
    <w:rsid w:val="00272C9E"/>
    <w:rsid w:val="00272FCF"/>
    <w:rsid w:val="002731C3"/>
    <w:rsid w:val="002733A3"/>
    <w:rsid w:val="00273918"/>
    <w:rsid w:val="00273E62"/>
    <w:rsid w:val="00274281"/>
    <w:rsid w:val="002744E2"/>
    <w:rsid w:val="002746B5"/>
    <w:rsid w:val="00274B90"/>
    <w:rsid w:val="00274D4D"/>
    <w:rsid w:val="00275314"/>
    <w:rsid w:val="002754E9"/>
    <w:rsid w:val="00275AF1"/>
    <w:rsid w:val="002763C2"/>
    <w:rsid w:val="00276E67"/>
    <w:rsid w:val="002776D6"/>
    <w:rsid w:val="002801AE"/>
    <w:rsid w:val="00280625"/>
    <w:rsid w:val="002806DB"/>
    <w:rsid w:val="00280BB8"/>
    <w:rsid w:val="00280CC4"/>
    <w:rsid w:val="00280EC3"/>
    <w:rsid w:val="002811E5"/>
    <w:rsid w:val="00281BCD"/>
    <w:rsid w:val="00281D50"/>
    <w:rsid w:val="002820CB"/>
    <w:rsid w:val="0028256C"/>
    <w:rsid w:val="00282916"/>
    <w:rsid w:val="002829B5"/>
    <w:rsid w:val="00282A68"/>
    <w:rsid w:val="00282ADA"/>
    <w:rsid w:val="00282BB9"/>
    <w:rsid w:val="002833F7"/>
    <w:rsid w:val="002834D7"/>
    <w:rsid w:val="00283555"/>
    <w:rsid w:val="0028391C"/>
    <w:rsid w:val="00283A19"/>
    <w:rsid w:val="00283F27"/>
    <w:rsid w:val="00284567"/>
    <w:rsid w:val="00284627"/>
    <w:rsid w:val="0028464E"/>
    <w:rsid w:val="002846EA"/>
    <w:rsid w:val="0028498F"/>
    <w:rsid w:val="00284D9B"/>
    <w:rsid w:val="0028500D"/>
    <w:rsid w:val="002850BC"/>
    <w:rsid w:val="0028557D"/>
    <w:rsid w:val="0028568B"/>
    <w:rsid w:val="00285CC5"/>
    <w:rsid w:val="00285EBA"/>
    <w:rsid w:val="00286232"/>
    <w:rsid w:val="00286346"/>
    <w:rsid w:val="002863AE"/>
    <w:rsid w:val="00286A33"/>
    <w:rsid w:val="00287072"/>
    <w:rsid w:val="00287298"/>
    <w:rsid w:val="00287A39"/>
    <w:rsid w:val="00287C36"/>
    <w:rsid w:val="002901B9"/>
    <w:rsid w:val="002902AB"/>
    <w:rsid w:val="00290459"/>
    <w:rsid w:val="002907B7"/>
    <w:rsid w:val="002909CC"/>
    <w:rsid w:val="00290BE5"/>
    <w:rsid w:val="00291433"/>
    <w:rsid w:val="00291D3E"/>
    <w:rsid w:val="00291DA0"/>
    <w:rsid w:val="00291DE9"/>
    <w:rsid w:val="00291FA9"/>
    <w:rsid w:val="00292453"/>
    <w:rsid w:val="00292DE1"/>
    <w:rsid w:val="002930FD"/>
    <w:rsid w:val="002932C5"/>
    <w:rsid w:val="002932E1"/>
    <w:rsid w:val="002936AF"/>
    <w:rsid w:val="00293B4D"/>
    <w:rsid w:val="00294099"/>
    <w:rsid w:val="00294246"/>
    <w:rsid w:val="00294247"/>
    <w:rsid w:val="0029429A"/>
    <w:rsid w:val="00294459"/>
    <w:rsid w:val="00294768"/>
    <w:rsid w:val="00294BFB"/>
    <w:rsid w:val="002950C0"/>
    <w:rsid w:val="00295248"/>
    <w:rsid w:val="0029541A"/>
    <w:rsid w:val="002959D4"/>
    <w:rsid w:val="00295BEB"/>
    <w:rsid w:val="0029633B"/>
    <w:rsid w:val="00296787"/>
    <w:rsid w:val="00296BC1"/>
    <w:rsid w:val="00296E8B"/>
    <w:rsid w:val="002971ED"/>
    <w:rsid w:val="00297625"/>
    <w:rsid w:val="002978F4"/>
    <w:rsid w:val="0029793D"/>
    <w:rsid w:val="00297944"/>
    <w:rsid w:val="00297A0B"/>
    <w:rsid w:val="00297A51"/>
    <w:rsid w:val="00297D4A"/>
    <w:rsid w:val="00297E89"/>
    <w:rsid w:val="00297FC0"/>
    <w:rsid w:val="002A009A"/>
    <w:rsid w:val="002A0190"/>
    <w:rsid w:val="002A04B1"/>
    <w:rsid w:val="002A0666"/>
    <w:rsid w:val="002A0FB9"/>
    <w:rsid w:val="002A11E9"/>
    <w:rsid w:val="002A140B"/>
    <w:rsid w:val="002A1412"/>
    <w:rsid w:val="002A14C1"/>
    <w:rsid w:val="002A17C0"/>
    <w:rsid w:val="002A1975"/>
    <w:rsid w:val="002A1B3C"/>
    <w:rsid w:val="002A203D"/>
    <w:rsid w:val="002A2045"/>
    <w:rsid w:val="002A24DE"/>
    <w:rsid w:val="002A256C"/>
    <w:rsid w:val="002A259D"/>
    <w:rsid w:val="002A2854"/>
    <w:rsid w:val="002A2996"/>
    <w:rsid w:val="002A2A4F"/>
    <w:rsid w:val="002A2A78"/>
    <w:rsid w:val="002A2B1D"/>
    <w:rsid w:val="002A2B64"/>
    <w:rsid w:val="002A2E36"/>
    <w:rsid w:val="002A315B"/>
    <w:rsid w:val="002A33D1"/>
    <w:rsid w:val="002A3CE8"/>
    <w:rsid w:val="002A406F"/>
    <w:rsid w:val="002A4375"/>
    <w:rsid w:val="002A4636"/>
    <w:rsid w:val="002A46D2"/>
    <w:rsid w:val="002A480E"/>
    <w:rsid w:val="002A483C"/>
    <w:rsid w:val="002A4968"/>
    <w:rsid w:val="002A496C"/>
    <w:rsid w:val="002A499A"/>
    <w:rsid w:val="002A4BE9"/>
    <w:rsid w:val="002A4D46"/>
    <w:rsid w:val="002A4EE0"/>
    <w:rsid w:val="002A4F97"/>
    <w:rsid w:val="002A4FE6"/>
    <w:rsid w:val="002A50B8"/>
    <w:rsid w:val="002A5142"/>
    <w:rsid w:val="002A5211"/>
    <w:rsid w:val="002A5965"/>
    <w:rsid w:val="002A5C06"/>
    <w:rsid w:val="002A5D5E"/>
    <w:rsid w:val="002A5D8C"/>
    <w:rsid w:val="002A5E94"/>
    <w:rsid w:val="002A66DC"/>
    <w:rsid w:val="002A68A0"/>
    <w:rsid w:val="002A6BA4"/>
    <w:rsid w:val="002A6DAE"/>
    <w:rsid w:val="002A7314"/>
    <w:rsid w:val="002A7461"/>
    <w:rsid w:val="002A74A3"/>
    <w:rsid w:val="002A74E9"/>
    <w:rsid w:val="002A789B"/>
    <w:rsid w:val="002A7FFE"/>
    <w:rsid w:val="002B0CB6"/>
    <w:rsid w:val="002B11FE"/>
    <w:rsid w:val="002B19C3"/>
    <w:rsid w:val="002B1C56"/>
    <w:rsid w:val="002B1CB5"/>
    <w:rsid w:val="002B1D72"/>
    <w:rsid w:val="002B2181"/>
    <w:rsid w:val="002B2274"/>
    <w:rsid w:val="002B2330"/>
    <w:rsid w:val="002B2643"/>
    <w:rsid w:val="002B2E8F"/>
    <w:rsid w:val="002B315C"/>
    <w:rsid w:val="002B334B"/>
    <w:rsid w:val="002B335B"/>
    <w:rsid w:val="002B3404"/>
    <w:rsid w:val="002B3C07"/>
    <w:rsid w:val="002B3C8D"/>
    <w:rsid w:val="002B420D"/>
    <w:rsid w:val="002B4431"/>
    <w:rsid w:val="002B4540"/>
    <w:rsid w:val="002B4895"/>
    <w:rsid w:val="002B4AD3"/>
    <w:rsid w:val="002B4FB2"/>
    <w:rsid w:val="002B5A87"/>
    <w:rsid w:val="002B5ABC"/>
    <w:rsid w:val="002B5D9B"/>
    <w:rsid w:val="002B5E11"/>
    <w:rsid w:val="002B5F29"/>
    <w:rsid w:val="002B6209"/>
    <w:rsid w:val="002B628A"/>
    <w:rsid w:val="002B6316"/>
    <w:rsid w:val="002B6A13"/>
    <w:rsid w:val="002B6A4E"/>
    <w:rsid w:val="002B6B6C"/>
    <w:rsid w:val="002B6CA4"/>
    <w:rsid w:val="002B6DC0"/>
    <w:rsid w:val="002B6E4A"/>
    <w:rsid w:val="002B6FB5"/>
    <w:rsid w:val="002B701D"/>
    <w:rsid w:val="002B7313"/>
    <w:rsid w:val="002B73BB"/>
    <w:rsid w:val="002B759C"/>
    <w:rsid w:val="002B79D8"/>
    <w:rsid w:val="002C0501"/>
    <w:rsid w:val="002C05B7"/>
    <w:rsid w:val="002C0668"/>
    <w:rsid w:val="002C0AFD"/>
    <w:rsid w:val="002C10F8"/>
    <w:rsid w:val="002C1446"/>
    <w:rsid w:val="002C14BE"/>
    <w:rsid w:val="002C1652"/>
    <w:rsid w:val="002C1CD1"/>
    <w:rsid w:val="002C1D71"/>
    <w:rsid w:val="002C20DB"/>
    <w:rsid w:val="002C2973"/>
    <w:rsid w:val="002C2F48"/>
    <w:rsid w:val="002C3054"/>
    <w:rsid w:val="002C3094"/>
    <w:rsid w:val="002C318D"/>
    <w:rsid w:val="002C32FC"/>
    <w:rsid w:val="002C356A"/>
    <w:rsid w:val="002C3A0F"/>
    <w:rsid w:val="002C3BBE"/>
    <w:rsid w:val="002C3C72"/>
    <w:rsid w:val="002C461A"/>
    <w:rsid w:val="002C4DEA"/>
    <w:rsid w:val="002C520E"/>
    <w:rsid w:val="002C5634"/>
    <w:rsid w:val="002C575B"/>
    <w:rsid w:val="002C57B2"/>
    <w:rsid w:val="002C58F6"/>
    <w:rsid w:val="002C5CE4"/>
    <w:rsid w:val="002C5EE4"/>
    <w:rsid w:val="002C6026"/>
    <w:rsid w:val="002C65CB"/>
    <w:rsid w:val="002C6718"/>
    <w:rsid w:val="002C68C6"/>
    <w:rsid w:val="002C6A19"/>
    <w:rsid w:val="002C6E7C"/>
    <w:rsid w:val="002C6FF1"/>
    <w:rsid w:val="002C77BF"/>
    <w:rsid w:val="002C77CC"/>
    <w:rsid w:val="002C7A97"/>
    <w:rsid w:val="002D0318"/>
    <w:rsid w:val="002D03FE"/>
    <w:rsid w:val="002D06C6"/>
    <w:rsid w:val="002D08AF"/>
    <w:rsid w:val="002D0958"/>
    <w:rsid w:val="002D0B28"/>
    <w:rsid w:val="002D0F0C"/>
    <w:rsid w:val="002D101B"/>
    <w:rsid w:val="002D1099"/>
    <w:rsid w:val="002D1629"/>
    <w:rsid w:val="002D1984"/>
    <w:rsid w:val="002D1990"/>
    <w:rsid w:val="002D2C0D"/>
    <w:rsid w:val="002D2D86"/>
    <w:rsid w:val="002D2F16"/>
    <w:rsid w:val="002D2F3F"/>
    <w:rsid w:val="002D393B"/>
    <w:rsid w:val="002D3C05"/>
    <w:rsid w:val="002D3D68"/>
    <w:rsid w:val="002D3DC3"/>
    <w:rsid w:val="002D3E50"/>
    <w:rsid w:val="002D3EB9"/>
    <w:rsid w:val="002D4BA9"/>
    <w:rsid w:val="002D5170"/>
    <w:rsid w:val="002D5868"/>
    <w:rsid w:val="002D64E7"/>
    <w:rsid w:val="002D677F"/>
    <w:rsid w:val="002D6924"/>
    <w:rsid w:val="002D6B5B"/>
    <w:rsid w:val="002D6BA5"/>
    <w:rsid w:val="002D709C"/>
    <w:rsid w:val="002D739D"/>
    <w:rsid w:val="002D7A5D"/>
    <w:rsid w:val="002E0041"/>
    <w:rsid w:val="002E00B0"/>
    <w:rsid w:val="002E0656"/>
    <w:rsid w:val="002E0831"/>
    <w:rsid w:val="002E0CEE"/>
    <w:rsid w:val="002E105E"/>
    <w:rsid w:val="002E115F"/>
    <w:rsid w:val="002E137A"/>
    <w:rsid w:val="002E139B"/>
    <w:rsid w:val="002E13A1"/>
    <w:rsid w:val="002E1554"/>
    <w:rsid w:val="002E1B97"/>
    <w:rsid w:val="002E1F30"/>
    <w:rsid w:val="002E1F85"/>
    <w:rsid w:val="002E2899"/>
    <w:rsid w:val="002E3BB3"/>
    <w:rsid w:val="002E3C96"/>
    <w:rsid w:val="002E4097"/>
    <w:rsid w:val="002E4110"/>
    <w:rsid w:val="002E422B"/>
    <w:rsid w:val="002E43B3"/>
    <w:rsid w:val="002E4669"/>
    <w:rsid w:val="002E47EC"/>
    <w:rsid w:val="002E47F4"/>
    <w:rsid w:val="002E49BD"/>
    <w:rsid w:val="002E4D24"/>
    <w:rsid w:val="002E53F0"/>
    <w:rsid w:val="002E5638"/>
    <w:rsid w:val="002E577E"/>
    <w:rsid w:val="002E5A76"/>
    <w:rsid w:val="002E5CB8"/>
    <w:rsid w:val="002E6549"/>
    <w:rsid w:val="002E68FC"/>
    <w:rsid w:val="002E6C04"/>
    <w:rsid w:val="002E7430"/>
    <w:rsid w:val="002E746B"/>
    <w:rsid w:val="002E77AC"/>
    <w:rsid w:val="002E7B4E"/>
    <w:rsid w:val="002E7B56"/>
    <w:rsid w:val="002F09DE"/>
    <w:rsid w:val="002F09F2"/>
    <w:rsid w:val="002F0D23"/>
    <w:rsid w:val="002F15D3"/>
    <w:rsid w:val="002F16DD"/>
    <w:rsid w:val="002F264A"/>
    <w:rsid w:val="002F2CFC"/>
    <w:rsid w:val="002F33A5"/>
    <w:rsid w:val="002F40E8"/>
    <w:rsid w:val="002F4588"/>
    <w:rsid w:val="002F495A"/>
    <w:rsid w:val="002F54E2"/>
    <w:rsid w:val="002F5782"/>
    <w:rsid w:val="002F6232"/>
    <w:rsid w:val="002F6261"/>
    <w:rsid w:val="002F64AC"/>
    <w:rsid w:val="002F676B"/>
    <w:rsid w:val="002F6B39"/>
    <w:rsid w:val="002F6C10"/>
    <w:rsid w:val="002F6E2D"/>
    <w:rsid w:val="002F794A"/>
    <w:rsid w:val="002F7981"/>
    <w:rsid w:val="002F7DC3"/>
    <w:rsid w:val="00300349"/>
    <w:rsid w:val="00300426"/>
    <w:rsid w:val="003008C6"/>
    <w:rsid w:val="00300F74"/>
    <w:rsid w:val="003018B9"/>
    <w:rsid w:val="00301F26"/>
    <w:rsid w:val="0030227B"/>
    <w:rsid w:val="003022AF"/>
    <w:rsid w:val="00302AA5"/>
    <w:rsid w:val="003031B5"/>
    <w:rsid w:val="003035A4"/>
    <w:rsid w:val="0030383B"/>
    <w:rsid w:val="00303A57"/>
    <w:rsid w:val="00303BCE"/>
    <w:rsid w:val="00303CC4"/>
    <w:rsid w:val="00303D63"/>
    <w:rsid w:val="003040EE"/>
    <w:rsid w:val="00304320"/>
    <w:rsid w:val="003047A3"/>
    <w:rsid w:val="003047D1"/>
    <w:rsid w:val="003052A4"/>
    <w:rsid w:val="003054B6"/>
    <w:rsid w:val="00305F7E"/>
    <w:rsid w:val="00306142"/>
    <w:rsid w:val="003061AB"/>
    <w:rsid w:val="003062E3"/>
    <w:rsid w:val="0030634C"/>
    <w:rsid w:val="00306919"/>
    <w:rsid w:val="00306BC4"/>
    <w:rsid w:val="00306C63"/>
    <w:rsid w:val="00306E11"/>
    <w:rsid w:val="00306FC6"/>
    <w:rsid w:val="00307163"/>
    <w:rsid w:val="00307316"/>
    <w:rsid w:val="00307CF5"/>
    <w:rsid w:val="00310236"/>
    <w:rsid w:val="00310348"/>
    <w:rsid w:val="00310395"/>
    <w:rsid w:val="0031087B"/>
    <w:rsid w:val="003108CF"/>
    <w:rsid w:val="003115D2"/>
    <w:rsid w:val="0031166A"/>
    <w:rsid w:val="0031184D"/>
    <w:rsid w:val="003120B2"/>
    <w:rsid w:val="00312212"/>
    <w:rsid w:val="00312621"/>
    <w:rsid w:val="00312AB2"/>
    <w:rsid w:val="00312C49"/>
    <w:rsid w:val="00312D9B"/>
    <w:rsid w:val="00313310"/>
    <w:rsid w:val="003134D0"/>
    <w:rsid w:val="00313B32"/>
    <w:rsid w:val="00313ECD"/>
    <w:rsid w:val="00314498"/>
    <w:rsid w:val="003145CF"/>
    <w:rsid w:val="0031490E"/>
    <w:rsid w:val="00314ABA"/>
    <w:rsid w:val="00314C2B"/>
    <w:rsid w:val="00314D72"/>
    <w:rsid w:val="00314E33"/>
    <w:rsid w:val="0031529E"/>
    <w:rsid w:val="00315398"/>
    <w:rsid w:val="0031544A"/>
    <w:rsid w:val="003159D1"/>
    <w:rsid w:val="00315ACB"/>
    <w:rsid w:val="00315F25"/>
    <w:rsid w:val="00316010"/>
    <w:rsid w:val="00316030"/>
    <w:rsid w:val="00316B5E"/>
    <w:rsid w:val="00316F73"/>
    <w:rsid w:val="003170D5"/>
    <w:rsid w:val="003175DF"/>
    <w:rsid w:val="0031766E"/>
    <w:rsid w:val="00317BFB"/>
    <w:rsid w:val="003202BE"/>
    <w:rsid w:val="00320692"/>
    <w:rsid w:val="00320C6C"/>
    <w:rsid w:val="0032119B"/>
    <w:rsid w:val="00321398"/>
    <w:rsid w:val="003213EF"/>
    <w:rsid w:val="00321CFE"/>
    <w:rsid w:val="00321DBA"/>
    <w:rsid w:val="00321DD3"/>
    <w:rsid w:val="003220EE"/>
    <w:rsid w:val="00322166"/>
    <w:rsid w:val="003224E7"/>
    <w:rsid w:val="003229FB"/>
    <w:rsid w:val="00322E7E"/>
    <w:rsid w:val="00322EA1"/>
    <w:rsid w:val="0032375B"/>
    <w:rsid w:val="003238FF"/>
    <w:rsid w:val="00323906"/>
    <w:rsid w:val="00323D40"/>
    <w:rsid w:val="00324014"/>
    <w:rsid w:val="00324188"/>
    <w:rsid w:val="003247FF"/>
    <w:rsid w:val="00324C76"/>
    <w:rsid w:val="003252BF"/>
    <w:rsid w:val="0032552E"/>
    <w:rsid w:val="003255E6"/>
    <w:rsid w:val="00325755"/>
    <w:rsid w:val="00325827"/>
    <w:rsid w:val="0032593E"/>
    <w:rsid w:val="00325AD0"/>
    <w:rsid w:val="00325E71"/>
    <w:rsid w:val="00326B03"/>
    <w:rsid w:val="00327041"/>
    <w:rsid w:val="0032710B"/>
    <w:rsid w:val="0032714E"/>
    <w:rsid w:val="00327497"/>
    <w:rsid w:val="0032757B"/>
    <w:rsid w:val="00327771"/>
    <w:rsid w:val="0032785D"/>
    <w:rsid w:val="00330027"/>
    <w:rsid w:val="003300F4"/>
    <w:rsid w:val="003303F3"/>
    <w:rsid w:val="00330606"/>
    <w:rsid w:val="003310E6"/>
    <w:rsid w:val="0033137E"/>
    <w:rsid w:val="00331571"/>
    <w:rsid w:val="00331AA5"/>
    <w:rsid w:val="00331BBF"/>
    <w:rsid w:val="003322D6"/>
    <w:rsid w:val="003324EB"/>
    <w:rsid w:val="003326C3"/>
    <w:rsid w:val="00332758"/>
    <w:rsid w:val="00332940"/>
    <w:rsid w:val="00332C5B"/>
    <w:rsid w:val="00332F58"/>
    <w:rsid w:val="0033325F"/>
    <w:rsid w:val="00333644"/>
    <w:rsid w:val="00333DD3"/>
    <w:rsid w:val="00333F8E"/>
    <w:rsid w:val="0033406F"/>
    <w:rsid w:val="00334258"/>
    <w:rsid w:val="0033463A"/>
    <w:rsid w:val="00334797"/>
    <w:rsid w:val="00334AAB"/>
    <w:rsid w:val="00334C9A"/>
    <w:rsid w:val="003353D5"/>
    <w:rsid w:val="0033559B"/>
    <w:rsid w:val="003358F9"/>
    <w:rsid w:val="003359EB"/>
    <w:rsid w:val="00335C4B"/>
    <w:rsid w:val="00335F13"/>
    <w:rsid w:val="00336474"/>
    <w:rsid w:val="003364EC"/>
    <w:rsid w:val="00336C53"/>
    <w:rsid w:val="00336D38"/>
    <w:rsid w:val="00336E6F"/>
    <w:rsid w:val="00337018"/>
    <w:rsid w:val="003374BD"/>
    <w:rsid w:val="00337C23"/>
    <w:rsid w:val="003402B2"/>
    <w:rsid w:val="00340772"/>
    <w:rsid w:val="00340919"/>
    <w:rsid w:val="00340E6A"/>
    <w:rsid w:val="003414F8"/>
    <w:rsid w:val="00341A17"/>
    <w:rsid w:val="00341E26"/>
    <w:rsid w:val="0034285E"/>
    <w:rsid w:val="0034286F"/>
    <w:rsid w:val="003428C9"/>
    <w:rsid w:val="00342C97"/>
    <w:rsid w:val="0034328B"/>
    <w:rsid w:val="003438C5"/>
    <w:rsid w:val="00343BBA"/>
    <w:rsid w:val="00343CF9"/>
    <w:rsid w:val="003443F5"/>
    <w:rsid w:val="00344868"/>
    <w:rsid w:val="00344998"/>
    <w:rsid w:val="003449C3"/>
    <w:rsid w:val="003449DA"/>
    <w:rsid w:val="00344F54"/>
    <w:rsid w:val="00345E24"/>
    <w:rsid w:val="003465AD"/>
    <w:rsid w:val="00346A3A"/>
    <w:rsid w:val="00346AAE"/>
    <w:rsid w:val="00346B67"/>
    <w:rsid w:val="00346DBE"/>
    <w:rsid w:val="00346DF3"/>
    <w:rsid w:val="00346FE8"/>
    <w:rsid w:val="003471AB"/>
    <w:rsid w:val="003472F7"/>
    <w:rsid w:val="00347490"/>
    <w:rsid w:val="0034761B"/>
    <w:rsid w:val="0034774E"/>
    <w:rsid w:val="0034785C"/>
    <w:rsid w:val="00347B7A"/>
    <w:rsid w:val="00347F5B"/>
    <w:rsid w:val="003505C9"/>
    <w:rsid w:val="00350D83"/>
    <w:rsid w:val="00350D97"/>
    <w:rsid w:val="00350ED6"/>
    <w:rsid w:val="00350F3C"/>
    <w:rsid w:val="00351847"/>
    <w:rsid w:val="00351A9F"/>
    <w:rsid w:val="00351CC9"/>
    <w:rsid w:val="00352488"/>
    <w:rsid w:val="003527BC"/>
    <w:rsid w:val="0035293B"/>
    <w:rsid w:val="00352BB1"/>
    <w:rsid w:val="00352C94"/>
    <w:rsid w:val="00352EE6"/>
    <w:rsid w:val="00353C9D"/>
    <w:rsid w:val="00353EC8"/>
    <w:rsid w:val="003549B1"/>
    <w:rsid w:val="00354B99"/>
    <w:rsid w:val="00354EB6"/>
    <w:rsid w:val="00354F98"/>
    <w:rsid w:val="003551DC"/>
    <w:rsid w:val="0035527B"/>
    <w:rsid w:val="00355291"/>
    <w:rsid w:val="00355D32"/>
    <w:rsid w:val="00356731"/>
    <w:rsid w:val="00356816"/>
    <w:rsid w:val="00356AA6"/>
    <w:rsid w:val="00356C42"/>
    <w:rsid w:val="00356C62"/>
    <w:rsid w:val="00356E5F"/>
    <w:rsid w:val="00357023"/>
    <w:rsid w:val="003571E6"/>
    <w:rsid w:val="00357241"/>
    <w:rsid w:val="0035754D"/>
    <w:rsid w:val="00357630"/>
    <w:rsid w:val="003577A6"/>
    <w:rsid w:val="00357920"/>
    <w:rsid w:val="00357B25"/>
    <w:rsid w:val="00357D3C"/>
    <w:rsid w:val="00360354"/>
    <w:rsid w:val="003603A4"/>
    <w:rsid w:val="00360463"/>
    <w:rsid w:val="0036083E"/>
    <w:rsid w:val="00360863"/>
    <w:rsid w:val="00360B57"/>
    <w:rsid w:val="00360BBF"/>
    <w:rsid w:val="00360C24"/>
    <w:rsid w:val="00360FE4"/>
    <w:rsid w:val="003610A3"/>
    <w:rsid w:val="00361325"/>
    <w:rsid w:val="00361893"/>
    <w:rsid w:val="00361C29"/>
    <w:rsid w:val="003622EC"/>
    <w:rsid w:val="00362CB0"/>
    <w:rsid w:val="00363391"/>
    <w:rsid w:val="003634FE"/>
    <w:rsid w:val="003636C6"/>
    <w:rsid w:val="00363869"/>
    <w:rsid w:val="00363939"/>
    <w:rsid w:val="00363A59"/>
    <w:rsid w:val="00363F35"/>
    <w:rsid w:val="00364179"/>
    <w:rsid w:val="00364C04"/>
    <w:rsid w:val="00364E7E"/>
    <w:rsid w:val="003650AD"/>
    <w:rsid w:val="00365367"/>
    <w:rsid w:val="0036586B"/>
    <w:rsid w:val="00365AAF"/>
    <w:rsid w:val="003662B1"/>
    <w:rsid w:val="00366415"/>
    <w:rsid w:val="0036641D"/>
    <w:rsid w:val="00366538"/>
    <w:rsid w:val="00366DCE"/>
    <w:rsid w:val="00366E6E"/>
    <w:rsid w:val="003672A7"/>
    <w:rsid w:val="00367720"/>
    <w:rsid w:val="00367769"/>
    <w:rsid w:val="00367B8A"/>
    <w:rsid w:val="00367C09"/>
    <w:rsid w:val="00367CC1"/>
    <w:rsid w:val="00367EA3"/>
    <w:rsid w:val="00367ED3"/>
    <w:rsid w:val="00370147"/>
    <w:rsid w:val="0037043C"/>
    <w:rsid w:val="0037046D"/>
    <w:rsid w:val="00370837"/>
    <w:rsid w:val="0037094E"/>
    <w:rsid w:val="00370E4E"/>
    <w:rsid w:val="00370F52"/>
    <w:rsid w:val="00371087"/>
    <w:rsid w:val="003711EE"/>
    <w:rsid w:val="0037176F"/>
    <w:rsid w:val="00371A56"/>
    <w:rsid w:val="00371B86"/>
    <w:rsid w:val="00372473"/>
    <w:rsid w:val="003724AE"/>
    <w:rsid w:val="00372D54"/>
    <w:rsid w:val="00372E3E"/>
    <w:rsid w:val="00372EF8"/>
    <w:rsid w:val="00372F36"/>
    <w:rsid w:val="00372F65"/>
    <w:rsid w:val="00373498"/>
    <w:rsid w:val="00373672"/>
    <w:rsid w:val="003736DF"/>
    <w:rsid w:val="003739C5"/>
    <w:rsid w:val="003744EB"/>
    <w:rsid w:val="0037457E"/>
    <w:rsid w:val="00374586"/>
    <w:rsid w:val="0037491A"/>
    <w:rsid w:val="00374AF8"/>
    <w:rsid w:val="00374CC5"/>
    <w:rsid w:val="00374ED5"/>
    <w:rsid w:val="0037506D"/>
    <w:rsid w:val="003753BB"/>
    <w:rsid w:val="003755DC"/>
    <w:rsid w:val="00375747"/>
    <w:rsid w:val="003757A4"/>
    <w:rsid w:val="00375883"/>
    <w:rsid w:val="00375904"/>
    <w:rsid w:val="0037647E"/>
    <w:rsid w:val="00376994"/>
    <w:rsid w:val="00376A6C"/>
    <w:rsid w:val="00377533"/>
    <w:rsid w:val="00377567"/>
    <w:rsid w:val="0037760A"/>
    <w:rsid w:val="003778CE"/>
    <w:rsid w:val="00377954"/>
    <w:rsid w:val="00377A3D"/>
    <w:rsid w:val="00377C3B"/>
    <w:rsid w:val="00377EA9"/>
    <w:rsid w:val="0038006E"/>
    <w:rsid w:val="003802B5"/>
    <w:rsid w:val="003806A8"/>
    <w:rsid w:val="003806C9"/>
    <w:rsid w:val="00380A5C"/>
    <w:rsid w:val="00380AE0"/>
    <w:rsid w:val="00381357"/>
    <w:rsid w:val="003814B3"/>
    <w:rsid w:val="0038164E"/>
    <w:rsid w:val="00381652"/>
    <w:rsid w:val="00381A21"/>
    <w:rsid w:val="00381CB2"/>
    <w:rsid w:val="00381D44"/>
    <w:rsid w:val="003827C2"/>
    <w:rsid w:val="00382877"/>
    <w:rsid w:val="0038354E"/>
    <w:rsid w:val="00383557"/>
    <w:rsid w:val="0038377E"/>
    <w:rsid w:val="00383BBF"/>
    <w:rsid w:val="00383CFA"/>
    <w:rsid w:val="00383E17"/>
    <w:rsid w:val="00383EEA"/>
    <w:rsid w:val="00383FC7"/>
    <w:rsid w:val="00384769"/>
    <w:rsid w:val="0038480A"/>
    <w:rsid w:val="00384E0C"/>
    <w:rsid w:val="00384FF6"/>
    <w:rsid w:val="0038508F"/>
    <w:rsid w:val="0038543E"/>
    <w:rsid w:val="003855B8"/>
    <w:rsid w:val="00385825"/>
    <w:rsid w:val="00385902"/>
    <w:rsid w:val="00385B87"/>
    <w:rsid w:val="00385D4B"/>
    <w:rsid w:val="003860A5"/>
    <w:rsid w:val="003861BB"/>
    <w:rsid w:val="00386205"/>
    <w:rsid w:val="003862D2"/>
    <w:rsid w:val="003869AB"/>
    <w:rsid w:val="00386DAA"/>
    <w:rsid w:val="00386EE8"/>
    <w:rsid w:val="00387174"/>
    <w:rsid w:val="0038724F"/>
    <w:rsid w:val="00387508"/>
    <w:rsid w:val="0038775C"/>
    <w:rsid w:val="0039000E"/>
    <w:rsid w:val="00390587"/>
    <w:rsid w:val="003905B2"/>
    <w:rsid w:val="003907FD"/>
    <w:rsid w:val="0039138D"/>
    <w:rsid w:val="00391785"/>
    <w:rsid w:val="00391FD3"/>
    <w:rsid w:val="003920D9"/>
    <w:rsid w:val="003926F5"/>
    <w:rsid w:val="00392E66"/>
    <w:rsid w:val="00392EEC"/>
    <w:rsid w:val="0039308B"/>
    <w:rsid w:val="00393177"/>
    <w:rsid w:val="0039337F"/>
    <w:rsid w:val="00393618"/>
    <w:rsid w:val="00393D19"/>
    <w:rsid w:val="00393DBB"/>
    <w:rsid w:val="00394136"/>
    <w:rsid w:val="00394253"/>
    <w:rsid w:val="003942C2"/>
    <w:rsid w:val="00394467"/>
    <w:rsid w:val="003944AF"/>
    <w:rsid w:val="00394922"/>
    <w:rsid w:val="00394C47"/>
    <w:rsid w:val="00395244"/>
    <w:rsid w:val="003954FD"/>
    <w:rsid w:val="00395731"/>
    <w:rsid w:val="0039592E"/>
    <w:rsid w:val="00395B00"/>
    <w:rsid w:val="00396103"/>
    <w:rsid w:val="0039618D"/>
    <w:rsid w:val="00396289"/>
    <w:rsid w:val="00396408"/>
    <w:rsid w:val="0039645D"/>
    <w:rsid w:val="0039661D"/>
    <w:rsid w:val="00396A6A"/>
    <w:rsid w:val="00396A99"/>
    <w:rsid w:val="00396C2E"/>
    <w:rsid w:val="00397222"/>
    <w:rsid w:val="003972B5"/>
    <w:rsid w:val="00397330"/>
    <w:rsid w:val="00397DDA"/>
    <w:rsid w:val="003A0023"/>
    <w:rsid w:val="003A0346"/>
    <w:rsid w:val="003A071B"/>
    <w:rsid w:val="003A081B"/>
    <w:rsid w:val="003A0B2B"/>
    <w:rsid w:val="003A0D7D"/>
    <w:rsid w:val="003A0F19"/>
    <w:rsid w:val="003A0FB5"/>
    <w:rsid w:val="003A130A"/>
    <w:rsid w:val="003A1613"/>
    <w:rsid w:val="003A178B"/>
    <w:rsid w:val="003A1B46"/>
    <w:rsid w:val="003A1CDA"/>
    <w:rsid w:val="003A2134"/>
    <w:rsid w:val="003A22C7"/>
    <w:rsid w:val="003A22D3"/>
    <w:rsid w:val="003A23AB"/>
    <w:rsid w:val="003A2A1A"/>
    <w:rsid w:val="003A2C3D"/>
    <w:rsid w:val="003A2DAC"/>
    <w:rsid w:val="003A2EC6"/>
    <w:rsid w:val="003A2ECB"/>
    <w:rsid w:val="003A30DE"/>
    <w:rsid w:val="003A33F5"/>
    <w:rsid w:val="003A3C72"/>
    <w:rsid w:val="003A3FD2"/>
    <w:rsid w:val="003A40D0"/>
    <w:rsid w:val="003A40F4"/>
    <w:rsid w:val="003A42E1"/>
    <w:rsid w:val="003A4340"/>
    <w:rsid w:val="003A4524"/>
    <w:rsid w:val="003A4628"/>
    <w:rsid w:val="003A47CF"/>
    <w:rsid w:val="003A4F72"/>
    <w:rsid w:val="003A50B9"/>
    <w:rsid w:val="003A516E"/>
    <w:rsid w:val="003A5479"/>
    <w:rsid w:val="003A54C3"/>
    <w:rsid w:val="003A56B0"/>
    <w:rsid w:val="003A56E6"/>
    <w:rsid w:val="003A6036"/>
    <w:rsid w:val="003A6381"/>
    <w:rsid w:val="003A68E0"/>
    <w:rsid w:val="003A69F8"/>
    <w:rsid w:val="003A6B2C"/>
    <w:rsid w:val="003A6E77"/>
    <w:rsid w:val="003A6EE8"/>
    <w:rsid w:val="003A7100"/>
    <w:rsid w:val="003A7427"/>
    <w:rsid w:val="003A7EB1"/>
    <w:rsid w:val="003B06C1"/>
    <w:rsid w:val="003B06D1"/>
    <w:rsid w:val="003B0773"/>
    <w:rsid w:val="003B0A09"/>
    <w:rsid w:val="003B0A21"/>
    <w:rsid w:val="003B0C99"/>
    <w:rsid w:val="003B0F3F"/>
    <w:rsid w:val="003B11E6"/>
    <w:rsid w:val="003B166B"/>
    <w:rsid w:val="003B16B7"/>
    <w:rsid w:val="003B2254"/>
    <w:rsid w:val="003B2333"/>
    <w:rsid w:val="003B27B8"/>
    <w:rsid w:val="003B32B5"/>
    <w:rsid w:val="003B34AF"/>
    <w:rsid w:val="003B3781"/>
    <w:rsid w:val="003B37C7"/>
    <w:rsid w:val="003B3C98"/>
    <w:rsid w:val="003B4432"/>
    <w:rsid w:val="003B4762"/>
    <w:rsid w:val="003B4A4D"/>
    <w:rsid w:val="003B4AC3"/>
    <w:rsid w:val="003B4CE2"/>
    <w:rsid w:val="003B4FF7"/>
    <w:rsid w:val="003B52BF"/>
    <w:rsid w:val="003B537D"/>
    <w:rsid w:val="003B55FC"/>
    <w:rsid w:val="003B57BE"/>
    <w:rsid w:val="003B5984"/>
    <w:rsid w:val="003B5C26"/>
    <w:rsid w:val="003B5C52"/>
    <w:rsid w:val="003B5EFD"/>
    <w:rsid w:val="003B61B8"/>
    <w:rsid w:val="003B6337"/>
    <w:rsid w:val="003B6399"/>
    <w:rsid w:val="003B6A13"/>
    <w:rsid w:val="003B6A57"/>
    <w:rsid w:val="003B6BE6"/>
    <w:rsid w:val="003B6D3E"/>
    <w:rsid w:val="003B6EEB"/>
    <w:rsid w:val="003B731A"/>
    <w:rsid w:val="003B735F"/>
    <w:rsid w:val="003B74DB"/>
    <w:rsid w:val="003B777D"/>
    <w:rsid w:val="003B78ED"/>
    <w:rsid w:val="003B7F0D"/>
    <w:rsid w:val="003C0534"/>
    <w:rsid w:val="003C1C6F"/>
    <w:rsid w:val="003C1E33"/>
    <w:rsid w:val="003C289F"/>
    <w:rsid w:val="003C2929"/>
    <w:rsid w:val="003C2972"/>
    <w:rsid w:val="003C2AB0"/>
    <w:rsid w:val="003C305C"/>
    <w:rsid w:val="003C3098"/>
    <w:rsid w:val="003C30F7"/>
    <w:rsid w:val="003C3779"/>
    <w:rsid w:val="003C3A1A"/>
    <w:rsid w:val="003C3BC3"/>
    <w:rsid w:val="003C3C47"/>
    <w:rsid w:val="003C40BE"/>
    <w:rsid w:val="003C422C"/>
    <w:rsid w:val="003C442E"/>
    <w:rsid w:val="003C4AFB"/>
    <w:rsid w:val="003C5BE9"/>
    <w:rsid w:val="003C5C13"/>
    <w:rsid w:val="003C5DC1"/>
    <w:rsid w:val="003C5FEA"/>
    <w:rsid w:val="003C61B5"/>
    <w:rsid w:val="003C62F6"/>
    <w:rsid w:val="003C639D"/>
    <w:rsid w:val="003C6699"/>
    <w:rsid w:val="003C68C1"/>
    <w:rsid w:val="003C6F03"/>
    <w:rsid w:val="003C6F13"/>
    <w:rsid w:val="003C7219"/>
    <w:rsid w:val="003C7231"/>
    <w:rsid w:val="003C72A7"/>
    <w:rsid w:val="003C768F"/>
    <w:rsid w:val="003C77C9"/>
    <w:rsid w:val="003C7ADD"/>
    <w:rsid w:val="003C7F3A"/>
    <w:rsid w:val="003D0023"/>
    <w:rsid w:val="003D0526"/>
    <w:rsid w:val="003D0808"/>
    <w:rsid w:val="003D0CE6"/>
    <w:rsid w:val="003D146F"/>
    <w:rsid w:val="003D149C"/>
    <w:rsid w:val="003D151B"/>
    <w:rsid w:val="003D1645"/>
    <w:rsid w:val="003D1E8F"/>
    <w:rsid w:val="003D1FB2"/>
    <w:rsid w:val="003D2262"/>
    <w:rsid w:val="003D253C"/>
    <w:rsid w:val="003D266D"/>
    <w:rsid w:val="003D2A7E"/>
    <w:rsid w:val="003D2CA1"/>
    <w:rsid w:val="003D3404"/>
    <w:rsid w:val="003D3AFB"/>
    <w:rsid w:val="003D3B35"/>
    <w:rsid w:val="003D3B7A"/>
    <w:rsid w:val="003D4012"/>
    <w:rsid w:val="003D488F"/>
    <w:rsid w:val="003D4A0E"/>
    <w:rsid w:val="003D4A62"/>
    <w:rsid w:val="003D4E7B"/>
    <w:rsid w:val="003D54F5"/>
    <w:rsid w:val="003D565F"/>
    <w:rsid w:val="003D5802"/>
    <w:rsid w:val="003D5D9C"/>
    <w:rsid w:val="003D5E85"/>
    <w:rsid w:val="003D69C3"/>
    <w:rsid w:val="003D6A72"/>
    <w:rsid w:val="003D6A8E"/>
    <w:rsid w:val="003D6D13"/>
    <w:rsid w:val="003D718B"/>
    <w:rsid w:val="003D73A4"/>
    <w:rsid w:val="003D753D"/>
    <w:rsid w:val="003D7A0A"/>
    <w:rsid w:val="003D7A56"/>
    <w:rsid w:val="003E0377"/>
    <w:rsid w:val="003E068C"/>
    <w:rsid w:val="003E1091"/>
    <w:rsid w:val="003E1662"/>
    <w:rsid w:val="003E1755"/>
    <w:rsid w:val="003E1BDC"/>
    <w:rsid w:val="003E24A6"/>
    <w:rsid w:val="003E280B"/>
    <w:rsid w:val="003E29AD"/>
    <w:rsid w:val="003E2C8B"/>
    <w:rsid w:val="003E2CCE"/>
    <w:rsid w:val="003E3173"/>
    <w:rsid w:val="003E35C1"/>
    <w:rsid w:val="003E36AC"/>
    <w:rsid w:val="003E381D"/>
    <w:rsid w:val="003E3E7B"/>
    <w:rsid w:val="003E473D"/>
    <w:rsid w:val="003E4A9C"/>
    <w:rsid w:val="003E4C6C"/>
    <w:rsid w:val="003E4E61"/>
    <w:rsid w:val="003E4F1B"/>
    <w:rsid w:val="003E55C1"/>
    <w:rsid w:val="003E56D4"/>
    <w:rsid w:val="003E5A06"/>
    <w:rsid w:val="003E6682"/>
    <w:rsid w:val="003E6B90"/>
    <w:rsid w:val="003E6BE1"/>
    <w:rsid w:val="003E6D28"/>
    <w:rsid w:val="003E7590"/>
    <w:rsid w:val="003E75E5"/>
    <w:rsid w:val="003E79AA"/>
    <w:rsid w:val="003E7AF7"/>
    <w:rsid w:val="003E7BA3"/>
    <w:rsid w:val="003E7C88"/>
    <w:rsid w:val="003E7EF4"/>
    <w:rsid w:val="003E7FE4"/>
    <w:rsid w:val="003F003F"/>
    <w:rsid w:val="003F04B1"/>
    <w:rsid w:val="003F05AA"/>
    <w:rsid w:val="003F079F"/>
    <w:rsid w:val="003F0B6F"/>
    <w:rsid w:val="003F0BFF"/>
    <w:rsid w:val="003F0C9E"/>
    <w:rsid w:val="003F0F77"/>
    <w:rsid w:val="003F134C"/>
    <w:rsid w:val="003F1402"/>
    <w:rsid w:val="003F14CF"/>
    <w:rsid w:val="003F1923"/>
    <w:rsid w:val="003F1BB7"/>
    <w:rsid w:val="003F26B7"/>
    <w:rsid w:val="003F2B80"/>
    <w:rsid w:val="003F3699"/>
    <w:rsid w:val="003F386C"/>
    <w:rsid w:val="003F3975"/>
    <w:rsid w:val="003F3C54"/>
    <w:rsid w:val="003F3D0F"/>
    <w:rsid w:val="003F4118"/>
    <w:rsid w:val="003F4258"/>
    <w:rsid w:val="003F42D0"/>
    <w:rsid w:val="003F42EB"/>
    <w:rsid w:val="003F43C8"/>
    <w:rsid w:val="003F4BE0"/>
    <w:rsid w:val="003F4E6D"/>
    <w:rsid w:val="003F4F24"/>
    <w:rsid w:val="003F5055"/>
    <w:rsid w:val="003F5489"/>
    <w:rsid w:val="003F56AE"/>
    <w:rsid w:val="003F598C"/>
    <w:rsid w:val="003F5C9E"/>
    <w:rsid w:val="003F5F20"/>
    <w:rsid w:val="003F5F62"/>
    <w:rsid w:val="003F5FA0"/>
    <w:rsid w:val="003F621B"/>
    <w:rsid w:val="003F6854"/>
    <w:rsid w:val="003F722C"/>
    <w:rsid w:val="003F73C2"/>
    <w:rsid w:val="003F75D3"/>
    <w:rsid w:val="003F772B"/>
    <w:rsid w:val="003F7736"/>
    <w:rsid w:val="003F78BD"/>
    <w:rsid w:val="003F7A3B"/>
    <w:rsid w:val="003F7E4B"/>
    <w:rsid w:val="003F7EEC"/>
    <w:rsid w:val="003F7F80"/>
    <w:rsid w:val="00400165"/>
    <w:rsid w:val="00400327"/>
    <w:rsid w:val="004003F0"/>
    <w:rsid w:val="00401325"/>
    <w:rsid w:val="004013B0"/>
    <w:rsid w:val="004015F4"/>
    <w:rsid w:val="00401882"/>
    <w:rsid w:val="00401A10"/>
    <w:rsid w:val="00401D0D"/>
    <w:rsid w:val="00401D7C"/>
    <w:rsid w:val="0040234A"/>
    <w:rsid w:val="004023B6"/>
    <w:rsid w:val="0040282A"/>
    <w:rsid w:val="004031FA"/>
    <w:rsid w:val="00403238"/>
    <w:rsid w:val="00403494"/>
    <w:rsid w:val="0040358F"/>
    <w:rsid w:val="00403781"/>
    <w:rsid w:val="00403899"/>
    <w:rsid w:val="00403D87"/>
    <w:rsid w:val="00403DBA"/>
    <w:rsid w:val="00404185"/>
    <w:rsid w:val="004042CE"/>
    <w:rsid w:val="00404832"/>
    <w:rsid w:val="00404EFD"/>
    <w:rsid w:val="0040575A"/>
    <w:rsid w:val="00405D04"/>
    <w:rsid w:val="00405D45"/>
    <w:rsid w:val="0040605A"/>
    <w:rsid w:val="00406BAA"/>
    <w:rsid w:val="00406CD5"/>
    <w:rsid w:val="00407F34"/>
    <w:rsid w:val="0041024F"/>
    <w:rsid w:val="00410334"/>
    <w:rsid w:val="004104BC"/>
    <w:rsid w:val="00410ADF"/>
    <w:rsid w:val="00410B4F"/>
    <w:rsid w:val="00410F06"/>
    <w:rsid w:val="004116F5"/>
    <w:rsid w:val="00411B36"/>
    <w:rsid w:val="00411BAF"/>
    <w:rsid w:val="00411D3E"/>
    <w:rsid w:val="00411FC9"/>
    <w:rsid w:val="00412530"/>
    <w:rsid w:val="00412734"/>
    <w:rsid w:val="00412871"/>
    <w:rsid w:val="004128AA"/>
    <w:rsid w:val="00412950"/>
    <w:rsid w:val="00412C54"/>
    <w:rsid w:val="00412DA4"/>
    <w:rsid w:val="00412FBC"/>
    <w:rsid w:val="0041374B"/>
    <w:rsid w:val="00413BF3"/>
    <w:rsid w:val="00413C71"/>
    <w:rsid w:val="00413E1D"/>
    <w:rsid w:val="00413E54"/>
    <w:rsid w:val="0041424E"/>
    <w:rsid w:val="00414329"/>
    <w:rsid w:val="0041454F"/>
    <w:rsid w:val="0041506B"/>
    <w:rsid w:val="00415394"/>
    <w:rsid w:val="004161E9"/>
    <w:rsid w:val="00416328"/>
    <w:rsid w:val="004166C6"/>
    <w:rsid w:val="00416884"/>
    <w:rsid w:val="00416FBF"/>
    <w:rsid w:val="00417367"/>
    <w:rsid w:val="0041784D"/>
    <w:rsid w:val="004178DE"/>
    <w:rsid w:val="00417AD8"/>
    <w:rsid w:val="00417B70"/>
    <w:rsid w:val="00420927"/>
    <w:rsid w:val="00420931"/>
    <w:rsid w:val="004218CC"/>
    <w:rsid w:val="00421A13"/>
    <w:rsid w:val="00421B74"/>
    <w:rsid w:val="00422127"/>
    <w:rsid w:val="004224E4"/>
    <w:rsid w:val="00422568"/>
    <w:rsid w:val="004229A5"/>
    <w:rsid w:val="004229BE"/>
    <w:rsid w:val="00422A33"/>
    <w:rsid w:val="00422C3B"/>
    <w:rsid w:val="00422EA5"/>
    <w:rsid w:val="0042308C"/>
    <w:rsid w:val="0042309A"/>
    <w:rsid w:val="0042312F"/>
    <w:rsid w:val="004231A0"/>
    <w:rsid w:val="0042322B"/>
    <w:rsid w:val="00423381"/>
    <w:rsid w:val="00423F19"/>
    <w:rsid w:val="0042443A"/>
    <w:rsid w:val="00424588"/>
    <w:rsid w:val="00424913"/>
    <w:rsid w:val="00424CA0"/>
    <w:rsid w:val="004252BC"/>
    <w:rsid w:val="004253B0"/>
    <w:rsid w:val="00425487"/>
    <w:rsid w:val="00425783"/>
    <w:rsid w:val="00425C2D"/>
    <w:rsid w:val="00425E4A"/>
    <w:rsid w:val="00425F88"/>
    <w:rsid w:val="00425FF8"/>
    <w:rsid w:val="00426187"/>
    <w:rsid w:val="004262A6"/>
    <w:rsid w:val="00426C63"/>
    <w:rsid w:val="00426EE4"/>
    <w:rsid w:val="00426F2B"/>
    <w:rsid w:val="00427339"/>
    <w:rsid w:val="004276DD"/>
    <w:rsid w:val="004278A3"/>
    <w:rsid w:val="004279BA"/>
    <w:rsid w:val="00427D59"/>
    <w:rsid w:val="004304A0"/>
    <w:rsid w:val="00430DDD"/>
    <w:rsid w:val="00431315"/>
    <w:rsid w:val="004313E8"/>
    <w:rsid w:val="004319C8"/>
    <w:rsid w:val="00431D3A"/>
    <w:rsid w:val="004325B1"/>
    <w:rsid w:val="0043304D"/>
    <w:rsid w:val="0043310A"/>
    <w:rsid w:val="00433540"/>
    <w:rsid w:val="0043395E"/>
    <w:rsid w:val="00433A4A"/>
    <w:rsid w:val="00433D7B"/>
    <w:rsid w:val="00433EF7"/>
    <w:rsid w:val="00434153"/>
    <w:rsid w:val="00434252"/>
    <w:rsid w:val="00434400"/>
    <w:rsid w:val="00434BB8"/>
    <w:rsid w:val="00434D30"/>
    <w:rsid w:val="00434D57"/>
    <w:rsid w:val="004351CF"/>
    <w:rsid w:val="00435364"/>
    <w:rsid w:val="004357DB"/>
    <w:rsid w:val="00435B25"/>
    <w:rsid w:val="00435D70"/>
    <w:rsid w:val="00435DB7"/>
    <w:rsid w:val="004365D0"/>
    <w:rsid w:val="00436718"/>
    <w:rsid w:val="00437103"/>
    <w:rsid w:val="004372C2"/>
    <w:rsid w:val="00437915"/>
    <w:rsid w:val="00437D1D"/>
    <w:rsid w:val="00437FB0"/>
    <w:rsid w:val="00440064"/>
    <w:rsid w:val="004403BA"/>
    <w:rsid w:val="004404E5"/>
    <w:rsid w:val="0044078F"/>
    <w:rsid w:val="004407FD"/>
    <w:rsid w:val="004413EE"/>
    <w:rsid w:val="004414EC"/>
    <w:rsid w:val="00441933"/>
    <w:rsid w:val="00441A76"/>
    <w:rsid w:val="00441C4A"/>
    <w:rsid w:val="004420B3"/>
    <w:rsid w:val="004429DA"/>
    <w:rsid w:val="00443137"/>
    <w:rsid w:val="0044342E"/>
    <w:rsid w:val="00443988"/>
    <w:rsid w:val="0044399B"/>
    <w:rsid w:val="00443BDF"/>
    <w:rsid w:val="00443FA2"/>
    <w:rsid w:val="00444428"/>
    <w:rsid w:val="0044443B"/>
    <w:rsid w:val="0044463E"/>
    <w:rsid w:val="00444768"/>
    <w:rsid w:val="00444F0B"/>
    <w:rsid w:val="00444F62"/>
    <w:rsid w:val="0044587A"/>
    <w:rsid w:val="00445D57"/>
    <w:rsid w:val="00445DEC"/>
    <w:rsid w:val="00445F5B"/>
    <w:rsid w:val="0044644A"/>
    <w:rsid w:val="00446C10"/>
    <w:rsid w:val="00446ED9"/>
    <w:rsid w:val="00446FB4"/>
    <w:rsid w:val="00447107"/>
    <w:rsid w:val="004472D8"/>
    <w:rsid w:val="00447760"/>
    <w:rsid w:val="004478FB"/>
    <w:rsid w:val="004500B6"/>
    <w:rsid w:val="0045032C"/>
    <w:rsid w:val="00450392"/>
    <w:rsid w:val="0045068A"/>
    <w:rsid w:val="00450A6C"/>
    <w:rsid w:val="0045117B"/>
    <w:rsid w:val="004515F1"/>
    <w:rsid w:val="0045170E"/>
    <w:rsid w:val="00451A51"/>
    <w:rsid w:val="00451D37"/>
    <w:rsid w:val="00452AA9"/>
    <w:rsid w:val="00452CE5"/>
    <w:rsid w:val="00453040"/>
    <w:rsid w:val="0045311E"/>
    <w:rsid w:val="004533C5"/>
    <w:rsid w:val="004537F4"/>
    <w:rsid w:val="00453A99"/>
    <w:rsid w:val="00453DC9"/>
    <w:rsid w:val="00454090"/>
    <w:rsid w:val="004543E9"/>
    <w:rsid w:val="0045493C"/>
    <w:rsid w:val="00455061"/>
    <w:rsid w:val="00455126"/>
    <w:rsid w:val="00455154"/>
    <w:rsid w:val="00455B62"/>
    <w:rsid w:val="00455EE2"/>
    <w:rsid w:val="00456CD3"/>
    <w:rsid w:val="00456DB6"/>
    <w:rsid w:val="004570E8"/>
    <w:rsid w:val="00457282"/>
    <w:rsid w:val="004578EE"/>
    <w:rsid w:val="00457DAB"/>
    <w:rsid w:val="00457DEE"/>
    <w:rsid w:val="00460000"/>
    <w:rsid w:val="0046025C"/>
    <w:rsid w:val="00460400"/>
    <w:rsid w:val="00460825"/>
    <w:rsid w:val="0046086D"/>
    <w:rsid w:val="00460949"/>
    <w:rsid w:val="004609A9"/>
    <w:rsid w:val="00460A60"/>
    <w:rsid w:val="00460D4B"/>
    <w:rsid w:val="00460F0D"/>
    <w:rsid w:val="00460FCE"/>
    <w:rsid w:val="00461008"/>
    <w:rsid w:val="0046136A"/>
    <w:rsid w:val="004614EE"/>
    <w:rsid w:val="0046153D"/>
    <w:rsid w:val="004615F4"/>
    <w:rsid w:val="00461606"/>
    <w:rsid w:val="0046220A"/>
    <w:rsid w:val="004624C3"/>
    <w:rsid w:val="00462C41"/>
    <w:rsid w:val="0046302E"/>
    <w:rsid w:val="00463045"/>
    <w:rsid w:val="00463313"/>
    <w:rsid w:val="004638EA"/>
    <w:rsid w:val="004639C0"/>
    <w:rsid w:val="00463C47"/>
    <w:rsid w:val="00463CC6"/>
    <w:rsid w:val="00463EB7"/>
    <w:rsid w:val="00463ECD"/>
    <w:rsid w:val="00463F9F"/>
    <w:rsid w:val="00464017"/>
    <w:rsid w:val="00464802"/>
    <w:rsid w:val="00464911"/>
    <w:rsid w:val="00464AA7"/>
    <w:rsid w:val="00464AB0"/>
    <w:rsid w:val="00464BEE"/>
    <w:rsid w:val="00464FF8"/>
    <w:rsid w:val="00465183"/>
    <w:rsid w:val="00465281"/>
    <w:rsid w:val="004654CE"/>
    <w:rsid w:val="00465642"/>
    <w:rsid w:val="00465C8E"/>
    <w:rsid w:val="00465EE0"/>
    <w:rsid w:val="004662B7"/>
    <w:rsid w:val="0046653D"/>
    <w:rsid w:val="004665BA"/>
    <w:rsid w:val="004665DB"/>
    <w:rsid w:val="004666BB"/>
    <w:rsid w:val="00466798"/>
    <w:rsid w:val="00466F45"/>
    <w:rsid w:val="0046708C"/>
    <w:rsid w:val="00467103"/>
    <w:rsid w:val="00467702"/>
    <w:rsid w:val="0046774C"/>
    <w:rsid w:val="00467942"/>
    <w:rsid w:val="00467AC7"/>
    <w:rsid w:val="00470141"/>
    <w:rsid w:val="00470268"/>
    <w:rsid w:val="0047144D"/>
    <w:rsid w:val="004721F0"/>
    <w:rsid w:val="004722F0"/>
    <w:rsid w:val="004722FB"/>
    <w:rsid w:val="0047272F"/>
    <w:rsid w:val="00473159"/>
    <w:rsid w:val="00473174"/>
    <w:rsid w:val="004731F7"/>
    <w:rsid w:val="004732D5"/>
    <w:rsid w:val="004736F3"/>
    <w:rsid w:val="00473934"/>
    <w:rsid w:val="00473BD2"/>
    <w:rsid w:val="00473CE1"/>
    <w:rsid w:val="0047400C"/>
    <w:rsid w:val="004741BB"/>
    <w:rsid w:val="004741DA"/>
    <w:rsid w:val="004744D6"/>
    <w:rsid w:val="0047475F"/>
    <w:rsid w:val="00474F90"/>
    <w:rsid w:val="004750FC"/>
    <w:rsid w:val="004751EC"/>
    <w:rsid w:val="0047534F"/>
    <w:rsid w:val="00475AF6"/>
    <w:rsid w:val="00475B69"/>
    <w:rsid w:val="00475C9A"/>
    <w:rsid w:val="0047614A"/>
    <w:rsid w:val="004762B9"/>
    <w:rsid w:val="00476C26"/>
    <w:rsid w:val="00476D37"/>
    <w:rsid w:val="0047747F"/>
    <w:rsid w:val="004775B2"/>
    <w:rsid w:val="00477EE1"/>
    <w:rsid w:val="00480204"/>
    <w:rsid w:val="00481055"/>
    <w:rsid w:val="004810AE"/>
    <w:rsid w:val="00481296"/>
    <w:rsid w:val="0048133A"/>
    <w:rsid w:val="00481AA1"/>
    <w:rsid w:val="00481B8C"/>
    <w:rsid w:val="004821D2"/>
    <w:rsid w:val="00482EBC"/>
    <w:rsid w:val="00482F61"/>
    <w:rsid w:val="00482F66"/>
    <w:rsid w:val="004831F6"/>
    <w:rsid w:val="004834A2"/>
    <w:rsid w:val="00483A8E"/>
    <w:rsid w:val="00483A9B"/>
    <w:rsid w:val="00483CBF"/>
    <w:rsid w:val="0048450F"/>
    <w:rsid w:val="00484895"/>
    <w:rsid w:val="00484904"/>
    <w:rsid w:val="00484ACC"/>
    <w:rsid w:val="00484C14"/>
    <w:rsid w:val="00484CBA"/>
    <w:rsid w:val="00484DC5"/>
    <w:rsid w:val="00484E82"/>
    <w:rsid w:val="00484F7F"/>
    <w:rsid w:val="0048532C"/>
    <w:rsid w:val="0048536D"/>
    <w:rsid w:val="00485735"/>
    <w:rsid w:val="00485E2E"/>
    <w:rsid w:val="00485E8C"/>
    <w:rsid w:val="004860CF"/>
    <w:rsid w:val="00486F18"/>
    <w:rsid w:val="0048719B"/>
    <w:rsid w:val="0048759E"/>
    <w:rsid w:val="0048778D"/>
    <w:rsid w:val="00487B43"/>
    <w:rsid w:val="0049006C"/>
    <w:rsid w:val="0049014B"/>
    <w:rsid w:val="00490331"/>
    <w:rsid w:val="0049047B"/>
    <w:rsid w:val="004905E4"/>
    <w:rsid w:val="00490619"/>
    <w:rsid w:val="004909F0"/>
    <w:rsid w:val="00490E0D"/>
    <w:rsid w:val="0049107D"/>
    <w:rsid w:val="0049118C"/>
    <w:rsid w:val="004916BB"/>
    <w:rsid w:val="0049176F"/>
    <w:rsid w:val="00491EAE"/>
    <w:rsid w:val="004921AC"/>
    <w:rsid w:val="004922EE"/>
    <w:rsid w:val="00492861"/>
    <w:rsid w:val="0049360F"/>
    <w:rsid w:val="0049377A"/>
    <w:rsid w:val="0049396E"/>
    <w:rsid w:val="00493D9B"/>
    <w:rsid w:val="00493EC5"/>
    <w:rsid w:val="00494097"/>
    <w:rsid w:val="0049443B"/>
    <w:rsid w:val="00494505"/>
    <w:rsid w:val="0049478D"/>
    <w:rsid w:val="00494C84"/>
    <w:rsid w:val="00494D02"/>
    <w:rsid w:val="00494D4A"/>
    <w:rsid w:val="00494D92"/>
    <w:rsid w:val="00494E75"/>
    <w:rsid w:val="0049565B"/>
    <w:rsid w:val="0049575E"/>
    <w:rsid w:val="00495839"/>
    <w:rsid w:val="00495E83"/>
    <w:rsid w:val="00496015"/>
    <w:rsid w:val="00496219"/>
    <w:rsid w:val="004966FB"/>
    <w:rsid w:val="00496F54"/>
    <w:rsid w:val="00497315"/>
    <w:rsid w:val="00497912"/>
    <w:rsid w:val="00497A62"/>
    <w:rsid w:val="00497E8B"/>
    <w:rsid w:val="004A0024"/>
    <w:rsid w:val="004A018F"/>
    <w:rsid w:val="004A05E8"/>
    <w:rsid w:val="004A0769"/>
    <w:rsid w:val="004A0779"/>
    <w:rsid w:val="004A0E0D"/>
    <w:rsid w:val="004A0ECD"/>
    <w:rsid w:val="004A1053"/>
    <w:rsid w:val="004A12CE"/>
    <w:rsid w:val="004A150B"/>
    <w:rsid w:val="004A1D4A"/>
    <w:rsid w:val="004A1DCD"/>
    <w:rsid w:val="004A2213"/>
    <w:rsid w:val="004A2238"/>
    <w:rsid w:val="004A283C"/>
    <w:rsid w:val="004A2A3D"/>
    <w:rsid w:val="004A315F"/>
    <w:rsid w:val="004A3222"/>
    <w:rsid w:val="004A36C9"/>
    <w:rsid w:val="004A3839"/>
    <w:rsid w:val="004A3B25"/>
    <w:rsid w:val="004A41EC"/>
    <w:rsid w:val="004A4F19"/>
    <w:rsid w:val="004A4F99"/>
    <w:rsid w:val="004A50AC"/>
    <w:rsid w:val="004A5154"/>
    <w:rsid w:val="004A516C"/>
    <w:rsid w:val="004A53C9"/>
    <w:rsid w:val="004A5BB4"/>
    <w:rsid w:val="004A5BE2"/>
    <w:rsid w:val="004A5EC5"/>
    <w:rsid w:val="004A6705"/>
    <w:rsid w:val="004A6938"/>
    <w:rsid w:val="004A6BB8"/>
    <w:rsid w:val="004A6D31"/>
    <w:rsid w:val="004A6F3F"/>
    <w:rsid w:val="004A77F7"/>
    <w:rsid w:val="004A7F1D"/>
    <w:rsid w:val="004B0215"/>
    <w:rsid w:val="004B049A"/>
    <w:rsid w:val="004B0735"/>
    <w:rsid w:val="004B0B5B"/>
    <w:rsid w:val="004B0C33"/>
    <w:rsid w:val="004B0C8E"/>
    <w:rsid w:val="004B0F59"/>
    <w:rsid w:val="004B0FA3"/>
    <w:rsid w:val="004B0FEB"/>
    <w:rsid w:val="004B19F1"/>
    <w:rsid w:val="004B1AA1"/>
    <w:rsid w:val="004B1B31"/>
    <w:rsid w:val="004B1E2D"/>
    <w:rsid w:val="004B1F0B"/>
    <w:rsid w:val="004B2040"/>
    <w:rsid w:val="004B26CB"/>
    <w:rsid w:val="004B2A94"/>
    <w:rsid w:val="004B2E9C"/>
    <w:rsid w:val="004B32BC"/>
    <w:rsid w:val="004B33DD"/>
    <w:rsid w:val="004B3497"/>
    <w:rsid w:val="004B3767"/>
    <w:rsid w:val="004B3812"/>
    <w:rsid w:val="004B3B32"/>
    <w:rsid w:val="004B4313"/>
    <w:rsid w:val="004B43F5"/>
    <w:rsid w:val="004B4680"/>
    <w:rsid w:val="004B4B69"/>
    <w:rsid w:val="004B4FA5"/>
    <w:rsid w:val="004B515A"/>
    <w:rsid w:val="004B52B5"/>
    <w:rsid w:val="004B5390"/>
    <w:rsid w:val="004B566E"/>
    <w:rsid w:val="004B595A"/>
    <w:rsid w:val="004B5AA4"/>
    <w:rsid w:val="004B5DB9"/>
    <w:rsid w:val="004B6229"/>
    <w:rsid w:val="004B689E"/>
    <w:rsid w:val="004B699F"/>
    <w:rsid w:val="004B6AE2"/>
    <w:rsid w:val="004B6B40"/>
    <w:rsid w:val="004B6D7B"/>
    <w:rsid w:val="004B7327"/>
    <w:rsid w:val="004B739F"/>
    <w:rsid w:val="004B741C"/>
    <w:rsid w:val="004B7D04"/>
    <w:rsid w:val="004B7D18"/>
    <w:rsid w:val="004B7E86"/>
    <w:rsid w:val="004C017C"/>
    <w:rsid w:val="004C0A51"/>
    <w:rsid w:val="004C0BD9"/>
    <w:rsid w:val="004C15CB"/>
    <w:rsid w:val="004C162C"/>
    <w:rsid w:val="004C166D"/>
    <w:rsid w:val="004C1788"/>
    <w:rsid w:val="004C1932"/>
    <w:rsid w:val="004C1A5E"/>
    <w:rsid w:val="004C1B2C"/>
    <w:rsid w:val="004C22F2"/>
    <w:rsid w:val="004C24F5"/>
    <w:rsid w:val="004C2684"/>
    <w:rsid w:val="004C2B14"/>
    <w:rsid w:val="004C2BC0"/>
    <w:rsid w:val="004C2CF6"/>
    <w:rsid w:val="004C2FFE"/>
    <w:rsid w:val="004C30AA"/>
    <w:rsid w:val="004C310C"/>
    <w:rsid w:val="004C3206"/>
    <w:rsid w:val="004C32AA"/>
    <w:rsid w:val="004C3309"/>
    <w:rsid w:val="004C3313"/>
    <w:rsid w:val="004C34BE"/>
    <w:rsid w:val="004C3B08"/>
    <w:rsid w:val="004C3C88"/>
    <w:rsid w:val="004C3FAD"/>
    <w:rsid w:val="004C4038"/>
    <w:rsid w:val="004C40F2"/>
    <w:rsid w:val="004C4541"/>
    <w:rsid w:val="004C485B"/>
    <w:rsid w:val="004C4863"/>
    <w:rsid w:val="004C4908"/>
    <w:rsid w:val="004C4A29"/>
    <w:rsid w:val="004C4AE7"/>
    <w:rsid w:val="004C4D81"/>
    <w:rsid w:val="004C526D"/>
    <w:rsid w:val="004C5774"/>
    <w:rsid w:val="004C5992"/>
    <w:rsid w:val="004C5E9E"/>
    <w:rsid w:val="004C5F32"/>
    <w:rsid w:val="004C65FA"/>
    <w:rsid w:val="004C6804"/>
    <w:rsid w:val="004C6902"/>
    <w:rsid w:val="004C6FC4"/>
    <w:rsid w:val="004C7056"/>
    <w:rsid w:val="004C78C2"/>
    <w:rsid w:val="004C7AD3"/>
    <w:rsid w:val="004C7D73"/>
    <w:rsid w:val="004C7EF2"/>
    <w:rsid w:val="004D06AA"/>
    <w:rsid w:val="004D0836"/>
    <w:rsid w:val="004D0D78"/>
    <w:rsid w:val="004D123F"/>
    <w:rsid w:val="004D13B9"/>
    <w:rsid w:val="004D15F6"/>
    <w:rsid w:val="004D1B9F"/>
    <w:rsid w:val="004D217E"/>
    <w:rsid w:val="004D2259"/>
    <w:rsid w:val="004D2420"/>
    <w:rsid w:val="004D25AA"/>
    <w:rsid w:val="004D25FE"/>
    <w:rsid w:val="004D277A"/>
    <w:rsid w:val="004D2809"/>
    <w:rsid w:val="004D2A18"/>
    <w:rsid w:val="004D2A77"/>
    <w:rsid w:val="004D2A81"/>
    <w:rsid w:val="004D2ADB"/>
    <w:rsid w:val="004D322B"/>
    <w:rsid w:val="004D32EA"/>
    <w:rsid w:val="004D3732"/>
    <w:rsid w:val="004D3B15"/>
    <w:rsid w:val="004D4509"/>
    <w:rsid w:val="004D46F2"/>
    <w:rsid w:val="004D490D"/>
    <w:rsid w:val="004D4CED"/>
    <w:rsid w:val="004D4D6D"/>
    <w:rsid w:val="004D5017"/>
    <w:rsid w:val="004D54C1"/>
    <w:rsid w:val="004D601D"/>
    <w:rsid w:val="004D6119"/>
    <w:rsid w:val="004D6197"/>
    <w:rsid w:val="004D6308"/>
    <w:rsid w:val="004D6B22"/>
    <w:rsid w:val="004D7787"/>
    <w:rsid w:val="004D77C5"/>
    <w:rsid w:val="004D7C51"/>
    <w:rsid w:val="004D7D96"/>
    <w:rsid w:val="004D7E7A"/>
    <w:rsid w:val="004D7F50"/>
    <w:rsid w:val="004D7FD7"/>
    <w:rsid w:val="004E010D"/>
    <w:rsid w:val="004E07FC"/>
    <w:rsid w:val="004E095A"/>
    <w:rsid w:val="004E0964"/>
    <w:rsid w:val="004E0EEC"/>
    <w:rsid w:val="004E1259"/>
    <w:rsid w:val="004E1493"/>
    <w:rsid w:val="004E17DE"/>
    <w:rsid w:val="004E18C6"/>
    <w:rsid w:val="004E1C4A"/>
    <w:rsid w:val="004E1D8B"/>
    <w:rsid w:val="004E20E3"/>
    <w:rsid w:val="004E2198"/>
    <w:rsid w:val="004E21D5"/>
    <w:rsid w:val="004E255E"/>
    <w:rsid w:val="004E25DB"/>
    <w:rsid w:val="004E261F"/>
    <w:rsid w:val="004E2979"/>
    <w:rsid w:val="004E2984"/>
    <w:rsid w:val="004E2F72"/>
    <w:rsid w:val="004E30CB"/>
    <w:rsid w:val="004E3196"/>
    <w:rsid w:val="004E3482"/>
    <w:rsid w:val="004E3C35"/>
    <w:rsid w:val="004E3DAE"/>
    <w:rsid w:val="004E4271"/>
    <w:rsid w:val="004E4276"/>
    <w:rsid w:val="004E43BD"/>
    <w:rsid w:val="004E45AD"/>
    <w:rsid w:val="004E4B3A"/>
    <w:rsid w:val="004E4F4C"/>
    <w:rsid w:val="004E51A5"/>
    <w:rsid w:val="004E5284"/>
    <w:rsid w:val="004E5355"/>
    <w:rsid w:val="004E562A"/>
    <w:rsid w:val="004E5865"/>
    <w:rsid w:val="004E5AD3"/>
    <w:rsid w:val="004E67D2"/>
    <w:rsid w:val="004E6903"/>
    <w:rsid w:val="004E6E0D"/>
    <w:rsid w:val="004E7063"/>
    <w:rsid w:val="004E73B3"/>
    <w:rsid w:val="004E75E6"/>
    <w:rsid w:val="004E75F3"/>
    <w:rsid w:val="004E760A"/>
    <w:rsid w:val="004E7E14"/>
    <w:rsid w:val="004E7FCC"/>
    <w:rsid w:val="004F0084"/>
    <w:rsid w:val="004F0439"/>
    <w:rsid w:val="004F06F0"/>
    <w:rsid w:val="004F0787"/>
    <w:rsid w:val="004F085B"/>
    <w:rsid w:val="004F09C6"/>
    <w:rsid w:val="004F0E08"/>
    <w:rsid w:val="004F0E96"/>
    <w:rsid w:val="004F0EAA"/>
    <w:rsid w:val="004F15C4"/>
    <w:rsid w:val="004F1924"/>
    <w:rsid w:val="004F2090"/>
    <w:rsid w:val="004F3569"/>
    <w:rsid w:val="004F3667"/>
    <w:rsid w:val="004F38B6"/>
    <w:rsid w:val="004F3E3D"/>
    <w:rsid w:val="004F4097"/>
    <w:rsid w:val="004F4E5B"/>
    <w:rsid w:val="004F4EA9"/>
    <w:rsid w:val="004F51F2"/>
    <w:rsid w:val="004F574B"/>
    <w:rsid w:val="004F58CD"/>
    <w:rsid w:val="004F618D"/>
    <w:rsid w:val="004F6AE0"/>
    <w:rsid w:val="004F7AF8"/>
    <w:rsid w:val="00500021"/>
    <w:rsid w:val="005010FA"/>
    <w:rsid w:val="00501923"/>
    <w:rsid w:val="00502004"/>
    <w:rsid w:val="0050228D"/>
    <w:rsid w:val="005029FC"/>
    <w:rsid w:val="00502CEF"/>
    <w:rsid w:val="00502D06"/>
    <w:rsid w:val="0050310F"/>
    <w:rsid w:val="0050313E"/>
    <w:rsid w:val="005034C1"/>
    <w:rsid w:val="00503668"/>
    <w:rsid w:val="00503902"/>
    <w:rsid w:val="0050436D"/>
    <w:rsid w:val="005050BA"/>
    <w:rsid w:val="005058BD"/>
    <w:rsid w:val="00505A8F"/>
    <w:rsid w:val="00505CA7"/>
    <w:rsid w:val="00506090"/>
    <w:rsid w:val="005069A2"/>
    <w:rsid w:val="00506B31"/>
    <w:rsid w:val="00506BA0"/>
    <w:rsid w:val="0050725B"/>
    <w:rsid w:val="005074EB"/>
    <w:rsid w:val="00507B6C"/>
    <w:rsid w:val="00507B89"/>
    <w:rsid w:val="00507C6E"/>
    <w:rsid w:val="00507EEF"/>
    <w:rsid w:val="00510700"/>
    <w:rsid w:val="00510A39"/>
    <w:rsid w:val="00510B13"/>
    <w:rsid w:val="00510D5A"/>
    <w:rsid w:val="00510E2D"/>
    <w:rsid w:val="00510EC3"/>
    <w:rsid w:val="005112DB"/>
    <w:rsid w:val="00511477"/>
    <w:rsid w:val="0051164E"/>
    <w:rsid w:val="00511EA1"/>
    <w:rsid w:val="00512217"/>
    <w:rsid w:val="0051299F"/>
    <w:rsid w:val="00512FEA"/>
    <w:rsid w:val="00513187"/>
    <w:rsid w:val="005131A5"/>
    <w:rsid w:val="0051320A"/>
    <w:rsid w:val="00513870"/>
    <w:rsid w:val="00513876"/>
    <w:rsid w:val="00514335"/>
    <w:rsid w:val="00514862"/>
    <w:rsid w:val="00514883"/>
    <w:rsid w:val="00514C78"/>
    <w:rsid w:val="0051506C"/>
    <w:rsid w:val="005150CA"/>
    <w:rsid w:val="005152FD"/>
    <w:rsid w:val="00515FFC"/>
    <w:rsid w:val="00516145"/>
    <w:rsid w:val="0051615D"/>
    <w:rsid w:val="00516456"/>
    <w:rsid w:val="0051655C"/>
    <w:rsid w:val="0051670B"/>
    <w:rsid w:val="00516C81"/>
    <w:rsid w:val="005179D0"/>
    <w:rsid w:val="00520198"/>
    <w:rsid w:val="005204C3"/>
    <w:rsid w:val="00520AE5"/>
    <w:rsid w:val="00520C80"/>
    <w:rsid w:val="00520ED7"/>
    <w:rsid w:val="005213B2"/>
    <w:rsid w:val="005213BB"/>
    <w:rsid w:val="00521D90"/>
    <w:rsid w:val="00521F41"/>
    <w:rsid w:val="00522041"/>
    <w:rsid w:val="005224A7"/>
    <w:rsid w:val="005226D8"/>
    <w:rsid w:val="0052327F"/>
    <w:rsid w:val="005234EB"/>
    <w:rsid w:val="00523634"/>
    <w:rsid w:val="005239A6"/>
    <w:rsid w:val="00523B5E"/>
    <w:rsid w:val="00523ED6"/>
    <w:rsid w:val="005240F4"/>
    <w:rsid w:val="0052425C"/>
    <w:rsid w:val="005243F3"/>
    <w:rsid w:val="00524960"/>
    <w:rsid w:val="00524F2B"/>
    <w:rsid w:val="005253E8"/>
    <w:rsid w:val="005256EB"/>
    <w:rsid w:val="00526111"/>
    <w:rsid w:val="005262A8"/>
    <w:rsid w:val="00526715"/>
    <w:rsid w:val="005267B8"/>
    <w:rsid w:val="0052680A"/>
    <w:rsid w:val="00526F39"/>
    <w:rsid w:val="005276F5"/>
    <w:rsid w:val="00527723"/>
    <w:rsid w:val="00527876"/>
    <w:rsid w:val="005278F4"/>
    <w:rsid w:val="00527AAA"/>
    <w:rsid w:val="00527AE2"/>
    <w:rsid w:val="00527FE0"/>
    <w:rsid w:val="005305C4"/>
    <w:rsid w:val="00530CAD"/>
    <w:rsid w:val="00530CF5"/>
    <w:rsid w:val="00530D53"/>
    <w:rsid w:val="00530DA9"/>
    <w:rsid w:val="005314CD"/>
    <w:rsid w:val="00531E94"/>
    <w:rsid w:val="00532256"/>
    <w:rsid w:val="005324C9"/>
    <w:rsid w:val="005329CC"/>
    <w:rsid w:val="005333E0"/>
    <w:rsid w:val="0053343B"/>
    <w:rsid w:val="0053382B"/>
    <w:rsid w:val="00533D63"/>
    <w:rsid w:val="00533D8C"/>
    <w:rsid w:val="0053443E"/>
    <w:rsid w:val="005348B5"/>
    <w:rsid w:val="00534D46"/>
    <w:rsid w:val="00535026"/>
    <w:rsid w:val="005350D4"/>
    <w:rsid w:val="005353E9"/>
    <w:rsid w:val="00535B9F"/>
    <w:rsid w:val="00535C16"/>
    <w:rsid w:val="00535D06"/>
    <w:rsid w:val="0053609B"/>
    <w:rsid w:val="00536617"/>
    <w:rsid w:val="00536666"/>
    <w:rsid w:val="00536CE9"/>
    <w:rsid w:val="00536E26"/>
    <w:rsid w:val="00537156"/>
    <w:rsid w:val="00537AAA"/>
    <w:rsid w:val="00537DEB"/>
    <w:rsid w:val="00540046"/>
    <w:rsid w:val="00540141"/>
    <w:rsid w:val="00540B14"/>
    <w:rsid w:val="00540C67"/>
    <w:rsid w:val="00540D61"/>
    <w:rsid w:val="005412E4"/>
    <w:rsid w:val="005413F6"/>
    <w:rsid w:val="00541C27"/>
    <w:rsid w:val="00541FFA"/>
    <w:rsid w:val="0054211D"/>
    <w:rsid w:val="0054214C"/>
    <w:rsid w:val="005422BD"/>
    <w:rsid w:val="005422CA"/>
    <w:rsid w:val="0054269D"/>
    <w:rsid w:val="00542DCA"/>
    <w:rsid w:val="00542E3C"/>
    <w:rsid w:val="00543B51"/>
    <w:rsid w:val="00543E43"/>
    <w:rsid w:val="00544335"/>
    <w:rsid w:val="00544614"/>
    <w:rsid w:val="005447A1"/>
    <w:rsid w:val="00544885"/>
    <w:rsid w:val="005448AA"/>
    <w:rsid w:val="0054512D"/>
    <w:rsid w:val="005458F9"/>
    <w:rsid w:val="005461D1"/>
    <w:rsid w:val="005461FC"/>
    <w:rsid w:val="0054642C"/>
    <w:rsid w:val="00546509"/>
    <w:rsid w:val="00546544"/>
    <w:rsid w:val="0054663D"/>
    <w:rsid w:val="00546936"/>
    <w:rsid w:val="00546E2D"/>
    <w:rsid w:val="00546EC6"/>
    <w:rsid w:val="005475A5"/>
    <w:rsid w:val="00547794"/>
    <w:rsid w:val="00547900"/>
    <w:rsid w:val="005479B4"/>
    <w:rsid w:val="00547A98"/>
    <w:rsid w:val="00547AC3"/>
    <w:rsid w:val="005504AA"/>
    <w:rsid w:val="00550535"/>
    <w:rsid w:val="005506E3"/>
    <w:rsid w:val="00550C7D"/>
    <w:rsid w:val="00551033"/>
    <w:rsid w:val="005511ED"/>
    <w:rsid w:val="005513FF"/>
    <w:rsid w:val="005514A0"/>
    <w:rsid w:val="00551679"/>
    <w:rsid w:val="005517BA"/>
    <w:rsid w:val="005520CC"/>
    <w:rsid w:val="00552563"/>
    <w:rsid w:val="005527AC"/>
    <w:rsid w:val="005527FD"/>
    <w:rsid w:val="00552A81"/>
    <w:rsid w:val="00552AC7"/>
    <w:rsid w:val="00552C9C"/>
    <w:rsid w:val="0055337B"/>
    <w:rsid w:val="00553A21"/>
    <w:rsid w:val="00553D76"/>
    <w:rsid w:val="00553E42"/>
    <w:rsid w:val="0055434C"/>
    <w:rsid w:val="00554385"/>
    <w:rsid w:val="0055455F"/>
    <w:rsid w:val="005548D6"/>
    <w:rsid w:val="00554BF0"/>
    <w:rsid w:val="00554D5D"/>
    <w:rsid w:val="005555D5"/>
    <w:rsid w:val="00555889"/>
    <w:rsid w:val="00555A5F"/>
    <w:rsid w:val="0055636A"/>
    <w:rsid w:val="0055639B"/>
    <w:rsid w:val="005563AB"/>
    <w:rsid w:val="005563B8"/>
    <w:rsid w:val="00556706"/>
    <w:rsid w:val="00556772"/>
    <w:rsid w:val="0055694E"/>
    <w:rsid w:val="00556AE8"/>
    <w:rsid w:val="00556B97"/>
    <w:rsid w:val="00557180"/>
    <w:rsid w:val="005571E1"/>
    <w:rsid w:val="00557515"/>
    <w:rsid w:val="00557530"/>
    <w:rsid w:val="0055777D"/>
    <w:rsid w:val="00557957"/>
    <w:rsid w:val="00557C6D"/>
    <w:rsid w:val="00557CCE"/>
    <w:rsid w:val="00557DF3"/>
    <w:rsid w:val="00560251"/>
    <w:rsid w:val="005607EE"/>
    <w:rsid w:val="00560BB6"/>
    <w:rsid w:val="00560CAD"/>
    <w:rsid w:val="005614C8"/>
    <w:rsid w:val="00562A1C"/>
    <w:rsid w:val="00562B66"/>
    <w:rsid w:val="00562C0D"/>
    <w:rsid w:val="00562C2D"/>
    <w:rsid w:val="00562DA8"/>
    <w:rsid w:val="00562EC5"/>
    <w:rsid w:val="00563C85"/>
    <w:rsid w:val="00564874"/>
    <w:rsid w:val="00564A4C"/>
    <w:rsid w:val="00564E03"/>
    <w:rsid w:val="00564F65"/>
    <w:rsid w:val="005650EC"/>
    <w:rsid w:val="005651DD"/>
    <w:rsid w:val="00565613"/>
    <w:rsid w:val="0056569B"/>
    <w:rsid w:val="00565C11"/>
    <w:rsid w:val="00566393"/>
    <w:rsid w:val="00566466"/>
    <w:rsid w:val="00566535"/>
    <w:rsid w:val="005669C5"/>
    <w:rsid w:val="00566C25"/>
    <w:rsid w:val="00566CDF"/>
    <w:rsid w:val="005673B7"/>
    <w:rsid w:val="00567516"/>
    <w:rsid w:val="00567D78"/>
    <w:rsid w:val="0057003A"/>
    <w:rsid w:val="005702C6"/>
    <w:rsid w:val="005708A3"/>
    <w:rsid w:val="00570F7B"/>
    <w:rsid w:val="005712FE"/>
    <w:rsid w:val="00571447"/>
    <w:rsid w:val="00571A1D"/>
    <w:rsid w:val="00571AB6"/>
    <w:rsid w:val="00571C86"/>
    <w:rsid w:val="00571D26"/>
    <w:rsid w:val="00571E85"/>
    <w:rsid w:val="00572653"/>
    <w:rsid w:val="00572B8B"/>
    <w:rsid w:val="00573277"/>
    <w:rsid w:val="00573299"/>
    <w:rsid w:val="005735F0"/>
    <w:rsid w:val="0057375C"/>
    <w:rsid w:val="00573807"/>
    <w:rsid w:val="00573913"/>
    <w:rsid w:val="00573F16"/>
    <w:rsid w:val="00574066"/>
    <w:rsid w:val="00574163"/>
    <w:rsid w:val="005743DA"/>
    <w:rsid w:val="00574631"/>
    <w:rsid w:val="005749EA"/>
    <w:rsid w:val="00574FC2"/>
    <w:rsid w:val="0057544A"/>
    <w:rsid w:val="00575574"/>
    <w:rsid w:val="005755E7"/>
    <w:rsid w:val="0057562F"/>
    <w:rsid w:val="00575634"/>
    <w:rsid w:val="0057581F"/>
    <w:rsid w:val="005758EE"/>
    <w:rsid w:val="00576076"/>
    <w:rsid w:val="00576A94"/>
    <w:rsid w:val="00576D1E"/>
    <w:rsid w:val="005771BF"/>
    <w:rsid w:val="0057723F"/>
    <w:rsid w:val="00577242"/>
    <w:rsid w:val="0057724E"/>
    <w:rsid w:val="0057771F"/>
    <w:rsid w:val="005777B0"/>
    <w:rsid w:val="00577B79"/>
    <w:rsid w:val="0058038F"/>
    <w:rsid w:val="005809FB"/>
    <w:rsid w:val="0058107F"/>
    <w:rsid w:val="005813D8"/>
    <w:rsid w:val="005816D2"/>
    <w:rsid w:val="005817A7"/>
    <w:rsid w:val="00581B08"/>
    <w:rsid w:val="00581B76"/>
    <w:rsid w:val="00581B83"/>
    <w:rsid w:val="00581D07"/>
    <w:rsid w:val="00581E83"/>
    <w:rsid w:val="00581F4F"/>
    <w:rsid w:val="0058209C"/>
    <w:rsid w:val="00582B6B"/>
    <w:rsid w:val="00582C52"/>
    <w:rsid w:val="00582C56"/>
    <w:rsid w:val="00583004"/>
    <w:rsid w:val="00583068"/>
    <w:rsid w:val="0058316D"/>
    <w:rsid w:val="005832DE"/>
    <w:rsid w:val="0058339B"/>
    <w:rsid w:val="0058341F"/>
    <w:rsid w:val="005834FC"/>
    <w:rsid w:val="00583660"/>
    <w:rsid w:val="0058387A"/>
    <w:rsid w:val="00583925"/>
    <w:rsid w:val="00583B79"/>
    <w:rsid w:val="00583D70"/>
    <w:rsid w:val="00583E9B"/>
    <w:rsid w:val="005842BE"/>
    <w:rsid w:val="00584814"/>
    <w:rsid w:val="005849E6"/>
    <w:rsid w:val="00584AC6"/>
    <w:rsid w:val="00585073"/>
    <w:rsid w:val="005850A4"/>
    <w:rsid w:val="005857D8"/>
    <w:rsid w:val="005859DC"/>
    <w:rsid w:val="00585BC1"/>
    <w:rsid w:val="005866DF"/>
    <w:rsid w:val="00586BAE"/>
    <w:rsid w:val="005870ED"/>
    <w:rsid w:val="00587423"/>
    <w:rsid w:val="0058751A"/>
    <w:rsid w:val="00587745"/>
    <w:rsid w:val="005901A4"/>
    <w:rsid w:val="0059055D"/>
    <w:rsid w:val="0059068C"/>
    <w:rsid w:val="00590868"/>
    <w:rsid w:val="00590E96"/>
    <w:rsid w:val="00591209"/>
    <w:rsid w:val="005915AB"/>
    <w:rsid w:val="005917D2"/>
    <w:rsid w:val="00591AE8"/>
    <w:rsid w:val="00591AF4"/>
    <w:rsid w:val="005920FE"/>
    <w:rsid w:val="00592356"/>
    <w:rsid w:val="005929B0"/>
    <w:rsid w:val="00592F8A"/>
    <w:rsid w:val="00593549"/>
    <w:rsid w:val="00593774"/>
    <w:rsid w:val="00593AC3"/>
    <w:rsid w:val="00593EE4"/>
    <w:rsid w:val="00593F85"/>
    <w:rsid w:val="00593FEA"/>
    <w:rsid w:val="005940EB"/>
    <w:rsid w:val="0059429C"/>
    <w:rsid w:val="00594643"/>
    <w:rsid w:val="005949EB"/>
    <w:rsid w:val="00594BDF"/>
    <w:rsid w:val="005950F1"/>
    <w:rsid w:val="0059515B"/>
    <w:rsid w:val="005952EB"/>
    <w:rsid w:val="0059550E"/>
    <w:rsid w:val="00595532"/>
    <w:rsid w:val="00595A7D"/>
    <w:rsid w:val="00595E6A"/>
    <w:rsid w:val="005968B5"/>
    <w:rsid w:val="00596BC4"/>
    <w:rsid w:val="00596BED"/>
    <w:rsid w:val="00596E74"/>
    <w:rsid w:val="0059717F"/>
    <w:rsid w:val="005973D9"/>
    <w:rsid w:val="0059781D"/>
    <w:rsid w:val="00597B81"/>
    <w:rsid w:val="005A072E"/>
    <w:rsid w:val="005A0936"/>
    <w:rsid w:val="005A0957"/>
    <w:rsid w:val="005A0C2E"/>
    <w:rsid w:val="005A11C0"/>
    <w:rsid w:val="005A1B80"/>
    <w:rsid w:val="005A1C01"/>
    <w:rsid w:val="005A1E92"/>
    <w:rsid w:val="005A2298"/>
    <w:rsid w:val="005A2568"/>
    <w:rsid w:val="005A2CD4"/>
    <w:rsid w:val="005A376C"/>
    <w:rsid w:val="005A3810"/>
    <w:rsid w:val="005A419A"/>
    <w:rsid w:val="005A42D2"/>
    <w:rsid w:val="005A452F"/>
    <w:rsid w:val="005A4644"/>
    <w:rsid w:val="005A469D"/>
    <w:rsid w:val="005A46F6"/>
    <w:rsid w:val="005A4BF1"/>
    <w:rsid w:val="005A4E0E"/>
    <w:rsid w:val="005A5025"/>
    <w:rsid w:val="005A5331"/>
    <w:rsid w:val="005A5408"/>
    <w:rsid w:val="005A5495"/>
    <w:rsid w:val="005A5630"/>
    <w:rsid w:val="005A566A"/>
    <w:rsid w:val="005A62EF"/>
    <w:rsid w:val="005A6504"/>
    <w:rsid w:val="005A654A"/>
    <w:rsid w:val="005A66B7"/>
    <w:rsid w:val="005A67F8"/>
    <w:rsid w:val="005A6843"/>
    <w:rsid w:val="005A6B85"/>
    <w:rsid w:val="005A75BD"/>
    <w:rsid w:val="005B02E0"/>
    <w:rsid w:val="005B078F"/>
    <w:rsid w:val="005B07A6"/>
    <w:rsid w:val="005B08E2"/>
    <w:rsid w:val="005B0D63"/>
    <w:rsid w:val="005B0D6F"/>
    <w:rsid w:val="005B0DFD"/>
    <w:rsid w:val="005B0F18"/>
    <w:rsid w:val="005B1335"/>
    <w:rsid w:val="005B1539"/>
    <w:rsid w:val="005B15F0"/>
    <w:rsid w:val="005B1883"/>
    <w:rsid w:val="005B18CC"/>
    <w:rsid w:val="005B1A2A"/>
    <w:rsid w:val="005B1B3D"/>
    <w:rsid w:val="005B1BF9"/>
    <w:rsid w:val="005B2B1B"/>
    <w:rsid w:val="005B3302"/>
    <w:rsid w:val="005B3D2C"/>
    <w:rsid w:val="005B3E64"/>
    <w:rsid w:val="005B4412"/>
    <w:rsid w:val="005B4476"/>
    <w:rsid w:val="005B4550"/>
    <w:rsid w:val="005B45BF"/>
    <w:rsid w:val="005B4601"/>
    <w:rsid w:val="005B4A6E"/>
    <w:rsid w:val="005B4C7B"/>
    <w:rsid w:val="005B4DC9"/>
    <w:rsid w:val="005B5050"/>
    <w:rsid w:val="005B560B"/>
    <w:rsid w:val="005B5797"/>
    <w:rsid w:val="005B592E"/>
    <w:rsid w:val="005B5981"/>
    <w:rsid w:val="005B59FF"/>
    <w:rsid w:val="005B5D9C"/>
    <w:rsid w:val="005B5DE0"/>
    <w:rsid w:val="005B5F67"/>
    <w:rsid w:val="005B60EE"/>
    <w:rsid w:val="005B677E"/>
    <w:rsid w:val="005B6EA2"/>
    <w:rsid w:val="005B6FF7"/>
    <w:rsid w:val="005B725B"/>
    <w:rsid w:val="005B7384"/>
    <w:rsid w:val="005B740F"/>
    <w:rsid w:val="005B7569"/>
    <w:rsid w:val="005B7747"/>
    <w:rsid w:val="005B794D"/>
    <w:rsid w:val="005B7A59"/>
    <w:rsid w:val="005B7B75"/>
    <w:rsid w:val="005B7DA3"/>
    <w:rsid w:val="005C01ED"/>
    <w:rsid w:val="005C05E5"/>
    <w:rsid w:val="005C0718"/>
    <w:rsid w:val="005C07DA"/>
    <w:rsid w:val="005C0887"/>
    <w:rsid w:val="005C0F12"/>
    <w:rsid w:val="005C11B1"/>
    <w:rsid w:val="005C1465"/>
    <w:rsid w:val="005C189B"/>
    <w:rsid w:val="005C1A65"/>
    <w:rsid w:val="005C1AC4"/>
    <w:rsid w:val="005C1B18"/>
    <w:rsid w:val="005C1EB2"/>
    <w:rsid w:val="005C220C"/>
    <w:rsid w:val="005C2848"/>
    <w:rsid w:val="005C2898"/>
    <w:rsid w:val="005C29D6"/>
    <w:rsid w:val="005C2BC6"/>
    <w:rsid w:val="005C2C5C"/>
    <w:rsid w:val="005C2D66"/>
    <w:rsid w:val="005C3472"/>
    <w:rsid w:val="005C3513"/>
    <w:rsid w:val="005C3B9E"/>
    <w:rsid w:val="005C3BCF"/>
    <w:rsid w:val="005C3C7D"/>
    <w:rsid w:val="005C3D59"/>
    <w:rsid w:val="005C4017"/>
    <w:rsid w:val="005C41DA"/>
    <w:rsid w:val="005C4A9C"/>
    <w:rsid w:val="005C5711"/>
    <w:rsid w:val="005C5BB0"/>
    <w:rsid w:val="005C6158"/>
    <w:rsid w:val="005C6FBD"/>
    <w:rsid w:val="005C726B"/>
    <w:rsid w:val="005C75DF"/>
    <w:rsid w:val="005C7636"/>
    <w:rsid w:val="005C76DA"/>
    <w:rsid w:val="005C7BF3"/>
    <w:rsid w:val="005C7E15"/>
    <w:rsid w:val="005C7FD7"/>
    <w:rsid w:val="005D03AE"/>
    <w:rsid w:val="005D06BC"/>
    <w:rsid w:val="005D10C8"/>
    <w:rsid w:val="005D14CE"/>
    <w:rsid w:val="005D16B3"/>
    <w:rsid w:val="005D18D7"/>
    <w:rsid w:val="005D212F"/>
    <w:rsid w:val="005D253A"/>
    <w:rsid w:val="005D2A0B"/>
    <w:rsid w:val="005D2AD8"/>
    <w:rsid w:val="005D2C1B"/>
    <w:rsid w:val="005D2CED"/>
    <w:rsid w:val="005D2D83"/>
    <w:rsid w:val="005D36E4"/>
    <w:rsid w:val="005D37B5"/>
    <w:rsid w:val="005D3B76"/>
    <w:rsid w:val="005D3B8D"/>
    <w:rsid w:val="005D3C3A"/>
    <w:rsid w:val="005D3D1D"/>
    <w:rsid w:val="005D3DDE"/>
    <w:rsid w:val="005D40F0"/>
    <w:rsid w:val="005D427B"/>
    <w:rsid w:val="005D4595"/>
    <w:rsid w:val="005D4671"/>
    <w:rsid w:val="005D4AB5"/>
    <w:rsid w:val="005D4C1C"/>
    <w:rsid w:val="005D4E1A"/>
    <w:rsid w:val="005D4F5E"/>
    <w:rsid w:val="005D4FE0"/>
    <w:rsid w:val="005D5385"/>
    <w:rsid w:val="005D5522"/>
    <w:rsid w:val="005D5E6E"/>
    <w:rsid w:val="005D5E99"/>
    <w:rsid w:val="005D6053"/>
    <w:rsid w:val="005D6764"/>
    <w:rsid w:val="005D6786"/>
    <w:rsid w:val="005D6E0E"/>
    <w:rsid w:val="005D6FA0"/>
    <w:rsid w:val="005D75D4"/>
    <w:rsid w:val="005D7F1A"/>
    <w:rsid w:val="005E02DA"/>
    <w:rsid w:val="005E0324"/>
    <w:rsid w:val="005E05DF"/>
    <w:rsid w:val="005E0A01"/>
    <w:rsid w:val="005E0AAF"/>
    <w:rsid w:val="005E0DAC"/>
    <w:rsid w:val="005E1CE3"/>
    <w:rsid w:val="005E225E"/>
    <w:rsid w:val="005E22E4"/>
    <w:rsid w:val="005E235B"/>
    <w:rsid w:val="005E2405"/>
    <w:rsid w:val="005E287A"/>
    <w:rsid w:val="005E293C"/>
    <w:rsid w:val="005E2D95"/>
    <w:rsid w:val="005E32A8"/>
    <w:rsid w:val="005E32C1"/>
    <w:rsid w:val="005E3392"/>
    <w:rsid w:val="005E3984"/>
    <w:rsid w:val="005E412F"/>
    <w:rsid w:val="005E4447"/>
    <w:rsid w:val="005E496A"/>
    <w:rsid w:val="005E4CA0"/>
    <w:rsid w:val="005E4D4F"/>
    <w:rsid w:val="005E500D"/>
    <w:rsid w:val="005E50C0"/>
    <w:rsid w:val="005E5527"/>
    <w:rsid w:val="005E59C6"/>
    <w:rsid w:val="005E5BC2"/>
    <w:rsid w:val="005E5EDB"/>
    <w:rsid w:val="005E63E8"/>
    <w:rsid w:val="005E67AE"/>
    <w:rsid w:val="005E6809"/>
    <w:rsid w:val="005E6964"/>
    <w:rsid w:val="005E69BD"/>
    <w:rsid w:val="005E6A92"/>
    <w:rsid w:val="005E6E58"/>
    <w:rsid w:val="005E6EDE"/>
    <w:rsid w:val="005E7109"/>
    <w:rsid w:val="005E715F"/>
    <w:rsid w:val="005E716F"/>
    <w:rsid w:val="005E74BD"/>
    <w:rsid w:val="005E7FF1"/>
    <w:rsid w:val="005F054C"/>
    <w:rsid w:val="005F05B6"/>
    <w:rsid w:val="005F0A41"/>
    <w:rsid w:val="005F0C7B"/>
    <w:rsid w:val="005F0CF7"/>
    <w:rsid w:val="005F0D89"/>
    <w:rsid w:val="005F0E96"/>
    <w:rsid w:val="005F1085"/>
    <w:rsid w:val="005F10DB"/>
    <w:rsid w:val="005F1985"/>
    <w:rsid w:val="005F1A17"/>
    <w:rsid w:val="005F1EDD"/>
    <w:rsid w:val="005F2209"/>
    <w:rsid w:val="005F272E"/>
    <w:rsid w:val="005F2DEB"/>
    <w:rsid w:val="005F2E67"/>
    <w:rsid w:val="005F327D"/>
    <w:rsid w:val="005F3A73"/>
    <w:rsid w:val="005F3AD9"/>
    <w:rsid w:val="005F3D70"/>
    <w:rsid w:val="005F4238"/>
    <w:rsid w:val="005F4381"/>
    <w:rsid w:val="005F4774"/>
    <w:rsid w:val="005F489E"/>
    <w:rsid w:val="005F4A9C"/>
    <w:rsid w:val="005F4CF0"/>
    <w:rsid w:val="005F504E"/>
    <w:rsid w:val="005F5344"/>
    <w:rsid w:val="005F5927"/>
    <w:rsid w:val="005F5F3E"/>
    <w:rsid w:val="005F62C9"/>
    <w:rsid w:val="005F6B5C"/>
    <w:rsid w:val="005F7282"/>
    <w:rsid w:val="005F72ED"/>
    <w:rsid w:val="005F7601"/>
    <w:rsid w:val="005F7B58"/>
    <w:rsid w:val="005F7DED"/>
    <w:rsid w:val="005F7E7C"/>
    <w:rsid w:val="00600241"/>
    <w:rsid w:val="006003B0"/>
    <w:rsid w:val="0060063C"/>
    <w:rsid w:val="00600BD3"/>
    <w:rsid w:val="00600C15"/>
    <w:rsid w:val="00600DAC"/>
    <w:rsid w:val="00600E0E"/>
    <w:rsid w:val="006011AC"/>
    <w:rsid w:val="0060148D"/>
    <w:rsid w:val="0060171E"/>
    <w:rsid w:val="00601875"/>
    <w:rsid w:val="00601985"/>
    <w:rsid w:val="00601E95"/>
    <w:rsid w:val="00601EF7"/>
    <w:rsid w:val="00602086"/>
    <w:rsid w:val="006022F3"/>
    <w:rsid w:val="0060265D"/>
    <w:rsid w:val="00602677"/>
    <w:rsid w:val="00602D51"/>
    <w:rsid w:val="006032DD"/>
    <w:rsid w:val="00603517"/>
    <w:rsid w:val="00603977"/>
    <w:rsid w:val="00603B80"/>
    <w:rsid w:val="00603E26"/>
    <w:rsid w:val="00603ED8"/>
    <w:rsid w:val="00604B92"/>
    <w:rsid w:val="00604D47"/>
    <w:rsid w:val="00605184"/>
    <w:rsid w:val="006053D0"/>
    <w:rsid w:val="00605425"/>
    <w:rsid w:val="0060562C"/>
    <w:rsid w:val="00605668"/>
    <w:rsid w:val="0060593E"/>
    <w:rsid w:val="006059F2"/>
    <w:rsid w:val="00605A5E"/>
    <w:rsid w:val="0060604F"/>
    <w:rsid w:val="0060617F"/>
    <w:rsid w:val="006066F6"/>
    <w:rsid w:val="0060682A"/>
    <w:rsid w:val="00606C98"/>
    <w:rsid w:val="00606F35"/>
    <w:rsid w:val="0060716D"/>
    <w:rsid w:val="006071C7"/>
    <w:rsid w:val="00607473"/>
    <w:rsid w:val="006077BB"/>
    <w:rsid w:val="00607898"/>
    <w:rsid w:val="00607BA6"/>
    <w:rsid w:val="00607C9A"/>
    <w:rsid w:val="00607CA9"/>
    <w:rsid w:val="00607F54"/>
    <w:rsid w:val="006101B3"/>
    <w:rsid w:val="006102AC"/>
    <w:rsid w:val="0061070C"/>
    <w:rsid w:val="00610B37"/>
    <w:rsid w:val="00610CB8"/>
    <w:rsid w:val="0061160E"/>
    <w:rsid w:val="0061165A"/>
    <w:rsid w:val="00611678"/>
    <w:rsid w:val="0061175F"/>
    <w:rsid w:val="00611ACE"/>
    <w:rsid w:val="00611C71"/>
    <w:rsid w:val="00611F89"/>
    <w:rsid w:val="0061277A"/>
    <w:rsid w:val="00612DF8"/>
    <w:rsid w:val="00612E8D"/>
    <w:rsid w:val="0061334C"/>
    <w:rsid w:val="006133B0"/>
    <w:rsid w:val="00613493"/>
    <w:rsid w:val="0061375E"/>
    <w:rsid w:val="00613C58"/>
    <w:rsid w:val="00613CAC"/>
    <w:rsid w:val="00613CCF"/>
    <w:rsid w:val="00613F1A"/>
    <w:rsid w:val="00614026"/>
    <w:rsid w:val="0061479D"/>
    <w:rsid w:val="00614821"/>
    <w:rsid w:val="00614BD2"/>
    <w:rsid w:val="00614C5E"/>
    <w:rsid w:val="00614C9F"/>
    <w:rsid w:val="00614CC2"/>
    <w:rsid w:val="006159FE"/>
    <w:rsid w:val="00615D43"/>
    <w:rsid w:val="0061660F"/>
    <w:rsid w:val="00616A79"/>
    <w:rsid w:val="00616B7C"/>
    <w:rsid w:val="00616E9B"/>
    <w:rsid w:val="00616F09"/>
    <w:rsid w:val="00616F50"/>
    <w:rsid w:val="0061712E"/>
    <w:rsid w:val="00617691"/>
    <w:rsid w:val="00617925"/>
    <w:rsid w:val="006179EA"/>
    <w:rsid w:val="006200AA"/>
    <w:rsid w:val="00620440"/>
    <w:rsid w:val="00620733"/>
    <w:rsid w:val="00620E6B"/>
    <w:rsid w:val="00621258"/>
    <w:rsid w:val="006215E1"/>
    <w:rsid w:val="00621CBC"/>
    <w:rsid w:val="006220D9"/>
    <w:rsid w:val="006221CF"/>
    <w:rsid w:val="00622283"/>
    <w:rsid w:val="006223C5"/>
    <w:rsid w:val="00622501"/>
    <w:rsid w:val="00622578"/>
    <w:rsid w:val="006227D1"/>
    <w:rsid w:val="00622DEE"/>
    <w:rsid w:val="00623546"/>
    <w:rsid w:val="006237D2"/>
    <w:rsid w:val="00623B4B"/>
    <w:rsid w:val="00623D54"/>
    <w:rsid w:val="00623F58"/>
    <w:rsid w:val="00624026"/>
    <w:rsid w:val="006241AA"/>
    <w:rsid w:val="00624672"/>
    <w:rsid w:val="0062496A"/>
    <w:rsid w:val="0062506F"/>
    <w:rsid w:val="00625199"/>
    <w:rsid w:val="00625276"/>
    <w:rsid w:val="00625767"/>
    <w:rsid w:val="0062578D"/>
    <w:rsid w:val="00625904"/>
    <w:rsid w:val="00625AF7"/>
    <w:rsid w:val="00626047"/>
    <w:rsid w:val="00626409"/>
    <w:rsid w:val="00626577"/>
    <w:rsid w:val="006266B4"/>
    <w:rsid w:val="006268B4"/>
    <w:rsid w:val="006269F7"/>
    <w:rsid w:val="00626BFA"/>
    <w:rsid w:val="00626F58"/>
    <w:rsid w:val="0062706E"/>
    <w:rsid w:val="0062744B"/>
    <w:rsid w:val="00627735"/>
    <w:rsid w:val="006278CB"/>
    <w:rsid w:val="00627907"/>
    <w:rsid w:val="00627AB9"/>
    <w:rsid w:val="00630548"/>
    <w:rsid w:val="006305D5"/>
    <w:rsid w:val="00630922"/>
    <w:rsid w:val="00631585"/>
    <w:rsid w:val="006316D7"/>
    <w:rsid w:val="0063172B"/>
    <w:rsid w:val="00631C14"/>
    <w:rsid w:val="00631CD1"/>
    <w:rsid w:val="00632178"/>
    <w:rsid w:val="006323FA"/>
    <w:rsid w:val="00632505"/>
    <w:rsid w:val="00632764"/>
    <w:rsid w:val="00632CB0"/>
    <w:rsid w:val="00632D08"/>
    <w:rsid w:val="00633268"/>
    <w:rsid w:val="00633434"/>
    <w:rsid w:val="00633879"/>
    <w:rsid w:val="006339FB"/>
    <w:rsid w:val="00633BB2"/>
    <w:rsid w:val="00633F35"/>
    <w:rsid w:val="00634465"/>
    <w:rsid w:val="0063496B"/>
    <w:rsid w:val="00634F90"/>
    <w:rsid w:val="00635134"/>
    <w:rsid w:val="0063518D"/>
    <w:rsid w:val="006352C2"/>
    <w:rsid w:val="006354EB"/>
    <w:rsid w:val="006355DC"/>
    <w:rsid w:val="0063594F"/>
    <w:rsid w:val="00635A74"/>
    <w:rsid w:val="00635D08"/>
    <w:rsid w:val="00635F96"/>
    <w:rsid w:val="00635F9C"/>
    <w:rsid w:val="00635FC9"/>
    <w:rsid w:val="00635FD9"/>
    <w:rsid w:val="00636031"/>
    <w:rsid w:val="006361A8"/>
    <w:rsid w:val="0063624E"/>
    <w:rsid w:val="0063648F"/>
    <w:rsid w:val="006368D0"/>
    <w:rsid w:val="00636DC0"/>
    <w:rsid w:val="00636FD0"/>
    <w:rsid w:val="00637106"/>
    <w:rsid w:val="00637297"/>
    <w:rsid w:val="00637356"/>
    <w:rsid w:val="006374C2"/>
    <w:rsid w:val="006377F2"/>
    <w:rsid w:val="00637C50"/>
    <w:rsid w:val="00637CA8"/>
    <w:rsid w:val="0064041C"/>
    <w:rsid w:val="00640817"/>
    <w:rsid w:val="00640B9A"/>
    <w:rsid w:val="00640CD3"/>
    <w:rsid w:val="00640D08"/>
    <w:rsid w:val="00640FDF"/>
    <w:rsid w:val="006410BC"/>
    <w:rsid w:val="006414DC"/>
    <w:rsid w:val="0064159D"/>
    <w:rsid w:val="00641998"/>
    <w:rsid w:val="00641F0A"/>
    <w:rsid w:val="00641F4A"/>
    <w:rsid w:val="00642045"/>
    <w:rsid w:val="006420E4"/>
    <w:rsid w:val="00642282"/>
    <w:rsid w:val="0064234D"/>
    <w:rsid w:val="0064250F"/>
    <w:rsid w:val="00642910"/>
    <w:rsid w:val="00642A0D"/>
    <w:rsid w:val="00642B13"/>
    <w:rsid w:val="00643038"/>
    <w:rsid w:val="00643428"/>
    <w:rsid w:val="00643582"/>
    <w:rsid w:val="0064381A"/>
    <w:rsid w:val="0064403D"/>
    <w:rsid w:val="006440C1"/>
    <w:rsid w:val="00644121"/>
    <w:rsid w:val="00644725"/>
    <w:rsid w:val="00644E97"/>
    <w:rsid w:val="00645248"/>
    <w:rsid w:val="00645544"/>
    <w:rsid w:val="00645C59"/>
    <w:rsid w:val="006467BA"/>
    <w:rsid w:val="00646995"/>
    <w:rsid w:val="00646D95"/>
    <w:rsid w:val="0064747E"/>
    <w:rsid w:val="00650294"/>
    <w:rsid w:val="006502EA"/>
    <w:rsid w:val="00650566"/>
    <w:rsid w:val="006509A9"/>
    <w:rsid w:val="006509AD"/>
    <w:rsid w:val="00651126"/>
    <w:rsid w:val="00651133"/>
    <w:rsid w:val="006518B2"/>
    <w:rsid w:val="00651EE2"/>
    <w:rsid w:val="0065210A"/>
    <w:rsid w:val="006525D2"/>
    <w:rsid w:val="006529A5"/>
    <w:rsid w:val="00652E61"/>
    <w:rsid w:val="00652E7E"/>
    <w:rsid w:val="00652F90"/>
    <w:rsid w:val="00653C99"/>
    <w:rsid w:val="00653D6E"/>
    <w:rsid w:val="00653F6C"/>
    <w:rsid w:val="00653F98"/>
    <w:rsid w:val="0065402D"/>
    <w:rsid w:val="00654037"/>
    <w:rsid w:val="006541D0"/>
    <w:rsid w:val="00654364"/>
    <w:rsid w:val="0065454B"/>
    <w:rsid w:val="00654561"/>
    <w:rsid w:val="006549AD"/>
    <w:rsid w:val="00654AF0"/>
    <w:rsid w:val="00654C24"/>
    <w:rsid w:val="00654DC9"/>
    <w:rsid w:val="00654ECF"/>
    <w:rsid w:val="00654F2E"/>
    <w:rsid w:val="00655416"/>
    <w:rsid w:val="00655479"/>
    <w:rsid w:val="006555CC"/>
    <w:rsid w:val="00655733"/>
    <w:rsid w:val="00655E03"/>
    <w:rsid w:val="0065636B"/>
    <w:rsid w:val="00656673"/>
    <w:rsid w:val="006566A8"/>
    <w:rsid w:val="0065698D"/>
    <w:rsid w:val="006576AA"/>
    <w:rsid w:val="00657B0B"/>
    <w:rsid w:val="00657D1D"/>
    <w:rsid w:val="00660270"/>
    <w:rsid w:val="006602C5"/>
    <w:rsid w:val="0066036B"/>
    <w:rsid w:val="006608D8"/>
    <w:rsid w:val="00660A00"/>
    <w:rsid w:val="00660BBB"/>
    <w:rsid w:val="00660E73"/>
    <w:rsid w:val="00661678"/>
    <w:rsid w:val="006617DC"/>
    <w:rsid w:val="00661832"/>
    <w:rsid w:val="00662F70"/>
    <w:rsid w:val="00662FA6"/>
    <w:rsid w:val="00663159"/>
    <w:rsid w:val="0066316C"/>
    <w:rsid w:val="00663251"/>
    <w:rsid w:val="00663836"/>
    <w:rsid w:val="006638FC"/>
    <w:rsid w:val="00663997"/>
    <w:rsid w:val="00663F24"/>
    <w:rsid w:val="0066436B"/>
    <w:rsid w:val="0066441B"/>
    <w:rsid w:val="00664BC5"/>
    <w:rsid w:val="00664D92"/>
    <w:rsid w:val="00664F51"/>
    <w:rsid w:val="006652FF"/>
    <w:rsid w:val="0066566C"/>
    <w:rsid w:val="00666240"/>
    <w:rsid w:val="006663CF"/>
    <w:rsid w:val="006663F1"/>
    <w:rsid w:val="0066693F"/>
    <w:rsid w:val="00667AEB"/>
    <w:rsid w:val="00667BD7"/>
    <w:rsid w:val="00667F2D"/>
    <w:rsid w:val="0067018B"/>
    <w:rsid w:val="00670503"/>
    <w:rsid w:val="0067089C"/>
    <w:rsid w:val="00670930"/>
    <w:rsid w:val="00670DF8"/>
    <w:rsid w:val="0067100A"/>
    <w:rsid w:val="006710C0"/>
    <w:rsid w:val="00671156"/>
    <w:rsid w:val="006714BC"/>
    <w:rsid w:val="006714BE"/>
    <w:rsid w:val="006714F8"/>
    <w:rsid w:val="00671517"/>
    <w:rsid w:val="0067175F"/>
    <w:rsid w:val="0067185A"/>
    <w:rsid w:val="00671C0D"/>
    <w:rsid w:val="00672516"/>
    <w:rsid w:val="00673212"/>
    <w:rsid w:val="00673259"/>
    <w:rsid w:val="00673266"/>
    <w:rsid w:val="00673784"/>
    <w:rsid w:val="006738E5"/>
    <w:rsid w:val="00673A05"/>
    <w:rsid w:val="00673D85"/>
    <w:rsid w:val="00673E9B"/>
    <w:rsid w:val="00674083"/>
    <w:rsid w:val="00674336"/>
    <w:rsid w:val="006745DA"/>
    <w:rsid w:val="00674EF9"/>
    <w:rsid w:val="00675025"/>
    <w:rsid w:val="006755CD"/>
    <w:rsid w:val="006758B1"/>
    <w:rsid w:val="006763F7"/>
    <w:rsid w:val="006765D4"/>
    <w:rsid w:val="00676C12"/>
    <w:rsid w:val="00677422"/>
    <w:rsid w:val="00677655"/>
    <w:rsid w:val="00677D8A"/>
    <w:rsid w:val="00677DCD"/>
    <w:rsid w:val="00680005"/>
    <w:rsid w:val="0068001A"/>
    <w:rsid w:val="00680368"/>
    <w:rsid w:val="006805BE"/>
    <w:rsid w:val="0068081B"/>
    <w:rsid w:val="00680EBC"/>
    <w:rsid w:val="00680EE5"/>
    <w:rsid w:val="006810A0"/>
    <w:rsid w:val="00681365"/>
    <w:rsid w:val="00681439"/>
    <w:rsid w:val="00681B7B"/>
    <w:rsid w:val="00682224"/>
    <w:rsid w:val="0068269C"/>
    <w:rsid w:val="00682822"/>
    <w:rsid w:val="00682908"/>
    <w:rsid w:val="00682E4F"/>
    <w:rsid w:val="00683011"/>
    <w:rsid w:val="006837B1"/>
    <w:rsid w:val="0068381E"/>
    <w:rsid w:val="00683D66"/>
    <w:rsid w:val="00683ED7"/>
    <w:rsid w:val="006846C4"/>
    <w:rsid w:val="00684713"/>
    <w:rsid w:val="00684758"/>
    <w:rsid w:val="00684A65"/>
    <w:rsid w:val="00684AE2"/>
    <w:rsid w:val="00684CFA"/>
    <w:rsid w:val="00684DEF"/>
    <w:rsid w:val="00685301"/>
    <w:rsid w:val="00685593"/>
    <w:rsid w:val="006855B7"/>
    <w:rsid w:val="00685CB9"/>
    <w:rsid w:val="00685EA5"/>
    <w:rsid w:val="00686630"/>
    <w:rsid w:val="00686675"/>
    <w:rsid w:val="0068667C"/>
    <w:rsid w:val="00686DE6"/>
    <w:rsid w:val="00686E12"/>
    <w:rsid w:val="00686E58"/>
    <w:rsid w:val="00687128"/>
    <w:rsid w:val="00687660"/>
    <w:rsid w:val="00687DFB"/>
    <w:rsid w:val="0069012E"/>
    <w:rsid w:val="0069076E"/>
    <w:rsid w:val="00690B35"/>
    <w:rsid w:val="00690B68"/>
    <w:rsid w:val="00690FB6"/>
    <w:rsid w:val="0069139D"/>
    <w:rsid w:val="0069140E"/>
    <w:rsid w:val="00691811"/>
    <w:rsid w:val="00691D7B"/>
    <w:rsid w:val="0069227E"/>
    <w:rsid w:val="006924D0"/>
    <w:rsid w:val="006924F4"/>
    <w:rsid w:val="00692A2D"/>
    <w:rsid w:val="00692A73"/>
    <w:rsid w:val="00692C5B"/>
    <w:rsid w:val="0069307B"/>
    <w:rsid w:val="00693313"/>
    <w:rsid w:val="006933D2"/>
    <w:rsid w:val="0069358E"/>
    <w:rsid w:val="006935D9"/>
    <w:rsid w:val="00693711"/>
    <w:rsid w:val="00694027"/>
    <w:rsid w:val="00694226"/>
    <w:rsid w:val="0069446D"/>
    <w:rsid w:val="00694470"/>
    <w:rsid w:val="006946B0"/>
    <w:rsid w:val="00694807"/>
    <w:rsid w:val="00694B92"/>
    <w:rsid w:val="00695B6D"/>
    <w:rsid w:val="006964EE"/>
    <w:rsid w:val="00696870"/>
    <w:rsid w:val="006969FA"/>
    <w:rsid w:val="006974BF"/>
    <w:rsid w:val="006979FB"/>
    <w:rsid w:val="00697B78"/>
    <w:rsid w:val="00697D79"/>
    <w:rsid w:val="006A04B9"/>
    <w:rsid w:val="006A0505"/>
    <w:rsid w:val="006A071C"/>
    <w:rsid w:val="006A088F"/>
    <w:rsid w:val="006A0AF8"/>
    <w:rsid w:val="006A0D4C"/>
    <w:rsid w:val="006A105E"/>
    <w:rsid w:val="006A158E"/>
    <w:rsid w:val="006A1975"/>
    <w:rsid w:val="006A1E52"/>
    <w:rsid w:val="006A268B"/>
    <w:rsid w:val="006A2BEF"/>
    <w:rsid w:val="006A2C1C"/>
    <w:rsid w:val="006A31E8"/>
    <w:rsid w:val="006A3208"/>
    <w:rsid w:val="006A3320"/>
    <w:rsid w:val="006A370D"/>
    <w:rsid w:val="006A39D9"/>
    <w:rsid w:val="006A3B12"/>
    <w:rsid w:val="006A4156"/>
    <w:rsid w:val="006A4438"/>
    <w:rsid w:val="006A4763"/>
    <w:rsid w:val="006A49CD"/>
    <w:rsid w:val="006A4D40"/>
    <w:rsid w:val="006A4F7A"/>
    <w:rsid w:val="006A519A"/>
    <w:rsid w:val="006A51D2"/>
    <w:rsid w:val="006A59EC"/>
    <w:rsid w:val="006A5C4F"/>
    <w:rsid w:val="006A5DC0"/>
    <w:rsid w:val="006A5FC6"/>
    <w:rsid w:val="006A60BD"/>
    <w:rsid w:val="006A62F6"/>
    <w:rsid w:val="006A650B"/>
    <w:rsid w:val="006A6A2C"/>
    <w:rsid w:val="006A6FFF"/>
    <w:rsid w:val="006A7142"/>
    <w:rsid w:val="006A72E3"/>
    <w:rsid w:val="006A74E4"/>
    <w:rsid w:val="006A7500"/>
    <w:rsid w:val="006A754F"/>
    <w:rsid w:val="006A755A"/>
    <w:rsid w:val="006A766F"/>
    <w:rsid w:val="006A7965"/>
    <w:rsid w:val="006A79A4"/>
    <w:rsid w:val="006A7B4F"/>
    <w:rsid w:val="006A7B7F"/>
    <w:rsid w:val="006A7F24"/>
    <w:rsid w:val="006B0732"/>
    <w:rsid w:val="006B08DE"/>
    <w:rsid w:val="006B0C5E"/>
    <w:rsid w:val="006B0E7F"/>
    <w:rsid w:val="006B0F9E"/>
    <w:rsid w:val="006B1197"/>
    <w:rsid w:val="006B1AE0"/>
    <w:rsid w:val="006B1B0C"/>
    <w:rsid w:val="006B1E23"/>
    <w:rsid w:val="006B1E2E"/>
    <w:rsid w:val="006B1FE6"/>
    <w:rsid w:val="006B2090"/>
    <w:rsid w:val="006B20F7"/>
    <w:rsid w:val="006B213F"/>
    <w:rsid w:val="006B2A76"/>
    <w:rsid w:val="006B2EF2"/>
    <w:rsid w:val="006B3056"/>
    <w:rsid w:val="006B3234"/>
    <w:rsid w:val="006B32A2"/>
    <w:rsid w:val="006B3736"/>
    <w:rsid w:val="006B3BA8"/>
    <w:rsid w:val="006B3C27"/>
    <w:rsid w:val="006B41D8"/>
    <w:rsid w:val="006B441C"/>
    <w:rsid w:val="006B4439"/>
    <w:rsid w:val="006B465E"/>
    <w:rsid w:val="006B4896"/>
    <w:rsid w:val="006B4B49"/>
    <w:rsid w:val="006B4D1D"/>
    <w:rsid w:val="006B4ECD"/>
    <w:rsid w:val="006B5160"/>
    <w:rsid w:val="006B5225"/>
    <w:rsid w:val="006B5635"/>
    <w:rsid w:val="006B57CA"/>
    <w:rsid w:val="006B58A2"/>
    <w:rsid w:val="006B5CD5"/>
    <w:rsid w:val="006B5D4D"/>
    <w:rsid w:val="006B5DCC"/>
    <w:rsid w:val="006B658E"/>
    <w:rsid w:val="006B6700"/>
    <w:rsid w:val="006B670E"/>
    <w:rsid w:val="006B6AC7"/>
    <w:rsid w:val="006B6CEE"/>
    <w:rsid w:val="006B6F38"/>
    <w:rsid w:val="006B7704"/>
    <w:rsid w:val="006B7904"/>
    <w:rsid w:val="006B7B67"/>
    <w:rsid w:val="006B7BB5"/>
    <w:rsid w:val="006C01D9"/>
    <w:rsid w:val="006C01E2"/>
    <w:rsid w:val="006C0BC8"/>
    <w:rsid w:val="006C0C53"/>
    <w:rsid w:val="006C1152"/>
    <w:rsid w:val="006C1396"/>
    <w:rsid w:val="006C1457"/>
    <w:rsid w:val="006C14B6"/>
    <w:rsid w:val="006C1944"/>
    <w:rsid w:val="006C19FE"/>
    <w:rsid w:val="006C2175"/>
    <w:rsid w:val="006C21E3"/>
    <w:rsid w:val="006C28DD"/>
    <w:rsid w:val="006C2B09"/>
    <w:rsid w:val="006C2EAE"/>
    <w:rsid w:val="006C30FA"/>
    <w:rsid w:val="006C312B"/>
    <w:rsid w:val="006C3299"/>
    <w:rsid w:val="006C3566"/>
    <w:rsid w:val="006C392B"/>
    <w:rsid w:val="006C3A83"/>
    <w:rsid w:val="006C3CD1"/>
    <w:rsid w:val="006C3F20"/>
    <w:rsid w:val="006C4655"/>
    <w:rsid w:val="006C4956"/>
    <w:rsid w:val="006C4A1E"/>
    <w:rsid w:val="006C4B48"/>
    <w:rsid w:val="006C520D"/>
    <w:rsid w:val="006C5DBE"/>
    <w:rsid w:val="006C6061"/>
    <w:rsid w:val="006C618C"/>
    <w:rsid w:val="006C6802"/>
    <w:rsid w:val="006C693B"/>
    <w:rsid w:val="006C70CD"/>
    <w:rsid w:val="006C7AA1"/>
    <w:rsid w:val="006C7CFA"/>
    <w:rsid w:val="006D001A"/>
    <w:rsid w:val="006D089D"/>
    <w:rsid w:val="006D0900"/>
    <w:rsid w:val="006D0DF1"/>
    <w:rsid w:val="006D0F1B"/>
    <w:rsid w:val="006D10F6"/>
    <w:rsid w:val="006D1229"/>
    <w:rsid w:val="006D130C"/>
    <w:rsid w:val="006D137C"/>
    <w:rsid w:val="006D14F5"/>
    <w:rsid w:val="006D168F"/>
    <w:rsid w:val="006D16A7"/>
    <w:rsid w:val="006D17B5"/>
    <w:rsid w:val="006D206E"/>
    <w:rsid w:val="006D2159"/>
    <w:rsid w:val="006D2449"/>
    <w:rsid w:val="006D24F5"/>
    <w:rsid w:val="006D28DB"/>
    <w:rsid w:val="006D2F34"/>
    <w:rsid w:val="006D3329"/>
    <w:rsid w:val="006D3B48"/>
    <w:rsid w:val="006D3C2D"/>
    <w:rsid w:val="006D44BA"/>
    <w:rsid w:val="006D4587"/>
    <w:rsid w:val="006D47C8"/>
    <w:rsid w:val="006D4CE3"/>
    <w:rsid w:val="006D4F14"/>
    <w:rsid w:val="006D5630"/>
    <w:rsid w:val="006D5A33"/>
    <w:rsid w:val="006D5B98"/>
    <w:rsid w:val="006D6871"/>
    <w:rsid w:val="006D6952"/>
    <w:rsid w:val="006D6A24"/>
    <w:rsid w:val="006D6AA1"/>
    <w:rsid w:val="006D6E47"/>
    <w:rsid w:val="006D71BC"/>
    <w:rsid w:val="006D7449"/>
    <w:rsid w:val="006D7600"/>
    <w:rsid w:val="006D76B0"/>
    <w:rsid w:val="006D76BC"/>
    <w:rsid w:val="006D7718"/>
    <w:rsid w:val="006D7914"/>
    <w:rsid w:val="006D7F2F"/>
    <w:rsid w:val="006E0338"/>
    <w:rsid w:val="006E076A"/>
    <w:rsid w:val="006E0992"/>
    <w:rsid w:val="006E0C23"/>
    <w:rsid w:val="006E0D0E"/>
    <w:rsid w:val="006E0E30"/>
    <w:rsid w:val="006E1150"/>
    <w:rsid w:val="006E1381"/>
    <w:rsid w:val="006E1A7C"/>
    <w:rsid w:val="006E2146"/>
    <w:rsid w:val="006E21B4"/>
    <w:rsid w:val="006E290C"/>
    <w:rsid w:val="006E29FE"/>
    <w:rsid w:val="006E2B73"/>
    <w:rsid w:val="006E2CBA"/>
    <w:rsid w:val="006E3111"/>
    <w:rsid w:val="006E33B2"/>
    <w:rsid w:val="006E34A9"/>
    <w:rsid w:val="006E35BD"/>
    <w:rsid w:val="006E35E3"/>
    <w:rsid w:val="006E3713"/>
    <w:rsid w:val="006E392D"/>
    <w:rsid w:val="006E4100"/>
    <w:rsid w:val="006E4135"/>
    <w:rsid w:val="006E458C"/>
    <w:rsid w:val="006E4899"/>
    <w:rsid w:val="006E4A5E"/>
    <w:rsid w:val="006E50D4"/>
    <w:rsid w:val="006E52D3"/>
    <w:rsid w:val="006E53C5"/>
    <w:rsid w:val="006E55CD"/>
    <w:rsid w:val="006E5765"/>
    <w:rsid w:val="006E5826"/>
    <w:rsid w:val="006E5B71"/>
    <w:rsid w:val="006E60BF"/>
    <w:rsid w:val="006E6920"/>
    <w:rsid w:val="006E6BD6"/>
    <w:rsid w:val="006E6BDB"/>
    <w:rsid w:val="006E6E7C"/>
    <w:rsid w:val="006E6E82"/>
    <w:rsid w:val="006E7663"/>
    <w:rsid w:val="006E76BE"/>
    <w:rsid w:val="006E76EE"/>
    <w:rsid w:val="006E77D3"/>
    <w:rsid w:val="006E7ECB"/>
    <w:rsid w:val="006E7F9B"/>
    <w:rsid w:val="006F023A"/>
    <w:rsid w:val="006F06AC"/>
    <w:rsid w:val="006F08AE"/>
    <w:rsid w:val="006F0A78"/>
    <w:rsid w:val="006F0A7B"/>
    <w:rsid w:val="006F130E"/>
    <w:rsid w:val="006F17E9"/>
    <w:rsid w:val="006F1826"/>
    <w:rsid w:val="006F1D2E"/>
    <w:rsid w:val="006F1D78"/>
    <w:rsid w:val="006F21B9"/>
    <w:rsid w:val="006F2A6B"/>
    <w:rsid w:val="006F2B89"/>
    <w:rsid w:val="006F3007"/>
    <w:rsid w:val="006F31B4"/>
    <w:rsid w:val="006F386A"/>
    <w:rsid w:val="006F3994"/>
    <w:rsid w:val="006F3FAC"/>
    <w:rsid w:val="006F4950"/>
    <w:rsid w:val="006F4978"/>
    <w:rsid w:val="006F4CFD"/>
    <w:rsid w:val="006F4E08"/>
    <w:rsid w:val="006F5017"/>
    <w:rsid w:val="006F512B"/>
    <w:rsid w:val="006F5473"/>
    <w:rsid w:val="006F550A"/>
    <w:rsid w:val="006F5786"/>
    <w:rsid w:val="006F58A6"/>
    <w:rsid w:val="006F5E9E"/>
    <w:rsid w:val="006F617A"/>
    <w:rsid w:val="006F63D8"/>
    <w:rsid w:val="006F68C0"/>
    <w:rsid w:val="006F6C3E"/>
    <w:rsid w:val="006F6C6C"/>
    <w:rsid w:val="006F6C7B"/>
    <w:rsid w:val="006F6EFB"/>
    <w:rsid w:val="006F6F81"/>
    <w:rsid w:val="006F709F"/>
    <w:rsid w:val="006F72CC"/>
    <w:rsid w:val="006F7599"/>
    <w:rsid w:val="006F7698"/>
    <w:rsid w:val="006F7EA2"/>
    <w:rsid w:val="006F7F48"/>
    <w:rsid w:val="00700175"/>
    <w:rsid w:val="0070052B"/>
    <w:rsid w:val="00700592"/>
    <w:rsid w:val="00700A21"/>
    <w:rsid w:val="00700B66"/>
    <w:rsid w:val="00700FF1"/>
    <w:rsid w:val="007014D1"/>
    <w:rsid w:val="007016D8"/>
    <w:rsid w:val="007017B8"/>
    <w:rsid w:val="00702125"/>
    <w:rsid w:val="0070274C"/>
    <w:rsid w:val="00702998"/>
    <w:rsid w:val="00702B05"/>
    <w:rsid w:val="00702E71"/>
    <w:rsid w:val="00702F79"/>
    <w:rsid w:val="00703346"/>
    <w:rsid w:val="007033FB"/>
    <w:rsid w:val="007037C4"/>
    <w:rsid w:val="0070380B"/>
    <w:rsid w:val="0070386F"/>
    <w:rsid w:val="00703922"/>
    <w:rsid w:val="0070392F"/>
    <w:rsid w:val="00703DDA"/>
    <w:rsid w:val="007044F1"/>
    <w:rsid w:val="00704729"/>
    <w:rsid w:val="00704C35"/>
    <w:rsid w:val="00704D55"/>
    <w:rsid w:val="007052F4"/>
    <w:rsid w:val="0070534F"/>
    <w:rsid w:val="00705461"/>
    <w:rsid w:val="007054D5"/>
    <w:rsid w:val="0070554B"/>
    <w:rsid w:val="00705A9D"/>
    <w:rsid w:val="00705B44"/>
    <w:rsid w:val="00705B4D"/>
    <w:rsid w:val="00705B56"/>
    <w:rsid w:val="007065FE"/>
    <w:rsid w:val="0070673D"/>
    <w:rsid w:val="00706A89"/>
    <w:rsid w:val="00707086"/>
    <w:rsid w:val="00707237"/>
    <w:rsid w:val="007075A4"/>
    <w:rsid w:val="0070764A"/>
    <w:rsid w:val="00707D89"/>
    <w:rsid w:val="00707E51"/>
    <w:rsid w:val="0071011B"/>
    <w:rsid w:val="0071023E"/>
    <w:rsid w:val="0071034B"/>
    <w:rsid w:val="007103EA"/>
    <w:rsid w:val="007104A9"/>
    <w:rsid w:val="00710E36"/>
    <w:rsid w:val="00711400"/>
    <w:rsid w:val="007118C6"/>
    <w:rsid w:val="0071195E"/>
    <w:rsid w:val="007119C6"/>
    <w:rsid w:val="00711D77"/>
    <w:rsid w:val="00711E72"/>
    <w:rsid w:val="007127D0"/>
    <w:rsid w:val="00712ACD"/>
    <w:rsid w:val="00712C1D"/>
    <w:rsid w:val="00712D31"/>
    <w:rsid w:val="00712D80"/>
    <w:rsid w:val="00712F74"/>
    <w:rsid w:val="00713072"/>
    <w:rsid w:val="00713223"/>
    <w:rsid w:val="00713684"/>
    <w:rsid w:val="007138CD"/>
    <w:rsid w:val="007143CB"/>
    <w:rsid w:val="007145F9"/>
    <w:rsid w:val="00714BBA"/>
    <w:rsid w:val="00714CD8"/>
    <w:rsid w:val="00714E4D"/>
    <w:rsid w:val="00715161"/>
    <w:rsid w:val="0071523C"/>
    <w:rsid w:val="007153A6"/>
    <w:rsid w:val="007153B6"/>
    <w:rsid w:val="007154F4"/>
    <w:rsid w:val="007156F8"/>
    <w:rsid w:val="00715C80"/>
    <w:rsid w:val="00715EBD"/>
    <w:rsid w:val="00716424"/>
    <w:rsid w:val="0071647B"/>
    <w:rsid w:val="00716510"/>
    <w:rsid w:val="0071670E"/>
    <w:rsid w:val="0071690F"/>
    <w:rsid w:val="00716C7E"/>
    <w:rsid w:val="00716D47"/>
    <w:rsid w:val="00716E75"/>
    <w:rsid w:val="0071708E"/>
    <w:rsid w:val="0071715B"/>
    <w:rsid w:val="007178A8"/>
    <w:rsid w:val="00717E68"/>
    <w:rsid w:val="00717F37"/>
    <w:rsid w:val="00720EBB"/>
    <w:rsid w:val="00720F44"/>
    <w:rsid w:val="00721250"/>
    <w:rsid w:val="00721500"/>
    <w:rsid w:val="00721929"/>
    <w:rsid w:val="007219B9"/>
    <w:rsid w:val="00721D3C"/>
    <w:rsid w:val="0072205E"/>
    <w:rsid w:val="007221AD"/>
    <w:rsid w:val="007221D3"/>
    <w:rsid w:val="007221F2"/>
    <w:rsid w:val="00722273"/>
    <w:rsid w:val="00722D3B"/>
    <w:rsid w:val="00722F28"/>
    <w:rsid w:val="0072312B"/>
    <w:rsid w:val="007231BF"/>
    <w:rsid w:val="00723617"/>
    <w:rsid w:val="00723C3B"/>
    <w:rsid w:val="00723CA6"/>
    <w:rsid w:val="00723E4E"/>
    <w:rsid w:val="00723E9C"/>
    <w:rsid w:val="00724248"/>
    <w:rsid w:val="0072448D"/>
    <w:rsid w:val="00724A82"/>
    <w:rsid w:val="00724ABD"/>
    <w:rsid w:val="00724BB4"/>
    <w:rsid w:val="0072502A"/>
    <w:rsid w:val="00725055"/>
    <w:rsid w:val="007258CD"/>
    <w:rsid w:val="0072623E"/>
    <w:rsid w:val="00726253"/>
    <w:rsid w:val="00726289"/>
    <w:rsid w:val="00726471"/>
    <w:rsid w:val="00726709"/>
    <w:rsid w:val="00726850"/>
    <w:rsid w:val="00726B46"/>
    <w:rsid w:val="00726FD3"/>
    <w:rsid w:val="0072711C"/>
    <w:rsid w:val="007275AE"/>
    <w:rsid w:val="007275B3"/>
    <w:rsid w:val="00727E63"/>
    <w:rsid w:val="0073005F"/>
    <w:rsid w:val="00730E04"/>
    <w:rsid w:val="007317ED"/>
    <w:rsid w:val="00731E3F"/>
    <w:rsid w:val="00732310"/>
    <w:rsid w:val="0073288D"/>
    <w:rsid w:val="007328D4"/>
    <w:rsid w:val="00732D6C"/>
    <w:rsid w:val="007330DE"/>
    <w:rsid w:val="007332D5"/>
    <w:rsid w:val="007333AB"/>
    <w:rsid w:val="0073352B"/>
    <w:rsid w:val="00733861"/>
    <w:rsid w:val="007339D3"/>
    <w:rsid w:val="00733B49"/>
    <w:rsid w:val="00733CFD"/>
    <w:rsid w:val="007346EE"/>
    <w:rsid w:val="00734707"/>
    <w:rsid w:val="007347EA"/>
    <w:rsid w:val="007348BD"/>
    <w:rsid w:val="00734A33"/>
    <w:rsid w:val="00734C99"/>
    <w:rsid w:val="00734FD4"/>
    <w:rsid w:val="00735484"/>
    <w:rsid w:val="00735533"/>
    <w:rsid w:val="007356E9"/>
    <w:rsid w:val="00735815"/>
    <w:rsid w:val="007358B7"/>
    <w:rsid w:val="00735F22"/>
    <w:rsid w:val="00736065"/>
    <w:rsid w:val="007363F3"/>
    <w:rsid w:val="007369F3"/>
    <w:rsid w:val="00736EB6"/>
    <w:rsid w:val="00737268"/>
    <w:rsid w:val="00737885"/>
    <w:rsid w:val="007379FE"/>
    <w:rsid w:val="00737AA4"/>
    <w:rsid w:val="00737B05"/>
    <w:rsid w:val="00737C3C"/>
    <w:rsid w:val="00737CDD"/>
    <w:rsid w:val="00740565"/>
    <w:rsid w:val="00740632"/>
    <w:rsid w:val="00740D93"/>
    <w:rsid w:val="00740DE1"/>
    <w:rsid w:val="00740FAC"/>
    <w:rsid w:val="0074111E"/>
    <w:rsid w:val="00741190"/>
    <w:rsid w:val="00741233"/>
    <w:rsid w:val="00741CB3"/>
    <w:rsid w:val="007421BE"/>
    <w:rsid w:val="007425BA"/>
    <w:rsid w:val="00742912"/>
    <w:rsid w:val="00742B28"/>
    <w:rsid w:val="007432C5"/>
    <w:rsid w:val="00743B87"/>
    <w:rsid w:val="00743C00"/>
    <w:rsid w:val="00744466"/>
    <w:rsid w:val="007445A6"/>
    <w:rsid w:val="007446D2"/>
    <w:rsid w:val="00744845"/>
    <w:rsid w:val="007448DC"/>
    <w:rsid w:val="00744B0C"/>
    <w:rsid w:val="00744B73"/>
    <w:rsid w:val="00744E6B"/>
    <w:rsid w:val="00745207"/>
    <w:rsid w:val="00745377"/>
    <w:rsid w:val="007453C3"/>
    <w:rsid w:val="00745C49"/>
    <w:rsid w:val="00745CA1"/>
    <w:rsid w:val="00745DBE"/>
    <w:rsid w:val="00745EDD"/>
    <w:rsid w:val="00746095"/>
    <w:rsid w:val="00746578"/>
    <w:rsid w:val="007466DA"/>
    <w:rsid w:val="00746A03"/>
    <w:rsid w:val="00746A55"/>
    <w:rsid w:val="00746C62"/>
    <w:rsid w:val="007471C9"/>
    <w:rsid w:val="00747A2C"/>
    <w:rsid w:val="00747DFF"/>
    <w:rsid w:val="00747E73"/>
    <w:rsid w:val="0075011E"/>
    <w:rsid w:val="00750242"/>
    <w:rsid w:val="0075047C"/>
    <w:rsid w:val="00750BF7"/>
    <w:rsid w:val="00750DAC"/>
    <w:rsid w:val="00750DB9"/>
    <w:rsid w:val="00750EB5"/>
    <w:rsid w:val="00750EE3"/>
    <w:rsid w:val="0075137A"/>
    <w:rsid w:val="00751395"/>
    <w:rsid w:val="00751776"/>
    <w:rsid w:val="00751AA0"/>
    <w:rsid w:val="00751B12"/>
    <w:rsid w:val="00752102"/>
    <w:rsid w:val="007523A3"/>
    <w:rsid w:val="007524D2"/>
    <w:rsid w:val="007525DD"/>
    <w:rsid w:val="00752CB1"/>
    <w:rsid w:val="00752D14"/>
    <w:rsid w:val="00752D6D"/>
    <w:rsid w:val="00752F52"/>
    <w:rsid w:val="007532EA"/>
    <w:rsid w:val="007534EB"/>
    <w:rsid w:val="00754315"/>
    <w:rsid w:val="00754384"/>
    <w:rsid w:val="0075454D"/>
    <w:rsid w:val="00754D7A"/>
    <w:rsid w:val="00754DCD"/>
    <w:rsid w:val="00754F44"/>
    <w:rsid w:val="007558DF"/>
    <w:rsid w:val="00755D9C"/>
    <w:rsid w:val="00756067"/>
    <w:rsid w:val="00756497"/>
    <w:rsid w:val="00757523"/>
    <w:rsid w:val="007602A9"/>
    <w:rsid w:val="007602B8"/>
    <w:rsid w:val="0076071F"/>
    <w:rsid w:val="00760907"/>
    <w:rsid w:val="007609FE"/>
    <w:rsid w:val="00760D85"/>
    <w:rsid w:val="00761100"/>
    <w:rsid w:val="00761303"/>
    <w:rsid w:val="00761548"/>
    <w:rsid w:val="00761940"/>
    <w:rsid w:val="00761D17"/>
    <w:rsid w:val="0076287D"/>
    <w:rsid w:val="007628CB"/>
    <w:rsid w:val="0076304E"/>
    <w:rsid w:val="00763281"/>
    <w:rsid w:val="007632FE"/>
    <w:rsid w:val="0076347B"/>
    <w:rsid w:val="00763535"/>
    <w:rsid w:val="0076359A"/>
    <w:rsid w:val="007639EE"/>
    <w:rsid w:val="00763B68"/>
    <w:rsid w:val="00763C81"/>
    <w:rsid w:val="00763E38"/>
    <w:rsid w:val="00764618"/>
    <w:rsid w:val="00764755"/>
    <w:rsid w:val="007649F0"/>
    <w:rsid w:val="00764ED7"/>
    <w:rsid w:val="0076502E"/>
    <w:rsid w:val="00765083"/>
    <w:rsid w:val="00765948"/>
    <w:rsid w:val="00765B7B"/>
    <w:rsid w:val="00765C97"/>
    <w:rsid w:val="00765D93"/>
    <w:rsid w:val="00766A28"/>
    <w:rsid w:val="00766BD3"/>
    <w:rsid w:val="007672CA"/>
    <w:rsid w:val="0076772A"/>
    <w:rsid w:val="007677E5"/>
    <w:rsid w:val="007678CA"/>
    <w:rsid w:val="00767B22"/>
    <w:rsid w:val="00767CB8"/>
    <w:rsid w:val="00767F0E"/>
    <w:rsid w:val="00767FC2"/>
    <w:rsid w:val="007700B2"/>
    <w:rsid w:val="00770734"/>
    <w:rsid w:val="007708F7"/>
    <w:rsid w:val="00770D31"/>
    <w:rsid w:val="0077116C"/>
    <w:rsid w:val="007714AD"/>
    <w:rsid w:val="007714C0"/>
    <w:rsid w:val="00771622"/>
    <w:rsid w:val="0077181E"/>
    <w:rsid w:val="00771A6C"/>
    <w:rsid w:val="00771E8E"/>
    <w:rsid w:val="00772466"/>
    <w:rsid w:val="00772C87"/>
    <w:rsid w:val="00773B8A"/>
    <w:rsid w:val="00774353"/>
    <w:rsid w:val="007747C8"/>
    <w:rsid w:val="00774FA3"/>
    <w:rsid w:val="007751C5"/>
    <w:rsid w:val="00775311"/>
    <w:rsid w:val="00775458"/>
    <w:rsid w:val="00775739"/>
    <w:rsid w:val="00775844"/>
    <w:rsid w:val="00775A93"/>
    <w:rsid w:val="00775F3F"/>
    <w:rsid w:val="0077610F"/>
    <w:rsid w:val="0077665E"/>
    <w:rsid w:val="007769FB"/>
    <w:rsid w:val="00776C38"/>
    <w:rsid w:val="00776D08"/>
    <w:rsid w:val="00776D5E"/>
    <w:rsid w:val="00776D8E"/>
    <w:rsid w:val="00776E61"/>
    <w:rsid w:val="00777290"/>
    <w:rsid w:val="007776EC"/>
    <w:rsid w:val="007778FE"/>
    <w:rsid w:val="00777A8B"/>
    <w:rsid w:val="00777FAE"/>
    <w:rsid w:val="007804EB"/>
    <w:rsid w:val="00780556"/>
    <w:rsid w:val="00780871"/>
    <w:rsid w:val="007808AC"/>
    <w:rsid w:val="00780ADE"/>
    <w:rsid w:val="00780C6E"/>
    <w:rsid w:val="00780CE1"/>
    <w:rsid w:val="00781112"/>
    <w:rsid w:val="00781184"/>
    <w:rsid w:val="007812AC"/>
    <w:rsid w:val="007813EC"/>
    <w:rsid w:val="00781C38"/>
    <w:rsid w:val="00782383"/>
    <w:rsid w:val="007826F8"/>
    <w:rsid w:val="00782A5D"/>
    <w:rsid w:val="00782C8F"/>
    <w:rsid w:val="00782CD0"/>
    <w:rsid w:val="00783242"/>
    <w:rsid w:val="0078325C"/>
    <w:rsid w:val="007835C7"/>
    <w:rsid w:val="0078360C"/>
    <w:rsid w:val="0078427A"/>
    <w:rsid w:val="0078451F"/>
    <w:rsid w:val="007848B4"/>
    <w:rsid w:val="00784DFC"/>
    <w:rsid w:val="00784E40"/>
    <w:rsid w:val="00786127"/>
    <w:rsid w:val="00786385"/>
    <w:rsid w:val="00786639"/>
    <w:rsid w:val="00786B7D"/>
    <w:rsid w:val="00786BB4"/>
    <w:rsid w:val="00786EB4"/>
    <w:rsid w:val="007871C3"/>
    <w:rsid w:val="007873BC"/>
    <w:rsid w:val="007873F1"/>
    <w:rsid w:val="0078779D"/>
    <w:rsid w:val="00787AA3"/>
    <w:rsid w:val="00787F63"/>
    <w:rsid w:val="00790065"/>
    <w:rsid w:val="007901C2"/>
    <w:rsid w:val="00791122"/>
    <w:rsid w:val="00791251"/>
    <w:rsid w:val="007912E2"/>
    <w:rsid w:val="007917DF"/>
    <w:rsid w:val="007919E6"/>
    <w:rsid w:val="00791B4C"/>
    <w:rsid w:val="00791D41"/>
    <w:rsid w:val="007921D5"/>
    <w:rsid w:val="007924E7"/>
    <w:rsid w:val="007925F6"/>
    <w:rsid w:val="007928C4"/>
    <w:rsid w:val="00792AF2"/>
    <w:rsid w:val="00792E83"/>
    <w:rsid w:val="0079356B"/>
    <w:rsid w:val="00793590"/>
    <w:rsid w:val="007935DD"/>
    <w:rsid w:val="0079362C"/>
    <w:rsid w:val="0079381F"/>
    <w:rsid w:val="00793A68"/>
    <w:rsid w:val="00793E44"/>
    <w:rsid w:val="0079453E"/>
    <w:rsid w:val="007951C1"/>
    <w:rsid w:val="00795283"/>
    <w:rsid w:val="00795975"/>
    <w:rsid w:val="00795A3C"/>
    <w:rsid w:val="00795A82"/>
    <w:rsid w:val="00795C19"/>
    <w:rsid w:val="00796383"/>
    <w:rsid w:val="00796501"/>
    <w:rsid w:val="00796A63"/>
    <w:rsid w:val="00796C1D"/>
    <w:rsid w:val="00796D2F"/>
    <w:rsid w:val="00796D52"/>
    <w:rsid w:val="00796FCD"/>
    <w:rsid w:val="0079767F"/>
    <w:rsid w:val="00797707"/>
    <w:rsid w:val="00797800"/>
    <w:rsid w:val="00797C63"/>
    <w:rsid w:val="00797D26"/>
    <w:rsid w:val="007A0729"/>
    <w:rsid w:val="007A072A"/>
    <w:rsid w:val="007A0C6A"/>
    <w:rsid w:val="007A0E9C"/>
    <w:rsid w:val="007A1A82"/>
    <w:rsid w:val="007A1BE4"/>
    <w:rsid w:val="007A1C55"/>
    <w:rsid w:val="007A1D09"/>
    <w:rsid w:val="007A2155"/>
    <w:rsid w:val="007A2225"/>
    <w:rsid w:val="007A229F"/>
    <w:rsid w:val="007A2726"/>
    <w:rsid w:val="007A2BA8"/>
    <w:rsid w:val="007A2F0A"/>
    <w:rsid w:val="007A349B"/>
    <w:rsid w:val="007A3C74"/>
    <w:rsid w:val="007A3D03"/>
    <w:rsid w:val="007A4090"/>
    <w:rsid w:val="007A47B9"/>
    <w:rsid w:val="007A4AD1"/>
    <w:rsid w:val="007A4AD6"/>
    <w:rsid w:val="007A527D"/>
    <w:rsid w:val="007A5364"/>
    <w:rsid w:val="007A5387"/>
    <w:rsid w:val="007A63D2"/>
    <w:rsid w:val="007A6854"/>
    <w:rsid w:val="007A6963"/>
    <w:rsid w:val="007A6BEF"/>
    <w:rsid w:val="007A6C22"/>
    <w:rsid w:val="007A6E4F"/>
    <w:rsid w:val="007A73C1"/>
    <w:rsid w:val="007A7459"/>
    <w:rsid w:val="007A77E2"/>
    <w:rsid w:val="007A7C7E"/>
    <w:rsid w:val="007A7D97"/>
    <w:rsid w:val="007B00C1"/>
    <w:rsid w:val="007B0510"/>
    <w:rsid w:val="007B059D"/>
    <w:rsid w:val="007B090F"/>
    <w:rsid w:val="007B0A07"/>
    <w:rsid w:val="007B0A92"/>
    <w:rsid w:val="007B0C30"/>
    <w:rsid w:val="007B0DA8"/>
    <w:rsid w:val="007B100B"/>
    <w:rsid w:val="007B12E8"/>
    <w:rsid w:val="007B1331"/>
    <w:rsid w:val="007B1A39"/>
    <w:rsid w:val="007B2507"/>
    <w:rsid w:val="007B2AE1"/>
    <w:rsid w:val="007B2AEE"/>
    <w:rsid w:val="007B2D83"/>
    <w:rsid w:val="007B2FD5"/>
    <w:rsid w:val="007B3163"/>
    <w:rsid w:val="007B34C0"/>
    <w:rsid w:val="007B354C"/>
    <w:rsid w:val="007B36D9"/>
    <w:rsid w:val="007B3C89"/>
    <w:rsid w:val="007B3EC5"/>
    <w:rsid w:val="007B42DB"/>
    <w:rsid w:val="007B48F8"/>
    <w:rsid w:val="007B4CD3"/>
    <w:rsid w:val="007B5021"/>
    <w:rsid w:val="007B52C0"/>
    <w:rsid w:val="007B5512"/>
    <w:rsid w:val="007B568A"/>
    <w:rsid w:val="007B5882"/>
    <w:rsid w:val="007B60CB"/>
    <w:rsid w:val="007B6510"/>
    <w:rsid w:val="007B6833"/>
    <w:rsid w:val="007B6B60"/>
    <w:rsid w:val="007B6C58"/>
    <w:rsid w:val="007B71E1"/>
    <w:rsid w:val="007B76F6"/>
    <w:rsid w:val="007C0754"/>
    <w:rsid w:val="007C078C"/>
    <w:rsid w:val="007C09E5"/>
    <w:rsid w:val="007C1023"/>
    <w:rsid w:val="007C163B"/>
    <w:rsid w:val="007C2017"/>
    <w:rsid w:val="007C248B"/>
    <w:rsid w:val="007C2AC5"/>
    <w:rsid w:val="007C2AE6"/>
    <w:rsid w:val="007C2BB0"/>
    <w:rsid w:val="007C322E"/>
    <w:rsid w:val="007C378D"/>
    <w:rsid w:val="007C3F88"/>
    <w:rsid w:val="007C40CE"/>
    <w:rsid w:val="007C42A0"/>
    <w:rsid w:val="007C438B"/>
    <w:rsid w:val="007C4417"/>
    <w:rsid w:val="007C4A99"/>
    <w:rsid w:val="007C5006"/>
    <w:rsid w:val="007C5204"/>
    <w:rsid w:val="007C53AA"/>
    <w:rsid w:val="007C5673"/>
    <w:rsid w:val="007C593F"/>
    <w:rsid w:val="007C628E"/>
    <w:rsid w:val="007C62E3"/>
    <w:rsid w:val="007C66EE"/>
    <w:rsid w:val="007C66F6"/>
    <w:rsid w:val="007C6743"/>
    <w:rsid w:val="007C6BD6"/>
    <w:rsid w:val="007C6D72"/>
    <w:rsid w:val="007C7376"/>
    <w:rsid w:val="007C7691"/>
    <w:rsid w:val="007C7B7C"/>
    <w:rsid w:val="007D003D"/>
    <w:rsid w:val="007D0B4B"/>
    <w:rsid w:val="007D11AC"/>
    <w:rsid w:val="007D11EA"/>
    <w:rsid w:val="007D189F"/>
    <w:rsid w:val="007D1A5D"/>
    <w:rsid w:val="007D1A78"/>
    <w:rsid w:val="007D1F86"/>
    <w:rsid w:val="007D20E8"/>
    <w:rsid w:val="007D2371"/>
    <w:rsid w:val="007D24A5"/>
    <w:rsid w:val="007D28FE"/>
    <w:rsid w:val="007D2A91"/>
    <w:rsid w:val="007D2D4A"/>
    <w:rsid w:val="007D3109"/>
    <w:rsid w:val="007D377F"/>
    <w:rsid w:val="007D3801"/>
    <w:rsid w:val="007D4077"/>
    <w:rsid w:val="007D45CB"/>
    <w:rsid w:val="007D4718"/>
    <w:rsid w:val="007D48E5"/>
    <w:rsid w:val="007D4B95"/>
    <w:rsid w:val="007D4F8D"/>
    <w:rsid w:val="007D4FDF"/>
    <w:rsid w:val="007D5137"/>
    <w:rsid w:val="007D5428"/>
    <w:rsid w:val="007D54D9"/>
    <w:rsid w:val="007D587E"/>
    <w:rsid w:val="007D5A3E"/>
    <w:rsid w:val="007D5B48"/>
    <w:rsid w:val="007D5E1E"/>
    <w:rsid w:val="007D611F"/>
    <w:rsid w:val="007D63B4"/>
    <w:rsid w:val="007D6784"/>
    <w:rsid w:val="007D68ED"/>
    <w:rsid w:val="007D6A15"/>
    <w:rsid w:val="007D72DA"/>
    <w:rsid w:val="007D75AC"/>
    <w:rsid w:val="007D75DE"/>
    <w:rsid w:val="007D79F8"/>
    <w:rsid w:val="007D7B5E"/>
    <w:rsid w:val="007E024E"/>
    <w:rsid w:val="007E04FA"/>
    <w:rsid w:val="007E09CA"/>
    <w:rsid w:val="007E10EF"/>
    <w:rsid w:val="007E1622"/>
    <w:rsid w:val="007E178E"/>
    <w:rsid w:val="007E1BD0"/>
    <w:rsid w:val="007E239D"/>
    <w:rsid w:val="007E2744"/>
    <w:rsid w:val="007E28E2"/>
    <w:rsid w:val="007E28F0"/>
    <w:rsid w:val="007E2A50"/>
    <w:rsid w:val="007E2C2A"/>
    <w:rsid w:val="007E2EC7"/>
    <w:rsid w:val="007E313C"/>
    <w:rsid w:val="007E322E"/>
    <w:rsid w:val="007E351B"/>
    <w:rsid w:val="007E375A"/>
    <w:rsid w:val="007E3766"/>
    <w:rsid w:val="007E3884"/>
    <w:rsid w:val="007E3D01"/>
    <w:rsid w:val="007E43C3"/>
    <w:rsid w:val="007E44D1"/>
    <w:rsid w:val="007E486C"/>
    <w:rsid w:val="007E4AB9"/>
    <w:rsid w:val="007E4B79"/>
    <w:rsid w:val="007E5178"/>
    <w:rsid w:val="007E543E"/>
    <w:rsid w:val="007E5597"/>
    <w:rsid w:val="007E5949"/>
    <w:rsid w:val="007E6195"/>
    <w:rsid w:val="007E628E"/>
    <w:rsid w:val="007E640C"/>
    <w:rsid w:val="007E6619"/>
    <w:rsid w:val="007E6685"/>
    <w:rsid w:val="007E7150"/>
    <w:rsid w:val="007E743C"/>
    <w:rsid w:val="007E7670"/>
    <w:rsid w:val="007E7804"/>
    <w:rsid w:val="007F0007"/>
    <w:rsid w:val="007F065E"/>
    <w:rsid w:val="007F09AD"/>
    <w:rsid w:val="007F0B50"/>
    <w:rsid w:val="007F0C1A"/>
    <w:rsid w:val="007F13F9"/>
    <w:rsid w:val="007F18DC"/>
    <w:rsid w:val="007F2347"/>
    <w:rsid w:val="007F2771"/>
    <w:rsid w:val="007F2989"/>
    <w:rsid w:val="007F2AEA"/>
    <w:rsid w:val="007F2F39"/>
    <w:rsid w:val="007F3380"/>
    <w:rsid w:val="007F3625"/>
    <w:rsid w:val="007F39AA"/>
    <w:rsid w:val="007F3DED"/>
    <w:rsid w:val="007F3ED8"/>
    <w:rsid w:val="007F3FD2"/>
    <w:rsid w:val="007F4287"/>
    <w:rsid w:val="007F44AB"/>
    <w:rsid w:val="007F44AC"/>
    <w:rsid w:val="007F47D4"/>
    <w:rsid w:val="007F4A50"/>
    <w:rsid w:val="007F50EA"/>
    <w:rsid w:val="007F54FA"/>
    <w:rsid w:val="007F5506"/>
    <w:rsid w:val="007F5A9F"/>
    <w:rsid w:val="007F626A"/>
    <w:rsid w:val="007F640C"/>
    <w:rsid w:val="007F6440"/>
    <w:rsid w:val="007F65B8"/>
    <w:rsid w:val="007F6615"/>
    <w:rsid w:val="007F672A"/>
    <w:rsid w:val="007F698F"/>
    <w:rsid w:val="007F6ED3"/>
    <w:rsid w:val="007F74EB"/>
    <w:rsid w:val="007F7955"/>
    <w:rsid w:val="00800A11"/>
    <w:rsid w:val="00800F22"/>
    <w:rsid w:val="0080105E"/>
    <w:rsid w:val="0080115C"/>
    <w:rsid w:val="008012B2"/>
    <w:rsid w:val="00801314"/>
    <w:rsid w:val="008013A4"/>
    <w:rsid w:val="008016D1"/>
    <w:rsid w:val="00801805"/>
    <w:rsid w:val="008019B1"/>
    <w:rsid w:val="00801B22"/>
    <w:rsid w:val="00801FD2"/>
    <w:rsid w:val="00802243"/>
    <w:rsid w:val="008024EA"/>
    <w:rsid w:val="00802667"/>
    <w:rsid w:val="008029CB"/>
    <w:rsid w:val="00802B99"/>
    <w:rsid w:val="008032FE"/>
    <w:rsid w:val="00803436"/>
    <w:rsid w:val="0080360E"/>
    <w:rsid w:val="00803777"/>
    <w:rsid w:val="008037E1"/>
    <w:rsid w:val="0080432B"/>
    <w:rsid w:val="008044B5"/>
    <w:rsid w:val="00804D12"/>
    <w:rsid w:val="00804DBA"/>
    <w:rsid w:val="0080590A"/>
    <w:rsid w:val="00805A4A"/>
    <w:rsid w:val="00805B5D"/>
    <w:rsid w:val="008062F3"/>
    <w:rsid w:val="00806427"/>
    <w:rsid w:val="00806670"/>
    <w:rsid w:val="00806818"/>
    <w:rsid w:val="0080692F"/>
    <w:rsid w:val="008072F9"/>
    <w:rsid w:val="0080778D"/>
    <w:rsid w:val="00807A14"/>
    <w:rsid w:val="00807BAF"/>
    <w:rsid w:val="0081045D"/>
    <w:rsid w:val="008104B0"/>
    <w:rsid w:val="00810632"/>
    <w:rsid w:val="008106B5"/>
    <w:rsid w:val="00810A55"/>
    <w:rsid w:val="00810EE0"/>
    <w:rsid w:val="0081127B"/>
    <w:rsid w:val="008115B9"/>
    <w:rsid w:val="008118BC"/>
    <w:rsid w:val="00811A00"/>
    <w:rsid w:val="00811A5C"/>
    <w:rsid w:val="00811B91"/>
    <w:rsid w:val="00811C97"/>
    <w:rsid w:val="00811E46"/>
    <w:rsid w:val="0081261E"/>
    <w:rsid w:val="008126A8"/>
    <w:rsid w:val="008127A4"/>
    <w:rsid w:val="00812D8D"/>
    <w:rsid w:val="00812EA5"/>
    <w:rsid w:val="00813129"/>
    <w:rsid w:val="00813145"/>
    <w:rsid w:val="00813183"/>
    <w:rsid w:val="00813504"/>
    <w:rsid w:val="0081353E"/>
    <w:rsid w:val="008136B8"/>
    <w:rsid w:val="008137FB"/>
    <w:rsid w:val="00813941"/>
    <w:rsid w:val="008139B2"/>
    <w:rsid w:val="008140C8"/>
    <w:rsid w:val="00814442"/>
    <w:rsid w:val="00814C8B"/>
    <w:rsid w:val="0081537D"/>
    <w:rsid w:val="008153D8"/>
    <w:rsid w:val="008154CE"/>
    <w:rsid w:val="00816070"/>
    <w:rsid w:val="008163F9"/>
    <w:rsid w:val="0081644B"/>
    <w:rsid w:val="00816515"/>
    <w:rsid w:val="0081679E"/>
    <w:rsid w:val="008168D2"/>
    <w:rsid w:val="00816918"/>
    <w:rsid w:val="00816DB3"/>
    <w:rsid w:val="008172AA"/>
    <w:rsid w:val="00817653"/>
    <w:rsid w:val="00817941"/>
    <w:rsid w:val="00817A27"/>
    <w:rsid w:val="00817A97"/>
    <w:rsid w:val="00817DD1"/>
    <w:rsid w:val="00820239"/>
    <w:rsid w:val="008204D8"/>
    <w:rsid w:val="008205C2"/>
    <w:rsid w:val="00820660"/>
    <w:rsid w:val="00820D3F"/>
    <w:rsid w:val="0082175A"/>
    <w:rsid w:val="00821865"/>
    <w:rsid w:val="0082187A"/>
    <w:rsid w:val="008219AF"/>
    <w:rsid w:val="00821C5F"/>
    <w:rsid w:val="008221E5"/>
    <w:rsid w:val="008222A5"/>
    <w:rsid w:val="008223B6"/>
    <w:rsid w:val="00822495"/>
    <w:rsid w:val="00822780"/>
    <w:rsid w:val="00822ACF"/>
    <w:rsid w:val="0082342D"/>
    <w:rsid w:val="0082364E"/>
    <w:rsid w:val="00823ADB"/>
    <w:rsid w:val="00823BD8"/>
    <w:rsid w:val="00823BFC"/>
    <w:rsid w:val="00823C32"/>
    <w:rsid w:val="00823E34"/>
    <w:rsid w:val="0082416A"/>
    <w:rsid w:val="0082422C"/>
    <w:rsid w:val="008244FD"/>
    <w:rsid w:val="0082484C"/>
    <w:rsid w:val="00824E2C"/>
    <w:rsid w:val="008251C0"/>
    <w:rsid w:val="008253CD"/>
    <w:rsid w:val="008255DD"/>
    <w:rsid w:val="00825743"/>
    <w:rsid w:val="0082613C"/>
    <w:rsid w:val="008269B8"/>
    <w:rsid w:val="00826C4C"/>
    <w:rsid w:val="00826E52"/>
    <w:rsid w:val="00827299"/>
    <w:rsid w:val="0082777A"/>
    <w:rsid w:val="008279FB"/>
    <w:rsid w:val="00827CA9"/>
    <w:rsid w:val="008300FD"/>
    <w:rsid w:val="008302FC"/>
    <w:rsid w:val="00830A30"/>
    <w:rsid w:val="00830BEB"/>
    <w:rsid w:val="00830E2C"/>
    <w:rsid w:val="00831126"/>
    <w:rsid w:val="00831B57"/>
    <w:rsid w:val="00832133"/>
    <w:rsid w:val="008322CC"/>
    <w:rsid w:val="008328A8"/>
    <w:rsid w:val="00832FD7"/>
    <w:rsid w:val="00833297"/>
    <w:rsid w:val="0083351A"/>
    <w:rsid w:val="0083352E"/>
    <w:rsid w:val="008335AF"/>
    <w:rsid w:val="0083384E"/>
    <w:rsid w:val="00833EC5"/>
    <w:rsid w:val="00833F72"/>
    <w:rsid w:val="0083418B"/>
    <w:rsid w:val="008343E5"/>
    <w:rsid w:val="00834400"/>
    <w:rsid w:val="00834716"/>
    <w:rsid w:val="0083494F"/>
    <w:rsid w:val="008349C1"/>
    <w:rsid w:val="008352C4"/>
    <w:rsid w:val="008353E9"/>
    <w:rsid w:val="00835629"/>
    <w:rsid w:val="008357FC"/>
    <w:rsid w:val="00835D70"/>
    <w:rsid w:val="00836302"/>
    <w:rsid w:val="008363AC"/>
    <w:rsid w:val="0083642D"/>
    <w:rsid w:val="008364AE"/>
    <w:rsid w:val="008365AB"/>
    <w:rsid w:val="00836ADA"/>
    <w:rsid w:val="00836D4B"/>
    <w:rsid w:val="00836F42"/>
    <w:rsid w:val="00837279"/>
    <w:rsid w:val="008372B8"/>
    <w:rsid w:val="00837783"/>
    <w:rsid w:val="00837828"/>
    <w:rsid w:val="00837881"/>
    <w:rsid w:val="0084005D"/>
    <w:rsid w:val="00840546"/>
    <w:rsid w:val="00840834"/>
    <w:rsid w:val="00840870"/>
    <w:rsid w:val="00840B67"/>
    <w:rsid w:val="00840BBD"/>
    <w:rsid w:val="008412E4"/>
    <w:rsid w:val="008414DE"/>
    <w:rsid w:val="00841CBE"/>
    <w:rsid w:val="00841E23"/>
    <w:rsid w:val="00841E50"/>
    <w:rsid w:val="00841E84"/>
    <w:rsid w:val="00842273"/>
    <w:rsid w:val="00842BC9"/>
    <w:rsid w:val="00842BDD"/>
    <w:rsid w:val="00842E92"/>
    <w:rsid w:val="00842EC5"/>
    <w:rsid w:val="008430DC"/>
    <w:rsid w:val="008437C8"/>
    <w:rsid w:val="008438B6"/>
    <w:rsid w:val="00843B75"/>
    <w:rsid w:val="0084437F"/>
    <w:rsid w:val="0084460A"/>
    <w:rsid w:val="0084467C"/>
    <w:rsid w:val="008446B4"/>
    <w:rsid w:val="00844967"/>
    <w:rsid w:val="00844E6B"/>
    <w:rsid w:val="008450D7"/>
    <w:rsid w:val="008454C2"/>
    <w:rsid w:val="008459AA"/>
    <w:rsid w:val="00845A16"/>
    <w:rsid w:val="00845EF2"/>
    <w:rsid w:val="00845F1C"/>
    <w:rsid w:val="0084694A"/>
    <w:rsid w:val="008469EF"/>
    <w:rsid w:val="00846A09"/>
    <w:rsid w:val="00846A4B"/>
    <w:rsid w:val="0084771A"/>
    <w:rsid w:val="0084783F"/>
    <w:rsid w:val="00847AAD"/>
    <w:rsid w:val="00847C20"/>
    <w:rsid w:val="00847CC4"/>
    <w:rsid w:val="00847DF8"/>
    <w:rsid w:val="0085011D"/>
    <w:rsid w:val="008502BF"/>
    <w:rsid w:val="00850780"/>
    <w:rsid w:val="008508E6"/>
    <w:rsid w:val="008508F1"/>
    <w:rsid w:val="00850985"/>
    <w:rsid w:val="008509C2"/>
    <w:rsid w:val="00850E2D"/>
    <w:rsid w:val="00850E43"/>
    <w:rsid w:val="00851097"/>
    <w:rsid w:val="0085110A"/>
    <w:rsid w:val="0085130C"/>
    <w:rsid w:val="00852494"/>
    <w:rsid w:val="008525AC"/>
    <w:rsid w:val="00852D35"/>
    <w:rsid w:val="00852ED0"/>
    <w:rsid w:val="008534ED"/>
    <w:rsid w:val="008537FE"/>
    <w:rsid w:val="00853AB0"/>
    <w:rsid w:val="00854163"/>
    <w:rsid w:val="00854748"/>
    <w:rsid w:val="00854F5C"/>
    <w:rsid w:val="008551BB"/>
    <w:rsid w:val="00855263"/>
    <w:rsid w:val="00855529"/>
    <w:rsid w:val="00855874"/>
    <w:rsid w:val="0085599E"/>
    <w:rsid w:val="008559F5"/>
    <w:rsid w:val="00855CA4"/>
    <w:rsid w:val="00855DF7"/>
    <w:rsid w:val="00855ED6"/>
    <w:rsid w:val="00856208"/>
    <w:rsid w:val="00856EAA"/>
    <w:rsid w:val="00857249"/>
    <w:rsid w:val="008575DF"/>
    <w:rsid w:val="008576D2"/>
    <w:rsid w:val="0085798D"/>
    <w:rsid w:val="008579E3"/>
    <w:rsid w:val="00860152"/>
    <w:rsid w:val="00860225"/>
    <w:rsid w:val="0086024F"/>
    <w:rsid w:val="008602B2"/>
    <w:rsid w:val="00860ECC"/>
    <w:rsid w:val="00861292"/>
    <w:rsid w:val="008617B5"/>
    <w:rsid w:val="0086185F"/>
    <w:rsid w:val="008619FB"/>
    <w:rsid w:val="00861A3C"/>
    <w:rsid w:val="00861C76"/>
    <w:rsid w:val="00861EF1"/>
    <w:rsid w:val="008627E2"/>
    <w:rsid w:val="008629D2"/>
    <w:rsid w:val="00862B39"/>
    <w:rsid w:val="008630D5"/>
    <w:rsid w:val="0086310C"/>
    <w:rsid w:val="00863DCD"/>
    <w:rsid w:val="0086420B"/>
    <w:rsid w:val="008642CF"/>
    <w:rsid w:val="008642EA"/>
    <w:rsid w:val="00864580"/>
    <w:rsid w:val="008645A3"/>
    <w:rsid w:val="008645E0"/>
    <w:rsid w:val="00864C9D"/>
    <w:rsid w:val="00865573"/>
    <w:rsid w:val="008658B3"/>
    <w:rsid w:val="0086598C"/>
    <w:rsid w:val="00866107"/>
    <w:rsid w:val="00866299"/>
    <w:rsid w:val="0086651F"/>
    <w:rsid w:val="00866C57"/>
    <w:rsid w:val="00866C9F"/>
    <w:rsid w:val="00866D82"/>
    <w:rsid w:val="00867100"/>
    <w:rsid w:val="0086781E"/>
    <w:rsid w:val="008678B1"/>
    <w:rsid w:val="00867D0C"/>
    <w:rsid w:val="0087031C"/>
    <w:rsid w:val="00870445"/>
    <w:rsid w:val="00870494"/>
    <w:rsid w:val="00870714"/>
    <w:rsid w:val="0087093C"/>
    <w:rsid w:val="00870B50"/>
    <w:rsid w:val="00870D1D"/>
    <w:rsid w:val="00870DAA"/>
    <w:rsid w:val="00871240"/>
    <w:rsid w:val="00871689"/>
    <w:rsid w:val="008716D0"/>
    <w:rsid w:val="00871774"/>
    <w:rsid w:val="00871A50"/>
    <w:rsid w:val="00871D25"/>
    <w:rsid w:val="00871D78"/>
    <w:rsid w:val="00872142"/>
    <w:rsid w:val="00872363"/>
    <w:rsid w:val="0087257C"/>
    <w:rsid w:val="0087257D"/>
    <w:rsid w:val="00872D39"/>
    <w:rsid w:val="00873474"/>
    <w:rsid w:val="008736C3"/>
    <w:rsid w:val="008737C1"/>
    <w:rsid w:val="008738B8"/>
    <w:rsid w:val="0087391F"/>
    <w:rsid w:val="0087394D"/>
    <w:rsid w:val="00873EB6"/>
    <w:rsid w:val="00873EFA"/>
    <w:rsid w:val="00873FEF"/>
    <w:rsid w:val="00874330"/>
    <w:rsid w:val="00874615"/>
    <w:rsid w:val="00874AC2"/>
    <w:rsid w:val="00875249"/>
    <w:rsid w:val="008752D4"/>
    <w:rsid w:val="008753B7"/>
    <w:rsid w:val="00875899"/>
    <w:rsid w:val="00875CB1"/>
    <w:rsid w:val="00875F0B"/>
    <w:rsid w:val="008765B5"/>
    <w:rsid w:val="00876F6E"/>
    <w:rsid w:val="0087720B"/>
    <w:rsid w:val="008772F8"/>
    <w:rsid w:val="008775BA"/>
    <w:rsid w:val="008778C8"/>
    <w:rsid w:val="00877BBA"/>
    <w:rsid w:val="00877C1E"/>
    <w:rsid w:val="00877D18"/>
    <w:rsid w:val="00877E68"/>
    <w:rsid w:val="00877FF0"/>
    <w:rsid w:val="00877FF3"/>
    <w:rsid w:val="0088045D"/>
    <w:rsid w:val="00880BB1"/>
    <w:rsid w:val="00880EC6"/>
    <w:rsid w:val="008810D2"/>
    <w:rsid w:val="0088110D"/>
    <w:rsid w:val="0088156C"/>
    <w:rsid w:val="0088163D"/>
    <w:rsid w:val="00881BDD"/>
    <w:rsid w:val="00881BE7"/>
    <w:rsid w:val="00881C92"/>
    <w:rsid w:val="00881FCB"/>
    <w:rsid w:val="0088210D"/>
    <w:rsid w:val="00882465"/>
    <w:rsid w:val="00882591"/>
    <w:rsid w:val="00882863"/>
    <w:rsid w:val="0088295F"/>
    <w:rsid w:val="00883506"/>
    <w:rsid w:val="008841A5"/>
    <w:rsid w:val="00884555"/>
    <w:rsid w:val="0088495A"/>
    <w:rsid w:val="00884CE5"/>
    <w:rsid w:val="00884D8D"/>
    <w:rsid w:val="00884DD3"/>
    <w:rsid w:val="00884E84"/>
    <w:rsid w:val="008850D3"/>
    <w:rsid w:val="0088520E"/>
    <w:rsid w:val="00885506"/>
    <w:rsid w:val="00885583"/>
    <w:rsid w:val="008865DE"/>
    <w:rsid w:val="00886FB2"/>
    <w:rsid w:val="008872D1"/>
    <w:rsid w:val="00887541"/>
    <w:rsid w:val="00887A54"/>
    <w:rsid w:val="00887C31"/>
    <w:rsid w:val="00887F10"/>
    <w:rsid w:val="00887F2B"/>
    <w:rsid w:val="008902FE"/>
    <w:rsid w:val="00890AB9"/>
    <w:rsid w:val="008913EB"/>
    <w:rsid w:val="00891584"/>
    <w:rsid w:val="00892344"/>
    <w:rsid w:val="0089259F"/>
    <w:rsid w:val="00892919"/>
    <w:rsid w:val="00892941"/>
    <w:rsid w:val="0089299E"/>
    <w:rsid w:val="008929A3"/>
    <w:rsid w:val="00892D78"/>
    <w:rsid w:val="00892DEF"/>
    <w:rsid w:val="0089369B"/>
    <w:rsid w:val="00894137"/>
    <w:rsid w:val="0089487F"/>
    <w:rsid w:val="00894A39"/>
    <w:rsid w:val="00895089"/>
    <w:rsid w:val="0089531D"/>
    <w:rsid w:val="00895751"/>
    <w:rsid w:val="00895B1A"/>
    <w:rsid w:val="0089605E"/>
    <w:rsid w:val="00896095"/>
    <w:rsid w:val="00896139"/>
    <w:rsid w:val="00896187"/>
    <w:rsid w:val="008966A3"/>
    <w:rsid w:val="00896935"/>
    <w:rsid w:val="00896B34"/>
    <w:rsid w:val="00896C47"/>
    <w:rsid w:val="008974BB"/>
    <w:rsid w:val="00897519"/>
    <w:rsid w:val="00897689"/>
    <w:rsid w:val="008976B9"/>
    <w:rsid w:val="0089772F"/>
    <w:rsid w:val="008979A7"/>
    <w:rsid w:val="008A052E"/>
    <w:rsid w:val="008A07D3"/>
    <w:rsid w:val="008A11B3"/>
    <w:rsid w:val="008A13EE"/>
    <w:rsid w:val="008A1776"/>
    <w:rsid w:val="008A1824"/>
    <w:rsid w:val="008A1A23"/>
    <w:rsid w:val="008A1C3C"/>
    <w:rsid w:val="008A235C"/>
    <w:rsid w:val="008A25A2"/>
    <w:rsid w:val="008A2C5F"/>
    <w:rsid w:val="008A2CDE"/>
    <w:rsid w:val="008A2E12"/>
    <w:rsid w:val="008A374A"/>
    <w:rsid w:val="008A3932"/>
    <w:rsid w:val="008A3A4C"/>
    <w:rsid w:val="008A3D41"/>
    <w:rsid w:val="008A4057"/>
    <w:rsid w:val="008A40CC"/>
    <w:rsid w:val="008A40ED"/>
    <w:rsid w:val="008A4A85"/>
    <w:rsid w:val="008A502F"/>
    <w:rsid w:val="008A55A0"/>
    <w:rsid w:val="008A57E1"/>
    <w:rsid w:val="008A5AAD"/>
    <w:rsid w:val="008A5D45"/>
    <w:rsid w:val="008A5FE6"/>
    <w:rsid w:val="008A6741"/>
    <w:rsid w:val="008A6B9B"/>
    <w:rsid w:val="008A707A"/>
    <w:rsid w:val="008A76C8"/>
    <w:rsid w:val="008A7A85"/>
    <w:rsid w:val="008A7AC7"/>
    <w:rsid w:val="008A7CC8"/>
    <w:rsid w:val="008A7D7D"/>
    <w:rsid w:val="008A7DD7"/>
    <w:rsid w:val="008B0680"/>
    <w:rsid w:val="008B078C"/>
    <w:rsid w:val="008B0B85"/>
    <w:rsid w:val="008B0F54"/>
    <w:rsid w:val="008B120C"/>
    <w:rsid w:val="008B125F"/>
    <w:rsid w:val="008B12D7"/>
    <w:rsid w:val="008B1463"/>
    <w:rsid w:val="008B1A74"/>
    <w:rsid w:val="008B1B49"/>
    <w:rsid w:val="008B2057"/>
    <w:rsid w:val="008B2342"/>
    <w:rsid w:val="008B2B1C"/>
    <w:rsid w:val="008B2B57"/>
    <w:rsid w:val="008B2D2E"/>
    <w:rsid w:val="008B2DD2"/>
    <w:rsid w:val="008B2E41"/>
    <w:rsid w:val="008B3027"/>
    <w:rsid w:val="008B3282"/>
    <w:rsid w:val="008B32CB"/>
    <w:rsid w:val="008B349F"/>
    <w:rsid w:val="008B35C0"/>
    <w:rsid w:val="008B3999"/>
    <w:rsid w:val="008B3ABD"/>
    <w:rsid w:val="008B3D59"/>
    <w:rsid w:val="008B4010"/>
    <w:rsid w:val="008B424E"/>
    <w:rsid w:val="008B4A37"/>
    <w:rsid w:val="008B4E62"/>
    <w:rsid w:val="008B4EB3"/>
    <w:rsid w:val="008B4F89"/>
    <w:rsid w:val="008B52D5"/>
    <w:rsid w:val="008B5463"/>
    <w:rsid w:val="008B54B5"/>
    <w:rsid w:val="008B5A26"/>
    <w:rsid w:val="008B5D75"/>
    <w:rsid w:val="008B5F3A"/>
    <w:rsid w:val="008B5FF3"/>
    <w:rsid w:val="008B649D"/>
    <w:rsid w:val="008B6BE8"/>
    <w:rsid w:val="008B6D42"/>
    <w:rsid w:val="008B7230"/>
    <w:rsid w:val="008B73B8"/>
    <w:rsid w:val="008B7A97"/>
    <w:rsid w:val="008B7C6B"/>
    <w:rsid w:val="008B7CE5"/>
    <w:rsid w:val="008C004F"/>
    <w:rsid w:val="008C030C"/>
    <w:rsid w:val="008C03CE"/>
    <w:rsid w:val="008C064E"/>
    <w:rsid w:val="008C0A20"/>
    <w:rsid w:val="008C0B49"/>
    <w:rsid w:val="008C227F"/>
    <w:rsid w:val="008C2C24"/>
    <w:rsid w:val="008C2D81"/>
    <w:rsid w:val="008C304E"/>
    <w:rsid w:val="008C34D6"/>
    <w:rsid w:val="008C3646"/>
    <w:rsid w:val="008C374F"/>
    <w:rsid w:val="008C3814"/>
    <w:rsid w:val="008C3A46"/>
    <w:rsid w:val="008C3AB8"/>
    <w:rsid w:val="008C3E5F"/>
    <w:rsid w:val="008C3FAC"/>
    <w:rsid w:val="008C4247"/>
    <w:rsid w:val="008C43BD"/>
    <w:rsid w:val="008C444E"/>
    <w:rsid w:val="008C46C6"/>
    <w:rsid w:val="008C47BB"/>
    <w:rsid w:val="008C47DD"/>
    <w:rsid w:val="008C49A4"/>
    <w:rsid w:val="008C5E66"/>
    <w:rsid w:val="008C5EA5"/>
    <w:rsid w:val="008C5EBD"/>
    <w:rsid w:val="008C624F"/>
    <w:rsid w:val="008C6557"/>
    <w:rsid w:val="008C6B68"/>
    <w:rsid w:val="008C6F55"/>
    <w:rsid w:val="008C70B2"/>
    <w:rsid w:val="008C7143"/>
    <w:rsid w:val="008C72FD"/>
    <w:rsid w:val="008C7310"/>
    <w:rsid w:val="008C747F"/>
    <w:rsid w:val="008C7B92"/>
    <w:rsid w:val="008C7DDE"/>
    <w:rsid w:val="008C7EAE"/>
    <w:rsid w:val="008D00CA"/>
    <w:rsid w:val="008D0463"/>
    <w:rsid w:val="008D12E0"/>
    <w:rsid w:val="008D15DB"/>
    <w:rsid w:val="008D1C88"/>
    <w:rsid w:val="008D2101"/>
    <w:rsid w:val="008D2163"/>
    <w:rsid w:val="008D22FD"/>
    <w:rsid w:val="008D2812"/>
    <w:rsid w:val="008D2873"/>
    <w:rsid w:val="008D2B17"/>
    <w:rsid w:val="008D2D9E"/>
    <w:rsid w:val="008D3A64"/>
    <w:rsid w:val="008D3DEE"/>
    <w:rsid w:val="008D3E7C"/>
    <w:rsid w:val="008D4187"/>
    <w:rsid w:val="008D4325"/>
    <w:rsid w:val="008D47A0"/>
    <w:rsid w:val="008D5071"/>
    <w:rsid w:val="008D5716"/>
    <w:rsid w:val="008D5882"/>
    <w:rsid w:val="008D58B3"/>
    <w:rsid w:val="008D606D"/>
    <w:rsid w:val="008D62B1"/>
    <w:rsid w:val="008D67B5"/>
    <w:rsid w:val="008D6BD3"/>
    <w:rsid w:val="008D6E2E"/>
    <w:rsid w:val="008D73E5"/>
    <w:rsid w:val="008D77C9"/>
    <w:rsid w:val="008D7EB1"/>
    <w:rsid w:val="008E012B"/>
    <w:rsid w:val="008E0416"/>
    <w:rsid w:val="008E04D6"/>
    <w:rsid w:val="008E0636"/>
    <w:rsid w:val="008E0C23"/>
    <w:rsid w:val="008E0E53"/>
    <w:rsid w:val="008E10DD"/>
    <w:rsid w:val="008E1269"/>
    <w:rsid w:val="008E1697"/>
    <w:rsid w:val="008E17B5"/>
    <w:rsid w:val="008E189C"/>
    <w:rsid w:val="008E195A"/>
    <w:rsid w:val="008E1A73"/>
    <w:rsid w:val="008E1C2C"/>
    <w:rsid w:val="008E1D78"/>
    <w:rsid w:val="008E1EEC"/>
    <w:rsid w:val="008E20EE"/>
    <w:rsid w:val="008E2556"/>
    <w:rsid w:val="008E288E"/>
    <w:rsid w:val="008E2E62"/>
    <w:rsid w:val="008E2ED3"/>
    <w:rsid w:val="008E30AA"/>
    <w:rsid w:val="008E3751"/>
    <w:rsid w:val="008E3CF1"/>
    <w:rsid w:val="008E3E40"/>
    <w:rsid w:val="008E405A"/>
    <w:rsid w:val="008E415B"/>
    <w:rsid w:val="008E41A4"/>
    <w:rsid w:val="008E4324"/>
    <w:rsid w:val="008E449D"/>
    <w:rsid w:val="008E46B0"/>
    <w:rsid w:val="008E4A65"/>
    <w:rsid w:val="008E4B2D"/>
    <w:rsid w:val="008E509D"/>
    <w:rsid w:val="008E54A4"/>
    <w:rsid w:val="008E54BA"/>
    <w:rsid w:val="008E54FF"/>
    <w:rsid w:val="008E56BE"/>
    <w:rsid w:val="008E5713"/>
    <w:rsid w:val="008E5D84"/>
    <w:rsid w:val="008E6480"/>
    <w:rsid w:val="008E6771"/>
    <w:rsid w:val="008E691E"/>
    <w:rsid w:val="008E709D"/>
    <w:rsid w:val="008E70A6"/>
    <w:rsid w:val="008E727D"/>
    <w:rsid w:val="008E7706"/>
    <w:rsid w:val="008E786B"/>
    <w:rsid w:val="008F017F"/>
    <w:rsid w:val="008F06CB"/>
    <w:rsid w:val="008F0792"/>
    <w:rsid w:val="008F0E9F"/>
    <w:rsid w:val="008F118D"/>
    <w:rsid w:val="008F11E6"/>
    <w:rsid w:val="008F133A"/>
    <w:rsid w:val="008F1393"/>
    <w:rsid w:val="008F1401"/>
    <w:rsid w:val="008F1684"/>
    <w:rsid w:val="008F174D"/>
    <w:rsid w:val="008F1B5A"/>
    <w:rsid w:val="008F1BA3"/>
    <w:rsid w:val="008F1D03"/>
    <w:rsid w:val="008F23B7"/>
    <w:rsid w:val="008F268A"/>
    <w:rsid w:val="008F2C2B"/>
    <w:rsid w:val="008F2DDE"/>
    <w:rsid w:val="008F2DE8"/>
    <w:rsid w:val="008F2E94"/>
    <w:rsid w:val="008F3002"/>
    <w:rsid w:val="008F3260"/>
    <w:rsid w:val="008F32B7"/>
    <w:rsid w:val="008F35BC"/>
    <w:rsid w:val="008F38EA"/>
    <w:rsid w:val="008F3A92"/>
    <w:rsid w:val="008F3EB2"/>
    <w:rsid w:val="008F412D"/>
    <w:rsid w:val="008F49A6"/>
    <w:rsid w:val="008F4EA4"/>
    <w:rsid w:val="008F4FD9"/>
    <w:rsid w:val="008F5004"/>
    <w:rsid w:val="008F5249"/>
    <w:rsid w:val="008F5259"/>
    <w:rsid w:val="008F5524"/>
    <w:rsid w:val="008F5619"/>
    <w:rsid w:val="008F56C6"/>
    <w:rsid w:val="008F5890"/>
    <w:rsid w:val="008F5C30"/>
    <w:rsid w:val="008F5D06"/>
    <w:rsid w:val="008F5F51"/>
    <w:rsid w:val="008F69C3"/>
    <w:rsid w:val="008F6A78"/>
    <w:rsid w:val="008F6E7C"/>
    <w:rsid w:val="008F700C"/>
    <w:rsid w:val="008F70AE"/>
    <w:rsid w:val="008F7493"/>
    <w:rsid w:val="00900782"/>
    <w:rsid w:val="00900B68"/>
    <w:rsid w:val="00900C2B"/>
    <w:rsid w:val="00900EF9"/>
    <w:rsid w:val="00900F94"/>
    <w:rsid w:val="00901647"/>
    <w:rsid w:val="0090170F"/>
    <w:rsid w:val="00901D2B"/>
    <w:rsid w:val="00901E2F"/>
    <w:rsid w:val="009021C4"/>
    <w:rsid w:val="009027FC"/>
    <w:rsid w:val="009030CF"/>
    <w:rsid w:val="00903683"/>
    <w:rsid w:val="009038E3"/>
    <w:rsid w:val="00903FAF"/>
    <w:rsid w:val="00904359"/>
    <w:rsid w:val="0090435F"/>
    <w:rsid w:val="009046B4"/>
    <w:rsid w:val="00904756"/>
    <w:rsid w:val="00904791"/>
    <w:rsid w:val="009048EA"/>
    <w:rsid w:val="00904BE6"/>
    <w:rsid w:val="00904C41"/>
    <w:rsid w:val="00904DA8"/>
    <w:rsid w:val="00905430"/>
    <w:rsid w:val="00905500"/>
    <w:rsid w:val="0090571B"/>
    <w:rsid w:val="00905CCB"/>
    <w:rsid w:val="009060DC"/>
    <w:rsid w:val="009063C1"/>
    <w:rsid w:val="0090657B"/>
    <w:rsid w:val="00906CE6"/>
    <w:rsid w:val="00906D4B"/>
    <w:rsid w:val="00906D72"/>
    <w:rsid w:val="00907468"/>
    <w:rsid w:val="00907870"/>
    <w:rsid w:val="00907CAB"/>
    <w:rsid w:val="00907E84"/>
    <w:rsid w:val="00910021"/>
    <w:rsid w:val="0091011B"/>
    <w:rsid w:val="009105B4"/>
    <w:rsid w:val="009106D9"/>
    <w:rsid w:val="009106E6"/>
    <w:rsid w:val="00910862"/>
    <w:rsid w:val="00910AB2"/>
    <w:rsid w:val="00911063"/>
    <w:rsid w:val="009111ED"/>
    <w:rsid w:val="00911BCE"/>
    <w:rsid w:val="0091232E"/>
    <w:rsid w:val="00912CFF"/>
    <w:rsid w:val="00913020"/>
    <w:rsid w:val="0091324F"/>
    <w:rsid w:val="009136BF"/>
    <w:rsid w:val="009139E4"/>
    <w:rsid w:val="00913CD0"/>
    <w:rsid w:val="0091413C"/>
    <w:rsid w:val="00914CEC"/>
    <w:rsid w:val="00914FAE"/>
    <w:rsid w:val="00914FE8"/>
    <w:rsid w:val="00915060"/>
    <w:rsid w:val="009151F5"/>
    <w:rsid w:val="00915886"/>
    <w:rsid w:val="00915B9A"/>
    <w:rsid w:val="0091639C"/>
    <w:rsid w:val="009163FC"/>
    <w:rsid w:val="00916B05"/>
    <w:rsid w:val="00916E74"/>
    <w:rsid w:val="0091702B"/>
    <w:rsid w:val="00917325"/>
    <w:rsid w:val="0091764C"/>
    <w:rsid w:val="009179ED"/>
    <w:rsid w:val="0092022A"/>
    <w:rsid w:val="00920709"/>
    <w:rsid w:val="009208CD"/>
    <w:rsid w:val="009208F7"/>
    <w:rsid w:val="00920B77"/>
    <w:rsid w:val="00920CF8"/>
    <w:rsid w:val="00920D18"/>
    <w:rsid w:val="009210EC"/>
    <w:rsid w:val="009212B0"/>
    <w:rsid w:val="0092174D"/>
    <w:rsid w:val="009217CA"/>
    <w:rsid w:val="00921B83"/>
    <w:rsid w:val="00921CB3"/>
    <w:rsid w:val="00921E3E"/>
    <w:rsid w:val="0092202F"/>
    <w:rsid w:val="009225B2"/>
    <w:rsid w:val="00922C89"/>
    <w:rsid w:val="00922E90"/>
    <w:rsid w:val="0092380B"/>
    <w:rsid w:val="0092390A"/>
    <w:rsid w:val="00923A29"/>
    <w:rsid w:val="00923A2C"/>
    <w:rsid w:val="00923A75"/>
    <w:rsid w:val="00923EA1"/>
    <w:rsid w:val="009248D3"/>
    <w:rsid w:val="00925377"/>
    <w:rsid w:val="00925EF2"/>
    <w:rsid w:val="00926049"/>
    <w:rsid w:val="009260E9"/>
    <w:rsid w:val="0092664E"/>
    <w:rsid w:val="00926895"/>
    <w:rsid w:val="009268C2"/>
    <w:rsid w:val="00926C31"/>
    <w:rsid w:val="00926DE3"/>
    <w:rsid w:val="00926FEA"/>
    <w:rsid w:val="0092717E"/>
    <w:rsid w:val="009271E3"/>
    <w:rsid w:val="00927475"/>
    <w:rsid w:val="00927AAA"/>
    <w:rsid w:val="00927DB6"/>
    <w:rsid w:val="00930078"/>
    <w:rsid w:val="00930320"/>
    <w:rsid w:val="00930603"/>
    <w:rsid w:val="00930796"/>
    <w:rsid w:val="00930A7A"/>
    <w:rsid w:val="00930AD2"/>
    <w:rsid w:val="00930DCA"/>
    <w:rsid w:val="00930F38"/>
    <w:rsid w:val="00930FE5"/>
    <w:rsid w:val="0093106C"/>
    <w:rsid w:val="009314C4"/>
    <w:rsid w:val="009318B1"/>
    <w:rsid w:val="00931AE2"/>
    <w:rsid w:val="00932164"/>
    <w:rsid w:val="00932224"/>
    <w:rsid w:val="009322E2"/>
    <w:rsid w:val="009324F8"/>
    <w:rsid w:val="009325B3"/>
    <w:rsid w:val="0093280A"/>
    <w:rsid w:val="0093298E"/>
    <w:rsid w:val="00932A30"/>
    <w:rsid w:val="00932AD6"/>
    <w:rsid w:val="00932C1D"/>
    <w:rsid w:val="00933166"/>
    <w:rsid w:val="00933435"/>
    <w:rsid w:val="00933613"/>
    <w:rsid w:val="0093370D"/>
    <w:rsid w:val="009337E0"/>
    <w:rsid w:val="00933AE4"/>
    <w:rsid w:val="00933BA9"/>
    <w:rsid w:val="00933C2F"/>
    <w:rsid w:val="00934191"/>
    <w:rsid w:val="0093549C"/>
    <w:rsid w:val="009358DE"/>
    <w:rsid w:val="00935D40"/>
    <w:rsid w:val="0093609A"/>
    <w:rsid w:val="00936F11"/>
    <w:rsid w:val="009373AA"/>
    <w:rsid w:val="00937827"/>
    <w:rsid w:val="0093795E"/>
    <w:rsid w:val="00937B61"/>
    <w:rsid w:val="00940044"/>
    <w:rsid w:val="009402F7"/>
    <w:rsid w:val="00940B25"/>
    <w:rsid w:val="00940CDF"/>
    <w:rsid w:val="00941188"/>
    <w:rsid w:val="009417DA"/>
    <w:rsid w:val="00941869"/>
    <w:rsid w:val="009418C1"/>
    <w:rsid w:val="0094209E"/>
    <w:rsid w:val="0094222E"/>
    <w:rsid w:val="00942695"/>
    <w:rsid w:val="00942774"/>
    <w:rsid w:val="0094348F"/>
    <w:rsid w:val="009437B9"/>
    <w:rsid w:val="0094387A"/>
    <w:rsid w:val="00943A21"/>
    <w:rsid w:val="00943B9A"/>
    <w:rsid w:val="00944085"/>
    <w:rsid w:val="009440D0"/>
    <w:rsid w:val="009447E7"/>
    <w:rsid w:val="00944B30"/>
    <w:rsid w:val="00944C02"/>
    <w:rsid w:val="00944E93"/>
    <w:rsid w:val="0094547E"/>
    <w:rsid w:val="00945759"/>
    <w:rsid w:val="00945A1A"/>
    <w:rsid w:val="00945EE3"/>
    <w:rsid w:val="00946758"/>
    <w:rsid w:val="00946D42"/>
    <w:rsid w:val="00946F4D"/>
    <w:rsid w:val="00947629"/>
    <w:rsid w:val="00947F8C"/>
    <w:rsid w:val="0095089C"/>
    <w:rsid w:val="0095090E"/>
    <w:rsid w:val="00950997"/>
    <w:rsid w:val="00950C68"/>
    <w:rsid w:val="0095110D"/>
    <w:rsid w:val="00951967"/>
    <w:rsid w:val="00951A3F"/>
    <w:rsid w:val="00951B56"/>
    <w:rsid w:val="00951BFF"/>
    <w:rsid w:val="00951D7E"/>
    <w:rsid w:val="00952523"/>
    <w:rsid w:val="00952A57"/>
    <w:rsid w:val="00952B13"/>
    <w:rsid w:val="00952BB5"/>
    <w:rsid w:val="00952C12"/>
    <w:rsid w:val="00952F3D"/>
    <w:rsid w:val="0095356C"/>
    <w:rsid w:val="00953676"/>
    <w:rsid w:val="00953923"/>
    <w:rsid w:val="00953A89"/>
    <w:rsid w:val="00953CA1"/>
    <w:rsid w:val="00953CD0"/>
    <w:rsid w:val="00953D1F"/>
    <w:rsid w:val="009541CD"/>
    <w:rsid w:val="00954247"/>
    <w:rsid w:val="0095435B"/>
    <w:rsid w:val="0095437D"/>
    <w:rsid w:val="0095438D"/>
    <w:rsid w:val="00954B96"/>
    <w:rsid w:val="0095518F"/>
    <w:rsid w:val="0095524E"/>
    <w:rsid w:val="009552FC"/>
    <w:rsid w:val="00955407"/>
    <w:rsid w:val="009554CA"/>
    <w:rsid w:val="00955A95"/>
    <w:rsid w:val="00955DF4"/>
    <w:rsid w:val="00955F82"/>
    <w:rsid w:val="009560A6"/>
    <w:rsid w:val="009561B8"/>
    <w:rsid w:val="009562BD"/>
    <w:rsid w:val="009562D3"/>
    <w:rsid w:val="00956306"/>
    <w:rsid w:val="00956381"/>
    <w:rsid w:val="0095653D"/>
    <w:rsid w:val="00956B39"/>
    <w:rsid w:val="00956BFA"/>
    <w:rsid w:val="00956F69"/>
    <w:rsid w:val="009572B5"/>
    <w:rsid w:val="009573C9"/>
    <w:rsid w:val="00957A16"/>
    <w:rsid w:val="0096039A"/>
    <w:rsid w:val="00960800"/>
    <w:rsid w:val="00960B2A"/>
    <w:rsid w:val="00960C78"/>
    <w:rsid w:val="00960C7A"/>
    <w:rsid w:val="00960D36"/>
    <w:rsid w:val="00960F2D"/>
    <w:rsid w:val="009610B3"/>
    <w:rsid w:val="0096117F"/>
    <w:rsid w:val="009619DC"/>
    <w:rsid w:val="00961F75"/>
    <w:rsid w:val="00961F7C"/>
    <w:rsid w:val="00961FD9"/>
    <w:rsid w:val="00962318"/>
    <w:rsid w:val="00962FCF"/>
    <w:rsid w:val="009633B5"/>
    <w:rsid w:val="00963590"/>
    <w:rsid w:val="00963868"/>
    <w:rsid w:val="009638E0"/>
    <w:rsid w:val="0096396C"/>
    <w:rsid w:val="00963A65"/>
    <w:rsid w:val="00963B59"/>
    <w:rsid w:val="00963C5A"/>
    <w:rsid w:val="00963FA9"/>
    <w:rsid w:val="00964212"/>
    <w:rsid w:val="00964229"/>
    <w:rsid w:val="00964520"/>
    <w:rsid w:val="00964C4C"/>
    <w:rsid w:val="0096517E"/>
    <w:rsid w:val="009652A0"/>
    <w:rsid w:val="009655E3"/>
    <w:rsid w:val="0096575B"/>
    <w:rsid w:val="00965C20"/>
    <w:rsid w:val="00965C6C"/>
    <w:rsid w:val="00965CEB"/>
    <w:rsid w:val="00965E75"/>
    <w:rsid w:val="0096624C"/>
    <w:rsid w:val="00966651"/>
    <w:rsid w:val="00966736"/>
    <w:rsid w:val="0096679F"/>
    <w:rsid w:val="00966CD9"/>
    <w:rsid w:val="0096731E"/>
    <w:rsid w:val="0096771E"/>
    <w:rsid w:val="00967CB1"/>
    <w:rsid w:val="00967CCA"/>
    <w:rsid w:val="00967E17"/>
    <w:rsid w:val="00970137"/>
    <w:rsid w:val="0097046C"/>
    <w:rsid w:val="009704F5"/>
    <w:rsid w:val="00970D98"/>
    <w:rsid w:val="00970F54"/>
    <w:rsid w:val="00970FA0"/>
    <w:rsid w:val="009713C5"/>
    <w:rsid w:val="00971426"/>
    <w:rsid w:val="00971793"/>
    <w:rsid w:val="009717F7"/>
    <w:rsid w:val="00971A96"/>
    <w:rsid w:val="0097247D"/>
    <w:rsid w:val="00972583"/>
    <w:rsid w:val="009726C9"/>
    <w:rsid w:val="00972F33"/>
    <w:rsid w:val="00972FEC"/>
    <w:rsid w:val="00973128"/>
    <w:rsid w:val="00973624"/>
    <w:rsid w:val="00973782"/>
    <w:rsid w:val="009737EA"/>
    <w:rsid w:val="009739D4"/>
    <w:rsid w:val="00973E9E"/>
    <w:rsid w:val="00974835"/>
    <w:rsid w:val="00974D56"/>
    <w:rsid w:val="009753C8"/>
    <w:rsid w:val="009754FC"/>
    <w:rsid w:val="0097551E"/>
    <w:rsid w:val="00975546"/>
    <w:rsid w:val="009759FA"/>
    <w:rsid w:val="00975D34"/>
    <w:rsid w:val="00975ED5"/>
    <w:rsid w:val="00976B8B"/>
    <w:rsid w:val="00976D05"/>
    <w:rsid w:val="00976ED0"/>
    <w:rsid w:val="009770CF"/>
    <w:rsid w:val="0097727A"/>
    <w:rsid w:val="0097738F"/>
    <w:rsid w:val="00977395"/>
    <w:rsid w:val="0097747F"/>
    <w:rsid w:val="00977A01"/>
    <w:rsid w:val="00977C26"/>
    <w:rsid w:val="00980330"/>
    <w:rsid w:val="0098061F"/>
    <w:rsid w:val="009809C3"/>
    <w:rsid w:val="00980CFC"/>
    <w:rsid w:val="00981148"/>
    <w:rsid w:val="0098135B"/>
    <w:rsid w:val="00981733"/>
    <w:rsid w:val="009817F0"/>
    <w:rsid w:val="00982657"/>
    <w:rsid w:val="009826A8"/>
    <w:rsid w:val="00982810"/>
    <w:rsid w:val="00982D74"/>
    <w:rsid w:val="00982F46"/>
    <w:rsid w:val="009830FC"/>
    <w:rsid w:val="00983246"/>
    <w:rsid w:val="009832D5"/>
    <w:rsid w:val="00983758"/>
    <w:rsid w:val="00983BAA"/>
    <w:rsid w:val="00984667"/>
    <w:rsid w:val="009847D0"/>
    <w:rsid w:val="00984DC6"/>
    <w:rsid w:val="009850DF"/>
    <w:rsid w:val="009855C4"/>
    <w:rsid w:val="00985752"/>
    <w:rsid w:val="00985786"/>
    <w:rsid w:val="00985EC4"/>
    <w:rsid w:val="00986130"/>
    <w:rsid w:val="00986589"/>
    <w:rsid w:val="0098685E"/>
    <w:rsid w:val="00986F98"/>
    <w:rsid w:val="009870DF"/>
    <w:rsid w:val="00987306"/>
    <w:rsid w:val="00987418"/>
    <w:rsid w:val="009878E0"/>
    <w:rsid w:val="00987AC5"/>
    <w:rsid w:val="00987BB3"/>
    <w:rsid w:val="00987EF0"/>
    <w:rsid w:val="00990088"/>
    <w:rsid w:val="0099014B"/>
    <w:rsid w:val="009902AB"/>
    <w:rsid w:val="009902D3"/>
    <w:rsid w:val="009902F4"/>
    <w:rsid w:val="00990598"/>
    <w:rsid w:val="009905A2"/>
    <w:rsid w:val="00990885"/>
    <w:rsid w:val="009908E4"/>
    <w:rsid w:val="00990C5D"/>
    <w:rsid w:val="00990CE6"/>
    <w:rsid w:val="0099126C"/>
    <w:rsid w:val="009912B3"/>
    <w:rsid w:val="00991456"/>
    <w:rsid w:val="00991CA0"/>
    <w:rsid w:val="00991D84"/>
    <w:rsid w:val="009925B9"/>
    <w:rsid w:val="00992865"/>
    <w:rsid w:val="00992E29"/>
    <w:rsid w:val="00992FD0"/>
    <w:rsid w:val="00993A8B"/>
    <w:rsid w:val="00993C3F"/>
    <w:rsid w:val="00993F81"/>
    <w:rsid w:val="00994341"/>
    <w:rsid w:val="00994590"/>
    <w:rsid w:val="00994D52"/>
    <w:rsid w:val="00994E1C"/>
    <w:rsid w:val="0099543B"/>
    <w:rsid w:val="009954C2"/>
    <w:rsid w:val="009954FE"/>
    <w:rsid w:val="00995587"/>
    <w:rsid w:val="00995D57"/>
    <w:rsid w:val="00995DFC"/>
    <w:rsid w:val="00995E40"/>
    <w:rsid w:val="00996982"/>
    <w:rsid w:val="009969CC"/>
    <w:rsid w:val="00996CF6"/>
    <w:rsid w:val="00996E37"/>
    <w:rsid w:val="009971BE"/>
    <w:rsid w:val="00997E73"/>
    <w:rsid w:val="009A012A"/>
    <w:rsid w:val="009A01D7"/>
    <w:rsid w:val="009A0423"/>
    <w:rsid w:val="009A04EB"/>
    <w:rsid w:val="009A0965"/>
    <w:rsid w:val="009A0D0F"/>
    <w:rsid w:val="009A11E5"/>
    <w:rsid w:val="009A14E6"/>
    <w:rsid w:val="009A19BD"/>
    <w:rsid w:val="009A19FC"/>
    <w:rsid w:val="009A1A4E"/>
    <w:rsid w:val="009A1E45"/>
    <w:rsid w:val="009A1EF0"/>
    <w:rsid w:val="009A2746"/>
    <w:rsid w:val="009A2848"/>
    <w:rsid w:val="009A2A88"/>
    <w:rsid w:val="009A2CD3"/>
    <w:rsid w:val="009A2DCC"/>
    <w:rsid w:val="009A2DF7"/>
    <w:rsid w:val="009A361E"/>
    <w:rsid w:val="009A3B0E"/>
    <w:rsid w:val="009A437C"/>
    <w:rsid w:val="009A43BA"/>
    <w:rsid w:val="009A4E20"/>
    <w:rsid w:val="009A4FDC"/>
    <w:rsid w:val="009A51D4"/>
    <w:rsid w:val="009A526A"/>
    <w:rsid w:val="009A56DB"/>
    <w:rsid w:val="009A59E6"/>
    <w:rsid w:val="009A5A72"/>
    <w:rsid w:val="009A5A98"/>
    <w:rsid w:val="009A5B58"/>
    <w:rsid w:val="009A5E1F"/>
    <w:rsid w:val="009A648C"/>
    <w:rsid w:val="009A653D"/>
    <w:rsid w:val="009A657E"/>
    <w:rsid w:val="009A6AE8"/>
    <w:rsid w:val="009A6B18"/>
    <w:rsid w:val="009A6B99"/>
    <w:rsid w:val="009A770C"/>
    <w:rsid w:val="009A7969"/>
    <w:rsid w:val="009A7DC1"/>
    <w:rsid w:val="009A7DC7"/>
    <w:rsid w:val="009B0AC7"/>
    <w:rsid w:val="009B0D35"/>
    <w:rsid w:val="009B11AC"/>
    <w:rsid w:val="009B15F1"/>
    <w:rsid w:val="009B1DC0"/>
    <w:rsid w:val="009B1ED1"/>
    <w:rsid w:val="009B1FA8"/>
    <w:rsid w:val="009B2BD6"/>
    <w:rsid w:val="009B2D0B"/>
    <w:rsid w:val="009B2E65"/>
    <w:rsid w:val="009B2EDA"/>
    <w:rsid w:val="009B2FDE"/>
    <w:rsid w:val="009B348F"/>
    <w:rsid w:val="009B4085"/>
    <w:rsid w:val="009B4490"/>
    <w:rsid w:val="009B4BFB"/>
    <w:rsid w:val="009B53A1"/>
    <w:rsid w:val="009B5827"/>
    <w:rsid w:val="009B5CB7"/>
    <w:rsid w:val="009B5D27"/>
    <w:rsid w:val="009B6034"/>
    <w:rsid w:val="009B61B5"/>
    <w:rsid w:val="009B61CB"/>
    <w:rsid w:val="009B6618"/>
    <w:rsid w:val="009B6F3B"/>
    <w:rsid w:val="009B711F"/>
    <w:rsid w:val="009B7132"/>
    <w:rsid w:val="009B731A"/>
    <w:rsid w:val="009B738A"/>
    <w:rsid w:val="009B783F"/>
    <w:rsid w:val="009B7AB0"/>
    <w:rsid w:val="009C0118"/>
    <w:rsid w:val="009C02B5"/>
    <w:rsid w:val="009C04DD"/>
    <w:rsid w:val="009C067C"/>
    <w:rsid w:val="009C08F9"/>
    <w:rsid w:val="009C0AF6"/>
    <w:rsid w:val="009C14A8"/>
    <w:rsid w:val="009C19C1"/>
    <w:rsid w:val="009C1E1F"/>
    <w:rsid w:val="009C1F09"/>
    <w:rsid w:val="009C1FC0"/>
    <w:rsid w:val="009C1FFC"/>
    <w:rsid w:val="009C21AA"/>
    <w:rsid w:val="009C2325"/>
    <w:rsid w:val="009C3648"/>
    <w:rsid w:val="009C3843"/>
    <w:rsid w:val="009C3BA1"/>
    <w:rsid w:val="009C3CF1"/>
    <w:rsid w:val="009C4EC5"/>
    <w:rsid w:val="009C50EF"/>
    <w:rsid w:val="009C5259"/>
    <w:rsid w:val="009C559D"/>
    <w:rsid w:val="009C56E7"/>
    <w:rsid w:val="009C5CD2"/>
    <w:rsid w:val="009C69AE"/>
    <w:rsid w:val="009C705B"/>
    <w:rsid w:val="009C70A4"/>
    <w:rsid w:val="009C7230"/>
    <w:rsid w:val="009C73EA"/>
    <w:rsid w:val="009C7C14"/>
    <w:rsid w:val="009C7C73"/>
    <w:rsid w:val="009C7E40"/>
    <w:rsid w:val="009D0154"/>
    <w:rsid w:val="009D025F"/>
    <w:rsid w:val="009D0333"/>
    <w:rsid w:val="009D0449"/>
    <w:rsid w:val="009D0616"/>
    <w:rsid w:val="009D09CF"/>
    <w:rsid w:val="009D0AAD"/>
    <w:rsid w:val="009D1216"/>
    <w:rsid w:val="009D13DE"/>
    <w:rsid w:val="009D16F8"/>
    <w:rsid w:val="009D1862"/>
    <w:rsid w:val="009D1DCF"/>
    <w:rsid w:val="009D2113"/>
    <w:rsid w:val="009D2283"/>
    <w:rsid w:val="009D22EE"/>
    <w:rsid w:val="009D232F"/>
    <w:rsid w:val="009D299F"/>
    <w:rsid w:val="009D2B28"/>
    <w:rsid w:val="009D3383"/>
    <w:rsid w:val="009D3614"/>
    <w:rsid w:val="009D383B"/>
    <w:rsid w:val="009D396F"/>
    <w:rsid w:val="009D3BB4"/>
    <w:rsid w:val="009D3E88"/>
    <w:rsid w:val="009D3FA6"/>
    <w:rsid w:val="009D4E07"/>
    <w:rsid w:val="009D4F99"/>
    <w:rsid w:val="009D57C1"/>
    <w:rsid w:val="009D584F"/>
    <w:rsid w:val="009D62D8"/>
    <w:rsid w:val="009D64BF"/>
    <w:rsid w:val="009D6CF4"/>
    <w:rsid w:val="009D6F37"/>
    <w:rsid w:val="009D70F0"/>
    <w:rsid w:val="009D7244"/>
    <w:rsid w:val="009D726B"/>
    <w:rsid w:val="009D7659"/>
    <w:rsid w:val="009D76CC"/>
    <w:rsid w:val="009E030F"/>
    <w:rsid w:val="009E0749"/>
    <w:rsid w:val="009E0A7C"/>
    <w:rsid w:val="009E0C34"/>
    <w:rsid w:val="009E0D32"/>
    <w:rsid w:val="009E0DE5"/>
    <w:rsid w:val="009E0F45"/>
    <w:rsid w:val="009E10E2"/>
    <w:rsid w:val="009E14E3"/>
    <w:rsid w:val="009E1941"/>
    <w:rsid w:val="009E194C"/>
    <w:rsid w:val="009E19A3"/>
    <w:rsid w:val="009E1B3E"/>
    <w:rsid w:val="009E1D1A"/>
    <w:rsid w:val="009E1E23"/>
    <w:rsid w:val="009E2143"/>
    <w:rsid w:val="009E2394"/>
    <w:rsid w:val="009E25C6"/>
    <w:rsid w:val="009E25E0"/>
    <w:rsid w:val="009E2902"/>
    <w:rsid w:val="009E2AD6"/>
    <w:rsid w:val="009E2C63"/>
    <w:rsid w:val="009E3165"/>
    <w:rsid w:val="009E3349"/>
    <w:rsid w:val="009E399B"/>
    <w:rsid w:val="009E3D02"/>
    <w:rsid w:val="009E47B9"/>
    <w:rsid w:val="009E4CE5"/>
    <w:rsid w:val="009E4F95"/>
    <w:rsid w:val="009E51C8"/>
    <w:rsid w:val="009E5883"/>
    <w:rsid w:val="009E58BF"/>
    <w:rsid w:val="009E5CF4"/>
    <w:rsid w:val="009E6336"/>
    <w:rsid w:val="009E6577"/>
    <w:rsid w:val="009E672B"/>
    <w:rsid w:val="009E6861"/>
    <w:rsid w:val="009E699F"/>
    <w:rsid w:val="009E6FFF"/>
    <w:rsid w:val="009E705D"/>
    <w:rsid w:val="009E72C1"/>
    <w:rsid w:val="009E7367"/>
    <w:rsid w:val="009E7E9C"/>
    <w:rsid w:val="009F03AA"/>
    <w:rsid w:val="009F08C7"/>
    <w:rsid w:val="009F107B"/>
    <w:rsid w:val="009F112A"/>
    <w:rsid w:val="009F1316"/>
    <w:rsid w:val="009F132C"/>
    <w:rsid w:val="009F1978"/>
    <w:rsid w:val="009F23BF"/>
    <w:rsid w:val="009F29B9"/>
    <w:rsid w:val="009F2ECF"/>
    <w:rsid w:val="009F31A6"/>
    <w:rsid w:val="009F3296"/>
    <w:rsid w:val="009F33A4"/>
    <w:rsid w:val="009F3461"/>
    <w:rsid w:val="009F35A0"/>
    <w:rsid w:val="009F37C2"/>
    <w:rsid w:val="009F38BE"/>
    <w:rsid w:val="009F3A54"/>
    <w:rsid w:val="009F3B06"/>
    <w:rsid w:val="009F499A"/>
    <w:rsid w:val="009F4C0B"/>
    <w:rsid w:val="009F54F7"/>
    <w:rsid w:val="009F6308"/>
    <w:rsid w:val="009F63D4"/>
    <w:rsid w:val="009F6735"/>
    <w:rsid w:val="009F6D14"/>
    <w:rsid w:val="009F7345"/>
    <w:rsid w:val="009F763B"/>
    <w:rsid w:val="009F76AA"/>
    <w:rsid w:val="009F7BD2"/>
    <w:rsid w:val="009F7F8E"/>
    <w:rsid w:val="00A0050C"/>
    <w:rsid w:val="00A0130E"/>
    <w:rsid w:val="00A01425"/>
    <w:rsid w:val="00A01845"/>
    <w:rsid w:val="00A018FE"/>
    <w:rsid w:val="00A01B7D"/>
    <w:rsid w:val="00A01CCB"/>
    <w:rsid w:val="00A022DB"/>
    <w:rsid w:val="00A02411"/>
    <w:rsid w:val="00A0241D"/>
    <w:rsid w:val="00A02692"/>
    <w:rsid w:val="00A02C0D"/>
    <w:rsid w:val="00A02F84"/>
    <w:rsid w:val="00A034C5"/>
    <w:rsid w:val="00A03577"/>
    <w:rsid w:val="00A03A96"/>
    <w:rsid w:val="00A03C87"/>
    <w:rsid w:val="00A04A0B"/>
    <w:rsid w:val="00A04A11"/>
    <w:rsid w:val="00A056BE"/>
    <w:rsid w:val="00A056EF"/>
    <w:rsid w:val="00A05716"/>
    <w:rsid w:val="00A05E19"/>
    <w:rsid w:val="00A06056"/>
    <w:rsid w:val="00A06081"/>
    <w:rsid w:val="00A060AD"/>
    <w:rsid w:val="00A06A0A"/>
    <w:rsid w:val="00A06A4E"/>
    <w:rsid w:val="00A06F57"/>
    <w:rsid w:val="00A072D8"/>
    <w:rsid w:val="00A07412"/>
    <w:rsid w:val="00A075B4"/>
    <w:rsid w:val="00A0765B"/>
    <w:rsid w:val="00A076B5"/>
    <w:rsid w:val="00A076E5"/>
    <w:rsid w:val="00A07740"/>
    <w:rsid w:val="00A07DA7"/>
    <w:rsid w:val="00A1067D"/>
    <w:rsid w:val="00A10CEF"/>
    <w:rsid w:val="00A110FC"/>
    <w:rsid w:val="00A11AC1"/>
    <w:rsid w:val="00A11C1F"/>
    <w:rsid w:val="00A11E6E"/>
    <w:rsid w:val="00A12039"/>
    <w:rsid w:val="00A1206F"/>
    <w:rsid w:val="00A122D7"/>
    <w:rsid w:val="00A12B70"/>
    <w:rsid w:val="00A12CE4"/>
    <w:rsid w:val="00A12F31"/>
    <w:rsid w:val="00A13AB1"/>
    <w:rsid w:val="00A13F02"/>
    <w:rsid w:val="00A14784"/>
    <w:rsid w:val="00A14B43"/>
    <w:rsid w:val="00A14D72"/>
    <w:rsid w:val="00A14EFE"/>
    <w:rsid w:val="00A15303"/>
    <w:rsid w:val="00A15AA4"/>
    <w:rsid w:val="00A15AA6"/>
    <w:rsid w:val="00A15AC3"/>
    <w:rsid w:val="00A15B18"/>
    <w:rsid w:val="00A15CBA"/>
    <w:rsid w:val="00A16406"/>
    <w:rsid w:val="00A164CD"/>
    <w:rsid w:val="00A16A89"/>
    <w:rsid w:val="00A16D92"/>
    <w:rsid w:val="00A17158"/>
    <w:rsid w:val="00A1731C"/>
    <w:rsid w:val="00A17346"/>
    <w:rsid w:val="00A17A68"/>
    <w:rsid w:val="00A20003"/>
    <w:rsid w:val="00A20227"/>
    <w:rsid w:val="00A2057C"/>
    <w:rsid w:val="00A20608"/>
    <w:rsid w:val="00A208BF"/>
    <w:rsid w:val="00A2109B"/>
    <w:rsid w:val="00A210A7"/>
    <w:rsid w:val="00A216FD"/>
    <w:rsid w:val="00A21829"/>
    <w:rsid w:val="00A2223E"/>
    <w:rsid w:val="00A222CA"/>
    <w:rsid w:val="00A22526"/>
    <w:rsid w:val="00A229C3"/>
    <w:rsid w:val="00A2317C"/>
    <w:rsid w:val="00A2324A"/>
    <w:rsid w:val="00A23850"/>
    <w:rsid w:val="00A23A67"/>
    <w:rsid w:val="00A241D3"/>
    <w:rsid w:val="00A24218"/>
    <w:rsid w:val="00A2458D"/>
    <w:rsid w:val="00A24CDB"/>
    <w:rsid w:val="00A24EEB"/>
    <w:rsid w:val="00A2506E"/>
    <w:rsid w:val="00A252D7"/>
    <w:rsid w:val="00A256BA"/>
    <w:rsid w:val="00A26191"/>
    <w:rsid w:val="00A2646F"/>
    <w:rsid w:val="00A2655E"/>
    <w:rsid w:val="00A26FAC"/>
    <w:rsid w:val="00A27029"/>
    <w:rsid w:val="00A27355"/>
    <w:rsid w:val="00A27516"/>
    <w:rsid w:val="00A275DA"/>
    <w:rsid w:val="00A277E8"/>
    <w:rsid w:val="00A27850"/>
    <w:rsid w:val="00A27A4B"/>
    <w:rsid w:val="00A30076"/>
    <w:rsid w:val="00A3030D"/>
    <w:rsid w:val="00A30350"/>
    <w:rsid w:val="00A30424"/>
    <w:rsid w:val="00A30658"/>
    <w:rsid w:val="00A30A60"/>
    <w:rsid w:val="00A30DD1"/>
    <w:rsid w:val="00A30DFE"/>
    <w:rsid w:val="00A31186"/>
    <w:rsid w:val="00A3122D"/>
    <w:rsid w:val="00A315B5"/>
    <w:rsid w:val="00A31657"/>
    <w:rsid w:val="00A31889"/>
    <w:rsid w:val="00A31A7B"/>
    <w:rsid w:val="00A31C2D"/>
    <w:rsid w:val="00A32065"/>
    <w:rsid w:val="00A320ED"/>
    <w:rsid w:val="00A32174"/>
    <w:rsid w:val="00A32340"/>
    <w:rsid w:val="00A323C8"/>
    <w:rsid w:val="00A32C34"/>
    <w:rsid w:val="00A332FC"/>
    <w:rsid w:val="00A340B7"/>
    <w:rsid w:val="00A342C4"/>
    <w:rsid w:val="00A346A8"/>
    <w:rsid w:val="00A34FCE"/>
    <w:rsid w:val="00A35121"/>
    <w:rsid w:val="00A352F4"/>
    <w:rsid w:val="00A3567D"/>
    <w:rsid w:val="00A35682"/>
    <w:rsid w:val="00A356DE"/>
    <w:rsid w:val="00A35875"/>
    <w:rsid w:val="00A359C1"/>
    <w:rsid w:val="00A35B75"/>
    <w:rsid w:val="00A35C95"/>
    <w:rsid w:val="00A36072"/>
    <w:rsid w:val="00A360D5"/>
    <w:rsid w:val="00A364A2"/>
    <w:rsid w:val="00A364E5"/>
    <w:rsid w:val="00A36548"/>
    <w:rsid w:val="00A36558"/>
    <w:rsid w:val="00A367FB"/>
    <w:rsid w:val="00A36B8B"/>
    <w:rsid w:val="00A36C77"/>
    <w:rsid w:val="00A371BD"/>
    <w:rsid w:val="00A373C9"/>
    <w:rsid w:val="00A37590"/>
    <w:rsid w:val="00A37AEE"/>
    <w:rsid w:val="00A37D5B"/>
    <w:rsid w:val="00A4015C"/>
    <w:rsid w:val="00A4020E"/>
    <w:rsid w:val="00A40CB2"/>
    <w:rsid w:val="00A4167A"/>
    <w:rsid w:val="00A41760"/>
    <w:rsid w:val="00A42075"/>
    <w:rsid w:val="00A42239"/>
    <w:rsid w:val="00A42374"/>
    <w:rsid w:val="00A427A1"/>
    <w:rsid w:val="00A42DB5"/>
    <w:rsid w:val="00A42FF2"/>
    <w:rsid w:val="00A43239"/>
    <w:rsid w:val="00A437A8"/>
    <w:rsid w:val="00A43CA7"/>
    <w:rsid w:val="00A44013"/>
    <w:rsid w:val="00A449AF"/>
    <w:rsid w:val="00A44AC2"/>
    <w:rsid w:val="00A44C5C"/>
    <w:rsid w:val="00A44D4B"/>
    <w:rsid w:val="00A452D4"/>
    <w:rsid w:val="00A45393"/>
    <w:rsid w:val="00A457DA"/>
    <w:rsid w:val="00A46043"/>
    <w:rsid w:val="00A46101"/>
    <w:rsid w:val="00A4625B"/>
    <w:rsid w:val="00A469B9"/>
    <w:rsid w:val="00A47229"/>
    <w:rsid w:val="00A47621"/>
    <w:rsid w:val="00A47783"/>
    <w:rsid w:val="00A477CD"/>
    <w:rsid w:val="00A479D2"/>
    <w:rsid w:val="00A47C02"/>
    <w:rsid w:val="00A47D44"/>
    <w:rsid w:val="00A47E94"/>
    <w:rsid w:val="00A47FBB"/>
    <w:rsid w:val="00A500C8"/>
    <w:rsid w:val="00A50146"/>
    <w:rsid w:val="00A50574"/>
    <w:rsid w:val="00A5091B"/>
    <w:rsid w:val="00A50940"/>
    <w:rsid w:val="00A50A14"/>
    <w:rsid w:val="00A50A1A"/>
    <w:rsid w:val="00A50B39"/>
    <w:rsid w:val="00A5102A"/>
    <w:rsid w:val="00A511BD"/>
    <w:rsid w:val="00A5162E"/>
    <w:rsid w:val="00A51691"/>
    <w:rsid w:val="00A51C9D"/>
    <w:rsid w:val="00A51CD9"/>
    <w:rsid w:val="00A51E14"/>
    <w:rsid w:val="00A51E27"/>
    <w:rsid w:val="00A520CF"/>
    <w:rsid w:val="00A525A8"/>
    <w:rsid w:val="00A52996"/>
    <w:rsid w:val="00A52D24"/>
    <w:rsid w:val="00A52DC6"/>
    <w:rsid w:val="00A534D4"/>
    <w:rsid w:val="00A535E2"/>
    <w:rsid w:val="00A53C58"/>
    <w:rsid w:val="00A53D08"/>
    <w:rsid w:val="00A53F0F"/>
    <w:rsid w:val="00A551C8"/>
    <w:rsid w:val="00A5534C"/>
    <w:rsid w:val="00A55434"/>
    <w:rsid w:val="00A55669"/>
    <w:rsid w:val="00A55E7E"/>
    <w:rsid w:val="00A5607A"/>
    <w:rsid w:val="00A5607C"/>
    <w:rsid w:val="00A56088"/>
    <w:rsid w:val="00A5626B"/>
    <w:rsid w:val="00A56D4D"/>
    <w:rsid w:val="00A56DF0"/>
    <w:rsid w:val="00A56F95"/>
    <w:rsid w:val="00A570BE"/>
    <w:rsid w:val="00A57AB9"/>
    <w:rsid w:val="00A57D61"/>
    <w:rsid w:val="00A601E3"/>
    <w:rsid w:val="00A6055A"/>
    <w:rsid w:val="00A60626"/>
    <w:rsid w:val="00A60C27"/>
    <w:rsid w:val="00A60CBE"/>
    <w:rsid w:val="00A60D1B"/>
    <w:rsid w:val="00A60E49"/>
    <w:rsid w:val="00A61320"/>
    <w:rsid w:val="00A6148A"/>
    <w:rsid w:val="00A62166"/>
    <w:rsid w:val="00A621EF"/>
    <w:rsid w:val="00A6222F"/>
    <w:rsid w:val="00A62390"/>
    <w:rsid w:val="00A6240E"/>
    <w:rsid w:val="00A62450"/>
    <w:rsid w:val="00A624A6"/>
    <w:rsid w:val="00A6274B"/>
    <w:rsid w:val="00A629E3"/>
    <w:rsid w:val="00A62B3C"/>
    <w:rsid w:val="00A62E4D"/>
    <w:rsid w:val="00A63727"/>
    <w:rsid w:val="00A63BED"/>
    <w:rsid w:val="00A647AD"/>
    <w:rsid w:val="00A64936"/>
    <w:rsid w:val="00A64A6F"/>
    <w:rsid w:val="00A64C68"/>
    <w:rsid w:val="00A64D14"/>
    <w:rsid w:val="00A64E1D"/>
    <w:rsid w:val="00A65244"/>
    <w:rsid w:val="00A65A03"/>
    <w:rsid w:val="00A65A1D"/>
    <w:rsid w:val="00A65D05"/>
    <w:rsid w:val="00A65FA0"/>
    <w:rsid w:val="00A6618E"/>
    <w:rsid w:val="00A66425"/>
    <w:rsid w:val="00A66642"/>
    <w:rsid w:val="00A666BD"/>
    <w:rsid w:val="00A6697C"/>
    <w:rsid w:val="00A66CE3"/>
    <w:rsid w:val="00A66FA8"/>
    <w:rsid w:val="00A67428"/>
    <w:rsid w:val="00A67746"/>
    <w:rsid w:val="00A679FA"/>
    <w:rsid w:val="00A701AA"/>
    <w:rsid w:val="00A70D8E"/>
    <w:rsid w:val="00A70DA2"/>
    <w:rsid w:val="00A70F75"/>
    <w:rsid w:val="00A71409"/>
    <w:rsid w:val="00A715B5"/>
    <w:rsid w:val="00A7179E"/>
    <w:rsid w:val="00A717E7"/>
    <w:rsid w:val="00A71A26"/>
    <w:rsid w:val="00A71A69"/>
    <w:rsid w:val="00A72116"/>
    <w:rsid w:val="00A721D4"/>
    <w:rsid w:val="00A7222B"/>
    <w:rsid w:val="00A72A55"/>
    <w:rsid w:val="00A72CF0"/>
    <w:rsid w:val="00A72DC2"/>
    <w:rsid w:val="00A7337E"/>
    <w:rsid w:val="00A73458"/>
    <w:rsid w:val="00A7392D"/>
    <w:rsid w:val="00A740B1"/>
    <w:rsid w:val="00A742B7"/>
    <w:rsid w:val="00A7458E"/>
    <w:rsid w:val="00A74D2B"/>
    <w:rsid w:val="00A74D73"/>
    <w:rsid w:val="00A74DF4"/>
    <w:rsid w:val="00A751B6"/>
    <w:rsid w:val="00A75503"/>
    <w:rsid w:val="00A7583E"/>
    <w:rsid w:val="00A759F4"/>
    <w:rsid w:val="00A75A36"/>
    <w:rsid w:val="00A76245"/>
    <w:rsid w:val="00A76BA5"/>
    <w:rsid w:val="00A77474"/>
    <w:rsid w:val="00A7754F"/>
    <w:rsid w:val="00A7764B"/>
    <w:rsid w:val="00A7770D"/>
    <w:rsid w:val="00A77A23"/>
    <w:rsid w:val="00A77C44"/>
    <w:rsid w:val="00A77C7B"/>
    <w:rsid w:val="00A77E04"/>
    <w:rsid w:val="00A77ECB"/>
    <w:rsid w:val="00A80066"/>
    <w:rsid w:val="00A805AA"/>
    <w:rsid w:val="00A80874"/>
    <w:rsid w:val="00A808B4"/>
    <w:rsid w:val="00A80A53"/>
    <w:rsid w:val="00A80A61"/>
    <w:rsid w:val="00A81197"/>
    <w:rsid w:val="00A81BED"/>
    <w:rsid w:val="00A824C5"/>
    <w:rsid w:val="00A8287D"/>
    <w:rsid w:val="00A82AC3"/>
    <w:rsid w:val="00A82B72"/>
    <w:rsid w:val="00A82E6F"/>
    <w:rsid w:val="00A8325C"/>
    <w:rsid w:val="00A8333B"/>
    <w:rsid w:val="00A83498"/>
    <w:rsid w:val="00A835CD"/>
    <w:rsid w:val="00A83CBE"/>
    <w:rsid w:val="00A83D1E"/>
    <w:rsid w:val="00A83E00"/>
    <w:rsid w:val="00A843FF"/>
    <w:rsid w:val="00A84595"/>
    <w:rsid w:val="00A849A9"/>
    <w:rsid w:val="00A84D21"/>
    <w:rsid w:val="00A84D82"/>
    <w:rsid w:val="00A84E2A"/>
    <w:rsid w:val="00A84E37"/>
    <w:rsid w:val="00A850ED"/>
    <w:rsid w:val="00A85354"/>
    <w:rsid w:val="00A85452"/>
    <w:rsid w:val="00A85599"/>
    <w:rsid w:val="00A85752"/>
    <w:rsid w:val="00A85A56"/>
    <w:rsid w:val="00A85C39"/>
    <w:rsid w:val="00A85C87"/>
    <w:rsid w:val="00A85E23"/>
    <w:rsid w:val="00A85F2A"/>
    <w:rsid w:val="00A85F4A"/>
    <w:rsid w:val="00A86041"/>
    <w:rsid w:val="00A86113"/>
    <w:rsid w:val="00A863FC"/>
    <w:rsid w:val="00A86589"/>
    <w:rsid w:val="00A86EAA"/>
    <w:rsid w:val="00A87407"/>
    <w:rsid w:val="00A877E5"/>
    <w:rsid w:val="00A877F6"/>
    <w:rsid w:val="00A879B8"/>
    <w:rsid w:val="00A901DB"/>
    <w:rsid w:val="00A90752"/>
    <w:rsid w:val="00A909FE"/>
    <w:rsid w:val="00A90B58"/>
    <w:rsid w:val="00A9109E"/>
    <w:rsid w:val="00A91390"/>
    <w:rsid w:val="00A9140A"/>
    <w:rsid w:val="00A91468"/>
    <w:rsid w:val="00A91522"/>
    <w:rsid w:val="00A91847"/>
    <w:rsid w:val="00A9189A"/>
    <w:rsid w:val="00A91A3E"/>
    <w:rsid w:val="00A91AD4"/>
    <w:rsid w:val="00A91FD1"/>
    <w:rsid w:val="00A92B2F"/>
    <w:rsid w:val="00A9343E"/>
    <w:rsid w:val="00A934A4"/>
    <w:rsid w:val="00A93690"/>
    <w:rsid w:val="00A93D75"/>
    <w:rsid w:val="00A93DBC"/>
    <w:rsid w:val="00A93EFB"/>
    <w:rsid w:val="00A9458D"/>
    <w:rsid w:val="00A94598"/>
    <w:rsid w:val="00A94689"/>
    <w:rsid w:val="00A9499D"/>
    <w:rsid w:val="00A94AE2"/>
    <w:rsid w:val="00A94BA9"/>
    <w:rsid w:val="00A95040"/>
    <w:rsid w:val="00A95246"/>
    <w:rsid w:val="00A953BD"/>
    <w:rsid w:val="00A957B8"/>
    <w:rsid w:val="00A95C9F"/>
    <w:rsid w:val="00A96085"/>
    <w:rsid w:val="00A961A4"/>
    <w:rsid w:val="00A96298"/>
    <w:rsid w:val="00A963D4"/>
    <w:rsid w:val="00A964A3"/>
    <w:rsid w:val="00A966FC"/>
    <w:rsid w:val="00A96782"/>
    <w:rsid w:val="00A96A8D"/>
    <w:rsid w:val="00A96B83"/>
    <w:rsid w:val="00A96CB1"/>
    <w:rsid w:val="00A96CFD"/>
    <w:rsid w:val="00A96FC3"/>
    <w:rsid w:val="00A971B6"/>
    <w:rsid w:val="00A97495"/>
    <w:rsid w:val="00A97989"/>
    <w:rsid w:val="00A97A52"/>
    <w:rsid w:val="00A97B46"/>
    <w:rsid w:val="00A97F28"/>
    <w:rsid w:val="00AA0009"/>
    <w:rsid w:val="00AA050E"/>
    <w:rsid w:val="00AA0692"/>
    <w:rsid w:val="00AA1608"/>
    <w:rsid w:val="00AA16D3"/>
    <w:rsid w:val="00AA1BFF"/>
    <w:rsid w:val="00AA1C45"/>
    <w:rsid w:val="00AA276C"/>
    <w:rsid w:val="00AA2A97"/>
    <w:rsid w:val="00AA2C0F"/>
    <w:rsid w:val="00AA326B"/>
    <w:rsid w:val="00AA39C4"/>
    <w:rsid w:val="00AA3CD6"/>
    <w:rsid w:val="00AA4157"/>
    <w:rsid w:val="00AA473D"/>
    <w:rsid w:val="00AA4ADE"/>
    <w:rsid w:val="00AA4DB8"/>
    <w:rsid w:val="00AA4F5E"/>
    <w:rsid w:val="00AA4F91"/>
    <w:rsid w:val="00AA51BE"/>
    <w:rsid w:val="00AA54D6"/>
    <w:rsid w:val="00AA5586"/>
    <w:rsid w:val="00AA5688"/>
    <w:rsid w:val="00AA5C66"/>
    <w:rsid w:val="00AA6764"/>
    <w:rsid w:val="00AA6C9E"/>
    <w:rsid w:val="00AA706B"/>
    <w:rsid w:val="00AA715F"/>
    <w:rsid w:val="00AA75CF"/>
    <w:rsid w:val="00AA769B"/>
    <w:rsid w:val="00AA791B"/>
    <w:rsid w:val="00AB0077"/>
    <w:rsid w:val="00AB0A34"/>
    <w:rsid w:val="00AB0AFF"/>
    <w:rsid w:val="00AB0C23"/>
    <w:rsid w:val="00AB0CC3"/>
    <w:rsid w:val="00AB0D2B"/>
    <w:rsid w:val="00AB1441"/>
    <w:rsid w:val="00AB14AB"/>
    <w:rsid w:val="00AB1960"/>
    <w:rsid w:val="00AB1E5C"/>
    <w:rsid w:val="00AB1E9C"/>
    <w:rsid w:val="00AB2480"/>
    <w:rsid w:val="00AB2B8F"/>
    <w:rsid w:val="00AB2DD6"/>
    <w:rsid w:val="00AB2E37"/>
    <w:rsid w:val="00AB2E54"/>
    <w:rsid w:val="00AB2F04"/>
    <w:rsid w:val="00AB2FAD"/>
    <w:rsid w:val="00AB2FC6"/>
    <w:rsid w:val="00AB31A6"/>
    <w:rsid w:val="00AB328D"/>
    <w:rsid w:val="00AB3640"/>
    <w:rsid w:val="00AB3B2B"/>
    <w:rsid w:val="00AB4264"/>
    <w:rsid w:val="00AB45CE"/>
    <w:rsid w:val="00AB474A"/>
    <w:rsid w:val="00AB4A4C"/>
    <w:rsid w:val="00AB4B39"/>
    <w:rsid w:val="00AB4B4A"/>
    <w:rsid w:val="00AB4F39"/>
    <w:rsid w:val="00AB53CA"/>
    <w:rsid w:val="00AB556F"/>
    <w:rsid w:val="00AB558D"/>
    <w:rsid w:val="00AB5817"/>
    <w:rsid w:val="00AB5A26"/>
    <w:rsid w:val="00AB5A75"/>
    <w:rsid w:val="00AB5BF8"/>
    <w:rsid w:val="00AB612B"/>
    <w:rsid w:val="00AB669E"/>
    <w:rsid w:val="00AB68A0"/>
    <w:rsid w:val="00AB6AA5"/>
    <w:rsid w:val="00AB6B33"/>
    <w:rsid w:val="00AB7092"/>
    <w:rsid w:val="00AB744C"/>
    <w:rsid w:val="00AB7F70"/>
    <w:rsid w:val="00AC04B3"/>
    <w:rsid w:val="00AC0653"/>
    <w:rsid w:val="00AC07A8"/>
    <w:rsid w:val="00AC0C18"/>
    <w:rsid w:val="00AC0E0C"/>
    <w:rsid w:val="00AC124A"/>
    <w:rsid w:val="00AC13A9"/>
    <w:rsid w:val="00AC1671"/>
    <w:rsid w:val="00AC1964"/>
    <w:rsid w:val="00AC1CD4"/>
    <w:rsid w:val="00AC1F9F"/>
    <w:rsid w:val="00AC206F"/>
    <w:rsid w:val="00AC2842"/>
    <w:rsid w:val="00AC287B"/>
    <w:rsid w:val="00AC2D4F"/>
    <w:rsid w:val="00AC3216"/>
    <w:rsid w:val="00AC3222"/>
    <w:rsid w:val="00AC322E"/>
    <w:rsid w:val="00AC343C"/>
    <w:rsid w:val="00AC3482"/>
    <w:rsid w:val="00AC349D"/>
    <w:rsid w:val="00AC36B7"/>
    <w:rsid w:val="00AC36D9"/>
    <w:rsid w:val="00AC3703"/>
    <w:rsid w:val="00AC3749"/>
    <w:rsid w:val="00AC3E68"/>
    <w:rsid w:val="00AC4192"/>
    <w:rsid w:val="00AC43ED"/>
    <w:rsid w:val="00AC46C3"/>
    <w:rsid w:val="00AC4CF4"/>
    <w:rsid w:val="00AC51F2"/>
    <w:rsid w:val="00AC520B"/>
    <w:rsid w:val="00AC524A"/>
    <w:rsid w:val="00AC56B7"/>
    <w:rsid w:val="00AC591B"/>
    <w:rsid w:val="00AC5A8A"/>
    <w:rsid w:val="00AC637C"/>
    <w:rsid w:val="00AC654F"/>
    <w:rsid w:val="00AC673A"/>
    <w:rsid w:val="00AC6953"/>
    <w:rsid w:val="00AC6DA6"/>
    <w:rsid w:val="00AC6E2A"/>
    <w:rsid w:val="00AC726D"/>
    <w:rsid w:val="00AC7475"/>
    <w:rsid w:val="00AC7517"/>
    <w:rsid w:val="00AC7EB1"/>
    <w:rsid w:val="00AD06DB"/>
    <w:rsid w:val="00AD0C93"/>
    <w:rsid w:val="00AD0FF0"/>
    <w:rsid w:val="00AD187D"/>
    <w:rsid w:val="00AD1D6E"/>
    <w:rsid w:val="00AD1F6B"/>
    <w:rsid w:val="00AD2110"/>
    <w:rsid w:val="00AD2501"/>
    <w:rsid w:val="00AD25D7"/>
    <w:rsid w:val="00AD281A"/>
    <w:rsid w:val="00AD2D66"/>
    <w:rsid w:val="00AD319D"/>
    <w:rsid w:val="00AD34CA"/>
    <w:rsid w:val="00AD3C1D"/>
    <w:rsid w:val="00AD416F"/>
    <w:rsid w:val="00AD4627"/>
    <w:rsid w:val="00AD46BB"/>
    <w:rsid w:val="00AD4D8A"/>
    <w:rsid w:val="00AD50BD"/>
    <w:rsid w:val="00AD59CF"/>
    <w:rsid w:val="00AD5F08"/>
    <w:rsid w:val="00AD658D"/>
    <w:rsid w:val="00AD65FA"/>
    <w:rsid w:val="00AD680C"/>
    <w:rsid w:val="00AD696A"/>
    <w:rsid w:val="00AD69A5"/>
    <w:rsid w:val="00AD6B11"/>
    <w:rsid w:val="00AD6B6C"/>
    <w:rsid w:val="00AD70A1"/>
    <w:rsid w:val="00AD7411"/>
    <w:rsid w:val="00AD7559"/>
    <w:rsid w:val="00AD777E"/>
    <w:rsid w:val="00AD78D4"/>
    <w:rsid w:val="00AD7B3A"/>
    <w:rsid w:val="00AD7ED2"/>
    <w:rsid w:val="00AD7F24"/>
    <w:rsid w:val="00AE066D"/>
    <w:rsid w:val="00AE0732"/>
    <w:rsid w:val="00AE0F8F"/>
    <w:rsid w:val="00AE153A"/>
    <w:rsid w:val="00AE2269"/>
    <w:rsid w:val="00AE2452"/>
    <w:rsid w:val="00AE2E06"/>
    <w:rsid w:val="00AE2F5C"/>
    <w:rsid w:val="00AE2F6E"/>
    <w:rsid w:val="00AE3096"/>
    <w:rsid w:val="00AE30F7"/>
    <w:rsid w:val="00AE375F"/>
    <w:rsid w:val="00AE398E"/>
    <w:rsid w:val="00AE3A00"/>
    <w:rsid w:val="00AE3DA7"/>
    <w:rsid w:val="00AE41F3"/>
    <w:rsid w:val="00AE433B"/>
    <w:rsid w:val="00AE4689"/>
    <w:rsid w:val="00AE46F8"/>
    <w:rsid w:val="00AE4B99"/>
    <w:rsid w:val="00AE4FFF"/>
    <w:rsid w:val="00AE51D2"/>
    <w:rsid w:val="00AE52D2"/>
    <w:rsid w:val="00AE5565"/>
    <w:rsid w:val="00AE5E17"/>
    <w:rsid w:val="00AE6886"/>
    <w:rsid w:val="00AE6FBB"/>
    <w:rsid w:val="00AE7055"/>
    <w:rsid w:val="00AE75A5"/>
    <w:rsid w:val="00AE7AFD"/>
    <w:rsid w:val="00AE7CD7"/>
    <w:rsid w:val="00AF0293"/>
    <w:rsid w:val="00AF03DD"/>
    <w:rsid w:val="00AF07B4"/>
    <w:rsid w:val="00AF083F"/>
    <w:rsid w:val="00AF0902"/>
    <w:rsid w:val="00AF0FDB"/>
    <w:rsid w:val="00AF13E9"/>
    <w:rsid w:val="00AF1881"/>
    <w:rsid w:val="00AF1A17"/>
    <w:rsid w:val="00AF1D7D"/>
    <w:rsid w:val="00AF1F81"/>
    <w:rsid w:val="00AF2160"/>
    <w:rsid w:val="00AF2CD2"/>
    <w:rsid w:val="00AF2D63"/>
    <w:rsid w:val="00AF2EC1"/>
    <w:rsid w:val="00AF303B"/>
    <w:rsid w:val="00AF31C2"/>
    <w:rsid w:val="00AF3464"/>
    <w:rsid w:val="00AF38C7"/>
    <w:rsid w:val="00AF3BE4"/>
    <w:rsid w:val="00AF44F0"/>
    <w:rsid w:val="00AF4644"/>
    <w:rsid w:val="00AF4D67"/>
    <w:rsid w:val="00AF4DA2"/>
    <w:rsid w:val="00AF4EC3"/>
    <w:rsid w:val="00AF4F9A"/>
    <w:rsid w:val="00AF5248"/>
    <w:rsid w:val="00AF5A91"/>
    <w:rsid w:val="00AF5C56"/>
    <w:rsid w:val="00AF60DD"/>
    <w:rsid w:val="00AF62B2"/>
    <w:rsid w:val="00AF64B4"/>
    <w:rsid w:val="00AF6A05"/>
    <w:rsid w:val="00AF6A1D"/>
    <w:rsid w:val="00AF6F41"/>
    <w:rsid w:val="00AF6FC4"/>
    <w:rsid w:val="00AF6FF8"/>
    <w:rsid w:val="00AF702B"/>
    <w:rsid w:val="00AF7083"/>
    <w:rsid w:val="00AF7175"/>
    <w:rsid w:val="00AF783A"/>
    <w:rsid w:val="00AF7A47"/>
    <w:rsid w:val="00AF7E0B"/>
    <w:rsid w:val="00B00180"/>
    <w:rsid w:val="00B00221"/>
    <w:rsid w:val="00B004E7"/>
    <w:rsid w:val="00B0099E"/>
    <w:rsid w:val="00B00BC6"/>
    <w:rsid w:val="00B00C97"/>
    <w:rsid w:val="00B0188C"/>
    <w:rsid w:val="00B01A18"/>
    <w:rsid w:val="00B01A69"/>
    <w:rsid w:val="00B01A98"/>
    <w:rsid w:val="00B01E20"/>
    <w:rsid w:val="00B01E55"/>
    <w:rsid w:val="00B01E96"/>
    <w:rsid w:val="00B022A5"/>
    <w:rsid w:val="00B02699"/>
    <w:rsid w:val="00B0272F"/>
    <w:rsid w:val="00B028FF"/>
    <w:rsid w:val="00B02AE2"/>
    <w:rsid w:val="00B0338A"/>
    <w:rsid w:val="00B0397A"/>
    <w:rsid w:val="00B03B9D"/>
    <w:rsid w:val="00B03C30"/>
    <w:rsid w:val="00B03DE9"/>
    <w:rsid w:val="00B03FD5"/>
    <w:rsid w:val="00B04231"/>
    <w:rsid w:val="00B04EF2"/>
    <w:rsid w:val="00B0507A"/>
    <w:rsid w:val="00B052BF"/>
    <w:rsid w:val="00B056EE"/>
    <w:rsid w:val="00B05715"/>
    <w:rsid w:val="00B057BB"/>
    <w:rsid w:val="00B0580F"/>
    <w:rsid w:val="00B05BF3"/>
    <w:rsid w:val="00B05D61"/>
    <w:rsid w:val="00B05EBF"/>
    <w:rsid w:val="00B05FBD"/>
    <w:rsid w:val="00B0674E"/>
    <w:rsid w:val="00B06854"/>
    <w:rsid w:val="00B070E8"/>
    <w:rsid w:val="00B0766F"/>
    <w:rsid w:val="00B07A8C"/>
    <w:rsid w:val="00B07DB5"/>
    <w:rsid w:val="00B103AC"/>
    <w:rsid w:val="00B10962"/>
    <w:rsid w:val="00B10D84"/>
    <w:rsid w:val="00B10D9D"/>
    <w:rsid w:val="00B10DF3"/>
    <w:rsid w:val="00B11437"/>
    <w:rsid w:val="00B11907"/>
    <w:rsid w:val="00B119F2"/>
    <w:rsid w:val="00B11B08"/>
    <w:rsid w:val="00B11B80"/>
    <w:rsid w:val="00B11B92"/>
    <w:rsid w:val="00B121CE"/>
    <w:rsid w:val="00B1283C"/>
    <w:rsid w:val="00B12875"/>
    <w:rsid w:val="00B12A05"/>
    <w:rsid w:val="00B12D08"/>
    <w:rsid w:val="00B13054"/>
    <w:rsid w:val="00B130D5"/>
    <w:rsid w:val="00B13AFE"/>
    <w:rsid w:val="00B13B3B"/>
    <w:rsid w:val="00B13BEE"/>
    <w:rsid w:val="00B13CC8"/>
    <w:rsid w:val="00B143AB"/>
    <w:rsid w:val="00B144CF"/>
    <w:rsid w:val="00B1451A"/>
    <w:rsid w:val="00B1479B"/>
    <w:rsid w:val="00B14822"/>
    <w:rsid w:val="00B14881"/>
    <w:rsid w:val="00B14A7F"/>
    <w:rsid w:val="00B14B3B"/>
    <w:rsid w:val="00B14F41"/>
    <w:rsid w:val="00B156A2"/>
    <w:rsid w:val="00B157F8"/>
    <w:rsid w:val="00B15BA3"/>
    <w:rsid w:val="00B15BA9"/>
    <w:rsid w:val="00B15ECF"/>
    <w:rsid w:val="00B15FA4"/>
    <w:rsid w:val="00B15FCA"/>
    <w:rsid w:val="00B1616E"/>
    <w:rsid w:val="00B16335"/>
    <w:rsid w:val="00B164AA"/>
    <w:rsid w:val="00B1699D"/>
    <w:rsid w:val="00B169BF"/>
    <w:rsid w:val="00B16AC3"/>
    <w:rsid w:val="00B16D72"/>
    <w:rsid w:val="00B1730F"/>
    <w:rsid w:val="00B1760F"/>
    <w:rsid w:val="00B176A6"/>
    <w:rsid w:val="00B176BA"/>
    <w:rsid w:val="00B177D6"/>
    <w:rsid w:val="00B17B89"/>
    <w:rsid w:val="00B17EBE"/>
    <w:rsid w:val="00B20301"/>
    <w:rsid w:val="00B21CF7"/>
    <w:rsid w:val="00B21D0F"/>
    <w:rsid w:val="00B21D19"/>
    <w:rsid w:val="00B21F37"/>
    <w:rsid w:val="00B2221D"/>
    <w:rsid w:val="00B22383"/>
    <w:rsid w:val="00B22B0C"/>
    <w:rsid w:val="00B22CE1"/>
    <w:rsid w:val="00B22E18"/>
    <w:rsid w:val="00B23542"/>
    <w:rsid w:val="00B2381A"/>
    <w:rsid w:val="00B24070"/>
    <w:rsid w:val="00B24D57"/>
    <w:rsid w:val="00B2555D"/>
    <w:rsid w:val="00B2570A"/>
    <w:rsid w:val="00B25799"/>
    <w:rsid w:val="00B258C8"/>
    <w:rsid w:val="00B25AB1"/>
    <w:rsid w:val="00B25F82"/>
    <w:rsid w:val="00B269DE"/>
    <w:rsid w:val="00B26F96"/>
    <w:rsid w:val="00B27099"/>
    <w:rsid w:val="00B271A4"/>
    <w:rsid w:val="00B27623"/>
    <w:rsid w:val="00B27756"/>
    <w:rsid w:val="00B27BF8"/>
    <w:rsid w:val="00B30011"/>
    <w:rsid w:val="00B30139"/>
    <w:rsid w:val="00B305BB"/>
    <w:rsid w:val="00B30768"/>
    <w:rsid w:val="00B307C1"/>
    <w:rsid w:val="00B30B82"/>
    <w:rsid w:val="00B30D14"/>
    <w:rsid w:val="00B31106"/>
    <w:rsid w:val="00B311F4"/>
    <w:rsid w:val="00B311FF"/>
    <w:rsid w:val="00B3158F"/>
    <w:rsid w:val="00B31980"/>
    <w:rsid w:val="00B31A22"/>
    <w:rsid w:val="00B31B11"/>
    <w:rsid w:val="00B31D59"/>
    <w:rsid w:val="00B3208A"/>
    <w:rsid w:val="00B32526"/>
    <w:rsid w:val="00B327E9"/>
    <w:rsid w:val="00B32F97"/>
    <w:rsid w:val="00B32FBF"/>
    <w:rsid w:val="00B33342"/>
    <w:rsid w:val="00B33367"/>
    <w:rsid w:val="00B333C2"/>
    <w:rsid w:val="00B33652"/>
    <w:rsid w:val="00B33C14"/>
    <w:rsid w:val="00B34086"/>
    <w:rsid w:val="00B3440A"/>
    <w:rsid w:val="00B3465F"/>
    <w:rsid w:val="00B347B9"/>
    <w:rsid w:val="00B34A1E"/>
    <w:rsid w:val="00B352C8"/>
    <w:rsid w:val="00B3577D"/>
    <w:rsid w:val="00B35820"/>
    <w:rsid w:val="00B35C1A"/>
    <w:rsid w:val="00B35C1B"/>
    <w:rsid w:val="00B35CC6"/>
    <w:rsid w:val="00B3653D"/>
    <w:rsid w:val="00B36877"/>
    <w:rsid w:val="00B36C7A"/>
    <w:rsid w:val="00B3734D"/>
    <w:rsid w:val="00B374F7"/>
    <w:rsid w:val="00B37A89"/>
    <w:rsid w:val="00B37C7F"/>
    <w:rsid w:val="00B37CE7"/>
    <w:rsid w:val="00B37D24"/>
    <w:rsid w:val="00B37E00"/>
    <w:rsid w:val="00B40044"/>
    <w:rsid w:val="00B4008A"/>
    <w:rsid w:val="00B40602"/>
    <w:rsid w:val="00B40A83"/>
    <w:rsid w:val="00B40C8A"/>
    <w:rsid w:val="00B4172D"/>
    <w:rsid w:val="00B41D86"/>
    <w:rsid w:val="00B429EC"/>
    <w:rsid w:val="00B42E7F"/>
    <w:rsid w:val="00B434DA"/>
    <w:rsid w:val="00B43DFF"/>
    <w:rsid w:val="00B442DE"/>
    <w:rsid w:val="00B44347"/>
    <w:rsid w:val="00B44A5A"/>
    <w:rsid w:val="00B44D36"/>
    <w:rsid w:val="00B44E0C"/>
    <w:rsid w:val="00B44E8B"/>
    <w:rsid w:val="00B454D8"/>
    <w:rsid w:val="00B45A1C"/>
    <w:rsid w:val="00B45B2A"/>
    <w:rsid w:val="00B45BEE"/>
    <w:rsid w:val="00B45C63"/>
    <w:rsid w:val="00B45CF0"/>
    <w:rsid w:val="00B45DCB"/>
    <w:rsid w:val="00B4639E"/>
    <w:rsid w:val="00B464A2"/>
    <w:rsid w:val="00B4710C"/>
    <w:rsid w:val="00B473E8"/>
    <w:rsid w:val="00B4793B"/>
    <w:rsid w:val="00B50320"/>
    <w:rsid w:val="00B50602"/>
    <w:rsid w:val="00B50604"/>
    <w:rsid w:val="00B5091D"/>
    <w:rsid w:val="00B5091F"/>
    <w:rsid w:val="00B513DC"/>
    <w:rsid w:val="00B51835"/>
    <w:rsid w:val="00B521EB"/>
    <w:rsid w:val="00B522C1"/>
    <w:rsid w:val="00B526F6"/>
    <w:rsid w:val="00B52BC0"/>
    <w:rsid w:val="00B52C5F"/>
    <w:rsid w:val="00B52F62"/>
    <w:rsid w:val="00B53416"/>
    <w:rsid w:val="00B537F3"/>
    <w:rsid w:val="00B53C2B"/>
    <w:rsid w:val="00B54090"/>
    <w:rsid w:val="00B5434F"/>
    <w:rsid w:val="00B5482A"/>
    <w:rsid w:val="00B549CA"/>
    <w:rsid w:val="00B54B97"/>
    <w:rsid w:val="00B550BA"/>
    <w:rsid w:val="00B552D8"/>
    <w:rsid w:val="00B553EB"/>
    <w:rsid w:val="00B55670"/>
    <w:rsid w:val="00B55685"/>
    <w:rsid w:val="00B5572F"/>
    <w:rsid w:val="00B55757"/>
    <w:rsid w:val="00B5586D"/>
    <w:rsid w:val="00B55ECE"/>
    <w:rsid w:val="00B56A57"/>
    <w:rsid w:val="00B56AAA"/>
    <w:rsid w:val="00B56C9E"/>
    <w:rsid w:val="00B571EA"/>
    <w:rsid w:val="00B573E0"/>
    <w:rsid w:val="00B57583"/>
    <w:rsid w:val="00B57807"/>
    <w:rsid w:val="00B578D4"/>
    <w:rsid w:val="00B57CDB"/>
    <w:rsid w:val="00B60132"/>
    <w:rsid w:val="00B6021F"/>
    <w:rsid w:val="00B602BB"/>
    <w:rsid w:val="00B6067C"/>
    <w:rsid w:val="00B60692"/>
    <w:rsid w:val="00B60C85"/>
    <w:rsid w:val="00B6106D"/>
    <w:rsid w:val="00B610B3"/>
    <w:rsid w:val="00B61119"/>
    <w:rsid w:val="00B61A66"/>
    <w:rsid w:val="00B61BD2"/>
    <w:rsid w:val="00B62064"/>
    <w:rsid w:val="00B6248F"/>
    <w:rsid w:val="00B62B80"/>
    <w:rsid w:val="00B632FE"/>
    <w:rsid w:val="00B633E8"/>
    <w:rsid w:val="00B63546"/>
    <w:rsid w:val="00B6367E"/>
    <w:rsid w:val="00B6384E"/>
    <w:rsid w:val="00B63A2D"/>
    <w:rsid w:val="00B64103"/>
    <w:rsid w:val="00B64455"/>
    <w:rsid w:val="00B649EF"/>
    <w:rsid w:val="00B64F69"/>
    <w:rsid w:val="00B64FF3"/>
    <w:rsid w:val="00B6501D"/>
    <w:rsid w:val="00B658F7"/>
    <w:rsid w:val="00B65A9C"/>
    <w:rsid w:val="00B65BFD"/>
    <w:rsid w:val="00B6601E"/>
    <w:rsid w:val="00B66D64"/>
    <w:rsid w:val="00B66F48"/>
    <w:rsid w:val="00B6708D"/>
    <w:rsid w:val="00B67975"/>
    <w:rsid w:val="00B67B32"/>
    <w:rsid w:val="00B67E40"/>
    <w:rsid w:val="00B701DE"/>
    <w:rsid w:val="00B703E7"/>
    <w:rsid w:val="00B7070C"/>
    <w:rsid w:val="00B70723"/>
    <w:rsid w:val="00B70760"/>
    <w:rsid w:val="00B707F5"/>
    <w:rsid w:val="00B70A78"/>
    <w:rsid w:val="00B70C71"/>
    <w:rsid w:val="00B70F82"/>
    <w:rsid w:val="00B71099"/>
    <w:rsid w:val="00B7131D"/>
    <w:rsid w:val="00B7165C"/>
    <w:rsid w:val="00B7169C"/>
    <w:rsid w:val="00B717BF"/>
    <w:rsid w:val="00B71D2E"/>
    <w:rsid w:val="00B71FC2"/>
    <w:rsid w:val="00B7262A"/>
    <w:rsid w:val="00B72E3C"/>
    <w:rsid w:val="00B7338D"/>
    <w:rsid w:val="00B7364B"/>
    <w:rsid w:val="00B73AFC"/>
    <w:rsid w:val="00B73BF7"/>
    <w:rsid w:val="00B73C97"/>
    <w:rsid w:val="00B746EE"/>
    <w:rsid w:val="00B74794"/>
    <w:rsid w:val="00B748FC"/>
    <w:rsid w:val="00B74ABD"/>
    <w:rsid w:val="00B74FDB"/>
    <w:rsid w:val="00B74FE1"/>
    <w:rsid w:val="00B752B9"/>
    <w:rsid w:val="00B75B53"/>
    <w:rsid w:val="00B75BC6"/>
    <w:rsid w:val="00B75E31"/>
    <w:rsid w:val="00B75E8C"/>
    <w:rsid w:val="00B768D1"/>
    <w:rsid w:val="00B76A48"/>
    <w:rsid w:val="00B76B05"/>
    <w:rsid w:val="00B76C0C"/>
    <w:rsid w:val="00B771D2"/>
    <w:rsid w:val="00B777F0"/>
    <w:rsid w:val="00B77853"/>
    <w:rsid w:val="00B779EC"/>
    <w:rsid w:val="00B77ACD"/>
    <w:rsid w:val="00B77B5B"/>
    <w:rsid w:val="00B77E75"/>
    <w:rsid w:val="00B80004"/>
    <w:rsid w:val="00B80192"/>
    <w:rsid w:val="00B802EF"/>
    <w:rsid w:val="00B80331"/>
    <w:rsid w:val="00B806A6"/>
    <w:rsid w:val="00B80A7F"/>
    <w:rsid w:val="00B81183"/>
    <w:rsid w:val="00B811CC"/>
    <w:rsid w:val="00B811E1"/>
    <w:rsid w:val="00B81577"/>
    <w:rsid w:val="00B817CB"/>
    <w:rsid w:val="00B817CD"/>
    <w:rsid w:val="00B820FC"/>
    <w:rsid w:val="00B8234E"/>
    <w:rsid w:val="00B829CD"/>
    <w:rsid w:val="00B82E51"/>
    <w:rsid w:val="00B82F72"/>
    <w:rsid w:val="00B8305B"/>
    <w:rsid w:val="00B830CA"/>
    <w:rsid w:val="00B832CA"/>
    <w:rsid w:val="00B83664"/>
    <w:rsid w:val="00B839F7"/>
    <w:rsid w:val="00B83A7C"/>
    <w:rsid w:val="00B83ADA"/>
    <w:rsid w:val="00B83B64"/>
    <w:rsid w:val="00B83BE1"/>
    <w:rsid w:val="00B83CDF"/>
    <w:rsid w:val="00B83F6B"/>
    <w:rsid w:val="00B841C9"/>
    <w:rsid w:val="00B843F0"/>
    <w:rsid w:val="00B84A31"/>
    <w:rsid w:val="00B84E8A"/>
    <w:rsid w:val="00B85709"/>
    <w:rsid w:val="00B8572C"/>
    <w:rsid w:val="00B85844"/>
    <w:rsid w:val="00B85B48"/>
    <w:rsid w:val="00B86076"/>
    <w:rsid w:val="00B86391"/>
    <w:rsid w:val="00B866C6"/>
    <w:rsid w:val="00B8672A"/>
    <w:rsid w:val="00B868C0"/>
    <w:rsid w:val="00B86B25"/>
    <w:rsid w:val="00B86C3F"/>
    <w:rsid w:val="00B86DF0"/>
    <w:rsid w:val="00B86F9F"/>
    <w:rsid w:val="00B8757C"/>
    <w:rsid w:val="00B878CE"/>
    <w:rsid w:val="00B900A0"/>
    <w:rsid w:val="00B9032C"/>
    <w:rsid w:val="00B90403"/>
    <w:rsid w:val="00B907E3"/>
    <w:rsid w:val="00B90FBF"/>
    <w:rsid w:val="00B911C8"/>
    <w:rsid w:val="00B91569"/>
    <w:rsid w:val="00B9182A"/>
    <w:rsid w:val="00B91A56"/>
    <w:rsid w:val="00B91AD2"/>
    <w:rsid w:val="00B91FF8"/>
    <w:rsid w:val="00B92246"/>
    <w:rsid w:val="00B924BC"/>
    <w:rsid w:val="00B92D8B"/>
    <w:rsid w:val="00B92F0E"/>
    <w:rsid w:val="00B93275"/>
    <w:rsid w:val="00B93399"/>
    <w:rsid w:val="00B93870"/>
    <w:rsid w:val="00B93ACD"/>
    <w:rsid w:val="00B93D21"/>
    <w:rsid w:val="00B93FB7"/>
    <w:rsid w:val="00B940D8"/>
    <w:rsid w:val="00B94480"/>
    <w:rsid w:val="00B945A6"/>
    <w:rsid w:val="00B9492A"/>
    <w:rsid w:val="00B94D5E"/>
    <w:rsid w:val="00B94FE1"/>
    <w:rsid w:val="00B952F5"/>
    <w:rsid w:val="00B95437"/>
    <w:rsid w:val="00B9547E"/>
    <w:rsid w:val="00B957C8"/>
    <w:rsid w:val="00B95974"/>
    <w:rsid w:val="00B95975"/>
    <w:rsid w:val="00B95A11"/>
    <w:rsid w:val="00B95A50"/>
    <w:rsid w:val="00B95B3C"/>
    <w:rsid w:val="00B96508"/>
    <w:rsid w:val="00B966C7"/>
    <w:rsid w:val="00B966FC"/>
    <w:rsid w:val="00B968C0"/>
    <w:rsid w:val="00B96CF4"/>
    <w:rsid w:val="00B96DB2"/>
    <w:rsid w:val="00B96F93"/>
    <w:rsid w:val="00B97237"/>
    <w:rsid w:val="00B9747C"/>
    <w:rsid w:val="00B9758E"/>
    <w:rsid w:val="00B976B9"/>
    <w:rsid w:val="00B9784C"/>
    <w:rsid w:val="00B9789C"/>
    <w:rsid w:val="00BA0920"/>
    <w:rsid w:val="00BA0C8E"/>
    <w:rsid w:val="00BA0E25"/>
    <w:rsid w:val="00BA0F95"/>
    <w:rsid w:val="00BA10F3"/>
    <w:rsid w:val="00BA11FD"/>
    <w:rsid w:val="00BA127C"/>
    <w:rsid w:val="00BA1360"/>
    <w:rsid w:val="00BA1A69"/>
    <w:rsid w:val="00BA1ABB"/>
    <w:rsid w:val="00BA1F3C"/>
    <w:rsid w:val="00BA1F93"/>
    <w:rsid w:val="00BA20F8"/>
    <w:rsid w:val="00BA2536"/>
    <w:rsid w:val="00BA27F6"/>
    <w:rsid w:val="00BA295C"/>
    <w:rsid w:val="00BA2B49"/>
    <w:rsid w:val="00BA2C33"/>
    <w:rsid w:val="00BA313A"/>
    <w:rsid w:val="00BA3154"/>
    <w:rsid w:val="00BA373E"/>
    <w:rsid w:val="00BA3B7B"/>
    <w:rsid w:val="00BA3C84"/>
    <w:rsid w:val="00BA4015"/>
    <w:rsid w:val="00BA44DB"/>
    <w:rsid w:val="00BA4624"/>
    <w:rsid w:val="00BA4C51"/>
    <w:rsid w:val="00BA547A"/>
    <w:rsid w:val="00BA57AF"/>
    <w:rsid w:val="00BA580A"/>
    <w:rsid w:val="00BA58BA"/>
    <w:rsid w:val="00BA59A4"/>
    <w:rsid w:val="00BA5A6A"/>
    <w:rsid w:val="00BA5D6B"/>
    <w:rsid w:val="00BA5F71"/>
    <w:rsid w:val="00BA61D7"/>
    <w:rsid w:val="00BA6268"/>
    <w:rsid w:val="00BA70D5"/>
    <w:rsid w:val="00BA7770"/>
    <w:rsid w:val="00BA7A1C"/>
    <w:rsid w:val="00BA7C7C"/>
    <w:rsid w:val="00BA7D11"/>
    <w:rsid w:val="00BB0844"/>
    <w:rsid w:val="00BB094B"/>
    <w:rsid w:val="00BB0961"/>
    <w:rsid w:val="00BB0AC4"/>
    <w:rsid w:val="00BB0F03"/>
    <w:rsid w:val="00BB0F1E"/>
    <w:rsid w:val="00BB0F7A"/>
    <w:rsid w:val="00BB14C7"/>
    <w:rsid w:val="00BB1551"/>
    <w:rsid w:val="00BB1740"/>
    <w:rsid w:val="00BB1757"/>
    <w:rsid w:val="00BB1BE7"/>
    <w:rsid w:val="00BB1FBE"/>
    <w:rsid w:val="00BB24ED"/>
    <w:rsid w:val="00BB292C"/>
    <w:rsid w:val="00BB2AA2"/>
    <w:rsid w:val="00BB2EB9"/>
    <w:rsid w:val="00BB33B8"/>
    <w:rsid w:val="00BB3526"/>
    <w:rsid w:val="00BB3704"/>
    <w:rsid w:val="00BB37A0"/>
    <w:rsid w:val="00BB38E0"/>
    <w:rsid w:val="00BB3BCF"/>
    <w:rsid w:val="00BB3C65"/>
    <w:rsid w:val="00BB4145"/>
    <w:rsid w:val="00BB4753"/>
    <w:rsid w:val="00BB49A3"/>
    <w:rsid w:val="00BB4E5C"/>
    <w:rsid w:val="00BB4F17"/>
    <w:rsid w:val="00BB56B3"/>
    <w:rsid w:val="00BB59CA"/>
    <w:rsid w:val="00BB5B72"/>
    <w:rsid w:val="00BB5DA9"/>
    <w:rsid w:val="00BB60E0"/>
    <w:rsid w:val="00BB6A83"/>
    <w:rsid w:val="00BB7167"/>
    <w:rsid w:val="00BB733E"/>
    <w:rsid w:val="00BB74F5"/>
    <w:rsid w:val="00BB7882"/>
    <w:rsid w:val="00BC05AA"/>
    <w:rsid w:val="00BC0D5A"/>
    <w:rsid w:val="00BC1424"/>
    <w:rsid w:val="00BC1547"/>
    <w:rsid w:val="00BC18B3"/>
    <w:rsid w:val="00BC1C2C"/>
    <w:rsid w:val="00BC1E5E"/>
    <w:rsid w:val="00BC1FD9"/>
    <w:rsid w:val="00BC1FF2"/>
    <w:rsid w:val="00BC214C"/>
    <w:rsid w:val="00BC27A9"/>
    <w:rsid w:val="00BC306D"/>
    <w:rsid w:val="00BC3122"/>
    <w:rsid w:val="00BC32C9"/>
    <w:rsid w:val="00BC3965"/>
    <w:rsid w:val="00BC3B63"/>
    <w:rsid w:val="00BC3E2F"/>
    <w:rsid w:val="00BC3F75"/>
    <w:rsid w:val="00BC3FBC"/>
    <w:rsid w:val="00BC4020"/>
    <w:rsid w:val="00BC4674"/>
    <w:rsid w:val="00BC4695"/>
    <w:rsid w:val="00BC48C2"/>
    <w:rsid w:val="00BC4966"/>
    <w:rsid w:val="00BC4D84"/>
    <w:rsid w:val="00BC5155"/>
    <w:rsid w:val="00BC515C"/>
    <w:rsid w:val="00BC523F"/>
    <w:rsid w:val="00BC5271"/>
    <w:rsid w:val="00BC5865"/>
    <w:rsid w:val="00BC5BE3"/>
    <w:rsid w:val="00BC5BE9"/>
    <w:rsid w:val="00BC5E31"/>
    <w:rsid w:val="00BC63AE"/>
    <w:rsid w:val="00BC6AB2"/>
    <w:rsid w:val="00BC6CEB"/>
    <w:rsid w:val="00BC739C"/>
    <w:rsid w:val="00BC7796"/>
    <w:rsid w:val="00BC7AE0"/>
    <w:rsid w:val="00BC7C91"/>
    <w:rsid w:val="00BC7D07"/>
    <w:rsid w:val="00BC7D40"/>
    <w:rsid w:val="00BD038F"/>
    <w:rsid w:val="00BD05F9"/>
    <w:rsid w:val="00BD0793"/>
    <w:rsid w:val="00BD0794"/>
    <w:rsid w:val="00BD0A89"/>
    <w:rsid w:val="00BD0D4D"/>
    <w:rsid w:val="00BD0F0B"/>
    <w:rsid w:val="00BD0FB8"/>
    <w:rsid w:val="00BD163D"/>
    <w:rsid w:val="00BD1DCF"/>
    <w:rsid w:val="00BD1E43"/>
    <w:rsid w:val="00BD2111"/>
    <w:rsid w:val="00BD22E9"/>
    <w:rsid w:val="00BD24EE"/>
    <w:rsid w:val="00BD252E"/>
    <w:rsid w:val="00BD2F45"/>
    <w:rsid w:val="00BD3139"/>
    <w:rsid w:val="00BD3553"/>
    <w:rsid w:val="00BD386D"/>
    <w:rsid w:val="00BD41B7"/>
    <w:rsid w:val="00BD4231"/>
    <w:rsid w:val="00BD4663"/>
    <w:rsid w:val="00BD4715"/>
    <w:rsid w:val="00BD4F41"/>
    <w:rsid w:val="00BD4FBE"/>
    <w:rsid w:val="00BD50F9"/>
    <w:rsid w:val="00BD57CD"/>
    <w:rsid w:val="00BD5B6A"/>
    <w:rsid w:val="00BD5D5B"/>
    <w:rsid w:val="00BD5E26"/>
    <w:rsid w:val="00BD600C"/>
    <w:rsid w:val="00BD6146"/>
    <w:rsid w:val="00BD659F"/>
    <w:rsid w:val="00BD697E"/>
    <w:rsid w:val="00BD6B45"/>
    <w:rsid w:val="00BD7164"/>
    <w:rsid w:val="00BD75B2"/>
    <w:rsid w:val="00BD7994"/>
    <w:rsid w:val="00BD7FBE"/>
    <w:rsid w:val="00BE03F2"/>
    <w:rsid w:val="00BE062F"/>
    <w:rsid w:val="00BE0655"/>
    <w:rsid w:val="00BE0DBA"/>
    <w:rsid w:val="00BE0DDB"/>
    <w:rsid w:val="00BE16E9"/>
    <w:rsid w:val="00BE1828"/>
    <w:rsid w:val="00BE1850"/>
    <w:rsid w:val="00BE1B04"/>
    <w:rsid w:val="00BE1B06"/>
    <w:rsid w:val="00BE1DE5"/>
    <w:rsid w:val="00BE210E"/>
    <w:rsid w:val="00BE229C"/>
    <w:rsid w:val="00BE240E"/>
    <w:rsid w:val="00BE3728"/>
    <w:rsid w:val="00BE375D"/>
    <w:rsid w:val="00BE37B8"/>
    <w:rsid w:val="00BE3872"/>
    <w:rsid w:val="00BE396B"/>
    <w:rsid w:val="00BE3F06"/>
    <w:rsid w:val="00BE3F2A"/>
    <w:rsid w:val="00BE4223"/>
    <w:rsid w:val="00BE4684"/>
    <w:rsid w:val="00BE46C8"/>
    <w:rsid w:val="00BE4950"/>
    <w:rsid w:val="00BE4A7A"/>
    <w:rsid w:val="00BE4B76"/>
    <w:rsid w:val="00BE4E16"/>
    <w:rsid w:val="00BE501F"/>
    <w:rsid w:val="00BE50E3"/>
    <w:rsid w:val="00BE5E50"/>
    <w:rsid w:val="00BE6916"/>
    <w:rsid w:val="00BE6A2D"/>
    <w:rsid w:val="00BE6B2E"/>
    <w:rsid w:val="00BE6FDF"/>
    <w:rsid w:val="00BE6FED"/>
    <w:rsid w:val="00BE722B"/>
    <w:rsid w:val="00BE7845"/>
    <w:rsid w:val="00BF01C3"/>
    <w:rsid w:val="00BF01CD"/>
    <w:rsid w:val="00BF01E2"/>
    <w:rsid w:val="00BF03CD"/>
    <w:rsid w:val="00BF04BA"/>
    <w:rsid w:val="00BF0626"/>
    <w:rsid w:val="00BF097E"/>
    <w:rsid w:val="00BF0B9E"/>
    <w:rsid w:val="00BF1286"/>
    <w:rsid w:val="00BF14A4"/>
    <w:rsid w:val="00BF163C"/>
    <w:rsid w:val="00BF17A0"/>
    <w:rsid w:val="00BF1897"/>
    <w:rsid w:val="00BF1C7F"/>
    <w:rsid w:val="00BF1E05"/>
    <w:rsid w:val="00BF1EC4"/>
    <w:rsid w:val="00BF2043"/>
    <w:rsid w:val="00BF2144"/>
    <w:rsid w:val="00BF2790"/>
    <w:rsid w:val="00BF2DA2"/>
    <w:rsid w:val="00BF305F"/>
    <w:rsid w:val="00BF30B5"/>
    <w:rsid w:val="00BF3B80"/>
    <w:rsid w:val="00BF403A"/>
    <w:rsid w:val="00BF4175"/>
    <w:rsid w:val="00BF42DA"/>
    <w:rsid w:val="00BF437E"/>
    <w:rsid w:val="00BF462C"/>
    <w:rsid w:val="00BF47E0"/>
    <w:rsid w:val="00BF4A88"/>
    <w:rsid w:val="00BF502B"/>
    <w:rsid w:val="00BF56F2"/>
    <w:rsid w:val="00BF598A"/>
    <w:rsid w:val="00BF61B1"/>
    <w:rsid w:val="00BF6C77"/>
    <w:rsid w:val="00BF6DE4"/>
    <w:rsid w:val="00BF6E98"/>
    <w:rsid w:val="00BF72AA"/>
    <w:rsid w:val="00BF7779"/>
    <w:rsid w:val="00BF792C"/>
    <w:rsid w:val="00BF7C74"/>
    <w:rsid w:val="00BF7F5B"/>
    <w:rsid w:val="00C000F3"/>
    <w:rsid w:val="00C00924"/>
    <w:rsid w:val="00C01397"/>
    <w:rsid w:val="00C015D8"/>
    <w:rsid w:val="00C017F8"/>
    <w:rsid w:val="00C01806"/>
    <w:rsid w:val="00C01CCE"/>
    <w:rsid w:val="00C02126"/>
    <w:rsid w:val="00C0304C"/>
    <w:rsid w:val="00C034FB"/>
    <w:rsid w:val="00C03605"/>
    <w:rsid w:val="00C036A2"/>
    <w:rsid w:val="00C04041"/>
    <w:rsid w:val="00C04374"/>
    <w:rsid w:val="00C0471E"/>
    <w:rsid w:val="00C047DF"/>
    <w:rsid w:val="00C04AD4"/>
    <w:rsid w:val="00C04D6B"/>
    <w:rsid w:val="00C04E9F"/>
    <w:rsid w:val="00C0532C"/>
    <w:rsid w:val="00C05334"/>
    <w:rsid w:val="00C05781"/>
    <w:rsid w:val="00C059DA"/>
    <w:rsid w:val="00C05B65"/>
    <w:rsid w:val="00C05DE3"/>
    <w:rsid w:val="00C0614E"/>
    <w:rsid w:val="00C0672C"/>
    <w:rsid w:val="00C069EF"/>
    <w:rsid w:val="00C06B01"/>
    <w:rsid w:val="00C06D60"/>
    <w:rsid w:val="00C07AD8"/>
    <w:rsid w:val="00C07D1D"/>
    <w:rsid w:val="00C07FF3"/>
    <w:rsid w:val="00C07FFD"/>
    <w:rsid w:val="00C100D5"/>
    <w:rsid w:val="00C1015B"/>
    <w:rsid w:val="00C10258"/>
    <w:rsid w:val="00C10271"/>
    <w:rsid w:val="00C1043B"/>
    <w:rsid w:val="00C110FC"/>
    <w:rsid w:val="00C1143A"/>
    <w:rsid w:val="00C11504"/>
    <w:rsid w:val="00C116C9"/>
    <w:rsid w:val="00C11721"/>
    <w:rsid w:val="00C11D92"/>
    <w:rsid w:val="00C121BE"/>
    <w:rsid w:val="00C12563"/>
    <w:rsid w:val="00C1258D"/>
    <w:rsid w:val="00C12731"/>
    <w:rsid w:val="00C129CC"/>
    <w:rsid w:val="00C12C7C"/>
    <w:rsid w:val="00C12D30"/>
    <w:rsid w:val="00C13065"/>
    <w:rsid w:val="00C13265"/>
    <w:rsid w:val="00C13AC4"/>
    <w:rsid w:val="00C13D37"/>
    <w:rsid w:val="00C13E19"/>
    <w:rsid w:val="00C146D3"/>
    <w:rsid w:val="00C147D2"/>
    <w:rsid w:val="00C14B23"/>
    <w:rsid w:val="00C14BE1"/>
    <w:rsid w:val="00C14CCB"/>
    <w:rsid w:val="00C14D4A"/>
    <w:rsid w:val="00C14EC8"/>
    <w:rsid w:val="00C15307"/>
    <w:rsid w:val="00C15310"/>
    <w:rsid w:val="00C15339"/>
    <w:rsid w:val="00C154B6"/>
    <w:rsid w:val="00C15E76"/>
    <w:rsid w:val="00C1643B"/>
    <w:rsid w:val="00C1699A"/>
    <w:rsid w:val="00C16BD5"/>
    <w:rsid w:val="00C16D4B"/>
    <w:rsid w:val="00C16FF1"/>
    <w:rsid w:val="00C170A4"/>
    <w:rsid w:val="00C174C8"/>
    <w:rsid w:val="00C1770E"/>
    <w:rsid w:val="00C17BDA"/>
    <w:rsid w:val="00C17D00"/>
    <w:rsid w:val="00C17F00"/>
    <w:rsid w:val="00C200F1"/>
    <w:rsid w:val="00C20944"/>
    <w:rsid w:val="00C20995"/>
    <w:rsid w:val="00C20E51"/>
    <w:rsid w:val="00C20E54"/>
    <w:rsid w:val="00C2129F"/>
    <w:rsid w:val="00C2178E"/>
    <w:rsid w:val="00C21B2A"/>
    <w:rsid w:val="00C21BBF"/>
    <w:rsid w:val="00C21C37"/>
    <w:rsid w:val="00C21E64"/>
    <w:rsid w:val="00C21F35"/>
    <w:rsid w:val="00C22054"/>
    <w:rsid w:val="00C224B4"/>
    <w:rsid w:val="00C229A5"/>
    <w:rsid w:val="00C22D31"/>
    <w:rsid w:val="00C22D7C"/>
    <w:rsid w:val="00C22EB1"/>
    <w:rsid w:val="00C2368D"/>
    <w:rsid w:val="00C238E9"/>
    <w:rsid w:val="00C23CBE"/>
    <w:rsid w:val="00C23DFD"/>
    <w:rsid w:val="00C24007"/>
    <w:rsid w:val="00C24A82"/>
    <w:rsid w:val="00C24DD5"/>
    <w:rsid w:val="00C2591D"/>
    <w:rsid w:val="00C25C9E"/>
    <w:rsid w:val="00C25E3F"/>
    <w:rsid w:val="00C26020"/>
    <w:rsid w:val="00C26698"/>
    <w:rsid w:val="00C267B9"/>
    <w:rsid w:val="00C2697F"/>
    <w:rsid w:val="00C26B6F"/>
    <w:rsid w:val="00C274A8"/>
    <w:rsid w:val="00C27E9C"/>
    <w:rsid w:val="00C30084"/>
    <w:rsid w:val="00C302F0"/>
    <w:rsid w:val="00C30369"/>
    <w:rsid w:val="00C305D7"/>
    <w:rsid w:val="00C3091B"/>
    <w:rsid w:val="00C309C1"/>
    <w:rsid w:val="00C30E38"/>
    <w:rsid w:val="00C3106B"/>
    <w:rsid w:val="00C31431"/>
    <w:rsid w:val="00C31575"/>
    <w:rsid w:val="00C3163D"/>
    <w:rsid w:val="00C3187F"/>
    <w:rsid w:val="00C31BCE"/>
    <w:rsid w:val="00C31D65"/>
    <w:rsid w:val="00C32604"/>
    <w:rsid w:val="00C3282D"/>
    <w:rsid w:val="00C329BD"/>
    <w:rsid w:val="00C32F9C"/>
    <w:rsid w:val="00C3324D"/>
    <w:rsid w:val="00C33294"/>
    <w:rsid w:val="00C33A76"/>
    <w:rsid w:val="00C33A82"/>
    <w:rsid w:val="00C33CFA"/>
    <w:rsid w:val="00C3423B"/>
    <w:rsid w:val="00C349DB"/>
    <w:rsid w:val="00C34C65"/>
    <w:rsid w:val="00C34D0F"/>
    <w:rsid w:val="00C3510C"/>
    <w:rsid w:val="00C35262"/>
    <w:rsid w:val="00C35809"/>
    <w:rsid w:val="00C35CA0"/>
    <w:rsid w:val="00C35D1A"/>
    <w:rsid w:val="00C35D5C"/>
    <w:rsid w:val="00C35E36"/>
    <w:rsid w:val="00C35F03"/>
    <w:rsid w:val="00C36776"/>
    <w:rsid w:val="00C36A78"/>
    <w:rsid w:val="00C36B94"/>
    <w:rsid w:val="00C36D3B"/>
    <w:rsid w:val="00C370CD"/>
    <w:rsid w:val="00C37224"/>
    <w:rsid w:val="00C37647"/>
    <w:rsid w:val="00C37BEE"/>
    <w:rsid w:val="00C37E6E"/>
    <w:rsid w:val="00C37EF9"/>
    <w:rsid w:val="00C37F7E"/>
    <w:rsid w:val="00C404B4"/>
    <w:rsid w:val="00C404DC"/>
    <w:rsid w:val="00C406C6"/>
    <w:rsid w:val="00C40EF4"/>
    <w:rsid w:val="00C40F30"/>
    <w:rsid w:val="00C40FC4"/>
    <w:rsid w:val="00C4127D"/>
    <w:rsid w:val="00C41378"/>
    <w:rsid w:val="00C41E3E"/>
    <w:rsid w:val="00C41ECA"/>
    <w:rsid w:val="00C424A1"/>
    <w:rsid w:val="00C42781"/>
    <w:rsid w:val="00C42994"/>
    <w:rsid w:val="00C43410"/>
    <w:rsid w:val="00C438C4"/>
    <w:rsid w:val="00C442A8"/>
    <w:rsid w:val="00C44D08"/>
    <w:rsid w:val="00C44E8E"/>
    <w:rsid w:val="00C4507C"/>
    <w:rsid w:val="00C45184"/>
    <w:rsid w:val="00C451B7"/>
    <w:rsid w:val="00C45740"/>
    <w:rsid w:val="00C45FA5"/>
    <w:rsid w:val="00C46054"/>
    <w:rsid w:val="00C46688"/>
    <w:rsid w:val="00C47013"/>
    <w:rsid w:val="00C474F6"/>
    <w:rsid w:val="00C47599"/>
    <w:rsid w:val="00C47B52"/>
    <w:rsid w:val="00C47F8A"/>
    <w:rsid w:val="00C50033"/>
    <w:rsid w:val="00C5008E"/>
    <w:rsid w:val="00C50603"/>
    <w:rsid w:val="00C50A0A"/>
    <w:rsid w:val="00C51190"/>
    <w:rsid w:val="00C51670"/>
    <w:rsid w:val="00C51A5F"/>
    <w:rsid w:val="00C51B88"/>
    <w:rsid w:val="00C51D43"/>
    <w:rsid w:val="00C51F3F"/>
    <w:rsid w:val="00C521E9"/>
    <w:rsid w:val="00C52246"/>
    <w:rsid w:val="00C5234C"/>
    <w:rsid w:val="00C52693"/>
    <w:rsid w:val="00C52B77"/>
    <w:rsid w:val="00C52B82"/>
    <w:rsid w:val="00C52FE3"/>
    <w:rsid w:val="00C53CC9"/>
    <w:rsid w:val="00C53DD1"/>
    <w:rsid w:val="00C53ED7"/>
    <w:rsid w:val="00C541D1"/>
    <w:rsid w:val="00C541F9"/>
    <w:rsid w:val="00C5468A"/>
    <w:rsid w:val="00C54D58"/>
    <w:rsid w:val="00C54EEE"/>
    <w:rsid w:val="00C553CA"/>
    <w:rsid w:val="00C55620"/>
    <w:rsid w:val="00C56313"/>
    <w:rsid w:val="00C5635F"/>
    <w:rsid w:val="00C566AC"/>
    <w:rsid w:val="00C5696D"/>
    <w:rsid w:val="00C56F4C"/>
    <w:rsid w:val="00C57067"/>
    <w:rsid w:val="00C571C5"/>
    <w:rsid w:val="00C57358"/>
    <w:rsid w:val="00C575C8"/>
    <w:rsid w:val="00C57600"/>
    <w:rsid w:val="00C57801"/>
    <w:rsid w:val="00C57C7B"/>
    <w:rsid w:val="00C601F6"/>
    <w:rsid w:val="00C603CD"/>
    <w:rsid w:val="00C60614"/>
    <w:rsid w:val="00C60692"/>
    <w:rsid w:val="00C60A54"/>
    <w:rsid w:val="00C60C9F"/>
    <w:rsid w:val="00C613B0"/>
    <w:rsid w:val="00C61759"/>
    <w:rsid w:val="00C6194B"/>
    <w:rsid w:val="00C62189"/>
    <w:rsid w:val="00C621B0"/>
    <w:rsid w:val="00C6233C"/>
    <w:rsid w:val="00C62698"/>
    <w:rsid w:val="00C62B5B"/>
    <w:rsid w:val="00C62CC8"/>
    <w:rsid w:val="00C62D62"/>
    <w:rsid w:val="00C630AC"/>
    <w:rsid w:val="00C635B8"/>
    <w:rsid w:val="00C63687"/>
    <w:rsid w:val="00C63772"/>
    <w:rsid w:val="00C63D35"/>
    <w:rsid w:val="00C644AE"/>
    <w:rsid w:val="00C64867"/>
    <w:rsid w:val="00C6499E"/>
    <w:rsid w:val="00C65627"/>
    <w:rsid w:val="00C65707"/>
    <w:rsid w:val="00C65D15"/>
    <w:rsid w:val="00C65D18"/>
    <w:rsid w:val="00C65EA8"/>
    <w:rsid w:val="00C65F13"/>
    <w:rsid w:val="00C661A0"/>
    <w:rsid w:val="00C66658"/>
    <w:rsid w:val="00C667FF"/>
    <w:rsid w:val="00C66ABC"/>
    <w:rsid w:val="00C66B30"/>
    <w:rsid w:val="00C66E5A"/>
    <w:rsid w:val="00C67314"/>
    <w:rsid w:val="00C673B9"/>
    <w:rsid w:val="00C674C4"/>
    <w:rsid w:val="00C6770B"/>
    <w:rsid w:val="00C677B3"/>
    <w:rsid w:val="00C67B7B"/>
    <w:rsid w:val="00C7018A"/>
    <w:rsid w:val="00C7057A"/>
    <w:rsid w:val="00C707F4"/>
    <w:rsid w:val="00C70887"/>
    <w:rsid w:val="00C70C80"/>
    <w:rsid w:val="00C71186"/>
    <w:rsid w:val="00C716DC"/>
    <w:rsid w:val="00C71C33"/>
    <w:rsid w:val="00C71D3E"/>
    <w:rsid w:val="00C71DA2"/>
    <w:rsid w:val="00C72078"/>
    <w:rsid w:val="00C72392"/>
    <w:rsid w:val="00C72476"/>
    <w:rsid w:val="00C72623"/>
    <w:rsid w:val="00C72929"/>
    <w:rsid w:val="00C7312E"/>
    <w:rsid w:val="00C732ED"/>
    <w:rsid w:val="00C7369B"/>
    <w:rsid w:val="00C737A9"/>
    <w:rsid w:val="00C738E3"/>
    <w:rsid w:val="00C74ABF"/>
    <w:rsid w:val="00C74DE9"/>
    <w:rsid w:val="00C7576D"/>
    <w:rsid w:val="00C759B9"/>
    <w:rsid w:val="00C75ACD"/>
    <w:rsid w:val="00C75CFD"/>
    <w:rsid w:val="00C75F9B"/>
    <w:rsid w:val="00C76743"/>
    <w:rsid w:val="00C76985"/>
    <w:rsid w:val="00C775F9"/>
    <w:rsid w:val="00C77779"/>
    <w:rsid w:val="00C7793B"/>
    <w:rsid w:val="00C77B1F"/>
    <w:rsid w:val="00C80700"/>
    <w:rsid w:val="00C80B8C"/>
    <w:rsid w:val="00C81BCE"/>
    <w:rsid w:val="00C81C3C"/>
    <w:rsid w:val="00C81CBA"/>
    <w:rsid w:val="00C81DAC"/>
    <w:rsid w:val="00C82746"/>
    <w:rsid w:val="00C827DD"/>
    <w:rsid w:val="00C82D9A"/>
    <w:rsid w:val="00C83043"/>
    <w:rsid w:val="00C830C0"/>
    <w:rsid w:val="00C838ED"/>
    <w:rsid w:val="00C83C5D"/>
    <w:rsid w:val="00C83F76"/>
    <w:rsid w:val="00C841D4"/>
    <w:rsid w:val="00C843C4"/>
    <w:rsid w:val="00C84520"/>
    <w:rsid w:val="00C84B63"/>
    <w:rsid w:val="00C84B73"/>
    <w:rsid w:val="00C84C14"/>
    <w:rsid w:val="00C84D09"/>
    <w:rsid w:val="00C852AB"/>
    <w:rsid w:val="00C8535F"/>
    <w:rsid w:val="00C85671"/>
    <w:rsid w:val="00C85F6F"/>
    <w:rsid w:val="00C85FB8"/>
    <w:rsid w:val="00C85FC6"/>
    <w:rsid w:val="00C85FE9"/>
    <w:rsid w:val="00C86537"/>
    <w:rsid w:val="00C86641"/>
    <w:rsid w:val="00C86CA9"/>
    <w:rsid w:val="00C86EA8"/>
    <w:rsid w:val="00C8760C"/>
    <w:rsid w:val="00C87997"/>
    <w:rsid w:val="00C87AF6"/>
    <w:rsid w:val="00C87B86"/>
    <w:rsid w:val="00C87EEA"/>
    <w:rsid w:val="00C87F1E"/>
    <w:rsid w:val="00C903E9"/>
    <w:rsid w:val="00C904FC"/>
    <w:rsid w:val="00C9064F"/>
    <w:rsid w:val="00C908A7"/>
    <w:rsid w:val="00C90CFC"/>
    <w:rsid w:val="00C914BA"/>
    <w:rsid w:val="00C91D4C"/>
    <w:rsid w:val="00C91DCC"/>
    <w:rsid w:val="00C9210E"/>
    <w:rsid w:val="00C92A12"/>
    <w:rsid w:val="00C92E9C"/>
    <w:rsid w:val="00C931CF"/>
    <w:rsid w:val="00C93210"/>
    <w:rsid w:val="00C9340B"/>
    <w:rsid w:val="00C93680"/>
    <w:rsid w:val="00C93788"/>
    <w:rsid w:val="00C945E5"/>
    <w:rsid w:val="00C94810"/>
    <w:rsid w:val="00C94AB1"/>
    <w:rsid w:val="00C94CBA"/>
    <w:rsid w:val="00C94D25"/>
    <w:rsid w:val="00C94DAF"/>
    <w:rsid w:val="00C952DB"/>
    <w:rsid w:val="00C95719"/>
    <w:rsid w:val="00C95A98"/>
    <w:rsid w:val="00C95D4C"/>
    <w:rsid w:val="00C95DFE"/>
    <w:rsid w:val="00C95E71"/>
    <w:rsid w:val="00C97212"/>
    <w:rsid w:val="00C97356"/>
    <w:rsid w:val="00C97600"/>
    <w:rsid w:val="00C97A30"/>
    <w:rsid w:val="00C97FC5"/>
    <w:rsid w:val="00CA0469"/>
    <w:rsid w:val="00CA085C"/>
    <w:rsid w:val="00CA08F8"/>
    <w:rsid w:val="00CA0A4E"/>
    <w:rsid w:val="00CA0B0C"/>
    <w:rsid w:val="00CA0B81"/>
    <w:rsid w:val="00CA1567"/>
    <w:rsid w:val="00CA190B"/>
    <w:rsid w:val="00CA1F59"/>
    <w:rsid w:val="00CA1F78"/>
    <w:rsid w:val="00CA1FBA"/>
    <w:rsid w:val="00CA211E"/>
    <w:rsid w:val="00CA2725"/>
    <w:rsid w:val="00CA291E"/>
    <w:rsid w:val="00CA2B7B"/>
    <w:rsid w:val="00CA2BB8"/>
    <w:rsid w:val="00CA3098"/>
    <w:rsid w:val="00CA380C"/>
    <w:rsid w:val="00CA3910"/>
    <w:rsid w:val="00CA3B3D"/>
    <w:rsid w:val="00CA3FAF"/>
    <w:rsid w:val="00CA4310"/>
    <w:rsid w:val="00CA47D6"/>
    <w:rsid w:val="00CA4C8E"/>
    <w:rsid w:val="00CA50AF"/>
    <w:rsid w:val="00CA520B"/>
    <w:rsid w:val="00CA53DC"/>
    <w:rsid w:val="00CA546A"/>
    <w:rsid w:val="00CA558C"/>
    <w:rsid w:val="00CA56AD"/>
    <w:rsid w:val="00CA5826"/>
    <w:rsid w:val="00CA5DB6"/>
    <w:rsid w:val="00CA5EDD"/>
    <w:rsid w:val="00CA6848"/>
    <w:rsid w:val="00CA6A86"/>
    <w:rsid w:val="00CA6BD9"/>
    <w:rsid w:val="00CA6DDF"/>
    <w:rsid w:val="00CA709A"/>
    <w:rsid w:val="00CA727D"/>
    <w:rsid w:val="00CA728E"/>
    <w:rsid w:val="00CA7710"/>
    <w:rsid w:val="00CB0397"/>
    <w:rsid w:val="00CB03AC"/>
    <w:rsid w:val="00CB0727"/>
    <w:rsid w:val="00CB08CB"/>
    <w:rsid w:val="00CB0B15"/>
    <w:rsid w:val="00CB0CA9"/>
    <w:rsid w:val="00CB0F60"/>
    <w:rsid w:val="00CB1104"/>
    <w:rsid w:val="00CB1210"/>
    <w:rsid w:val="00CB1626"/>
    <w:rsid w:val="00CB174A"/>
    <w:rsid w:val="00CB1933"/>
    <w:rsid w:val="00CB1AD1"/>
    <w:rsid w:val="00CB1AE9"/>
    <w:rsid w:val="00CB1B31"/>
    <w:rsid w:val="00CB1B70"/>
    <w:rsid w:val="00CB1EC2"/>
    <w:rsid w:val="00CB21B6"/>
    <w:rsid w:val="00CB2457"/>
    <w:rsid w:val="00CB2B70"/>
    <w:rsid w:val="00CB2E26"/>
    <w:rsid w:val="00CB2E42"/>
    <w:rsid w:val="00CB3140"/>
    <w:rsid w:val="00CB378B"/>
    <w:rsid w:val="00CB3BCC"/>
    <w:rsid w:val="00CB3C86"/>
    <w:rsid w:val="00CB404A"/>
    <w:rsid w:val="00CB4129"/>
    <w:rsid w:val="00CB428A"/>
    <w:rsid w:val="00CB4360"/>
    <w:rsid w:val="00CB4D3A"/>
    <w:rsid w:val="00CB4D6B"/>
    <w:rsid w:val="00CB5057"/>
    <w:rsid w:val="00CB5180"/>
    <w:rsid w:val="00CB542C"/>
    <w:rsid w:val="00CB59E0"/>
    <w:rsid w:val="00CB695E"/>
    <w:rsid w:val="00CB697A"/>
    <w:rsid w:val="00CB698D"/>
    <w:rsid w:val="00CB6E78"/>
    <w:rsid w:val="00CB6F33"/>
    <w:rsid w:val="00CB768A"/>
    <w:rsid w:val="00CB7881"/>
    <w:rsid w:val="00CC00A6"/>
    <w:rsid w:val="00CC0247"/>
    <w:rsid w:val="00CC0489"/>
    <w:rsid w:val="00CC06CC"/>
    <w:rsid w:val="00CC0BCA"/>
    <w:rsid w:val="00CC1184"/>
    <w:rsid w:val="00CC1190"/>
    <w:rsid w:val="00CC1A30"/>
    <w:rsid w:val="00CC1AB8"/>
    <w:rsid w:val="00CC1FEA"/>
    <w:rsid w:val="00CC25D6"/>
    <w:rsid w:val="00CC2AC4"/>
    <w:rsid w:val="00CC2B78"/>
    <w:rsid w:val="00CC3F2E"/>
    <w:rsid w:val="00CC4AA6"/>
    <w:rsid w:val="00CC4FEF"/>
    <w:rsid w:val="00CC5227"/>
    <w:rsid w:val="00CC5269"/>
    <w:rsid w:val="00CC574C"/>
    <w:rsid w:val="00CC5F17"/>
    <w:rsid w:val="00CC6397"/>
    <w:rsid w:val="00CC6474"/>
    <w:rsid w:val="00CC6756"/>
    <w:rsid w:val="00CC6C92"/>
    <w:rsid w:val="00CC6CF1"/>
    <w:rsid w:val="00CC7073"/>
    <w:rsid w:val="00CC7288"/>
    <w:rsid w:val="00CC7342"/>
    <w:rsid w:val="00CC7C5A"/>
    <w:rsid w:val="00CC7EE7"/>
    <w:rsid w:val="00CC7F1F"/>
    <w:rsid w:val="00CD0070"/>
    <w:rsid w:val="00CD04F1"/>
    <w:rsid w:val="00CD1610"/>
    <w:rsid w:val="00CD1E34"/>
    <w:rsid w:val="00CD2470"/>
    <w:rsid w:val="00CD2486"/>
    <w:rsid w:val="00CD25B9"/>
    <w:rsid w:val="00CD28A8"/>
    <w:rsid w:val="00CD291C"/>
    <w:rsid w:val="00CD2952"/>
    <w:rsid w:val="00CD3219"/>
    <w:rsid w:val="00CD3254"/>
    <w:rsid w:val="00CD34BF"/>
    <w:rsid w:val="00CD3BE0"/>
    <w:rsid w:val="00CD408D"/>
    <w:rsid w:val="00CD45CC"/>
    <w:rsid w:val="00CD48AA"/>
    <w:rsid w:val="00CD4CFA"/>
    <w:rsid w:val="00CD5896"/>
    <w:rsid w:val="00CD5FDB"/>
    <w:rsid w:val="00CD5FE0"/>
    <w:rsid w:val="00CD6051"/>
    <w:rsid w:val="00CD6385"/>
    <w:rsid w:val="00CD649C"/>
    <w:rsid w:val="00CD6618"/>
    <w:rsid w:val="00CD6661"/>
    <w:rsid w:val="00CD72F2"/>
    <w:rsid w:val="00CD74CD"/>
    <w:rsid w:val="00CD7C9C"/>
    <w:rsid w:val="00CD7DCC"/>
    <w:rsid w:val="00CD7EA6"/>
    <w:rsid w:val="00CE03CA"/>
    <w:rsid w:val="00CE09ED"/>
    <w:rsid w:val="00CE163D"/>
    <w:rsid w:val="00CE1890"/>
    <w:rsid w:val="00CE1951"/>
    <w:rsid w:val="00CE2634"/>
    <w:rsid w:val="00CE2887"/>
    <w:rsid w:val="00CE292F"/>
    <w:rsid w:val="00CE319C"/>
    <w:rsid w:val="00CE32E7"/>
    <w:rsid w:val="00CE36DC"/>
    <w:rsid w:val="00CE36E8"/>
    <w:rsid w:val="00CE37AF"/>
    <w:rsid w:val="00CE37D2"/>
    <w:rsid w:val="00CE3BB1"/>
    <w:rsid w:val="00CE3F61"/>
    <w:rsid w:val="00CE428C"/>
    <w:rsid w:val="00CE45D9"/>
    <w:rsid w:val="00CE48F8"/>
    <w:rsid w:val="00CE4943"/>
    <w:rsid w:val="00CE4976"/>
    <w:rsid w:val="00CE4A38"/>
    <w:rsid w:val="00CE4CA9"/>
    <w:rsid w:val="00CE4E30"/>
    <w:rsid w:val="00CE503B"/>
    <w:rsid w:val="00CE52DD"/>
    <w:rsid w:val="00CE5381"/>
    <w:rsid w:val="00CE5391"/>
    <w:rsid w:val="00CE547A"/>
    <w:rsid w:val="00CE5614"/>
    <w:rsid w:val="00CE56AE"/>
    <w:rsid w:val="00CE5A51"/>
    <w:rsid w:val="00CE5BC7"/>
    <w:rsid w:val="00CE6007"/>
    <w:rsid w:val="00CE647B"/>
    <w:rsid w:val="00CE6561"/>
    <w:rsid w:val="00CE656A"/>
    <w:rsid w:val="00CE6641"/>
    <w:rsid w:val="00CE6748"/>
    <w:rsid w:val="00CE6FCA"/>
    <w:rsid w:val="00CE7005"/>
    <w:rsid w:val="00CE72BD"/>
    <w:rsid w:val="00CE74A7"/>
    <w:rsid w:val="00CE7526"/>
    <w:rsid w:val="00CE754E"/>
    <w:rsid w:val="00CE7621"/>
    <w:rsid w:val="00CE7ACD"/>
    <w:rsid w:val="00CF0237"/>
    <w:rsid w:val="00CF04CB"/>
    <w:rsid w:val="00CF059F"/>
    <w:rsid w:val="00CF05E7"/>
    <w:rsid w:val="00CF0A5A"/>
    <w:rsid w:val="00CF0E37"/>
    <w:rsid w:val="00CF10D0"/>
    <w:rsid w:val="00CF1220"/>
    <w:rsid w:val="00CF13AB"/>
    <w:rsid w:val="00CF175A"/>
    <w:rsid w:val="00CF202E"/>
    <w:rsid w:val="00CF2178"/>
    <w:rsid w:val="00CF256E"/>
    <w:rsid w:val="00CF27C2"/>
    <w:rsid w:val="00CF2917"/>
    <w:rsid w:val="00CF29A0"/>
    <w:rsid w:val="00CF2B80"/>
    <w:rsid w:val="00CF3323"/>
    <w:rsid w:val="00CF35F0"/>
    <w:rsid w:val="00CF371D"/>
    <w:rsid w:val="00CF38F0"/>
    <w:rsid w:val="00CF3C74"/>
    <w:rsid w:val="00CF3D56"/>
    <w:rsid w:val="00CF424F"/>
    <w:rsid w:val="00CF4566"/>
    <w:rsid w:val="00CF489D"/>
    <w:rsid w:val="00CF4CBB"/>
    <w:rsid w:val="00CF51B5"/>
    <w:rsid w:val="00CF52B0"/>
    <w:rsid w:val="00CF53A2"/>
    <w:rsid w:val="00CF5717"/>
    <w:rsid w:val="00CF5741"/>
    <w:rsid w:val="00CF5C79"/>
    <w:rsid w:val="00CF5DE8"/>
    <w:rsid w:val="00CF5EC6"/>
    <w:rsid w:val="00CF638C"/>
    <w:rsid w:val="00CF6CB0"/>
    <w:rsid w:val="00CF6DE9"/>
    <w:rsid w:val="00CF7066"/>
    <w:rsid w:val="00CF71A1"/>
    <w:rsid w:val="00CF7418"/>
    <w:rsid w:val="00CF794A"/>
    <w:rsid w:val="00CF7A7D"/>
    <w:rsid w:val="00CF7B7D"/>
    <w:rsid w:val="00CF7ED0"/>
    <w:rsid w:val="00D00035"/>
    <w:rsid w:val="00D0039E"/>
    <w:rsid w:val="00D006BD"/>
    <w:rsid w:val="00D00AF4"/>
    <w:rsid w:val="00D01592"/>
    <w:rsid w:val="00D01D19"/>
    <w:rsid w:val="00D01E81"/>
    <w:rsid w:val="00D030E0"/>
    <w:rsid w:val="00D039CE"/>
    <w:rsid w:val="00D03FC9"/>
    <w:rsid w:val="00D046E3"/>
    <w:rsid w:val="00D04C57"/>
    <w:rsid w:val="00D04CAF"/>
    <w:rsid w:val="00D0502F"/>
    <w:rsid w:val="00D0535C"/>
    <w:rsid w:val="00D05AB2"/>
    <w:rsid w:val="00D060A8"/>
    <w:rsid w:val="00D0638B"/>
    <w:rsid w:val="00D0643A"/>
    <w:rsid w:val="00D067A0"/>
    <w:rsid w:val="00D0681E"/>
    <w:rsid w:val="00D06E81"/>
    <w:rsid w:val="00D06F68"/>
    <w:rsid w:val="00D07350"/>
    <w:rsid w:val="00D07752"/>
    <w:rsid w:val="00D10085"/>
    <w:rsid w:val="00D10117"/>
    <w:rsid w:val="00D10A10"/>
    <w:rsid w:val="00D10AEF"/>
    <w:rsid w:val="00D111EF"/>
    <w:rsid w:val="00D11385"/>
    <w:rsid w:val="00D119D6"/>
    <w:rsid w:val="00D11B26"/>
    <w:rsid w:val="00D11F71"/>
    <w:rsid w:val="00D12098"/>
    <w:rsid w:val="00D121A9"/>
    <w:rsid w:val="00D123C8"/>
    <w:rsid w:val="00D12559"/>
    <w:rsid w:val="00D1259A"/>
    <w:rsid w:val="00D12A2F"/>
    <w:rsid w:val="00D12D61"/>
    <w:rsid w:val="00D12EAA"/>
    <w:rsid w:val="00D131D2"/>
    <w:rsid w:val="00D13320"/>
    <w:rsid w:val="00D13340"/>
    <w:rsid w:val="00D133DA"/>
    <w:rsid w:val="00D1354A"/>
    <w:rsid w:val="00D13591"/>
    <w:rsid w:val="00D141BF"/>
    <w:rsid w:val="00D14365"/>
    <w:rsid w:val="00D149DA"/>
    <w:rsid w:val="00D14D8E"/>
    <w:rsid w:val="00D14FC2"/>
    <w:rsid w:val="00D15666"/>
    <w:rsid w:val="00D15AE6"/>
    <w:rsid w:val="00D15CCA"/>
    <w:rsid w:val="00D15D9E"/>
    <w:rsid w:val="00D160ED"/>
    <w:rsid w:val="00D161CF"/>
    <w:rsid w:val="00D16466"/>
    <w:rsid w:val="00D169D0"/>
    <w:rsid w:val="00D17324"/>
    <w:rsid w:val="00D17AB7"/>
    <w:rsid w:val="00D17B50"/>
    <w:rsid w:val="00D17DDF"/>
    <w:rsid w:val="00D17E17"/>
    <w:rsid w:val="00D2084E"/>
    <w:rsid w:val="00D20ED7"/>
    <w:rsid w:val="00D20F9B"/>
    <w:rsid w:val="00D2123B"/>
    <w:rsid w:val="00D21417"/>
    <w:rsid w:val="00D219AA"/>
    <w:rsid w:val="00D21A2C"/>
    <w:rsid w:val="00D21F93"/>
    <w:rsid w:val="00D22164"/>
    <w:rsid w:val="00D22305"/>
    <w:rsid w:val="00D22566"/>
    <w:rsid w:val="00D22AB0"/>
    <w:rsid w:val="00D22BB0"/>
    <w:rsid w:val="00D22CFB"/>
    <w:rsid w:val="00D23170"/>
    <w:rsid w:val="00D2343C"/>
    <w:rsid w:val="00D237A2"/>
    <w:rsid w:val="00D23816"/>
    <w:rsid w:val="00D2419E"/>
    <w:rsid w:val="00D24860"/>
    <w:rsid w:val="00D248A0"/>
    <w:rsid w:val="00D24D26"/>
    <w:rsid w:val="00D2533B"/>
    <w:rsid w:val="00D253AC"/>
    <w:rsid w:val="00D258FD"/>
    <w:rsid w:val="00D258FF"/>
    <w:rsid w:val="00D25E83"/>
    <w:rsid w:val="00D25ECD"/>
    <w:rsid w:val="00D26183"/>
    <w:rsid w:val="00D26304"/>
    <w:rsid w:val="00D26651"/>
    <w:rsid w:val="00D26815"/>
    <w:rsid w:val="00D26944"/>
    <w:rsid w:val="00D26C59"/>
    <w:rsid w:val="00D26CC8"/>
    <w:rsid w:val="00D26D1C"/>
    <w:rsid w:val="00D26D6D"/>
    <w:rsid w:val="00D27191"/>
    <w:rsid w:val="00D27407"/>
    <w:rsid w:val="00D27767"/>
    <w:rsid w:val="00D27794"/>
    <w:rsid w:val="00D27BAB"/>
    <w:rsid w:val="00D27BAE"/>
    <w:rsid w:val="00D27CA1"/>
    <w:rsid w:val="00D27DCE"/>
    <w:rsid w:val="00D30374"/>
    <w:rsid w:val="00D309C2"/>
    <w:rsid w:val="00D315CC"/>
    <w:rsid w:val="00D317ED"/>
    <w:rsid w:val="00D31A71"/>
    <w:rsid w:val="00D31B90"/>
    <w:rsid w:val="00D320B9"/>
    <w:rsid w:val="00D3220E"/>
    <w:rsid w:val="00D323A7"/>
    <w:rsid w:val="00D32408"/>
    <w:rsid w:val="00D325C5"/>
    <w:rsid w:val="00D32C74"/>
    <w:rsid w:val="00D32D5E"/>
    <w:rsid w:val="00D32EED"/>
    <w:rsid w:val="00D32F9E"/>
    <w:rsid w:val="00D33448"/>
    <w:rsid w:val="00D336B0"/>
    <w:rsid w:val="00D33DD5"/>
    <w:rsid w:val="00D33E86"/>
    <w:rsid w:val="00D34299"/>
    <w:rsid w:val="00D348BA"/>
    <w:rsid w:val="00D34DBD"/>
    <w:rsid w:val="00D350D3"/>
    <w:rsid w:val="00D350D7"/>
    <w:rsid w:val="00D3574C"/>
    <w:rsid w:val="00D358F5"/>
    <w:rsid w:val="00D35CAF"/>
    <w:rsid w:val="00D35E01"/>
    <w:rsid w:val="00D35EB2"/>
    <w:rsid w:val="00D35F7E"/>
    <w:rsid w:val="00D36682"/>
    <w:rsid w:val="00D36A75"/>
    <w:rsid w:val="00D36BEF"/>
    <w:rsid w:val="00D3778C"/>
    <w:rsid w:val="00D37D8F"/>
    <w:rsid w:val="00D37EC2"/>
    <w:rsid w:val="00D37F73"/>
    <w:rsid w:val="00D37F89"/>
    <w:rsid w:val="00D4094C"/>
    <w:rsid w:val="00D40D9B"/>
    <w:rsid w:val="00D41236"/>
    <w:rsid w:val="00D415E2"/>
    <w:rsid w:val="00D418DC"/>
    <w:rsid w:val="00D419F5"/>
    <w:rsid w:val="00D41ACB"/>
    <w:rsid w:val="00D424A3"/>
    <w:rsid w:val="00D42AB6"/>
    <w:rsid w:val="00D42B16"/>
    <w:rsid w:val="00D42D34"/>
    <w:rsid w:val="00D43025"/>
    <w:rsid w:val="00D43978"/>
    <w:rsid w:val="00D43A44"/>
    <w:rsid w:val="00D44203"/>
    <w:rsid w:val="00D44483"/>
    <w:rsid w:val="00D444FD"/>
    <w:rsid w:val="00D44672"/>
    <w:rsid w:val="00D44F91"/>
    <w:rsid w:val="00D45604"/>
    <w:rsid w:val="00D45662"/>
    <w:rsid w:val="00D45A56"/>
    <w:rsid w:val="00D45E8D"/>
    <w:rsid w:val="00D45F13"/>
    <w:rsid w:val="00D45F7E"/>
    <w:rsid w:val="00D45FC2"/>
    <w:rsid w:val="00D46026"/>
    <w:rsid w:val="00D461F3"/>
    <w:rsid w:val="00D46796"/>
    <w:rsid w:val="00D4698C"/>
    <w:rsid w:val="00D469D2"/>
    <w:rsid w:val="00D46CB0"/>
    <w:rsid w:val="00D46D00"/>
    <w:rsid w:val="00D47423"/>
    <w:rsid w:val="00D474B8"/>
    <w:rsid w:val="00D47611"/>
    <w:rsid w:val="00D476D4"/>
    <w:rsid w:val="00D47718"/>
    <w:rsid w:val="00D47983"/>
    <w:rsid w:val="00D47C59"/>
    <w:rsid w:val="00D47E51"/>
    <w:rsid w:val="00D50274"/>
    <w:rsid w:val="00D51861"/>
    <w:rsid w:val="00D51BB6"/>
    <w:rsid w:val="00D51DAE"/>
    <w:rsid w:val="00D51FB1"/>
    <w:rsid w:val="00D520E4"/>
    <w:rsid w:val="00D526FA"/>
    <w:rsid w:val="00D52A50"/>
    <w:rsid w:val="00D52E51"/>
    <w:rsid w:val="00D52F4B"/>
    <w:rsid w:val="00D5305A"/>
    <w:rsid w:val="00D53115"/>
    <w:rsid w:val="00D53427"/>
    <w:rsid w:val="00D538B0"/>
    <w:rsid w:val="00D53B7C"/>
    <w:rsid w:val="00D53D88"/>
    <w:rsid w:val="00D53FF6"/>
    <w:rsid w:val="00D546D8"/>
    <w:rsid w:val="00D54703"/>
    <w:rsid w:val="00D5483C"/>
    <w:rsid w:val="00D54884"/>
    <w:rsid w:val="00D549F1"/>
    <w:rsid w:val="00D54C75"/>
    <w:rsid w:val="00D560DF"/>
    <w:rsid w:val="00D56CE7"/>
    <w:rsid w:val="00D56CEE"/>
    <w:rsid w:val="00D56D44"/>
    <w:rsid w:val="00D574B2"/>
    <w:rsid w:val="00D574D9"/>
    <w:rsid w:val="00D5798E"/>
    <w:rsid w:val="00D57AF8"/>
    <w:rsid w:val="00D57B64"/>
    <w:rsid w:val="00D57C2D"/>
    <w:rsid w:val="00D57D20"/>
    <w:rsid w:val="00D57EBF"/>
    <w:rsid w:val="00D60042"/>
    <w:rsid w:val="00D60168"/>
    <w:rsid w:val="00D601BC"/>
    <w:rsid w:val="00D601D0"/>
    <w:rsid w:val="00D60612"/>
    <w:rsid w:val="00D60A50"/>
    <w:rsid w:val="00D60BBA"/>
    <w:rsid w:val="00D60D52"/>
    <w:rsid w:val="00D6127F"/>
    <w:rsid w:val="00D6187C"/>
    <w:rsid w:val="00D61B15"/>
    <w:rsid w:val="00D61B89"/>
    <w:rsid w:val="00D61CFA"/>
    <w:rsid w:val="00D625A9"/>
    <w:rsid w:val="00D629D5"/>
    <w:rsid w:val="00D62ADE"/>
    <w:rsid w:val="00D62AEA"/>
    <w:rsid w:val="00D62C66"/>
    <w:rsid w:val="00D62F14"/>
    <w:rsid w:val="00D62FCF"/>
    <w:rsid w:val="00D6348F"/>
    <w:rsid w:val="00D635A1"/>
    <w:rsid w:val="00D6374E"/>
    <w:rsid w:val="00D63C4C"/>
    <w:rsid w:val="00D63EA0"/>
    <w:rsid w:val="00D63EEE"/>
    <w:rsid w:val="00D64E0E"/>
    <w:rsid w:val="00D64E7A"/>
    <w:rsid w:val="00D65401"/>
    <w:rsid w:val="00D655D3"/>
    <w:rsid w:val="00D65E7B"/>
    <w:rsid w:val="00D65ED0"/>
    <w:rsid w:val="00D66058"/>
    <w:rsid w:val="00D6627D"/>
    <w:rsid w:val="00D6670B"/>
    <w:rsid w:val="00D6689B"/>
    <w:rsid w:val="00D66FBD"/>
    <w:rsid w:val="00D6700C"/>
    <w:rsid w:val="00D670CB"/>
    <w:rsid w:val="00D670E9"/>
    <w:rsid w:val="00D671FB"/>
    <w:rsid w:val="00D67532"/>
    <w:rsid w:val="00D67C5E"/>
    <w:rsid w:val="00D7019F"/>
    <w:rsid w:val="00D703FB"/>
    <w:rsid w:val="00D704B3"/>
    <w:rsid w:val="00D70738"/>
    <w:rsid w:val="00D707DE"/>
    <w:rsid w:val="00D70B1C"/>
    <w:rsid w:val="00D70CC9"/>
    <w:rsid w:val="00D70FB3"/>
    <w:rsid w:val="00D71961"/>
    <w:rsid w:val="00D71BC2"/>
    <w:rsid w:val="00D7215A"/>
    <w:rsid w:val="00D72321"/>
    <w:rsid w:val="00D72708"/>
    <w:rsid w:val="00D736BA"/>
    <w:rsid w:val="00D737B8"/>
    <w:rsid w:val="00D7388D"/>
    <w:rsid w:val="00D73C65"/>
    <w:rsid w:val="00D73FA6"/>
    <w:rsid w:val="00D74165"/>
    <w:rsid w:val="00D74443"/>
    <w:rsid w:val="00D745C8"/>
    <w:rsid w:val="00D74733"/>
    <w:rsid w:val="00D747A3"/>
    <w:rsid w:val="00D74A5F"/>
    <w:rsid w:val="00D74B00"/>
    <w:rsid w:val="00D754F7"/>
    <w:rsid w:val="00D75555"/>
    <w:rsid w:val="00D757C5"/>
    <w:rsid w:val="00D75E84"/>
    <w:rsid w:val="00D776C0"/>
    <w:rsid w:val="00D7777D"/>
    <w:rsid w:val="00D777A1"/>
    <w:rsid w:val="00D77A2C"/>
    <w:rsid w:val="00D77C3F"/>
    <w:rsid w:val="00D77DF1"/>
    <w:rsid w:val="00D8009E"/>
    <w:rsid w:val="00D804F2"/>
    <w:rsid w:val="00D805F6"/>
    <w:rsid w:val="00D80905"/>
    <w:rsid w:val="00D81085"/>
    <w:rsid w:val="00D81090"/>
    <w:rsid w:val="00D81714"/>
    <w:rsid w:val="00D81CBB"/>
    <w:rsid w:val="00D81CD1"/>
    <w:rsid w:val="00D8229D"/>
    <w:rsid w:val="00D825C9"/>
    <w:rsid w:val="00D82681"/>
    <w:rsid w:val="00D82BD9"/>
    <w:rsid w:val="00D82C53"/>
    <w:rsid w:val="00D82CBB"/>
    <w:rsid w:val="00D82D12"/>
    <w:rsid w:val="00D82F0F"/>
    <w:rsid w:val="00D83094"/>
    <w:rsid w:val="00D83CF4"/>
    <w:rsid w:val="00D83FCE"/>
    <w:rsid w:val="00D843F9"/>
    <w:rsid w:val="00D84877"/>
    <w:rsid w:val="00D8516E"/>
    <w:rsid w:val="00D851EE"/>
    <w:rsid w:val="00D85301"/>
    <w:rsid w:val="00D85872"/>
    <w:rsid w:val="00D85A79"/>
    <w:rsid w:val="00D86128"/>
    <w:rsid w:val="00D8613B"/>
    <w:rsid w:val="00D8655A"/>
    <w:rsid w:val="00D86709"/>
    <w:rsid w:val="00D86E9B"/>
    <w:rsid w:val="00D86EA5"/>
    <w:rsid w:val="00D86F51"/>
    <w:rsid w:val="00D87046"/>
    <w:rsid w:val="00D87576"/>
    <w:rsid w:val="00D87634"/>
    <w:rsid w:val="00D8783A"/>
    <w:rsid w:val="00D87BFE"/>
    <w:rsid w:val="00D87C38"/>
    <w:rsid w:val="00D87D4B"/>
    <w:rsid w:val="00D87E56"/>
    <w:rsid w:val="00D87ECA"/>
    <w:rsid w:val="00D9016D"/>
    <w:rsid w:val="00D906E9"/>
    <w:rsid w:val="00D908A8"/>
    <w:rsid w:val="00D91701"/>
    <w:rsid w:val="00D91D76"/>
    <w:rsid w:val="00D91DB5"/>
    <w:rsid w:val="00D922CB"/>
    <w:rsid w:val="00D92554"/>
    <w:rsid w:val="00D925F6"/>
    <w:rsid w:val="00D927A2"/>
    <w:rsid w:val="00D92AE1"/>
    <w:rsid w:val="00D9317B"/>
    <w:rsid w:val="00D93774"/>
    <w:rsid w:val="00D937CB"/>
    <w:rsid w:val="00D9388E"/>
    <w:rsid w:val="00D93BA3"/>
    <w:rsid w:val="00D93E34"/>
    <w:rsid w:val="00D943E4"/>
    <w:rsid w:val="00D94782"/>
    <w:rsid w:val="00D94912"/>
    <w:rsid w:val="00D94C21"/>
    <w:rsid w:val="00D95637"/>
    <w:rsid w:val="00D95C9D"/>
    <w:rsid w:val="00D95D80"/>
    <w:rsid w:val="00D96251"/>
    <w:rsid w:val="00D9680B"/>
    <w:rsid w:val="00D96B7F"/>
    <w:rsid w:val="00D96F09"/>
    <w:rsid w:val="00D97C9F"/>
    <w:rsid w:val="00D97D95"/>
    <w:rsid w:val="00D97E53"/>
    <w:rsid w:val="00D97F0E"/>
    <w:rsid w:val="00DA056A"/>
    <w:rsid w:val="00DA0858"/>
    <w:rsid w:val="00DA0C4A"/>
    <w:rsid w:val="00DA0E52"/>
    <w:rsid w:val="00DA1523"/>
    <w:rsid w:val="00DA1899"/>
    <w:rsid w:val="00DA19CF"/>
    <w:rsid w:val="00DA1BBB"/>
    <w:rsid w:val="00DA1D59"/>
    <w:rsid w:val="00DA1F25"/>
    <w:rsid w:val="00DA21A0"/>
    <w:rsid w:val="00DA24B7"/>
    <w:rsid w:val="00DA2B5D"/>
    <w:rsid w:val="00DA2FC8"/>
    <w:rsid w:val="00DA309A"/>
    <w:rsid w:val="00DA30DE"/>
    <w:rsid w:val="00DA336A"/>
    <w:rsid w:val="00DA3443"/>
    <w:rsid w:val="00DA34D4"/>
    <w:rsid w:val="00DA3729"/>
    <w:rsid w:val="00DA38CB"/>
    <w:rsid w:val="00DA3AA8"/>
    <w:rsid w:val="00DA3D9D"/>
    <w:rsid w:val="00DA403F"/>
    <w:rsid w:val="00DA412B"/>
    <w:rsid w:val="00DA42D5"/>
    <w:rsid w:val="00DA434D"/>
    <w:rsid w:val="00DA46E4"/>
    <w:rsid w:val="00DA4CF9"/>
    <w:rsid w:val="00DA4EDD"/>
    <w:rsid w:val="00DA50CA"/>
    <w:rsid w:val="00DA5D61"/>
    <w:rsid w:val="00DA633F"/>
    <w:rsid w:val="00DA64F7"/>
    <w:rsid w:val="00DA68E7"/>
    <w:rsid w:val="00DA6CD7"/>
    <w:rsid w:val="00DA721D"/>
    <w:rsid w:val="00DA72C9"/>
    <w:rsid w:val="00DA7474"/>
    <w:rsid w:val="00DA78D3"/>
    <w:rsid w:val="00DA7B6D"/>
    <w:rsid w:val="00DA7BB7"/>
    <w:rsid w:val="00DA7EAC"/>
    <w:rsid w:val="00DB03DC"/>
    <w:rsid w:val="00DB04D1"/>
    <w:rsid w:val="00DB07DA"/>
    <w:rsid w:val="00DB099F"/>
    <w:rsid w:val="00DB0C78"/>
    <w:rsid w:val="00DB0EC9"/>
    <w:rsid w:val="00DB170D"/>
    <w:rsid w:val="00DB17B1"/>
    <w:rsid w:val="00DB19B5"/>
    <w:rsid w:val="00DB1C0D"/>
    <w:rsid w:val="00DB1F40"/>
    <w:rsid w:val="00DB20A7"/>
    <w:rsid w:val="00DB212B"/>
    <w:rsid w:val="00DB21D5"/>
    <w:rsid w:val="00DB278D"/>
    <w:rsid w:val="00DB297A"/>
    <w:rsid w:val="00DB2AE3"/>
    <w:rsid w:val="00DB2D33"/>
    <w:rsid w:val="00DB30F9"/>
    <w:rsid w:val="00DB31CA"/>
    <w:rsid w:val="00DB31E0"/>
    <w:rsid w:val="00DB3360"/>
    <w:rsid w:val="00DB3799"/>
    <w:rsid w:val="00DB3F0C"/>
    <w:rsid w:val="00DB43E7"/>
    <w:rsid w:val="00DB47C0"/>
    <w:rsid w:val="00DB4813"/>
    <w:rsid w:val="00DB4858"/>
    <w:rsid w:val="00DB48A4"/>
    <w:rsid w:val="00DB51CE"/>
    <w:rsid w:val="00DB565B"/>
    <w:rsid w:val="00DB611B"/>
    <w:rsid w:val="00DB6A15"/>
    <w:rsid w:val="00DB6C86"/>
    <w:rsid w:val="00DB6E06"/>
    <w:rsid w:val="00DB6E2F"/>
    <w:rsid w:val="00DB6ED7"/>
    <w:rsid w:val="00DB704C"/>
    <w:rsid w:val="00DB748E"/>
    <w:rsid w:val="00DB750E"/>
    <w:rsid w:val="00DB752F"/>
    <w:rsid w:val="00DB7738"/>
    <w:rsid w:val="00DB7812"/>
    <w:rsid w:val="00DB7BC1"/>
    <w:rsid w:val="00DC002A"/>
    <w:rsid w:val="00DC0030"/>
    <w:rsid w:val="00DC09BC"/>
    <w:rsid w:val="00DC0A22"/>
    <w:rsid w:val="00DC0C3E"/>
    <w:rsid w:val="00DC1326"/>
    <w:rsid w:val="00DC14E4"/>
    <w:rsid w:val="00DC1C4C"/>
    <w:rsid w:val="00DC1F78"/>
    <w:rsid w:val="00DC2290"/>
    <w:rsid w:val="00DC22A2"/>
    <w:rsid w:val="00DC22A3"/>
    <w:rsid w:val="00DC2E35"/>
    <w:rsid w:val="00DC3515"/>
    <w:rsid w:val="00DC37EE"/>
    <w:rsid w:val="00DC3883"/>
    <w:rsid w:val="00DC38F4"/>
    <w:rsid w:val="00DC3A7A"/>
    <w:rsid w:val="00DC3D05"/>
    <w:rsid w:val="00DC3F8E"/>
    <w:rsid w:val="00DC4043"/>
    <w:rsid w:val="00DC440B"/>
    <w:rsid w:val="00DC4542"/>
    <w:rsid w:val="00DC4953"/>
    <w:rsid w:val="00DC4A3E"/>
    <w:rsid w:val="00DC4FE5"/>
    <w:rsid w:val="00DC523B"/>
    <w:rsid w:val="00DC58B9"/>
    <w:rsid w:val="00DC610B"/>
    <w:rsid w:val="00DC6D40"/>
    <w:rsid w:val="00DC6F9A"/>
    <w:rsid w:val="00DC72CD"/>
    <w:rsid w:val="00DC7521"/>
    <w:rsid w:val="00DC75F0"/>
    <w:rsid w:val="00DC77A4"/>
    <w:rsid w:val="00DC7892"/>
    <w:rsid w:val="00DC7A40"/>
    <w:rsid w:val="00DC7BBC"/>
    <w:rsid w:val="00DC7BF4"/>
    <w:rsid w:val="00DC7F34"/>
    <w:rsid w:val="00DD0383"/>
    <w:rsid w:val="00DD0504"/>
    <w:rsid w:val="00DD08E5"/>
    <w:rsid w:val="00DD0943"/>
    <w:rsid w:val="00DD0C46"/>
    <w:rsid w:val="00DD0EFD"/>
    <w:rsid w:val="00DD1221"/>
    <w:rsid w:val="00DD13EF"/>
    <w:rsid w:val="00DD14A6"/>
    <w:rsid w:val="00DD158E"/>
    <w:rsid w:val="00DD17E2"/>
    <w:rsid w:val="00DD19F6"/>
    <w:rsid w:val="00DD1A1A"/>
    <w:rsid w:val="00DD1A3C"/>
    <w:rsid w:val="00DD1B1E"/>
    <w:rsid w:val="00DD1CAE"/>
    <w:rsid w:val="00DD1DD1"/>
    <w:rsid w:val="00DD2651"/>
    <w:rsid w:val="00DD2753"/>
    <w:rsid w:val="00DD2C3C"/>
    <w:rsid w:val="00DD2D0F"/>
    <w:rsid w:val="00DD2EF7"/>
    <w:rsid w:val="00DD397F"/>
    <w:rsid w:val="00DD39CA"/>
    <w:rsid w:val="00DD3E7D"/>
    <w:rsid w:val="00DD4076"/>
    <w:rsid w:val="00DD47D6"/>
    <w:rsid w:val="00DD4C65"/>
    <w:rsid w:val="00DD5509"/>
    <w:rsid w:val="00DD5A89"/>
    <w:rsid w:val="00DD5CA6"/>
    <w:rsid w:val="00DD5EE4"/>
    <w:rsid w:val="00DD5F25"/>
    <w:rsid w:val="00DD6060"/>
    <w:rsid w:val="00DD6165"/>
    <w:rsid w:val="00DD62A4"/>
    <w:rsid w:val="00DD62F8"/>
    <w:rsid w:val="00DD64C6"/>
    <w:rsid w:val="00DD64DB"/>
    <w:rsid w:val="00DD692C"/>
    <w:rsid w:val="00DD6A66"/>
    <w:rsid w:val="00DD6BC3"/>
    <w:rsid w:val="00DD6C70"/>
    <w:rsid w:val="00DD712F"/>
    <w:rsid w:val="00DD7257"/>
    <w:rsid w:val="00DD7907"/>
    <w:rsid w:val="00DD793F"/>
    <w:rsid w:val="00DD7A65"/>
    <w:rsid w:val="00DD7B20"/>
    <w:rsid w:val="00DE0138"/>
    <w:rsid w:val="00DE0234"/>
    <w:rsid w:val="00DE0489"/>
    <w:rsid w:val="00DE09F0"/>
    <w:rsid w:val="00DE0A33"/>
    <w:rsid w:val="00DE0D00"/>
    <w:rsid w:val="00DE12FD"/>
    <w:rsid w:val="00DE15AA"/>
    <w:rsid w:val="00DE1821"/>
    <w:rsid w:val="00DE1938"/>
    <w:rsid w:val="00DE1C4B"/>
    <w:rsid w:val="00DE1EEA"/>
    <w:rsid w:val="00DE2385"/>
    <w:rsid w:val="00DE2D1D"/>
    <w:rsid w:val="00DE310F"/>
    <w:rsid w:val="00DE345A"/>
    <w:rsid w:val="00DE3B25"/>
    <w:rsid w:val="00DE3D70"/>
    <w:rsid w:val="00DE43D2"/>
    <w:rsid w:val="00DE44A5"/>
    <w:rsid w:val="00DE458D"/>
    <w:rsid w:val="00DE47C2"/>
    <w:rsid w:val="00DE49EA"/>
    <w:rsid w:val="00DE4B99"/>
    <w:rsid w:val="00DE517D"/>
    <w:rsid w:val="00DE53D8"/>
    <w:rsid w:val="00DE56D5"/>
    <w:rsid w:val="00DE5799"/>
    <w:rsid w:val="00DE588C"/>
    <w:rsid w:val="00DE5C54"/>
    <w:rsid w:val="00DE5FEF"/>
    <w:rsid w:val="00DE617D"/>
    <w:rsid w:val="00DE6461"/>
    <w:rsid w:val="00DE678E"/>
    <w:rsid w:val="00DE6DB6"/>
    <w:rsid w:val="00DE6F63"/>
    <w:rsid w:val="00DE7295"/>
    <w:rsid w:val="00DE7310"/>
    <w:rsid w:val="00DE73F9"/>
    <w:rsid w:val="00DE766F"/>
    <w:rsid w:val="00DE79C3"/>
    <w:rsid w:val="00DE7C25"/>
    <w:rsid w:val="00DE7D44"/>
    <w:rsid w:val="00DE7D8D"/>
    <w:rsid w:val="00DE7EE9"/>
    <w:rsid w:val="00DE7FBF"/>
    <w:rsid w:val="00DF041D"/>
    <w:rsid w:val="00DF094F"/>
    <w:rsid w:val="00DF0E43"/>
    <w:rsid w:val="00DF0EC0"/>
    <w:rsid w:val="00DF1219"/>
    <w:rsid w:val="00DF149B"/>
    <w:rsid w:val="00DF15F8"/>
    <w:rsid w:val="00DF1867"/>
    <w:rsid w:val="00DF1942"/>
    <w:rsid w:val="00DF1B6E"/>
    <w:rsid w:val="00DF1DD3"/>
    <w:rsid w:val="00DF21DD"/>
    <w:rsid w:val="00DF2406"/>
    <w:rsid w:val="00DF2655"/>
    <w:rsid w:val="00DF2743"/>
    <w:rsid w:val="00DF2ECA"/>
    <w:rsid w:val="00DF3143"/>
    <w:rsid w:val="00DF31B9"/>
    <w:rsid w:val="00DF3276"/>
    <w:rsid w:val="00DF34B3"/>
    <w:rsid w:val="00DF36A5"/>
    <w:rsid w:val="00DF4677"/>
    <w:rsid w:val="00DF493F"/>
    <w:rsid w:val="00DF49BD"/>
    <w:rsid w:val="00DF4F49"/>
    <w:rsid w:val="00DF50D3"/>
    <w:rsid w:val="00DF5359"/>
    <w:rsid w:val="00DF53C5"/>
    <w:rsid w:val="00DF5606"/>
    <w:rsid w:val="00DF5731"/>
    <w:rsid w:val="00DF58EE"/>
    <w:rsid w:val="00DF595D"/>
    <w:rsid w:val="00DF5C4B"/>
    <w:rsid w:val="00DF6433"/>
    <w:rsid w:val="00DF6482"/>
    <w:rsid w:val="00DF6742"/>
    <w:rsid w:val="00DF6CE7"/>
    <w:rsid w:val="00DF6E24"/>
    <w:rsid w:val="00DF6E2B"/>
    <w:rsid w:val="00DF71F4"/>
    <w:rsid w:val="00DF7758"/>
    <w:rsid w:val="00DF78B4"/>
    <w:rsid w:val="00DF7BF3"/>
    <w:rsid w:val="00DF7F9F"/>
    <w:rsid w:val="00DF7FD1"/>
    <w:rsid w:val="00DF7FE7"/>
    <w:rsid w:val="00E00833"/>
    <w:rsid w:val="00E00D91"/>
    <w:rsid w:val="00E01232"/>
    <w:rsid w:val="00E01355"/>
    <w:rsid w:val="00E01ABF"/>
    <w:rsid w:val="00E01DF7"/>
    <w:rsid w:val="00E01FA1"/>
    <w:rsid w:val="00E0219A"/>
    <w:rsid w:val="00E0228D"/>
    <w:rsid w:val="00E024BB"/>
    <w:rsid w:val="00E026CD"/>
    <w:rsid w:val="00E02BA1"/>
    <w:rsid w:val="00E02BCF"/>
    <w:rsid w:val="00E02F54"/>
    <w:rsid w:val="00E03027"/>
    <w:rsid w:val="00E0349E"/>
    <w:rsid w:val="00E03540"/>
    <w:rsid w:val="00E037A7"/>
    <w:rsid w:val="00E0479D"/>
    <w:rsid w:val="00E04ADA"/>
    <w:rsid w:val="00E04BF6"/>
    <w:rsid w:val="00E04D8C"/>
    <w:rsid w:val="00E04F83"/>
    <w:rsid w:val="00E0519D"/>
    <w:rsid w:val="00E05B58"/>
    <w:rsid w:val="00E05E20"/>
    <w:rsid w:val="00E060B2"/>
    <w:rsid w:val="00E061F3"/>
    <w:rsid w:val="00E062F4"/>
    <w:rsid w:val="00E06448"/>
    <w:rsid w:val="00E06938"/>
    <w:rsid w:val="00E06AA9"/>
    <w:rsid w:val="00E06F6A"/>
    <w:rsid w:val="00E0784E"/>
    <w:rsid w:val="00E07A0C"/>
    <w:rsid w:val="00E103D0"/>
    <w:rsid w:val="00E1059B"/>
    <w:rsid w:val="00E106AF"/>
    <w:rsid w:val="00E108E9"/>
    <w:rsid w:val="00E10DF7"/>
    <w:rsid w:val="00E10EEB"/>
    <w:rsid w:val="00E11106"/>
    <w:rsid w:val="00E11498"/>
    <w:rsid w:val="00E11631"/>
    <w:rsid w:val="00E1169A"/>
    <w:rsid w:val="00E11BAB"/>
    <w:rsid w:val="00E11D88"/>
    <w:rsid w:val="00E12364"/>
    <w:rsid w:val="00E12481"/>
    <w:rsid w:val="00E12D59"/>
    <w:rsid w:val="00E12E52"/>
    <w:rsid w:val="00E13248"/>
    <w:rsid w:val="00E134D9"/>
    <w:rsid w:val="00E135A5"/>
    <w:rsid w:val="00E13B0F"/>
    <w:rsid w:val="00E13BDE"/>
    <w:rsid w:val="00E13C92"/>
    <w:rsid w:val="00E14132"/>
    <w:rsid w:val="00E142ED"/>
    <w:rsid w:val="00E14337"/>
    <w:rsid w:val="00E1467A"/>
    <w:rsid w:val="00E148F9"/>
    <w:rsid w:val="00E14BB8"/>
    <w:rsid w:val="00E14C95"/>
    <w:rsid w:val="00E14D65"/>
    <w:rsid w:val="00E1516E"/>
    <w:rsid w:val="00E15177"/>
    <w:rsid w:val="00E15310"/>
    <w:rsid w:val="00E154A4"/>
    <w:rsid w:val="00E15503"/>
    <w:rsid w:val="00E15638"/>
    <w:rsid w:val="00E15665"/>
    <w:rsid w:val="00E156D8"/>
    <w:rsid w:val="00E15D39"/>
    <w:rsid w:val="00E15DBD"/>
    <w:rsid w:val="00E15E51"/>
    <w:rsid w:val="00E15FED"/>
    <w:rsid w:val="00E16245"/>
    <w:rsid w:val="00E1640B"/>
    <w:rsid w:val="00E165C4"/>
    <w:rsid w:val="00E16A24"/>
    <w:rsid w:val="00E16C55"/>
    <w:rsid w:val="00E16CF1"/>
    <w:rsid w:val="00E16F32"/>
    <w:rsid w:val="00E17195"/>
    <w:rsid w:val="00E172C3"/>
    <w:rsid w:val="00E1777D"/>
    <w:rsid w:val="00E178A0"/>
    <w:rsid w:val="00E17A9D"/>
    <w:rsid w:val="00E20306"/>
    <w:rsid w:val="00E20398"/>
    <w:rsid w:val="00E2041A"/>
    <w:rsid w:val="00E20679"/>
    <w:rsid w:val="00E20E78"/>
    <w:rsid w:val="00E2108F"/>
    <w:rsid w:val="00E21120"/>
    <w:rsid w:val="00E21556"/>
    <w:rsid w:val="00E21A67"/>
    <w:rsid w:val="00E21E3F"/>
    <w:rsid w:val="00E22264"/>
    <w:rsid w:val="00E223D1"/>
    <w:rsid w:val="00E225D7"/>
    <w:rsid w:val="00E22EA4"/>
    <w:rsid w:val="00E22F66"/>
    <w:rsid w:val="00E22FA5"/>
    <w:rsid w:val="00E231E5"/>
    <w:rsid w:val="00E23284"/>
    <w:rsid w:val="00E23A7D"/>
    <w:rsid w:val="00E23C29"/>
    <w:rsid w:val="00E23E2B"/>
    <w:rsid w:val="00E24027"/>
    <w:rsid w:val="00E24AF9"/>
    <w:rsid w:val="00E24D88"/>
    <w:rsid w:val="00E24E48"/>
    <w:rsid w:val="00E24E75"/>
    <w:rsid w:val="00E2540D"/>
    <w:rsid w:val="00E25438"/>
    <w:rsid w:val="00E25514"/>
    <w:rsid w:val="00E2578B"/>
    <w:rsid w:val="00E2583E"/>
    <w:rsid w:val="00E258BB"/>
    <w:rsid w:val="00E25A7E"/>
    <w:rsid w:val="00E25EC8"/>
    <w:rsid w:val="00E26240"/>
    <w:rsid w:val="00E265A4"/>
    <w:rsid w:val="00E26978"/>
    <w:rsid w:val="00E26D4D"/>
    <w:rsid w:val="00E26D86"/>
    <w:rsid w:val="00E275AA"/>
    <w:rsid w:val="00E275BF"/>
    <w:rsid w:val="00E27E96"/>
    <w:rsid w:val="00E30240"/>
    <w:rsid w:val="00E303E3"/>
    <w:rsid w:val="00E30BCF"/>
    <w:rsid w:val="00E310D2"/>
    <w:rsid w:val="00E31652"/>
    <w:rsid w:val="00E319B4"/>
    <w:rsid w:val="00E31BC2"/>
    <w:rsid w:val="00E31D46"/>
    <w:rsid w:val="00E32234"/>
    <w:rsid w:val="00E322DE"/>
    <w:rsid w:val="00E328B0"/>
    <w:rsid w:val="00E32D05"/>
    <w:rsid w:val="00E32D25"/>
    <w:rsid w:val="00E32E2F"/>
    <w:rsid w:val="00E32EFB"/>
    <w:rsid w:val="00E333F0"/>
    <w:rsid w:val="00E33605"/>
    <w:rsid w:val="00E3361B"/>
    <w:rsid w:val="00E33A5B"/>
    <w:rsid w:val="00E33EDE"/>
    <w:rsid w:val="00E3401F"/>
    <w:rsid w:val="00E3433B"/>
    <w:rsid w:val="00E34515"/>
    <w:rsid w:val="00E347B2"/>
    <w:rsid w:val="00E34E45"/>
    <w:rsid w:val="00E3515A"/>
    <w:rsid w:val="00E35837"/>
    <w:rsid w:val="00E358C7"/>
    <w:rsid w:val="00E35CCF"/>
    <w:rsid w:val="00E363E9"/>
    <w:rsid w:val="00E365CB"/>
    <w:rsid w:val="00E36971"/>
    <w:rsid w:val="00E36F65"/>
    <w:rsid w:val="00E3709C"/>
    <w:rsid w:val="00E373B8"/>
    <w:rsid w:val="00E3753E"/>
    <w:rsid w:val="00E37673"/>
    <w:rsid w:val="00E37D61"/>
    <w:rsid w:val="00E37F84"/>
    <w:rsid w:val="00E37FA2"/>
    <w:rsid w:val="00E40B2A"/>
    <w:rsid w:val="00E40BF5"/>
    <w:rsid w:val="00E40D1F"/>
    <w:rsid w:val="00E41714"/>
    <w:rsid w:val="00E419A3"/>
    <w:rsid w:val="00E41BFD"/>
    <w:rsid w:val="00E42730"/>
    <w:rsid w:val="00E42775"/>
    <w:rsid w:val="00E430B9"/>
    <w:rsid w:val="00E43256"/>
    <w:rsid w:val="00E436B0"/>
    <w:rsid w:val="00E43B25"/>
    <w:rsid w:val="00E43B56"/>
    <w:rsid w:val="00E43EDA"/>
    <w:rsid w:val="00E43F41"/>
    <w:rsid w:val="00E44125"/>
    <w:rsid w:val="00E4431C"/>
    <w:rsid w:val="00E443BF"/>
    <w:rsid w:val="00E44676"/>
    <w:rsid w:val="00E44DC8"/>
    <w:rsid w:val="00E44EEF"/>
    <w:rsid w:val="00E45313"/>
    <w:rsid w:val="00E4551D"/>
    <w:rsid w:val="00E45707"/>
    <w:rsid w:val="00E4577C"/>
    <w:rsid w:val="00E457D5"/>
    <w:rsid w:val="00E45A40"/>
    <w:rsid w:val="00E45B6B"/>
    <w:rsid w:val="00E460CE"/>
    <w:rsid w:val="00E4613D"/>
    <w:rsid w:val="00E46572"/>
    <w:rsid w:val="00E46636"/>
    <w:rsid w:val="00E46711"/>
    <w:rsid w:val="00E46E13"/>
    <w:rsid w:val="00E47038"/>
    <w:rsid w:val="00E47410"/>
    <w:rsid w:val="00E47586"/>
    <w:rsid w:val="00E47D85"/>
    <w:rsid w:val="00E509C9"/>
    <w:rsid w:val="00E50BA2"/>
    <w:rsid w:val="00E50D61"/>
    <w:rsid w:val="00E5127D"/>
    <w:rsid w:val="00E515DA"/>
    <w:rsid w:val="00E5164D"/>
    <w:rsid w:val="00E5165A"/>
    <w:rsid w:val="00E517D9"/>
    <w:rsid w:val="00E51974"/>
    <w:rsid w:val="00E51B13"/>
    <w:rsid w:val="00E52085"/>
    <w:rsid w:val="00E5251B"/>
    <w:rsid w:val="00E5272C"/>
    <w:rsid w:val="00E5273A"/>
    <w:rsid w:val="00E528C8"/>
    <w:rsid w:val="00E528D2"/>
    <w:rsid w:val="00E52928"/>
    <w:rsid w:val="00E52BEA"/>
    <w:rsid w:val="00E535D8"/>
    <w:rsid w:val="00E53641"/>
    <w:rsid w:val="00E53AE7"/>
    <w:rsid w:val="00E53BB5"/>
    <w:rsid w:val="00E53CD7"/>
    <w:rsid w:val="00E54458"/>
    <w:rsid w:val="00E546CF"/>
    <w:rsid w:val="00E549F9"/>
    <w:rsid w:val="00E54CAA"/>
    <w:rsid w:val="00E54CB6"/>
    <w:rsid w:val="00E5525E"/>
    <w:rsid w:val="00E55B73"/>
    <w:rsid w:val="00E55F07"/>
    <w:rsid w:val="00E55F29"/>
    <w:rsid w:val="00E56089"/>
    <w:rsid w:val="00E56594"/>
    <w:rsid w:val="00E566E5"/>
    <w:rsid w:val="00E56AF1"/>
    <w:rsid w:val="00E56C84"/>
    <w:rsid w:val="00E57C48"/>
    <w:rsid w:val="00E57DE6"/>
    <w:rsid w:val="00E60035"/>
    <w:rsid w:val="00E6032A"/>
    <w:rsid w:val="00E603CC"/>
    <w:rsid w:val="00E6044F"/>
    <w:rsid w:val="00E608BA"/>
    <w:rsid w:val="00E609D8"/>
    <w:rsid w:val="00E60A0B"/>
    <w:rsid w:val="00E6104E"/>
    <w:rsid w:val="00E6112C"/>
    <w:rsid w:val="00E61169"/>
    <w:rsid w:val="00E61786"/>
    <w:rsid w:val="00E61D2B"/>
    <w:rsid w:val="00E61F21"/>
    <w:rsid w:val="00E61F35"/>
    <w:rsid w:val="00E62045"/>
    <w:rsid w:val="00E629B6"/>
    <w:rsid w:val="00E62B58"/>
    <w:rsid w:val="00E62BD5"/>
    <w:rsid w:val="00E62CFD"/>
    <w:rsid w:val="00E62E47"/>
    <w:rsid w:val="00E634C9"/>
    <w:rsid w:val="00E638A5"/>
    <w:rsid w:val="00E63B6E"/>
    <w:rsid w:val="00E63B9C"/>
    <w:rsid w:val="00E6418D"/>
    <w:rsid w:val="00E64530"/>
    <w:rsid w:val="00E6466E"/>
    <w:rsid w:val="00E64E36"/>
    <w:rsid w:val="00E65287"/>
    <w:rsid w:val="00E662F0"/>
    <w:rsid w:val="00E66304"/>
    <w:rsid w:val="00E66408"/>
    <w:rsid w:val="00E6678C"/>
    <w:rsid w:val="00E66939"/>
    <w:rsid w:val="00E66BA4"/>
    <w:rsid w:val="00E671A9"/>
    <w:rsid w:val="00E675B1"/>
    <w:rsid w:val="00E67B0F"/>
    <w:rsid w:val="00E67B95"/>
    <w:rsid w:val="00E706D4"/>
    <w:rsid w:val="00E70AFD"/>
    <w:rsid w:val="00E71335"/>
    <w:rsid w:val="00E71351"/>
    <w:rsid w:val="00E719C1"/>
    <w:rsid w:val="00E71B10"/>
    <w:rsid w:val="00E71DD5"/>
    <w:rsid w:val="00E724A8"/>
    <w:rsid w:val="00E72554"/>
    <w:rsid w:val="00E72712"/>
    <w:rsid w:val="00E727CC"/>
    <w:rsid w:val="00E727DD"/>
    <w:rsid w:val="00E72DF7"/>
    <w:rsid w:val="00E72FC0"/>
    <w:rsid w:val="00E73410"/>
    <w:rsid w:val="00E73760"/>
    <w:rsid w:val="00E73B27"/>
    <w:rsid w:val="00E73E46"/>
    <w:rsid w:val="00E7405E"/>
    <w:rsid w:val="00E741DD"/>
    <w:rsid w:val="00E744F3"/>
    <w:rsid w:val="00E74602"/>
    <w:rsid w:val="00E7465B"/>
    <w:rsid w:val="00E74997"/>
    <w:rsid w:val="00E74C34"/>
    <w:rsid w:val="00E74D3B"/>
    <w:rsid w:val="00E7506D"/>
    <w:rsid w:val="00E756BF"/>
    <w:rsid w:val="00E75C78"/>
    <w:rsid w:val="00E75C7F"/>
    <w:rsid w:val="00E760B4"/>
    <w:rsid w:val="00E763D2"/>
    <w:rsid w:val="00E765AE"/>
    <w:rsid w:val="00E76A5A"/>
    <w:rsid w:val="00E76F8F"/>
    <w:rsid w:val="00E7743C"/>
    <w:rsid w:val="00E77C60"/>
    <w:rsid w:val="00E77CE5"/>
    <w:rsid w:val="00E801D1"/>
    <w:rsid w:val="00E8065C"/>
    <w:rsid w:val="00E80953"/>
    <w:rsid w:val="00E80BA7"/>
    <w:rsid w:val="00E80FB1"/>
    <w:rsid w:val="00E811E5"/>
    <w:rsid w:val="00E81574"/>
    <w:rsid w:val="00E81687"/>
    <w:rsid w:val="00E81758"/>
    <w:rsid w:val="00E819C3"/>
    <w:rsid w:val="00E82010"/>
    <w:rsid w:val="00E8218D"/>
    <w:rsid w:val="00E821D6"/>
    <w:rsid w:val="00E8252D"/>
    <w:rsid w:val="00E82554"/>
    <w:rsid w:val="00E82635"/>
    <w:rsid w:val="00E826CF"/>
    <w:rsid w:val="00E828BF"/>
    <w:rsid w:val="00E82C3C"/>
    <w:rsid w:val="00E82E9B"/>
    <w:rsid w:val="00E83056"/>
    <w:rsid w:val="00E830AA"/>
    <w:rsid w:val="00E835E7"/>
    <w:rsid w:val="00E836BF"/>
    <w:rsid w:val="00E839B2"/>
    <w:rsid w:val="00E83B00"/>
    <w:rsid w:val="00E83C6B"/>
    <w:rsid w:val="00E83FAA"/>
    <w:rsid w:val="00E84072"/>
    <w:rsid w:val="00E842D9"/>
    <w:rsid w:val="00E8431D"/>
    <w:rsid w:val="00E84654"/>
    <w:rsid w:val="00E84694"/>
    <w:rsid w:val="00E848C2"/>
    <w:rsid w:val="00E84945"/>
    <w:rsid w:val="00E84C0F"/>
    <w:rsid w:val="00E8579C"/>
    <w:rsid w:val="00E859CB"/>
    <w:rsid w:val="00E85FE5"/>
    <w:rsid w:val="00E8647A"/>
    <w:rsid w:val="00E86F5B"/>
    <w:rsid w:val="00E86FD6"/>
    <w:rsid w:val="00E87001"/>
    <w:rsid w:val="00E87630"/>
    <w:rsid w:val="00E87A00"/>
    <w:rsid w:val="00E87B39"/>
    <w:rsid w:val="00E87E79"/>
    <w:rsid w:val="00E90278"/>
    <w:rsid w:val="00E9039D"/>
    <w:rsid w:val="00E9082B"/>
    <w:rsid w:val="00E90DA7"/>
    <w:rsid w:val="00E90E78"/>
    <w:rsid w:val="00E90E99"/>
    <w:rsid w:val="00E90FB7"/>
    <w:rsid w:val="00E9100B"/>
    <w:rsid w:val="00E913FF"/>
    <w:rsid w:val="00E9165A"/>
    <w:rsid w:val="00E91D02"/>
    <w:rsid w:val="00E91DED"/>
    <w:rsid w:val="00E92ABB"/>
    <w:rsid w:val="00E92CA2"/>
    <w:rsid w:val="00E92FCF"/>
    <w:rsid w:val="00E93171"/>
    <w:rsid w:val="00E932BE"/>
    <w:rsid w:val="00E93655"/>
    <w:rsid w:val="00E93733"/>
    <w:rsid w:val="00E93984"/>
    <w:rsid w:val="00E93DF0"/>
    <w:rsid w:val="00E93F62"/>
    <w:rsid w:val="00E940CE"/>
    <w:rsid w:val="00E940D9"/>
    <w:rsid w:val="00E942FB"/>
    <w:rsid w:val="00E943F0"/>
    <w:rsid w:val="00E944EA"/>
    <w:rsid w:val="00E9454D"/>
    <w:rsid w:val="00E947D1"/>
    <w:rsid w:val="00E9484E"/>
    <w:rsid w:val="00E9488F"/>
    <w:rsid w:val="00E94C11"/>
    <w:rsid w:val="00E95995"/>
    <w:rsid w:val="00E95A50"/>
    <w:rsid w:val="00E95B8C"/>
    <w:rsid w:val="00E9601F"/>
    <w:rsid w:val="00E961B5"/>
    <w:rsid w:val="00E96241"/>
    <w:rsid w:val="00E963EB"/>
    <w:rsid w:val="00E96B35"/>
    <w:rsid w:val="00E96D1B"/>
    <w:rsid w:val="00E96ED1"/>
    <w:rsid w:val="00E96F39"/>
    <w:rsid w:val="00E96F55"/>
    <w:rsid w:val="00E96F85"/>
    <w:rsid w:val="00E9726D"/>
    <w:rsid w:val="00E974E1"/>
    <w:rsid w:val="00E976FD"/>
    <w:rsid w:val="00E97770"/>
    <w:rsid w:val="00E97891"/>
    <w:rsid w:val="00E97BDB"/>
    <w:rsid w:val="00E97C5A"/>
    <w:rsid w:val="00EA04CC"/>
    <w:rsid w:val="00EA0B1D"/>
    <w:rsid w:val="00EA0E41"/>
    <w:rsid w:val="00EA11A0"/>
    <w:rsid w:val="00EA12EB"/>
    <w:rsid w:val="00EA13A1"/>
    <w:rsid w:val="00EA171A"/>
    <w:rsid w:val="00EA1818"/>
    <w:rsid w:val="00EA18F7"/>
    <w:rsid w:val="00EA1ED3"/>
    <w:rsid w:val="00EA1F29"/>
    <w:rsid w:val="00EA21F6"/>
    <w:rsid w:val="00EA230E"/>
    <w:rsid w:val="00EA2462"/>
    <w:rsid w:val="00EA248A"/>
    <w:rsid w:val="00EA2F31"/>
    <w:rsid w:val="00EA2FB3"/>
    <w:rsid w:val="00EA32BD"/>
    <w:rsid w:val="00EA34AB"/>
    <w:rsid w:val="00EA37CC"/>
    <w:rsid w:val="00EA38E9"/>
    <w:rsid w:val="00EA3BBD"/>
    <w:rsid w:val="00EA3C5A"/>
    <w:rsid w:val="00EA3E34"/>
    <w:rsid w:val="00EA4C99"/>
    <w:rsid w:val="00EA5439"/>
    <w:rsid w:val="00EA548C"/>
    <w:rsid w:val="00EA5EBD"/>
    <w:rsid w:val="00EA68C9"/>
    <w:rsid w:val="00EA6CDF"/>
    <w:rsid w:val="00EA71BF"/>
    <w:rsid w:val="00EA739D"/>
    <w:rsid w:val="00EA795B"/>
    <w:rsid w:val="00EA79C4"/>
    <w:rsid w:val="00EA7B08"/>
    <w:rsid w:val="00EA7C91"/>
    <w:rsid w:val="00EB0478"/>
    <w:rsid w:val="00EB07D0"/>
    <w:rsid w:val="00EB0884"/>
    <w:rsid w:val="00EB0C98"/>
    <w:rsid w:val="00EB0EC9"/>
    <w:rsid w:val="00EB0EF8"/>
    <w:rsid w:val="00EB111A"/>
    <w:rsid w:val="00EB128E"/>
    <w:rsid w:val="00EB1519"/>
    <w:rsid w:val="00EB1F78"/>
    <w:rsid w:val="00EB22E8"/>
    <w:rsid w:val="00EB2397"/>
    <w:rsid w:val="00EB23F8"/>
    <w:rsid w:val="00EB2472"/>
    <w:rsid w:val="00EB24D3"/>
    <w:rsid w:val="00EB26E2"/>
    <w:rsid w:val="00EB2887"/>
    <w:rsid w:val="00EB3074"/>
    <w:rsid w:val="00EB30A4"/>
    <w:rsid w:val="00EB3175"/>
    <w:rsid w:val="00EB31BB"/>
    <w:rsid w:val="00EB3948"/>
    <w:rsid w:val="00EB3A69"/>
    <w:rsid w:val="00EB3C23"/>
    <w:rsid w:val="00EB3F39"/>
    <w:rsid w:val="00EB43FD"/>
    <w:rsid w:val="00EB465B"/>
    <w:rsid w:val="00EB4895"/>
    <w:rsid w:val="00EB4BC1"/>
    <w:rsid w:val="00EB5164"/>
    <w:rsid w:val="00EB54F4"/>
    <w:rsid w:val="00EB555D"/>
    <w:rsid w:val="00EB5726"/>
    <w:rsid w:val="00EB5B1C"/>
    <w:rsid w:val="00EB5C08"/>
    <w:rsid w:val="00EB5D02"/>
    <w:rsid w:val="00EB5E79"/>
    <w:rsid w:val="00EB5F03"/>
    <w:rsid w:val="00EB636F"/>
    <w:rsid w:val="00EB6453"/>
    <w:rsid w:val="00EB64B3"/>
    <w:rsid w:val="00EB67A0"/>
    <w:rsid w:val="00EB6847"/>
    <w:rsid w:val="00EB6A3C"/>
    <w:rsid w:val="00EB6B96"/>
    <w:rsid w:val="00EB6C95"/>
    <w:rsid w:val="00EB6F5D"/>
    <w:rsid w:val="00EB7015"/>
    <w:rsid w:val="00EB7194"/>
    <w:rsid w:val="00EB7E49"/>
    <w:rsid w:val="00EC0142"/>
    <w:rsid w:val="00EC0730"/>
    <w:rsid w:val="00EC08D0"/>
    <w:rsid w:val="00EC09F4"/>
    <w:rsid w:val="00EC1040"/>
    <w:rsid w:val="00EC1309"/>
    <w:rsid w:val="00EC152D"/>
    <w:rsid w:val="00EC1975"/>
    <w:rsid w:val="00EC1FCB"/>
    <w:rsid w:val="00EC1FF5"/>
    <w:rsid w:val="00EC2656"/>
    <w:rsid w:val="00EC2A0C"/>
    <w:rsid w:val="00EC2FE4"/>
    <w:rsid w:val="00EC3DCE"/>
    <w:rsid w:val="00EC434E"/>
    <w:rsid w:val="00EC5888"/>
    <w:rsid w:val="00EC5B60"/>
    <w:rsid w:val="00EC5D4B"/>
    <w:rsid w:val="00EC5E95"/>
    <w:rsid w:val="00EC5FA4"/>
    <w:rsid w:val="00EC64CB"/>
    <w:rsid w:val="00EC64CE"/>
    <w:rsid w:val="00EC656A"/>
    <w:rsid w:val="00EC692D"/>
    <w:rsid w:val="00EC69DE"/>
    <w:rsid w:val="00EC6CF9"/>
    <w:rsid w:val="00EC6E93"/>
    <w:rsid w:val="00EC70A8"/>
    <w:rsid w:val="00EC7131"/>
    <w:rsid w:val="00EC7349"/>
    <w:rsid w:val="00EC73F5"/>
    <w:rsid w:val="00EC7807"/>
    <w:rsid w:val="00EC79AC"/>
    <w:rsid w:val="00EC7C0E"/>
    <w:rsid w:val="00EC7F20"/>
    <w:rsid w:val="00ED06AB"/>
    <w:rsid w:val="00ED096A"/>
    <w:rsid w:val="00ED0C7E"/>
    <w:rsid w:val="00ED0F77"/>
    <w:rsid w:val="00ED117C"/>
    <w:rsid w:val="00ED19C6"/>
    <w:rsid w:val="00ED1B41"/>
    <w:rsid w:val="00ED1CE2"/>
    <w:rsid w:val="00ED2606"/>
    <w:rsid w:val="00ED2801"/>
    <w:rsid w:val="00ED29B7"/>
    <w:rsid w:val="00ED2ABC"/>
    <w:rsid w:val="00ED2CAC"/>
    <w:rsid w:val="00ED2D4D"/>
    <w:rsid w:val="00ED309E"/>
    <w:rsid w:val="00ED30CC"/>
    <w:rsid w:val="00ED3313"/>
    <w:rsid w:val="00ED35DF"/>
    <w:rsid w:val="00ED3674"/>
    <w:rsid w:val="00ED3AFD"/>
    <w:rsid w:val="00ED3B10"/>
    <w:rsid w:val="00ED3C92"/>
    <w:rsid w:val="00ED403A"/>
    <w:rsid w:val="00ED4A39"/>
    <w:rsid w:val="00ED4A94"/>
    <w:rsid w:val="00ED4AC0"/>
    <w:rsid w:val="00ED4BA9"/>
    <w:rsid w:val="00ED5128"/>
    <w:rsid w:val="00ED55C5"/>
    <w:rsid w:val="00ED565C"/>
    <w:rsid w:val="00ED588D"/>
    <w:rsid w:val="00ED6208"/>
    <w:rsid w:val="00ED654E"/>
    <w:rsid w:val="00ED6655"/>
    <w:rsid w:val="00ED6A57"/>
    <w:rsid w:val="00ED6FAC"/>
    <w:rsid w:val="00ED723B"/>
    <w:rsid w:val="00ED797B"/>
    <w:rsid w:val="00ED79E3"/>
    <w:rsid w:val="00ED7D1A"/>
    <w:rsid w:val="00ED7D6C"/>
    <w:rsid w:val="00EE0433"/>
    <w:rsid w:val="00EE05A2"/>
    <w:rsid w:val="00EE079D"/>
    <w:rsid w:val="00EE0B3D"/>
    <w:rsid w:val="00EE0EB5"/>
    <w:rsid w:val="00EE1280"/>
    <w:rsid w:val="00EE15AC"/>
    <w:rsid w:val="00EE15D0"/>
    <w:rsid w:val="00EE1894"/>
    <w:rsid w:val="00EE1ACC"/>
    <w:rsid w:val="00EE1F2F"/>
    <w:rsid w:val="00EE224E"/>
    <w:rsid w:val="00EE2558"/>
    <w:rsid w:val="00EE25E5"/>
    <w:rsid w:val="00EE2C24"/>
    <w:rsid w:val="00EE2D37"/>
    <w:rsid w:val="00EE2DBB"/>
    <w:rsid w:val="00EE2E46"/>
    <w:rsid w:val="00EE3258"/>
    <w:rsid w:val="00EE3565"/>
    <w:rsid w:val="00EE39E5"/>
    <w:rsid w:val="00EE3B78"/>
    <w:rsid w:val="00EE3BA5"/>
    <w:rsid w:val="00EE3BE2"/>
    <w:rsid w:val="00EE3E33"/>
    <w:rsid w:val="00EE41B8"/>
    <w:rsid w:val="00EE43B6"/>
    <w:rsid w:val="00EE46C8"/>
    <w:rsid w:val="00EE4ACD"/>
    <w:rsid w:val="00EE4DCB"/>
    <w:rsid w:val="00EE553E"/>
    <w:rsid w:val="00EE59B8"/>
    <w:rsid w:val="00EE5C06"/>
    <w:rsid w:val="00EE5D53"/>
    <w:rsid w:val="00EE5E5A"/>
    <w:rsid w:val="00EE6332"/>
    <w:rsid w:val="00EE6AD1"/>
    <w:rsid w:val="00EE6C78"/>
    <w:rsid w:val="00EE6CBE"/>
    <w:rsid w:val="00EE6FDE"/>
    <w:rsid w:val="00EE76D5"/>
    <w:rsid w:val="00EE78D3"/>
    <w:rsid w:val="00EE79E2"/>
    <w:rsid w:val="00EE7CCA"/>
    <w:rsid w:val="00EF07A3"/>
    <w:rsid w:val="00EF09EE"/>
    <w:rsid w:val="00EF0D3F"/>
    <w:rsid w:val="00EF0DAB"/>
    <w:rsid w:val="00EF0EE1"/>
    <w:rsid w:val="00EF134C"/>
    <w:rsid w:val="00EF1465"/>
    <w:rsid w:val="00EF18E7"/>
    <w:rsid w:val="00EF1D9B"/>
    <w:rsid w:val="00EF20E6"/>
    <w:rsid w:val="00EF26CF"/>
    <w:rsid w:val="00EF29ED"/>
    <w:rsid w:val="00EF2A26"/>
    <w:rsid w:val="00EF2B7A"/>
    <w:rsid w:val="00EF381B"/>
    <w:rsid w:val="00EF39DA"/>
    <w:rsid w:val="00EF3C5C"/>
    <w:rsid w:val="00EF4090"/>
    <w:rsid w:val="00EF4431"/>
    <w:rsid w:val="00EF45F4"/>
    <w:rsid w:val="00EF462E"/>
    <w:rsid w:val="00EF4803"/>
    <w:rsid w:val="00EF4B22"/>
    <w:rsid w:val="00EF4BB6"/>
    <w:rsid w:val="00EF4D44"/>
    <w:rsid w:val="00EF500E"/>
    <w:rsid w:val="00EF538E"/>
    <w:rsid w:val="00EF569A"/>
    <w:rsid w:val="00EF5D27"/>
    <w:rsid w:val="00EF5FA7"/>
    <w:rsid w:val="00EF67A4"/>
    <w:rsid w:val="00EF67A7"/>
    <w:rsid w:val="00EF68B9"/>
    <w:rsid w:val="00EF6C06"/>
    <w:rsid w:val="00EF743A"/>
    <w:rsid w:val="00EF76E0"/>
    <w:rsid w:val="00EF7C52"/>
    <w:rsid w:val="00EF7D34"/>
    <w:rsid w:val="00EF7E5A"/>
    <w:rsid w:val="00F004C3"/>
    <w:rsid w:val="00F00B16"/>
    <w:rsid w:val="00F00CFD"/>
    <w:rsid w:val="00F0161C"/>
    <w:rsid w:val="00F01F83"/>
    <w:rsid w:val="00F020AB"/>
    <w:rsid w:val="00F022BB"/>
    <w:rsid w:val="00F029A0"/>
    <w:rsid w:val="00F02DA1"/>
    <w:rsid w:val="00F02EDA"/>
    <w:rsid w:val="00F03159"/>
    <w:rsid w:val="00F033BC"/>
    <w:rsid w:val="00F03409"/>
    <w:rsid w:val="00F03768"/>
    <w:rsid w:val="00F0412A"/>
    <w:rsid w:val="00F045FD"/>
    <w:rsid w:val="00F04979"/>
    <w:rsid w:val="00F0498E"/>
    <w:rsid w:val="00F049E5"/>
    <w:rsid w:val="00F04BEE"/>
    <w:rsid w:val="00F059D7"/>
    <w:rsid w:val="00F05F76"/>
    <w:rsid w:val="00F06128"/>
    <w:rsid w:val="00F061DA"/>
    <w:rsid w:val="00F063B9"/>
    <w:rsid w:val="00F06461"/>
    <w:rsid w:val="00F0688D"/>
    <w:rsid w:val="00F068CD"/>
    <w:rsid w:val="00F06B14"/>
    <w:rsid w:val="00F071FE"/>
    <w:rsid w:val="00F07207"/>
    <w:rsid w:val="00F07406"/>
    <w:rsid w:val="00F076F6"/>
    <w:rsid w:val="00F07700"/>
    <w:rsid w:val="00F07710"/>
    <w:rsid w:val="00F07A88"/>
    <w:rsid w:val="00F07C44"/>
    <w:rsid w:val="00F07EBD"/>
    <w:rsid w:val="00F11185"/>
    <w:rsid w:val="00F115E5"/>
    <w:rsid w:val="00F1171D"/>
    <w:rsid w:val="00F118CA"/>
    <w:rsid w:val="00F11C66"/>
    <w:rsid w:val="00F11CA3"/>
    <w:rsid w:val="00F11E5E"/>
    <w:rsid w:val="00F11E9C"/>
    <w:rsid w:val="00F1266C"/>
    <w:rsid w:val="00F127F8"/>
    <w:rsid w:val="00F128D9"/>
    <w:rsid w:val="00F12CE7"/>
    <w:rsid w:val="00F12E92"/>
    <w:rsid w:val="00F12F67"/>
    <w:rsid w:val="00F13113"/>
    <w:rsid w:val="00F1364D"/>
    <w:rsid w:val="00F137C7"/>
    <w:rsid w:val="00F137CE"/>
    <w:rsid w:val="00F1380E"/>
    <w:rsid w:val="00F13D10"/>
    <w:rsid w:val="00F140BC"/>
    <w:rsid w:val="00F14A07"/>
    <w:rsid w:val="00F14B26"/>
    <w:rsid w:val="00F14CA3"/>
    <w:rsid w:val="00F14E1E"/>
    <w:rsid w:val="00F14EE8"/>
    <w:rsid w:val="00F1529D"/>
    <w:rsid w:val="00F1694E"/>
    <w:rsid w:val="00F169AA"/>
    <w:rsid w:val="00F16C9E"/>
    <w:rsid w:val="00F173DC"/>
    <w:rsid w:val="00F17A29"/>
    <w:rsid w:val="00F17B31"/>
    <w:rsid w:val="00F17BAB"/>
    <w:rsid w:val="00F17EB5"/>
    <w:rsid w:val="00F204B2"/>
    <w:rsid w:val="00F204C4"/>
    <w:rsid w:val="00F205CA"/>
    <w:rsid w:val="00F20653"/>
    <w:rsid w:val="00F207BD"/>
    <w:rsid w:val="00F20AA7"/>
    <w:rsid w:val="00F20C28"/>
    <w:rsid w:val="00F20C3C"/>
    <w:rsid w:val="00F20F4E"/>
    <w:rsid w:val="00F211A7"/>
    <w:rsid w:val="00F21443"/>
    <w:rsid w:val="00F21600"/>
    <w:rsid w:val="00F216E4"/>
    <w:rsid w:val="00F2179C"/>
    <w:rsid w:val="00F21AEB"/>
    <w:rsid w:val="00F21E27"/>
    <w:rsid w:val="00F21F3C"/>
    <w:rsid w:val="00F220F8"/>
    <w:rsid w:val="00F22842"/>
    <w:rsid w:val="00F2286C"/>
    <w:rsid w:val="00F22F22"/>
    <w:rsid w:val="00F23100"/>
    <w:rsid w:val="00F235CA"/>
    <w:rsid w:val="00F235E8"/>
    <w:rsid w:val="00F23733"/>
    <w:rsid w:val="00F2376C"/>
    <w:rsid w:val="00F237D0"/>
    <w:rsid w:val="00F23AEF"/>
    <w:rsid w:val="00F2403A"/>
    <w:rsid w:val="00F243C2"/>
    <w:rsid w:val="00F24A46"/>
    <w:rsid w:val="00F24AC5"/>
    <w:rsid w:val="00F24D61"/>
    <w:rsid w:val="00F2513D"/>
    <w:rsid w:val="00F25242"/>
    <w:rsid w:val="00F25426"/>
    <w:rsid w:val="00F259EE"/>
    <w:rsid w:val="00F25A35"/>
    <w:rsid w:val="00F25BF6"/>
    <w:rsid w:val="00F26095"/>
    <w:rsid w:val="00F26240"/>
    <w:rsid w:val="00F26470"/>
    <w:rsid w:val="00F265C5"/>
    <w:rsid w:val="00F2674E"/>
    <w:rsid w:val="00F26B65"/>
    <w:rsid w:val="00F274CF"/>
    <w:rsid w:val="00F27571"/>
    <w:rsid w:val="00F27960"/>
    <w:rsid w:val="00F27E66"/>
    <w:rsid w:val="00F27EFB"/>
    <w:rsid w:val="00F27F0A"/>
    <w:rsid w:val="00F308C1"/>
    <w:rsid w:val="00F30C25"/>
    <w:rsid w:val="00F30CFE"/>
    <w:rsid w:val="00F30EDB"/>
    <w:rsid w:val="00F30F5D"/>
    <w:rsid w:val="00F31555"/>
    <w:rsid w:val="00F315A8"/>
    <w:rsid w:val="00F31833"/>
    <w:rsid w:val="00F3189E"/>
    <w:rsid w:val="00F31DDE"/>
    <w:rsid w:val="00F31F84"/>
    <w:rsid w:val="00F32407"/>
    <w:rsid w:val="00F325E6"/>
    <w:rsid w:val="00F32756"/>
    <w:rsid w:val="00F32882"/>
    <w:rsid w:val="00F32912"/>
    <w:rsid w:val="00F32994"/>
    <w:rsid w:val="00F32AE8"/>
    <w:rsid w:val="00F32B51"/>
    <w:rsid w:val="00F32CF0"/>
    <w:rsid w:val="00F32FD6"/>
    <w:rsid w:val="00F33174"/>
    <w:rsid w:val="00F333B0"/>
    <w:rsid w:val="00F3346A"/>
    <w:rsid w:val="00F33520"/>
    <w:rsid w:val="00F3355D"/>
    <w:rsid w:val="00F33576"/>
    <w:rsid w:val="00F33586"/>
    <w:rsid w:val="00F33763"/>
    <w:rsid w:val="00F3389B"/>
    <w:rsid w:val="00F338FB"/>
    <w:rsid w:val="00F33D21"/>
    <w:rsid w:val="00F33F28"/>
    <w:rsid w:val="00F341ED"/>
    <w:rsid w:val="00F342F9"/>
    <w:rsid w:val="00F34366"/>
    <w:rsid w:val="00F34766"/>
    <w:rsid w:val="00F34D43"/>
    <w:rsid w:val="00F350D4"/>
    <w:rsid w:val="00F3511E"/>
    <w:rsid w:val="00F3549F"/>
    <w:rsid w:val="00F3656B"/>
    <w:rsid w:val="00F36687"/>
    <w:rsid w:val="00F36D19"/>
    <w:rsid w:val="00F36E54"/>
    <w:rsid w:val="00F36E6F"/>
    <w:rsid w:val="00F37B69"/>
    <w:rsid w:val="00F37F96"/>
    <w:rsid w:val="00F40041"/>
    <w:rsid w:val="00F40183"/>
    <w:rsid w:val="00F403C6"/>
    <w:rsid w:val="00F40454"/>
    <w:rsid w:val="00F405AB"/>
    <w:rsid w:val="00F40C7E"/>
    <w:rsid w:val="00F41121"/>
    <w:rsid w:val="00F4160B"/>
    <w:rsid w:val="00F417F9"/>
    <w:rsid w:val="00F41856"/>
    <w:rsid w:val="00F41C77"/>
    <w:rsid w:val="00F4207A"/>
    <w:rsid w:val="00F42AF4"/>
    <w:rsid w:val="00F42EC8"/>
    <w:rsid w:val="00F432E7"/>
    <w:rsid w:val="00F44155"/>
    <w:rsid w:val="00F44221"/>
    <w:rsid w:val="00F4447C"/>
    <w:rsid w:val="00F44977"/>
    <w:rsid w:val="00F449E2"/>
    <w:rsid w:val="00F44A9F"/>
    <w:rsid w:val="00F44B98"/>
    <w:rsid w:val="00F44FAE"/>
    <w:rsid w:val="00F4636B"/>
    <w:rsid w:val="00F46589"/>
    <w:rsid w:val="00F46A51"/>
    <w:rsid w:val="00F470C3"/>
    <w:rsid w:val="00F4714B"/>
    <w:rsid w:val="00F4765A"/>
    <w:rsid w:val="00F47681"/>
    <w:rsid w:val="00F47F7D"/>
    <w:rsid w:val="00F47FC5"/>
    <w:rsid w:val="00F50185"/>
    <w:rsid w:val="00F501D6"/>
    <w:rsid w:val="00F50320"/>
    <w:rsid w:val="00F50345"/>
    <w:rsid w:val="00F509C9"/>
    <w:rsid w:val="00F51482"/>
    <w:rsid w:val="00F51625"/>
    <w:rsid w:val="00F51830"/>
    <w:rsid w:val="00F51DA7"/>
    <w:rsid w:val="00F52530"/>
    <w:rsid w:val="00F52644"/>
    <w:rsid w:val="00F5265D"/>
    <w:rsid w:val="00F52700"/>
    <w:rsid w:val="00F52DD1"/>
    <w:rsid w:val="00F536D6"/>
    <w:rsid w:val="00F537F4"/>
    <w:rsid w:val="00F539AA"/>
    <w:rsid w:val="00F53A16"/>
    <w:rsid w:val="00F53A3C"/>
    <w:rsid w:val="00F53AD8"/>
    <w:rsid w:val="00F53BCB"/>
    <w:rsid w:val="00F53DB8"/>
    <w:rsid w:val="00F53F89"/>
    <w:rsid w:val="00F54083"/>
    <w:rsid w:val="00F540F9"/>
    <w:rsid w:val="00F541DC"/>
    <w:rsid w:val="00F54504"/>
    <w:rsid w:val="00F5475E"/>
    <w:rsid w:val="00F5480C"/>
    <w:rsid w:val="00F54934"/>
    <w:rsid w:val="00F54B21"/>
    <w:rsid w:val="00F54C7A"/>
    <w:rsid w:val="00F54C7F"/>
    <w:rsid w:val="00F55024"/>
    <w:rsid w:val="00F5524E"/>
    <w:rsid w:val="00F55A52"/>
    <w:rsid w:val="00F561AC"/>
    <w:rsid w:val="00F561AE"/>
    <w:rsid w:val="00F5640E"/>
    <w:rsid w:val="00F5655E"/>
    <w:rsid w:val="00F565FB"/>
    <w:rsid w:val="00F56664"/>
    <w:rsid w:val="00F56CEC"/>
    <w:rsid w:val="00F56D12"/>
    <w:rsid w:val="00F56E4F"/>
    <w:rsid w:val="00F56EAD"/>
    <w:rsid w:val="00F571F7"/>
    <w:rsid w:val="00F57C6A"/>
    <w:rsid w:val="00F57DFE"/>
    <w:rsid w:val="00F57E40"/>
    <w:rsid w:val="00F602B4"/>
    <w:rsid w:val="00F602EF"/>
    <w:rsid w:val="00F6038B"/>
    <w:rsid w:val="00F60B76"/>
    <w:rsid w:val="00F60F36"/>
    <w:rsid w:val="00F619CD"/>
    <w:rsid w:val="00F619D7"/>
    <w:rsid w:val="00F61AD4"/>
    <w:rsid w:val="00F61C11"/>
    <w:rsid w:val="00F6212E"/>
    <w:rsid w:val="00F629B5"/>
    <w:rsid w:val="00F62A01"/>
    <w:rsid w:val="00F62B95"/>
    <w:rsid w:val="00F62BE4"/>
    <w:rsid w:val="00F63C6A"/>
    <w:rsid w:val="00F642DC"/>
    <w:rsid w:val="00F65202"/>
    <w:rsid w:val="00F65A0F"/>
    <w:rsid w:val="00F65C97"/>
    <w:rsid w:val="00F65F80"/>
    <w:rsid w:val="00F65FA1"/>
    <w:rsid w:val="00F661C3"/>
    <w:rsid w:val="00F662F6"/>
    <w:rsid w:val="00F665E9"/>
    <w:rsid w:val="00F665EA"/>
    <w:rsid w:val="00F6669E"/>
    <w:rsid w:val="00F66743"/>
    <w:rsid w:val="00F66871"/>
    <w:rsid w:val="00F66DCD"/>
    <w:rsid w:val="00F67262"/>
    <w:rsid w:val="00F67301"/>
    <w:rsid w:val="00F67449"/>
    <w:rsid w:val="00F674DC"/>
    <w:rsid w:val="00F6776F"/>
    <w:rsid w:val="00F677C9"/>
    <w:rsid w:val="00F67BC5"/>
    <w:rsid w:val="00F70A85"/>
    <w:rsid w:val="00F70B85"/>
    <w:rsid w:val="00F70D9D"/>
    <w:rsid w:val="00F71466"/>
    <w:rsid w:val="00F71526"/>
    <w:rsid w:val="00F7192C"/>
    <w:rsid w:val="00F71B26"/>
    <w:rsid w:val="00F71CE0"/>
    <w:rsid w:val="00F71E66"/>
    <w:rsid w:val="00F72112"/>
    <w:rsid w:val="00F728FD"/>
    <w:rsid w:val="00F72E9F"/>
    <w:rsid w:val="00F72F61"/>
    <w:rsid w:val="00F73040"/>
    <w:rsid w:val="00F73891"/>
    <w:rsid w:val="00F738B0"/>
    <w:rsid w:val="00F73F39"/>
    <w:rsid w:val="00F7400A"/>
    <w:rsid w:val="00F7400E"/>
    <w:rsid w:val="00F74175"/>
    <w:rsid w:val="00F74655"/>
    <w:rsid w:val="00F74882"/>
    <w:rsid w:val="00F74C0E"/>
    <w:rsid w:val="00F74EE8"/>
    <w:rsid w:val="00F75315"/>
    <w:rsid w:val="00F753BB"/>
    <w:rsid w:val="00F7581C"/>
    <w:rsid w:val="00F75A96"/>
    <w:rsid w:val="00F75AFE"/>
    <w:rsid w:val="00F75EC6"/>
    <w:rsid w:val="00F7667A"/>
    <w:rsid w:val="00F768B6"/>
    <w:rsid w:val="00F76C82"/>
    <w:rsid w:val="00F7723B"/>
    <w:rsid w:val="00F803F0"/>
    <w:rsid w:val="00F80692"/>
    <w:rsid w:val="00F809F1"/>
    <w:rsid w:val="00F80A04"/>
    <w:rsid w:val="00F80BB5"/>
    <w:rsid w:val="00F81369"/>
    <w:rsid w:val="00F8182D"/>
    <w:rsid w:val="00F8197B"/>
    <w:rsid w:val="00F81D79"/>
    <w:rsid w:val="00F82153"/>
    <w:rsid w:val="00F82255"/>
    <w:rsid w:val="00F828C2"/>
    <w:rsid w:val="00F82C01"/>
    <w:rsid w:val="00F82FF2"/>
    <w:rsid w:val="00F83108"/>
    <w:rsid w:val="00F8320B"/>
    <w:rsid w:val="00F833D2"/>
    <w:rsid w:val="00F83D3C"/>
    <w:rsid w:val="00F843CC"/>
    <w:rsid w:val="00F8487D"/>
    <w:rsid w:val="00F84E85"/>
    <w:rsid w:val="00F85555"/>
    <w:rsid w:val="00F85706"/>
    <w:rsid w:val="00F85C5C"/>
    <w:rsid w:val="00F85C8E"/>
    <w:rsid w:val="00F868B8"/>
    <w:rsid w:val="00F86E93"/>
    <w:rsid w:val="00F870C2"/>
    <w:rsid w:val="00F875DC"/>
    <w:rsid w:val="00F87A0B"/>
    <w:rsid w:val="00F87A1B"/>
    <w:rsid w:val="00F87B1C"/>
    <w:rsid w:val="00F87EC6"/>
    <w:rsid w:val="00F90026"/>
    <w:rsid w:val="00F90039"/>
    <w:rsid w:val="00F903D2"/>
    <w:rsid w:val="00F903F2"/>
    <w:rsid w:val="00F90810"/>
    <w:rsid w:val="00F90B53"/>
    <w:rsid w:val="00F90D1B"/>
    <w:rsid w:val="00F90DCA"/>
    <w:rsid w:val="00F910A0"/>
    <w:rsid w:val="00F9114F"/>
    <w:rsid w:val="00F914E7"/>
    <w:rsid w:val="00F91520"/>
    <w:rsid w:val="00F91A25"/>
    <w:rsid w:val="00F91E17"/>
    <w:rsid w:val="00F926A0"/>
    <w:rsid w:val="00F92929"/>
    <w:rsid w:val="00F92C98"/>
    <w:rsid w:val="00F92D7D"/>
    <w:rsid w:val="00F936F4"/>
    <w:rsid w:val="00F93987"/>
    <w:rsid w:val="00F93A53"/>
    <w:rsid w:val="00F93C06"/>
    <w:rsid w:val="00F93D0B"/>
    <w:rsid w:val="00F93FF9"/>
    <w:rsid w:val="00F942FA"/>
    <w:rsid w:val="00F9462B"/>
    <w:rsid w:val="00F94734"/>
    <w:rsid w:val="00F9507B"/>
    <w:rsid w:val="00F95560"/>
    <w:rsid w:val="00F9571E"/>
    <w:rsid w:val="00F957D4"/>
    <w:rsid w:val="00F965AB"/>
    <w:rsid w:val="00F96874"/>
    <w:rsid w:val="00F96C33"/>
    <w:rsid w:val="00F96D04"/>
    <w:rsid w:val="00F96DD8"/>
    <w:rsid w:val="00F96E80"/>
    <w:rsid w:val="00F96ED2"/>
    <w:rsid w:val="00F972FC"/>
    <w:rsid w:val="00F97504"/>
    <w:rsid w:val="00F97A87"/>
    <w:rsid w:val="00F97DD4"/>
    <w:rsid w:val="00FA047A"/>
    <w:rsid w:val="00FA04D4"/>
    <w:rsid w:val="00FA074B"/>
    <w:rsid w:val="00FA0A0F"/>
    <w:rsid w:val="00FA0A72"/>
    <w:rsid w:val="00FA0B15"/>
    <w:rsid w:val="00FA13A7"/>
    <w:rsid w:val="00FA149F"/>
    <w:rsid w:val="00FA15C5"/>
    <w:rsid w:val="00FA174F"/>
    <w:rsid w:val="00FA1AC0"/>
    <w:rsid w:val="00FA1BA1"/>
    <w:rsid w:val="00FA1BE4"/>
    <w:rsid w:val="00FA2140"/>
    <w:rsid w:val="00FA24A7"/>
    <w:rsid w:val="00FA2503"/>
    <w:rsid w:val="00FA2DFD"/>
    <w:rsid w:val="00FA2F41"/>
    <w:rsid w:val="00FA30A3"/>
    <w:rsid w:val="00FA3150"/>
    <w:rsid w:val="00FA341B"/>
    <w:rsid w:val="00FA3569"/>
    <w:rsid w:val="00FA3B06"/>
    <w:rsid w:val="00FA3B3B"/>
    <w:rsid w:val="00FA3CB2"/>
    <w:rsid w:val="00FA3DC5"/>
    <w:rsid w:val="00FA403C"/>
    <w:rsid w:val="00FA407F"/>
    <w:rsid w:val="00FA4251"/>
    <w:rsid w:val="00FA472F"/>
    <w:rsid w:val="00FA486B"/>
    <w:rsid w:val="00FA540F"/>
    <w:rsid w:val="00FA5568"/>
    <w:rsid w:val="00FA5799"/>
    <w:rsid w:val="00FA5957"/>
    <w:rsid w:val="00FA5967"/>
    <w:rsid w:val="00FA59DA"/>
    <w:rsid w:val="00FA5D67"/>
    <w:rsid w:val="00FA63F9"/>
    <w:rsid w:val="00FA6CF0"/>
    <w:rsid w:val="00FA6E72"/>
    <w:rsid w:val="00FA73EE"/>
    <w:rsid w:val="00FA7704"/>
    <w:rsid w:val="00FA7708"/>
    <w:rsid w:val="00FA7768"/>
    <w:rsid w:val="00FA7CEC"/>
    <w:rsid w:val="00FA7F2D"/>
    <w:rsid w:val="00FB0038"/>
    <w:rsid w:val="00FB00CB"/>
    <w:rsid w:val="00FB02EF"/>
    <w:rsid w:val="00FB085D"/>
    <w:rsid w:val="00FB09D6"/>
    <w:rsid w:val="00FB0A76"/>
    <w:rsid w:val="00FB0C56"/>
    <w:rsid w:val="00FB0D63"/>
    <w:rsid w:val="00FB0EFF"/>
    <w:rsid w:val="00FB0FEA"/>
    <w:rsid w:val="00FB1046"/>
    <w:rsid w:val="00FB1091"/>
    <w:rsid w:val="00FB1185"/>
    <w:rsid w:val="00FB14DE"/>
    <w:rsid w:val="00FB19E3"/>
    <w:rsid w:val="00FB1AE8"/>
    <w:rsid w:val="00FB1AF8"/>
    <w:rsid w:val="00FB20F1"/>
    <w:rsid w:val="00FB27A0"/>
    <w:rsid w:val="00FB2917"/>
    <w:rsid w:val="00FB2C72"/>
    <w:rsid w:val="00FB2CC3"/>
    <w:rsid w:val="00FB2DC4"/>
    <w:rsid w:val="00FB3124"/>
    <w:rsid w:val="00FB319A"/>
    <w:rsid w:val="00FB3245"/>
    <w:rsid w:val="00FB3380"/>
    <w:rsid w:val="00FB36B7"/>
    <w:rsid w:val="00FB3C9E"/>
    <w:rsid w:val="00FB3F4C"/>
    <w:rsid w:val="00FB43B5"/>
    <w:rsid w:val="00FB448C"/>
    <w:rsid w:val="00FB4950"/>
    <w:rsid w:val="00FB4B3B"/>
    <w:rsid w:val="00FB4E77"/>
    <w:rsid w:val="00FB5050"/>
    <w:rsid w:val="00FB520D"/>
    <w:rsid w:val="00FB55D5"/>
    <w:rsid w:val="00FB567B"/>
    <w:rsid w:val="00FB5961"/>
    <w:rsid w:val="00FB5C45"/>
    <w:rsid w:val="00FB6B3D"/>
    <w:rsid w:val="00FB6C3E"/>
    <w:rsid w:val="00FB6E44"/>
    <w:rsid w:val="00FB6EF5"/>
    <w:rsid w:val="00FB777E"/>
    <w:rsid w:val="00FB7FAA"/>
    <w:rsid w:val="00FC00ED"/>
    <w:rsid w:val="00FC0354"/>
    <w:rsid w:val="00FC0A5B"/>
    <w:rsid w:val="00FC12BB"/>
    <w:rsid w:val="00FC1BCC"/>
    <w:rsid w:val="00FC21BC"/>
    <w:rsid w:val="00FC2581"/>
    <w:rsid w:val="00FC2A9B"/>
    <w:rsid w:val="00FC2BF0"/>
    <w:rsid w:val="00FC2DCF"/>
    <w:rsid w:val="00FC403F"/>
    <w:rsid w:val="00FC4410"/>
    <w:rsid w:val="00FC49B3"/>
    <w:rsid w:val="00FC4FD5"/>
    <w:rsid w:val="00FC52C9"/>
    <w:rsid w:val="00FC5E03"/>
    <w:rsid w:val="00FC62B2"/>
    <w:rsid w:val="00FC6ED9"/>
    <w:rsid w:val="00FC7118"/>
    <w:rsid w:val="00FC71F1"/>
    <w:rsid w:val="00FC747C"/>
    <w:rsid w:val="00FC777D"/>
    <w:rsid w:val="00FC7780"/>
    <w:rsid w:val="00FC7BEA"/>
    <w:rsid w:val="00FC7DAE"/>
    <w:rsid w:val="00FC7E63"/>
    <w:rsid w:val="00FC7F7C"/>
    <w:rsid w:val="00FD00C1"/>
    <w:rsid w:val="00FD11A6"/>
    <w:rsid w:val="00FD145C"/>
    <w:rsid w:val="00FD1485"/>
    <w:rsid w:val="00FD149A"/>
    <w:rsid w:val="00FD1504"/>
    <w:rsid w:val="00FD1707"/>
    <w:rsid w:val="00FD1C49"/>
    <w:rsid w:val="00FD1F50"/>
    <w:rsid w:val="00FD20AB"/>
    <w:rsid w:val="00FD25DE"/>
    <w:rsid w:val="00FD2864"/>
    <w:rsid w:val="00FD2D86"/>
    <w:rsid w:val="00FD3301"/>
    <w:rsid w:val="00FD3371"/>
    <w:rsid w:val="00FD38E0"/>
    <w:rsid w:val="00FD3A36"/>
    <w:rsid w:val="00FD3C37"/>
    <w:rsid w:val="00FD4216"/>
    <w:rsid w:val="00FD42F2"/>
    <w:rsid w:val="00FD473A"/>
    <w:rsid w:val="00FD4F1C"/>
    <w:rsid w:val="00FD51F9"/>
    <w:rsid w:val="00FD5474"/>
    <w:rsid w:val="00FD5602"/>
    <w:rsid w:val="00FD5F2D"/>
    <w:rsid w:val="00FD6990"/>
    <w:rsid w:val="00FD6F09"/>
    <w:rsid w:val="00FD71B2"/>
    <w:rsid w:val="00FD71D9"/>
    <w:rsid w:val="00FD7500"/>
    <w:rsid w:val="00FD7543"/>
    <w:rsid w:val="00FD79DE"/>
    <w:rsid w:val="00FD7A8A"/>
    <w:rsid w:val="00FE00FB"/>
    <w:rsid w:val="00FE03C8"/>
    <w:rsid w:val="00FE0429"/>
    <w:rsid w:val="00FE08CB"/>
    <w:rsid w:val="00FE0DFC"/>
    <w:rsid w:val="00FE1199"/>
    <w:rsid w:val="00FE13E9"/>
    <w:rsid w:val="00FE1682"/>
    <w:rsid w:val="00FE16F7"/>
    <w:rsid w:val="00FE1725"/>
    <w:rsid w:val="00FE19E6"/>
    <w:rsid w:val="00FE2196"/>
    <w:rsid w:val="00FE23FE"/>
    <w:rsid w:val="00FE2597"/>
    <w:rsid w:val="00FE2922"/>
    <w:rsid w:val="00FE2AEF"/>
    <w:rsid w:val="00FE2BC3"/>
    <w:rsid w:val="00FE3EE2"/>
    <w:rsid w:val="00FE40E4"/>
    <w:rsid w:val="00FE414D"/>
    <w:rsid w:val="00FE42F3"/>
    <w:rsid w:val="00FE4C0D"/>
    <w:rsid w:val="00FE4C10"/>
    <w:rsid w:val="00FE4C79"/>
    <w:rsid w:val="00FE4C82"/>
    <w:rsid w:val="00FE4F87"/>
    <w:rsid w:val="00FE525F"/>
    <w:rsid w:val="00FE53F9"/>
    <w:rsid w:val="00FE5579"/>
    <w:rsid w:val="00FE5BC0"/>
    <w:rsid w:val="00FE5E3F"/>
    <w:rsid w:val="00FE5EF2"/>
    <w:rsid w:val="00FE60D7"/>
    <w:rsid w:val="00FE6294"/>
    <w:rsid w:val="00FE641B"/>
    <w:rsid w:val="00FE6B3C"/>
    <w:rsid w:val="00FE6C19"/>
    <w:rsid w:val="00FE6EE7"/>
    <w:rsid w:val="00FE7344"/>
    <w:rsid w:val="00FE7390"/>
    <w:rsid w:val="00FE73DD"/>
    <w:rsid w:val="00FE73EC"/>
    <w:rsid w:val="00FE7FDD"/>
    <w:rsid w:val="00FF01D9"/>
    <w:rsid w:val="00FF0E4F"/>
    <w:rsid w:val="00FF103A"/>
    <w:rsid w:val="00FF107E"/>
    <w:rsid w:val="00FF1115"/>
    <w:rsid w:val="00FF112A"/>
    <w:rsid w:val="00FF11A6"/>
    <w:rsid w:val="00FF1ADF"/>
    <w:rsid w:val="00FF20E2"/>
    <w:rsid w:val="00FF2560"/>
    <w:rsid w:val="00FF2670"/>
    <w:rsid w:val="00FF3EB6"/>
    <w:rsid w:val="00FF41BE"/>
    <w:rsid w:val="00FF43C9"/>
    <w:rsid w:val="00FF4CDA"/>
    <w:rsid w:val="00FF5477"/>
    <w:rsid w:val="00FF563C"/>
    <w:rsid w:val="00FF57C3"/>
    <w:rsid w:val="00FF57E5"/>
    <w:rsid w:val="00FF590F"/>
    <w:rsid w:val="00FF6244"/>
    <w:rsid w:val="00FF7383"/>
    <w:rsid w:val="00FF7473"/>
    <w:rsid w:val="00FF752B"/>
    <w:rsid w:val="00FF7A96"/>
  </w:rsids>
  <m:mathPr>
    <m:mathFont m:val="Cambria Math"/>
    <m:brkBin m:val="before"/>
    <m:brkBinSub m:val="--"/>
    <m:smallFrac m:val="0"/>
    <m:dispDef/>
    <m:lMargin m:val="0"/>
    <m:rMargin m:val="0"/>
    <m:defJc m:val="centerGroup"/>
    <m:wrapIndent m:val="1440"/>
    <m:intLim m:val="subSup"/>
    <m:naryLim m:val="undOvr"/>
  </m:mathPr>
  <w:themeFontLang w:val="es-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15D3A9"/>
  <w15:docId w15:val="{24A6A26F-7859-D446-8FDE-BE9908EA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F85"/>
    <w:rPr>
      <w:rFonts w:eastAsia="Times New Roman"/>
      <w:sz w:val="24"/>
      <w:szCs w:val="24"/>
      <w:lang w:val="en-US"/>
    </w:rPr>
  </w:style>
  <w:style w:type="paragraph" w:styleId="Heading1">
    <w:name w:val="heading 1"/>
    <w:basedOn w:val="Normal"/>
    <w:next w:val="Normal"/>
    <w:link w:val="Heading1Char"/>
    <w:uiPriority w:val="9"/>
    <w:qFormat/>
    <w:rsid w:val="000551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1E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A74D7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1EF7"/>
    <w:rPr>
      <w:rFonts w:asciiTheme="majorHAnsi" w:eastAsiaTheme="majorEastAsia" w:hAnsiTheme="majorHAnsi" w:cstheme="majorBidi"/>
      <w:bCs/>
      <w:iCs/>
      <w:color w:val="2F5496" w:themeColor="accent1" w:themeShade="BF"/>
      <w:sz w:val="26"/>
      <w:szCs w:val="26"/>
      <w:lang w:eastAsia="fr-CA"/>
    </w:rPr>
  </w:style>
  <w:style w:type="character" w:customStyle="1" w:styleId="Heading3Char">
    <w:name w:val="Heading 3 Char"/>
    <w:basedOn w:val="DefaultParagraphFont"/>
    <w:link w:val="Heading3"/>
    <w:uiPriority w:val="99"/>
    <w:rsid w:val="00A74D73"/>
    <w:rPr>
      <w:rFonts w:eastAsia="Times New Roman"/>
      <w:b/>
      <w:iCs/>
      <w:sz w:val="27"/>
      <w:szCs w:val="27"/>
      <w:lang w:eastAsia="fr-CA"/>
    </w:rPr>
  </w:style>
  <w:style w:type="paragraph" w:styleId="ListParagraph">
    <w:name w:val="List Paragraph"/>
    <w:aliases w:val="Lista viñetas,Dot pt,No Spacing1,List Paragraph Char Char Char,Indicator Text,List Paragraph1,Numbered Para 1,Colorful List - Accent 11,Bullet 1,F5 List Paragraph,Bullet Points,Bullets,List Paragraph Speech,bullet list level 1,Liste 1,3"/>
    <w:basedOn w:val="Normal"/>
    <w:link w:val="ListParagraphChar"/>
    <w:uiPriority w:val="99"/>
    <w:qFormat/>
    <w:rsid w:val="008D5882"/>
    <w:pPr>
      <w:ind w:left="720"/>
      <w:contextualSpacing/>
    </w:pPr>
    <w:rPr>
      <w:rFonts w:eastAsiaTheme="minorEastAsia"/>
      <w:sz w:val="22"/>
      <w:szCs w:val="22"/>
    </w:rPr>
  </w:style>
  <w:style w:type="character" w:customStyle="1" w:styleId="ListParagraphChar">
    <w:name w:val="List Paragraph Char"/>
    <w:aliases w:val="Lista viñetas Char,Dot pt Char,No Spacing1 Char,List Paragraph Char Char Char Char,Indicator Text Char,List Paragraph1 Char,Numbered Para 1 Char,Colorful List - Accent 11 Char,Bullet 1 Char,F5 List Paragraph Char,Bullet Points Char"/>
    <w:link w:val="ListParagraph"/>
    <w:uiPriority w:val="99"/>
    <w:qFormat/>
    <w:locked/>
    <w:rsid w:val="008D5882"/>
    <w:rPr>
      <w:rFonts w:eastAsiaTheme="minorEastAsia"/>
      <w:lang w:val="en-US"/>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Footnote Text Char1"/>
    <w:basedOn w:val="Normal"/>
    <w:link w:val="FootnoteTextChar"/>
    <w:uiPriority w:val="99"/>
    <w:qFormat/>
    <w:rsid w:val="00D12559"/>
    <w:rPr>
      <w:sz w:val="20"/>
      <w:szCs w:val="20"/>
      <w:lang w:val="es-ES"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rsid w:val="00D12559"/>
    <w:rPr>
      <w:rFonts w:eastAsia="Times New Roman"/>
      <w:bCs/>
      <w:iCs/>
      <w:sz w:val="20"/>
      <w:szCs w:val="20"/>
      <w:lang w:val="es-ES" w:eastAsia="es-ES"/>
    </w:rPr>
  </w:style>
  <w:style w:type="character" w:styleId="FootnoteReference">
    <w:name w:val="footnote reference"/>
    <w:aliases w:val="Texto de nota al pie,Footnote Reference1,fr,Footnote Reference Number,Footnote symbol,Footnote Reference Superscript,Footnote Refernece,ftref,Odwołanie przypisu,BVI fnr,Footnotes refss,SUPERS,Ref,de nota al pie,-E Fußnotenzeichen"/>
    <w:link w:val="ftrefCharChar"/>
    <w:uiPriority w:val="99"/>
    <w:qFormat/>
    <w:rsid w:val="00D12559"/>
    <w:rPr>
      <w:vertAlign w:val="superscript"/>
    </w:rPr>
  </w:style>
  <w:style w:type="character" w:styleId="Hyperlink">
    <w:name w:val="Hyperlink"/>
    <w:basedOn w:val="DefaultParagraphFont"/>
    <w:uiPriority w:val="99"/>
    <w:unhideWhenUsed/>
    <w:rsid w:val="00494D4A"/>
    <w:rPr>
      <w:color w:val="0563C1" w:themeColor="hyperlink"/>
      <w:u w:val="single"/>
    </w:rPr>
  </w:style>
  <w:style w:type="character" w:customStyle="1" w:styleId="Mentionnonrsolue1">
    <w:name w:val="Mention non résolue1"/>
    <w:basedOn w:val="DefaultParagraphFont"/>
    <w:uiPriority w:val="99"/>
    <w:semiHidden/>
    <w:unhideWhenUsed/>
    <w:rsid w:val="00494D4A"/>
    <w:rPr>
      <w:color w:val="605E5C"/>
      <w:shd w:val="clear" w:color="auto" w:fill="E1DFDD"/>
    </w:rPr>
  </w:style>
  <w:style w:type="character" w:styleId="FollowedHyperlink">
    <w:name w:val="FollowedHyperlink"/>
    <w:basedOn w:val="DefaultParagraphFont"/>
    <w:uiPriority w:val="99"/>
    <w:semiHidden/>
    <w:unhideWhenUsed/>
    <w:rsid w:val="00494D4A"/>
    <w:rPr>
      <w:color w:val="954F72" w:themeColor="followedHyperlink"/>
      <w:u w:val="single"/>
    </w:rPr>
  </w:style>
  <w:style w:type="paragraph" w:styleId="NoSpacing">
    <w:name w:val="No Spacing"/>
    <w:uiPriority w:val="1"/>
    <w:qFormat/>
    <w:rsid w:val="002E1F30"/>
    <w:rPr>
      <w:rFonts w:asciiTheme="minorHAnsi" w:hAnsiTheme="minorHAnsi" w:cstheme="minorBidi"/>
      <w:bCs/>
      <w:iCs/>
      <w:lang w:val="es-CR"/>
    </w:rPr>
  </w:style>
  <w:style w:type="paragraph" w:styleId="BalloonText">
    <w:name w:val="Balloon Text"/>
    <w:basedOn w:val="Normal"/>
    <w:link w:val="BalloonTextChar"/>
    <w:uiPriority w:val="99"/>
    <w:semiHidden/>
    <w:unhideWhenUsed/>
    <w:rsid w:val="008013A4"/>
    <w:rPr>
      <w:sz w:val="18"/>
      <w:szCs w:val="18"/>
    </w:rPr>
  </w:style>
  <w:style w:type="character" w:customStyle="1" w:styleId="BalloonTextChar">
    <w:name w:val="Balloon Text Char"/>
    <w:basedOn w:val="DefaultParagraphFont"/>
    <w:link w:val="BalloonText"/>
    <w:uiPriority w:val="99"/>
    <w:semiHidden/>
    <w:rsid w:val="008013A4"/>
    <w:rPr>
      <w:rFonts w:eastAsia="Times New Roman"/>
      <w:bCs/>
      <w:iCs/>
      <w:sz w:val="18"/>
      <w:szCs w:val="18"/>
      <w:lang w:eastAsia="fr-CA"/>
    </w:rPr>
  </w:style>
  <w:style w:type="paragraph" w:styleId="BodyTextIndent2">
    <w:name w:val="Body Text Indent 2"/>
    <w:basedOn w:val="Normal"/>
    <w:link w:val="BodyTextIndent2Char"/>
    <w:rsid w:val="00FA1BA1"/>
    <w:pPr>
      <w:suppressAutoHyphens/>
      <w:ind w:left="495"/>
      <w:jc w:val="both"/>
    </w:pPr>
    <w:rPr>
      <w:rFonts w:ascii="Arial" w:eastAsia="Calibri" w:hAnsi="Arial"/>
      <w:spacing w:val="-3"/>
      <w:sz w:val="22"/>
      <w:szCs w:val="22"/>
      <w:lang w:val="es-ES_tradnl"/>
    </w:rPr>
  </w:style>
  <w:style w:type="character" w:customStyle="1" w:styleId="BodyTextIndent2Char">
    <w:name w:val="Body Text Indent 2 Char"/>
    <w:basedOn w:val="DefaultParagraphFont"/>
    <w:link w:val="BodyTextIndent2"/>
    <w:rsid w:val="00FA1BA1"/>
    <w:rPr>
      <w:rFonts w:ascii="Arial" w:eastAsia="Calibri" w:hAnsi="Arial"/>
      <w:bCs/>
      <w:iCs/>
      <w:spacing w:val="-3"/>
      <w:lang w:val="es-ES_tradnl"/>
    </w:rPr>
  </w:style>
  <w:style w:type="paragraph" w:styleId="Header">
    <w:name w:val="header"/>
    <w:basedOn w:val="Normal"/>
    <w:link w:val="HeaderChar"/>
    <w:uiPriority w:val="99"/>
    <w:unhideWhenUsed/>
    <w:rsid w:val="00FA1BA1"/>
    <w:pPr>
      <w:tabs>
        <w:tab w:val="center" w:pos="4680"/>
        <w:tab w:val="right" w:pos="9360"/>
      </w:tabs>
    </w:pPr>
    <w:rPr>
      <w:lang w:val="es-ES"/>
    </w:rPr>
  </w:style>
  <w:style w:type="character" w:customStyle="1" w:styleId="HeaderChar">
    <w:name w:val="Header Char"/>
    <w:basedOn w:val="DefaultParagraphFont"/>
    <w:link w:val="Header"/>
    <w:uiPriority w:val="99"/>
    <w:rsid w:val="00FA1BA1"/>
    <w:rPr>
      <w:rFonts w:eastAsia="Times New Roman"/>
      <w:bCs/>
      <w:iCs/>
      <w:sz w:val="24"/>
      <w:szCs w:val="24"/>
      <w:lang w:val="es-ES" w:eastAsia="fr-CA"/>
    </w:rPr>
  </w:style>
  <w:style w:type="character" w:styleId="PageNumber">
    <w:name w:val="page number"/>
    <w:basedOn w:val="DefaultParagraphFont"/>
    <w:unhideWhenUsed/>
    <w:rsid w:val="00FA1BA1"/>
  </w:style>
  <w:style w:type="paragraph" w:styleId="BodyText2">
    <w:name w:val="Body Text 2"/>
    <w:basedOn w:val="Normal"/>
    <w:link w:val="BodyText2Char"/>
    <w:uiPriority w:val="99"/>
    <w:unhideWhenUsed/>
    <w:rsid w:val="00FA1BA1"/>
    <w:pPr>
      <w:spacing w:after="120" w:line="480" w:lineRule="auto"/>
    </w:pPr>
    <w:rPr>
      <w:lang w:val="es-ES"/>
    </w:rPr>
  </w:style>
  <w:style w:type="character" w:customStyle="1" w:styleId="BodyText2Char">
    <w:name w:val="Body Text 2 Char"/>
    <w:basedOn w:val="DefaultParagraphFont"/>
    <w:link w:val="BodyText2"/>
    <w:uiPriority w:val="99"/>
    <w:rsid w:val="00FA1BA1"/>
    <w:rPr>
      <w:rFonts w:eastAsia="Times New Roman"/>
      <w:bCs/>
      <w:iCs/>
      <w:sz w:val="24"/>
      <w:szCs w:val="24"/>
      <w:lang w:val="es-ES" w:eastAsia="fr-CA"/>
    </w:rPr>
  </w:style>
  <w:style w:type="paragraph" w:styleId="Footer">
    <w:name w:val="footer"/>
    <w:basedOn w:val="Normal"/>
    <w:link w:val="FooterChar"/>
    <w:rsid w:val="00FA1BA1"/>
    <w:pPr>
      <w:tabs>
        <w:tab w:val="center" w:pos="4320"/>
        <w:tab w:val="right" w:pos="8640"/>
      </w:tabs>
    </w:pPr>
    <w:rPr>
      <w:sz w:val="20"/>
      <w:szCs w:val="20"/>
      <w:lang w:val="es-ES" w:eastAsia="es-ES"/>
    </w:rPr>
  </w:style>
  <w:style w:type="character" w:customStyle="1" w:styleId="FooterChar">
    <w:name w:val="Footer Char"/>
    <w:basedOn w:val="DefaultParagraphFont"/>
    <w:link w:val="Footer"/>
    <w:rsid w:val="00FA1BA1"/>
    <w:rPr>
      <w:rFonts w:eastAsia="Times New Roman"/>
      <w:bCs/>
      <w:iCs/>
      <w:sz w:val="20"/>
      <w:szCs w:val="20"/>
      <w:lang w:val="es-ES" w:eastAsia="es-ES"/>
    </w:rPr>
  </w:style>
  <w:style w:type="character" w:styleId="Emphasis">
    <w:name w:val="Emphasis"/>
    <w:basedOn w:val="DefaultParagraphFont"/>
    <w:uiPriority w:val="20"/>
    <w:qFormat/>
    <w:rsid w:val="004E25DB"/>
    <w:rPr>
      <w:i/>
      <w:iCs/>
    </w:rPr>
  </w:style>
  <w:style w:type="character" w:styleId="CommentReference">
    <w:name w:val="annotation reference"/>
    <w:basedOn w:val="DefaultParagraphFont"/>
    <w:uiPriority w:val="99"/>
    <w:semiHidden/>
    <w:unhideWhenUsed/>
    <w:rsid w:val="0012734C"/>
    <w:rPr>
      <w:sz w:val="16"/>
      <w:szCs w:val="16"/>
    </w:rPr>
  </w:style>
  <w:style w:type="paragraph" w:styleId="CommentText">
    <w:name w:val="annotation text"/>
    <w:basedOn w:val="Normal"/>
    <w:link w:val="CommentTextChar"/>
    <w:uiPriority w:val="99"/>
    <w:unhideWhenUsed/>
    <w:rsid w:val="0012734C"/>
    <w:rPr>
      <w:sz w:val="20"/>
      <w:szCs w:val="20"/>
    </w:rPr>
  </w:style>
  <w:style w:type="character" w:customStyle="1" w:styleId="CommentTextChar">
    <w:name w:val="Comment Text Char"/>
    <w:basedOn w:val="DefaultParagraphFont"/>
    <w:link w:val="CommentText"/>
    <w:uiPriority w:val="99"/>
    <w:rsid w:val="0012734C"/>
    <w:rPr>
      <w:rFonts w:eastAsia="Times New Roman"/>
      <w:bCs/>
      <w:iCs/>
      <w:sz w:val="20"/>
      <w:szCs w:val="20"/>
      <w:lang w:eastAsia="fr-CA"/>
    </w:rPr>
  </w:style>
  <w:style w:type="paragraph" w:styleId="CommentSubject">
    <w:name w:val="annotation subject"/>
    <w:basedOn w:val="CommentText"/>
    <w:next w:val="CommentText"/>
    <w:link w:val="CommentSubjectChar"/>
    <w:uiPriority w:val="99"/>
    <w:semiHidden/>
    <w:unhideWhenUsed/>
    <w:rsid w:val="0012734C"/>
    <w:rPr>
      <w:b/>
      <w:bCs/>
    </w:rPr>
  </w:style>
  <w:style w:type="character" w:customStyle="1" w:styleId="CommentSubjectChar">
    <w:name w:val="Comment Subject Char"/>
    <w:basedOn w:val="CommentTextChar"/>
    <w:link w:val="CommentSubject"/>
    <w:uiPriority w:val="99"/>
    <w:semiHidden/>
    <w:rsid w:val="0012734C"/>
    <w:rPr>
      <w:rFonts w:eastAsia="Times New Roman"/>
      <w:b/>
      <w:bCs w:val="0"/>
      <w:iCs/>
      <w:sz w:val="20"/>
      <w:szCs w:val="20"/>
      <w:lang w:eastAsia="fr-CA"/>
    </w:rPr>
  </w:style>
  <w:style w:type="paragraph" w:styleId="NormalWeb">
    <w:name w:val="Normal (Web)"/>
    <w:basedOn w:val="Normal"/>
    <w:uiPriority w:val="99"/>
    <w:unhideWhenUsed/>
    <w:rsid w:val="00AF7E0B"/>
    <w:pPr>
      <w:spacing w:before="100" w:beforeAutospacing="1" w:after="100" w:afterAutospacing="1"/>
    </w:pPr>
  </w:style>
  <w:style w:type="character" w:customStyle="1" w:styleId="spelle">
    <w:name w:val="spelle"/>
    <w:basedOn w:val="DefaultParagraphFont"/>
    <w:rsid w:val="00175906"/>
  </w:style>
  <w:style w:type="character" w:styleId="Strong">
    <w:name w:val="Strong"/>
    <w:basedOn w:val="DefaultParagraphFont"/>
    <w:uiPriority w:val="22"/>
    <w:qFormat/>
    <w:rsid w:val="00207059"/>
    <w:rPr>
      <w:b/>
      <w:bCs/>
    </w:rPr>
  </w:style>
  <w:style w:type="paragraph" w:customStyle="1" w:styleId="pa41">
    <w:name w:val="pa41"/>
    <w:basedOn w:val="Normal"/>
    <w:rsid w:val="00235AD1"/>
    <w:pPr>
      <w:spacing w:before="100" w:beforeAutospacing="1" w:after="100" w:afterAutospacing="1"/>
    </w:pPr>
  </w:style>
  <w:style w:type="paragraph" w:customStyle="1" w:styleId="pa51">
    <w:name w:val="pa51"/>
    <w:basedOn w:val="Normal"/>
    <w:rsid w:val="00235AD1"/>
    <w:pPr>
      <w:spacing w:before="100" w:beforeAutospacing="1" w:after="100" w:afterAutospacing="1"/>
    </w:pPr>
  </w:style>
  <w:style w:type="character" w:customStyle="1" w:styleId="placeholderend">
    <w:name w:val="placeholder_end"/>
    <w:basedOn w:val="DefaultParagraphFont"/>
    <w:rsid w:val="00A901DB"/>
  </w:style>
  <w:style w:type="paragraph" w:styleId="Revision">
    <w:name w:val="Revision"/>
    <w:hidden/>
    <w:uiPriority w:val="99"/>
    <w:semiHidden/>
    <w:rsid w:val="00377A3D"/>
    <w:rPr>
      <w:rFonts w:eastAsia="Times New Roman"/>
      <w:bCs/>
      <w:iCs/>
      <w:sz w:val="24"/>
      <w:szCs w:val="24"/>
      <w:lang w:eastAsia="fr-CA"/>
    </w:rPr>
  </w:style>
  <w:style w:type="character" w:customStyle="1" w:styleId="tagtrans">
    <w:name w:val="tag_trans"/>
    <w:basedOn w:val="DefaultParagraphFont"/>
    <w:rsid w:val="00F661C3"/>
  </w:style>
  <w:style w:type="character" w:customStyle="1" w:styleId="text-token">
    <w:name w:val="text-token"/>
    <w:basedOn w:val="DefaultParagraphFont"/>
    <w:rsid w:val="000364A4"/>
  </w:style>
  <w:style w:type="character" w:customStyle="1" w:styleId="placeholderbegin">
    <w:name w:val="placeholder_begin"/>
    <w:basedOn w:val="DefaultParagraphFont"/>
    <w:rsid w:val="00C57358"/>
  </w:style>
  <w:style w:type="paragraph" w:customStyle="1" w:styleId="List1">
    <w:name w:val="List1"/>
    <w:rsid w:val="00CE5391"/>
    <w:pPr>
      <w:widowControl w:val="0"/>
      <w:tabs>
        <w:tab w:val="left" w:pos="1680"/>
      </w:tabs>
      <w:suppressAutoHyphens/>
    </w:pPr>
    <w:rPr>
      <w:rFonts w:ascii="Courier New" w:eastAsia="Times New Roman" w:hAnsi="Courier New"/>
      <w:bCs/>
      <w:iCs/>
      <w:snapToGrid w:val="0"/>
      <w:sz w:val="20"/>
      <w:szCs w:val="20"/>
      <w:lang w:val="en-US"/>
    </w:rPr>
  </w:style>
  <w:style w:type="character" w:customStyle="1" w:styleId="nc684nl6">
    <w:name w:val="nc684nl6"/>
    <w:basedOn w:val="DefaultParagraphFont"/>
    <w:rsid w:val="006F72CC"/>
  </w:style>
  <w:style w:type="character" w:customStyle="1" w:styleId="a4">
    <w:name w:val="a4"/>
    <w:basedOn w:val="DefaultParagraphFont"/>
    <w:rsid w:val="004C5774"/>
  </w:style>
  <w:style w:type="paragraph" w:customStyle="1" w:styleId="noparagraphstyle">
    <w:name w:val="noparagraphstyle"/>
    <w:basedOn w:val="Normal"/>
    <w:rsid w:val="004C5774"/>
    <w:pPr>
      <w:spacing w:before="100" w:beforeAutospacing="1" w:after="100" w:afterAutospacing="1"/>
    </w:pPr>
  </w:style>
  <w:style w:type="paragraph" w:customStyle="1" w:styleId="lmttranslationsastextitem">
    <w:name w:val="lmt__translations_as_text__item"/>
    <w:basedOn w:val="Normal"/>
    <w:rsid w:val="004C5774"/>
    <w:pPr>
      <w:spacing w:before="100" w:beforeAutospacing="1" w:after="100" w:afterAutospacing="1"/>
    </w:pPr>
  </w:style>
  <w:style w:type="character" w:customStyle="1" w:styleId="UnresolvedMention1">
    <w:name w:val="Unresolved Mention1"/>
    <w:basedOn w:val="DefaultParagraphFont"/>
    <w:uiPriority w:val="99"/>
    <w:semiHidden/>
    <w:unhideWhenUsed/>
    <w:rsid w:val="003F6854"/>
    <w:rPr>
      <w:color w:val="605E5C"/>
      <w:shd w:val="clear" w:color="auto" w:fill="E1DFDD"/>
    </w:rPr>
  </w:style>
  <w:style w:type="table" w:styleId="TableGrid">
    <w:name w:val="Table Grid"/>
    <w:basedOn w:val="TableNormal"/>
    <w:uiPriority w:val="39"/>
    <w:rsid w:val="002D586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A4167A"/>
    <w:pPr>
      <w:spacing w:after="200" w:line="276" w:lineRule="auto"/>
      <w:ind w:left="720"/>
      <w:contextualSpacing/>
    </w:pPr>
    <w:rPr>
      <w:rFonts w:ascii="Calibri" w:eastAsia="Calibri" w:hAnsi="Calibri"/>
      <w:sz w:val="22"/>
      <w:szCs w:val="22"/>
    </w:rPr>
  </w:style>
  <w:style w:type="paragraph" w:customStyle="1" w:styleId="Style3">
    <w:name w:val="Style 3"/>
    <w:basedOn w:val="Normal"/>
    <w:uiPriority w:val="99"/>
    <w:rsid w:val="00A4167A"/>
    <w:pPr>
      <w:widowControl w:val="0"/>
      <w:autoSpaceDE w:val="0"/>
      <w:autoSpaceDN w:val="0"/>
      <w:spacing w:line="218" w:lineRule="auto"/>
      <w:ind w:left="432"/>
      <w:jc w:val="both"/>
    </w:pPr>
    <w:rPr>
      <w:rFonts w:ascii="Garamond" w:eastAsiaTheme="minorEastAsia" w:hAnsi="Garamond" w:cs="Garamond"/>
      <w:sz w:val="20"/>
      <w:szCs w:val="20"/>
    </w:rPr>
  </w:style>
  <w:style w:type="character" w:customStyle="1" w:styleId="CharacterStyle2">
    <w:name w:val="Character Style 2"/>
    <w:uiPriority w:val="99"/>
    <w:rsid w:val="00A4167A"/>
    <w:rPr>
      <w:rFonts w:ascii="Garamond" w:hAnsi="Garamond"/>
      <w:sz w:val="20"/>
    </w:rPr>
  </w:style>
  <w:style w:type="character" w:customStyle="1" w:styleId="CharacterStyle1">
    <w:name w:val="Character Style 1"/>
    <w:uiPriority w:val="99"/>
    <w:rsid w:val="00A4167A"/>
    <w:rPr>
      <w:b/>
      <w:sz w:val="22"/>
    </w:rPr>
  </w:style>
  <w:style w:type="paragraph" w:customStyle="1" w:styleId="Default">
    <w:name w:val="Default"/>
    <w:rsid w:val="00A4167A"/>
    <w:pPr>
      <w:autoSpaceDE w:val="0"/>
      <w:autoSpaceDN w:val="0"/>
      <w:adjustRightInd w:val="0"/>
    </w:pPr>
    <w:rPr>
      <w:rFonts w:ascii="Arial" w:hAnsi="Arial" w:cs="Arial"/>
      <w:color w:val="000000"/>
      <w:sz w:val="24"/>
      <w:szCs w:val="24"/>
      <w:lang w:val="en-US"/>
    </w:rPr>
  </w:style>
  <w:style w:type="character" w:customStyle="1" w:styleId="Ninguno">
    <w:name w:val="Ninguno"/>
    <w:rsid w:val="00BB0844"/>
  </w:style>
  <w:style w:type="paragraph" w:customStyle="1" w:styleId="Cuerpo">
    <w:name w:val="Cuerpo"/>
    <w:rsid w:val="00BB0844"/>
    <w:pPr>
      <w:pBdr>
        <w:top w:val="nil"/>
        <w:left w:val="nil"/>
        <w:bottom w:val="nil"/>
        <w:right w:val="nil"/>
        <w:between w:val="nil"/>
        <w:bar w:val="nil"/>
      </w:pBdr>
    </w:pPr>
    <w:rPr>
      <w:rFonts w:eastAsia="Arial Unicode MS" w:cs="Arial Unicode MS"/>
      <w:color w:val="000000"/>
      <w:sz w:val="24"/>
      <w:szCs w:val="24"/>
      <w:u w:color="000000"/>
      <w:bdr w:val="nil"/>
      <w:lang w:val="es-ES_tradnl"/>
      <w14:textOutline w14:w="0" w14:cap="flat" w14:cmpd="sng" w14:algn="ctr">
        <w14:noFill/>
        <w14:prstDash w14:val="solid"/>
        <w14:bevel/>
      </w14:textOutline>
    </w:rPr>
  </w:style>
  <w:style w:type="table" w:styleId="GridTable5Dark-Accent5">
    <w:name w:val="Grid Table 5 Dark Accent 5"/>
    <w:basedOn w:val="TableNormal"/>
    <w:uiPriority w:val="50"/>
    <w:rsid w:val="00D810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7Colorful-Accent1">
    <w:name w:val="Grid Table 7 Colorful Accent 1"/>
    <w:basedOn w:val="TableNormal"/>
    <w:uiPriority w:val="52"/>
    <w:rsid w:val="00D8109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rful-Accent5">
    <w:name w:val="Grid Table 6 Colorful Accent 5"/>
    <w:basedOn w:val="TableNormal"/>
    <w:uiPriority w:val="51"/>
    <w:rsid w:val="00BF17A0"/>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s-alignment-element">
    <w:name w:val="ts-alignment-element"/>
    <w:basedOn w:val="DefaultParagraphFont"/>
    <w:rsid w:val="00F674DC"/>
  </w:style>
  <w:style w:type="character" w:customStyle="1" w:styleId="ts-alignment-element-highlighted">
    <w:name w:val="ts-alignment-element-highlighted"/>
    <w:basedOn w:val="DefaultParagraphFont"/>
    <w:rsid w:val="00F674DC"/>
  </w:style>
  <w:style w:type="character" w:customStyle="1" w:styleId="Heading1Char">
    <w:name w:val="Heading 1 Char"/>
    <w:basedOn w:val="DefaultParagraphFont"/>
    <w:link w:val="Heading1"/>
    <w:uiPriority w:val="9"/>
    <w:rsid w:val="000551E6"/>
    <w:rPr>
      <w:rFonts w:asciiTheme="majorHAnsi" w:eastAsiaTheme="majorEastAsia" w:hAnsiTheme="majorHAnsi" w:cstheme="majorBidi"/>
      <w:color w:val="2F5496" w:themeColor="accent1" w:themeShade="BF"/>
      <w:sz w:val="32"/>
      <w:szCs w:val="32"/>
      <w:lang w:eastAsia="fr-CA"/>
    </w:rPr>
  </w:style>
  <w:style w:type="character" w:customStyle="1" w:styleId="acopre">
    <w:name w:val="acopre"/>
    <w:basedOn w:val="DefaultParagraphFont"/>
    <w:rsid w:val="000431C2"/>
  </w:style>
  <w:style w:type="character" w:customStyle="1" w:styleId="footnotemark">
    <w:name w:val="footnote mark"/>
    <w:hidden/>
    <w:rsid w:val="00810A55"/>
    <w:rPr>
      <w:rFonts w:ascii="Times New Roman" w:eastAsia="Times New Roman" w:hAnsi="Times New Roman" w:cs="Times New Roman"/>
      <w:color w:val="000000"/>
      <w:sz w:val="18"/>
      <w:vertAlign w:val="superscript"/>
    </w:rPr>
  </w:style>
  <w:style w:type="table" w:styleId="GridTable1Light-Accent1">
    <w:name w:val="Grid Table 1 Light Accent 1"/>
    <w:basedOn w:val="TableNormal"/>
    <w:uiPriority w:val="46"/>
    <w:rsid w:val="006053D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425E4A"/>
    <w:pPr>
      <w:spacing w:before="100" w:beforeAutospacing="1" w:after="100" w:afterAutospacing="1"/>
    </w:pPr>
  </w:style>
  <w:style w:type="paragraph" w:customStyle="1" w:styleId="footnotedescription">
    <w:name w:val="footnote description"/>
    <w:next w:val="Normal"/>
    <w:link w:val="footnotedescriptionChar"/>
    <w:hidden/>
    <w:rsid w:val="0037647E"/>
    <w:pPr>
      <w:spacing w:line="259" w:lineRule="auto"/>
    </w:pPr>
    <w:rPr>
      <w:rFonts w:eastAsia="Times New Roman"/>
      <w:color w:val="000000"/>
      <w:lang w:val="en-US"/>
    </w:rPr>
  </w:style>
  <w:style w:type="character" w:customStyle="1" w:styleId="footnotedescriptionChar">
    <w:name w:val="footnote description Char"/>
    <w:link w:val="footnotedescription"/>
    <w:rsid w:val="0037647E"/>
    <w:rPr>
      <w:rFonts w:eastAsia="Times New Roman"/>
      <w:color w:val="000000"/>
      <w:lang w:val="en-US"/>
    </w:rPr>
  </w:style>
  <w:style w:type="table" w:styleId="GridTable6Colorful-Accent1">
    <w:name w:val="Grid Table 6 Colorful Accent 1"/>
    <w:basedOn w:val="TableNormal"/>
    <w:uiPriority w:val="51"/>
    <w:rsid w:val="006C693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62">
    <w:name w:val="A6+2"/>
    <w:uiPriority w:val="99"/>
    <w:rsid w:val="00A216FD"/>
    <w:rPr>
      <w:rFonts w:cs="Bernino Sans"/>
      <w:b/>
      <w:bCs/>
      <w:color w:val="000000"/>
      <w:sz w:val="22"/>
      <w:szCs w:val="22"/>
    </w:rPr>
  </w:style>
  <w:style w:type="table" w:customStyle="1" w:styleId="TableGrid0">
    <w:name w:val="TableGrid"/>
    <w:rsid w:val="00540B14"/>
    <w:rPr>
      <w:rFonts w:asciiTheme="minorHAnsi" w:eastAsiaTheme="minorEastAsia" w:hAnsiTheme="minorHAnsi" w:cstheme="minorBidi"/>
      <w:lang w:val="en-US"/>
    </w:rPr>
    <w:tblPr>
      <w:tblCellMar>
        <w:top w:w="0" w:type="dxa"/>
        <w:left w:w="0" w:type="dxa"/>
        <w:bottom w:w="0" w:type="dxa"/>
        <w:right w:w="0" w:type="dxa"/>
      </w:tblCellMar>
    </w:tblPr>
  </w:style>
  <w:style w:type="paragraph" w:styleId="EndnoteText">
    <w:name w:val="endnote text"/>
    <w:basedOn w:val="Normal"/>
    <w:link w:val="EndnoteTextChar"/>
    <w:semiHidden/>
    <w:unhideWhenUsed/>
    <w:rsid w:val="009217CA"/>
    <w:rPr>
      <w:sz w:val="20"/>
      <w:szCs w:val="20"/>
    </w:rPr>
  </w:style>
  <w:style w:type="character" w:customStyle="1" w:styleId="EndnoteTextChar">
    <w:name w:val="Endnote Text Char"/>
    <w:basedOn w:val="DefaultParagraphFont"/>
    <w:link w:val="EndnoteText"/>
    <w:uiPriority w:val="99"/>
    <w:semiHidden/>
    <w:rsid w:val="009217CA"/>
    <w:rPr>
      <w:rFonts w:eastAsia="Times New Roman"/>
      <w:sz w:val="20"/>
      <w:szCs w:val="20"/>
      <w:lang w:eastAsia="fr-CA"/>
    </w:rPr>
  </w:style>
  <w:style w:type="character" w:styleId="EndnoteReference">
    <w:name w:val="endnote reference"/>
    <w:basedOn w:val="DefaultParagraphFont"/>
    <w:semiHidden/>
    <w:unhideWhenUsed/>
    <w:rsid w:val="009217CA"/>
    <w:rPr>
      <w:vertAlign w:val="superscript"/>
    </w:rPr>
  </w:style>
  <w:style w:type="table" w:styleId="GridTable1Light-Accent5">
    <w:name w:val="Grid Table 1 Light Accent 5"/>
    <w:basedOn w:val="TableNormal"/>
    <w:uiPriority w:val="46"/>
    <w:rsid w:val="004C2B14"/>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17941"/>
    <w:rPr>
      <w:color w:val="605E5C"/>
      <w:shd w:val="clear" w:color="auto" w:fill="E1DFDD"/>
    </w:rPr>
  </w:style>
  <w:style w:type="paragraph" w:styleId="Subtitle">
    <w:name w:val="Subtitle"/>
    <w:basedOn w:val="Normal"/>
    <w:link w:val="SubtitleChar"/>
    <w:qFormat/>
    <w:rsid w:val="00464BEE"/>
    <w:pPr>
      <w:spacing w:after="120"/>
      <w:jc w:val="center"/>
    </w:pPr>
    <w:rPr>
      <w:b/>
      <w:sz w:val="28"/>
      <w:szCs w:val="20"/>
      <w:u w:val="single"/>
      <w:lang w:val="es-MX"/>
    </w:rPr>
  </w:style>
  <w:style w:type="character" w:customStyle="1" w:styleId="SubtitleChar">
    <w:name w:val="Subtitle Char"/>
    <w:basedOn w:val="DefaultParagraphFont"/>
    <w:link w:val="Subtitle"/>
    <w:rsid w:val="00464BEE"/>
    <w:rPr>
      <w:rFonts w:eastAsia="Times New Roman"/>
      <w:b/>
      <w:sz w:val="28"/>
      <w:szCs w:val="20"/>
      <w:u w:val="single"/>
      <w:lang w:val="es-MX"/>
    </w:rPr>
  </w:style>
  <w:style w:type="paragraph" w:styleId="TOC1">
    <w:name w:val="toc 1"/>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spacing w:before="480"/>
      <w:ind w:left="720" w:right="720" w:hanging="720"/>
      <w:jc w:val="both"/>
    </w:pPr>
    <w:rPr>
      <w:rFonts w:ascii="CG Times" w:hAnsi="CG Times"/>
      <w:sz w:val="22"/>
      <w:szCs w:val="20"/>
      <w:lang w:val="es-ES"/>
    </w:rPr>
  </w:style>
  <w:style w:type="paragraph" w:styleId="TOC2">
    <w:name w:val="toc 2"/>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720"/>
      <w:jc w:val="both"/>
    </w:pPr>
    <w:rPr>
      <w:rFonts w:ascii="CG Times" w:hAnsi="CG Times"/>
      <w:sz w:val="22"/>
      <w:szCs w:val="20"/>
      <w:lang w:val="es-ES"/>
    </w:rPr>
  </w:style>
  <w:style w:type="paragraph" w:styleId="TOC3">
    <w:name w:val="toc 3"/>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2160" w:right="720" w:hanging="720"/>
      <w:jc w:val="both"/>
    </w:pPr>
    <w:rPr>
      <w:rFonts w:ascii="CG Times" w:hAnsi="CG Times"/>
      <w:sz w:val="22"/>
      <w:szCs w:val="20"/>
      <w:lang w:val="es-ES"/>
    </w:rPr>
  </w:style>
  <w:style w:type="paragraph" w:styleId="TOC4">
    <w:name w:val="toc 4"/>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2880" w:right="720" w:hanging="720"/>
      <w:jc w:val="both"/>
    </w:pPr>
    <w:rPr>
      <w:rFonts w:ascii="CG Times" w:hAnsi="CG Times"/>
      <w:sz w:val="22"/>
      <w:szCs w:val="20"/>
      <w:lang w:val="es-ES"/>
    </w:rPr>
  </w:style>
  <w:style w:type="paragraph" w:styleId="TOC5">
    <w:name w:val="toc 5"/>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3600" w:right="720" w:hanging="720"/>
      <w:jc w:val="both"/>
    </w:pPr>
    <w:rPr>
      <w:rFonts w:ascii="CG Times" w:hAnsi="CG Times"/>
      <w:sz w:val="22"/>
      <w:szCs w:val="20"/>
      <w:lang w:val="es-ES"/>
    </w:rPr>
  </w:style>
  <w:style w:type="paragraph" w:styleId="TOC6">
    <w:name w:val="toc 6"/>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ind w:left="720" w:hanging="720"/>
      <w:jc w:val="both"/>
    </w:pPr>
    <w:rPr>
      <w:rFonts w:ascii="CG Times" w:hAnsi="CG Times"/>
      <w:sz w:val="22"/>
      <w:szCs w:val="20"/>
      <w:lang w:val="es-ES"/>
    </w:rPr>
  </w:style>
  <w:style w:type="paragraph" w:styleId="TOC7">
    <w:name w:val="toc 7"/>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ind w:left="720" w:hanging="720"/>
      <w:jc w:val="both"/>
    </w:pPr>
    <w:rPr>
      <w:rFonts w:ascii="CG Times" w:hAnsi="CG Times"/>
      <w:sz w:val="22"/>
      <w:szCs w:val="20"/>
      <w:lang w:val="es-ES"/>
    </w:rPr>
  </w:style>
  <w:style w:type="paragraph" w:styleId="TOC8">
    <w:name w:val="toc 8"/>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ind w:left="720" w:hanging="720"/>
      <w:jc w:val="both"/>
    </w:pPr>
    <w:rPr>
      <w:rFonts w:ascii="CG Times" w:hAnsi="CG Times"/>
      <w:sz w:val="22"/>
      <w:szCs w:val="20"/>
      <w:lang w:val="es-ES"/>
    </w:rPr>
  </w:style>
  <w:style w:type="paragraph" w:styleId="TOC9">
    <w:name w:val="toc 9"/>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720" w:hanging="720"/>
      <w:jc w:val="both"/>
    </w:pPr>
    <w:rPr>
      <w:rFonts w:ascii="CG Times" w:hAnsi="CG Times"/>
      <w:sz w:val="22"/>
      <w:szCs w:val="20"/>
      <w:lang w:val="es-ES"/>
    </w:rPr>
  </w:style>
  <w:style w:type="paragraph" w:styleId="Index1">
    <w:name w:val="index 1"/>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1440"/>
      <w:jc w:val="both"/>
    </w:pPr>
    <w:rPr>
      <w:rFonts w:ascii="CG Times" w:hAnsi="CG Times"/>
      <w:sz w:val="22"/>
      <w:szCs w:val="20"/>
      <w:lang w:val="es-ES"/>
    </w:rPr>
  </w:style>
  <w:style w:type="paragraph" w:styleId="Index2">
    <w:name w:val="index 2"/>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720"/>
      <w:jc w:val="both"/>
    </w:pPr>
    <w:rPr>
      <w:rFonts w:ascii="CG Times" w:hAnsi="CG Times"/>
      <w:sz w:val="22"/>
      <w:szCs w:val="20"/>
      <w:lang w:val="es-ES"/>
    </w:rPr>
  </w:style>
  <w:style w:type="paragraph" w:styleId="TOAHeading">
    <w:name w:val="toa heading"/>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jc w:val="both"/>
    </w:pPr>
    <w:rPr>
      <w:rFonts w:ascii="CG Times" w:hAnsi="CG Times"/>
      <w:sz w:val="22"/>
      <w:szCs w:val="20"/>
      <w:lang w:val="es-ES"/>
    </w:rPr>
  </w:style>
  <w:style w:type="paragraph" w:styleId="Caption">
    <w:name w:val="caption"/>
    <w:basedOn w:val="Normal"/>
    <w:next w:val="Normal"/>
    <w:qFormat/>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lang w:val="es-ES"/>
    </w:rPr>
  </w:style>
  <w:style w:type="character" w:customStyle="1" w:styleId="EquationCaption">
    <w:name w:val="_Equation Caption"/>
    <w:rsid w:val="00D72708"/>
  </w:style>
  <w:style w:type="paragraph" w:customStyle="1" w:styleId="FootnoteCall">
    <w:name w:val="Footnote Call"/>
    <w:basedOn w:val="Normal"/>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lang w:val="es-ES"/>
    </w:rPr>
  </w:style>
  <w:style w:type="paragraph" w:customStyle="1" w:styleId="CPClassification">
    <w:name w:val="CP Classification"/>
    <w:basedOn w:val="Normal"/>
    <w:rsid w:val="00D72708"/>
    <w:pPr>
      <w:tabs>
        <w:tab w:val="center" w:pos="2160"/>
        <w:tab w:val="left" w:pos="7200"/>
      </w:tabs>
      <w:ind w:left="7200" w:right="-360"/>
      <w:jc w:val="both"/>
    </w:pPr>
    <w:rPr>
      <w:sz w:val="22"/>
      <w:szCs w:val="20"/>
      <w:lang w:val="pt-PT"/>
    </w:rPr>
  </w:style>
  <w:style w:type="paragraph" w:customStyle="1" w:styleId="CPTitle">
    <w:name w:val="CP Title"/>
    <w:basedOn w:val="Normal"/>
    <w:rsid w:val="00D72708"/>
    <w:pPr>
      <w:tabs>
        <w:tab w:val="left" w:pos="720"/>
        <w:tab w:val="left" w:pos="1440"/>
        <w:tab w:val="left" w:pos="2160"/>
        <w:tab w:val="left" w:pos="2880"/>
        <w:tab w:val="left" w:pos="7200"/>
        <w:tab w:val="left" w:pos="7920"/>
        <w:tab w:val="left" w:pos="8640"/>
      </w:tabs>
      <w:jc w:val="center"/>
    </w:pPr>
    <w:rPr>
      <w:sz w:val="22"/>
      <w:szCs w:val="20"/>
      <w:lang w:val="pt-PT"/>
    </w:rPr>
  </w:style>
  <w:style w:type="character" w:customStyle="1" w:styleId="FootnoteCharacters">
    <w:name w:val="Footnote Characters"/>
    <w:rsid w:val="00D72708"/>
    <w:rPr>
      <w:vertAlign w:val="superscript"/>
    </w:rPr>
  </w:style>
  <w:style w:type="character" w:customStyle="1" w:styleId="BodyText2Char1">
    <w:name w:val="Body Text 2 Char1"/>
    <w:basedOn w:val="DefaultParagraphFont"/>
    <w:uiPriority w:val="99"/>
    <w:semiHidden/>
    <w:locked/>
    <w:rsid w:val="00D72708"/>
    <w:rPr>
      <w:rFonts w:eastAsia="MS Mincho"/>
      <w:lang w:val="es-ES_tradnl" w:eastAsia="zh-CN"/>
    </w:rPr>
  </w:style>
  <w:style w:type="numbering" w:customStyle="1" w:styleId="Estiloimportado6">
    <w:name w:val="Estilo importado 6"/>
    <w:rsid w:val="00D72708"/>
    <w:pPr>
      <w:numPr>
        <w:numId w:val="5"/>
      </w:numPr>
    </w:pPr>
  </w:style>
  <w:style w:type="character" w:customStyle="1" w:styleId="UnresolvedMention3">
    <w:name w:val="Unresolved Mention3"/>
    <w:basedOn w:val="DefaultParagraphFont"/>
    <w:uiPriority w:val="99"/>
    <w:semiHidden/>
    <w:unhideWhenUsed/>
    <w:rsid w:val="00A85354"/>
    <w:rPr>
      <w:color w:val="605E5C"/>
      <w:shd w:val="clear" w:color="auto" w:fill="E1DFDD"/>
    </w:rPr>
  </w:style>
  <w:style w:type="character" w:styleId="UnresolvedMention">
    <w:name w:val="Unresolved Mention"/>
    <w:basedOn w:val="DefaultParagraphFont"/>
    <w:uiPriority w:val="99"/>
    <w:semiHidden/>
    <w:unhideWhenUsed/>
    <w:rsid w:val="009D0333"/>
    <w:rPr>
      <w:color w:val="605E5C"/>
      <w:shd w:val="clear" w:color="auto" w:fill="E1DFDD"/>
    </w:rPr>
  </w:style>
  <w:style w:type="paragraph" w:customStyle="1" w:styleId="ftrefCharChar">
    <w:name w:val="ftref Char Char"/>
    <w:aliases w:val="ftref Car Char Char Char, Car Car5 Char Char Car Car Char Char Char Char Char,Footnote Reference.ftref Char.ftref Car Char Char.Car Car5 Char Char Car Car Char Char Char Char Char Char Char Char,callout"/>
    <w:basedOn w:val="Normal"/>
    <w:link w:val="FootnoteReference"/>
    <w:uiPriority w:val="99"/>
    <w:rsid w:val="001C59C2"/>
    <w:pPr>
      <w:spacing w:after="160" w:line="240" w:lineRule="exact"/>
      <w:jc w:val="both"/>
    </w:pPr>
    <w:rPr>
      <w:rFonts w:eastAsiaTheme="minorHAnsi"/>
      <w:sz w:val="22"/>
      <w:szCs w:val="22"/>
      <w:vertAlign w:val="superscript"/>
      <w:lang w:val="es-US"/>
    </w:rPr>
  </w:style>
  <w:style w:type="character" w:customStyle="1" w:styleId="wb-inv">
    <w:name w:val="wb-inv"/>
    <w:basedOn w:val="DefaultParagraphFont"/>
    <w:rsid w:val="006C2EAE"/>
  </w:style>
  <w:style w:type="character" w:customStyle="1" w:styleId="apple-converted-space">
    <w:name w:val="apple-converted-space"/>
    <w:basedOn w:val="DefaultParagraphFont"/>
    <w:rsid w:val="00851097"/>
  </w:style>
  <w:style w:type="paragraph" w:customStyle="1" w:styleId="paragraph">
    <w:name w:val="paragraph"/>
    <w:basedOn w:val="Normal"/>
    <w:rsid w:val="007B0A92"/>
    <w:pPr>
      <w:spacing w:before="100" w:beforeAutospacing="1" w:after="100" w:afterAutospacing="1"/>
    </w:pPr>
  </w:style>
  <w:style w:type="character" w:customStyle="1" w:styleId="normaltextrun">
    <w:name w:val="normaltextrun"/>
    <w:basedOn w:val="DefaultParagraphFont"/>
    <w:uiPriority w:val="99"/>
    <w:rsid w:val="007B0A92"/>
  </w:style>
  <w:style w:type="character" w:customStyle="1" w:styleId="eop">
    <w:name w:val="eop"/>
    <w:basedOn w:val="DefaultParagraphFont"/>
    <w:uiPriority w:val="99"/>
    <w:rsid w:val="007B0A92"/>
  </w:style>
  <w:style w:type="character" w:customStyle="1" w:styleId="superscript">
    <w:name w:val="superscript"/>
    <w:basedOn w:val="DefaultParagraphFont"/>
    <w:rsid w:val="007B0A92"/>
  </w:style>
  <w:style w:type="character" w:customStyle="1" w:styleId="coglossaryterm">
    <w:name w:val="co_glossaryterm"/>
    <w:basedOn w:val="DefaultParagraphFont"/>
    <w:rsid w:val="00414329"/>
  </w:style>
  <w:style w:type="character" w:styleId="HTMLCite">
    <w:name w:val="HTML Cite"/>
    <w:basedOn w:val="DefaultParagraphFont"/>
    <w:uiPriority w:val="99"/>
    <w:semiHidden/>
    <w:unhideWhenUsed/>
    <w:rsid w:val="00B143AB"/>
    <w:rPr>
      <w:i/>
      <w:iCs/>
    </w:rPr>
  </w:style>
  <w:style w:type="paragraph" w:customStyle="1" w:styleId="subsection">
    <w:name w:val="subsection"/>
    <w:basedOn w:val="Normal"/>
    <w:rsid w:val="00B02699"/>
    <w:pPr>
      <w:spacing w:before="100" w:beforeAutospacing="1" w:after="100" w:afterAutospacing="1"/>
    </w:pPr>
  </w:style>
  <w:style w:type="character" w:customStyle="1" w:styleId="sectionlabel">
    <w:name w:val="sectionlabel"/>
    <w:basedOn w:val="DefaultParagraphFont"/>
    <w:rsid w:val="00B02699"/>
  </w:style>
  <w:style w:type="character" w:customStyle="1" w:styleId="lawlabel">
    <w:name w:val="lawlabel"/>
    <w:basedOn w:val="DefaultParagraphFont"/>
    <w:rsid w:val="00B02699"/>
  </w:style>
  <w:style w:type="paragraph" w:customStyle="1" w:styleId="marginalnote">
    <w:name w:val="marginalnote"/>
    <w:basedOn w:val="Normal"/>
    <w:rsid w:val="00B02699"/>
    <w:pPr>
      <w:spacing w:before="100" w:beforeAutospacing="1" w:after="100" w:afterAutospacing="1"/>
    </w:pPr>
  </w:style>
  <w:style w:type="character" w:customStyle="1" w:styleId="wb-invisible">
    <w:name w:val="wb-invisible"/>
    <w:basedOn w:val="DefaultParagraphFont"/>
    <w:rsid w:val="00B02699"/>
  </w:style>
  <w:style w:type="paragraph" w:customStyle="1" w:styleId="xmsonormal">
    <w:name w:val="x_msonormal"/>
    <w:basedOn w:val="Normal"/>
    <w:rsid w:val="00242B89"/>
    <w:pPr>
      <w:spacing w:before="100" w:beforeAutospacing="1" w:after="100" w:afterAutospacing="1"/>
    </w:pPr>
  </w:style>
  <w:style w:type="character" w:customStyle="1" w:styleId="mark2ydncin4w">
    <w:name w:val="mark2ydncin4w"/>
    <w:basedOn w:val="DefaultParagraphFont"/>
    <w:rsid w:val="00052AAF"/>
  </w:style>
  <w:style w:type="paragraph" w:customStyle="1" w:styleId="paranondepar-altn">
    <w:name w:val="paranondepar-altn"/>
    <w:basedOn w:val="Normal"/>
    <w:rsid w:val="0081353E"/>
    <w:pPr>
      <w:spacing w:before="100" w:beforeAutospacing="1" w:after="100" w:afterAutospacing="1"/>
    </w:pPr>
  </w:style>
  <w:style w:type="paragraph" w:customStyle="1" w:styleId="continuedsectionsubsection">
    <w:name w:val="continuedsectionsubsection"/>
    <w:basedOn w:val="Normal"/>
    <w:rsid w:val="002754E9"/>
    <w:pPr>
      <w:spacing w:before="100" w:beforeAutospacing="1" w:after="100" w:afterAutospacing="1"/>
    </w:pPr>
  </w:style>
  <w:style w:type="character" w:customStyle="1" w:styleId="definedtermlink">
    <w:name w:val="definedtermlink"/>
    <w:basedOn w:val="DefaultParagraphFont"/>
    <w:rsid w:val="007D003D"/>
  </w:style>
  <w:style w:type="paragraph" w:customStyle="1" w:styleId="definition">
    <w:name w:val="definition"/>
    <w:basedOn w:val="Normal"/>
    <w:rsid w:val="007D003D"/>
    <w:pPr>
      <w:spacing w:before="100" w:beforeAutospacing="1" w:after="100" w:afterAutospacing="1"/>
    </w:pPr>
  </w:style>
  <w:style w:type="character" w:styleId="HTMLDefinition">
    <w:name w:val="HTML Definition"/>
    <w:basedOn w:val="DefaultParagraphFont"/>
    <w:uiPriority w:val="99"/>
    <w:semiHidden/>
    <w:unhideWhenUsed/>
    <w:rsid w:val="007D003D"/>
    <w:rPr>
      <w:i/>
      <w:iCs/>
    </w:rPr>
  </w:style>
  <w:style w:type="paragraph" w:customStyle="1" w:styleId="subparagraph">
    <w:name w:val="subparagraph"/>
    <w:basedOn w:val="Normal"/>
    <w:rsid w:val="007D003D"/>
    <w:pPr>
      <w:spacing w:before="100" w:beforeAutospacing="1" w:after="100" w:afterAutospacing="1"/>
    </w:pPr>
  </w:style>
  <w:style w:type="paragraph" w:customStyle="1" w:styleId="productherostyledproductdescription-sc-5wvdsu-12">
    <w:name w:val="producthero__styledproductdescription-sc-5wvdsu-12"/>
    <w:basedOn w:val="Normal"/>
    <w:rsid w:val="0084771A"/>
    <w:pPr>
      <w:spacing w:before="100" w:beforeAutospacing="1" w:after="100" w:afterAutospacing="1"/>
    </w:pPr>
  </w:style>
  <w:style w:type="paragraph" w:styleId="HTMLPreformatted">
    <w:name w:val="HTML Preformatted"/>
    <w:basedOn w:val="Normal"/>
    <w:link w:val="HTMLPreformattedChar"/>
    <w:uiPriority w:val="99"/>
    <w:semiHidden/>
    <w:unhideWhenUsed/>
    <w:rsid w:val="0079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95A82"/>
    <w:rPr>
      <w:rFonts w:ascii="Courier New" w:eastAsia="Times New Roman" w:hAnsi="Courier New" w:cs="Courier New"/>
      <w:sz w:val="20"/>
      <w:szCs w:val="20"/>
      <w:lang w:val="en-US"/>
    </w:rPr>
  </w:style>
  <w:style w:type="character" w:customStyle="1" w:styleId="num">
    <w:name w:val="num"/>
    <w:basedOn w:val="DefaultParagraphFont"/>
    <w:rsid w:val="00932C1D"/>
  </w:style>
  <w:style w:type="character" w:customStyle="1" w:styleId="chapeau">
    <w:name w:val="chapeau"/>
    <w:basedOn w:val="DefaultParagraphFont"/>
    <w:rsid w:val="00102C07"/>
  </w:style>
  <w:style w:type="paragraph" w:customStyle="1" w:styleId="xxmsonormal">
    <w:name w:val="x_xmsonormal"/>
    <w:basedOn w:val="Normal"/>
    <w:uiPriority w:val="99"/>
    <w:rsid w:val="00E37D61"/>
    <w:pPr>
      <w:spacing w:before="100" w:beforeAutospacing="1" w:after="100" w:afterAutospacing="1"/>
    </w:pPr>
  </w:style>
  <w:style w:type="character" w:customStyle="1" w:styleId="rynqvb">
    <w:name w:val="rynqvb"/>
    <w:basedOn w:val="DefaultParagraphFont"/>
    <w:rsid w:val="000B3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693">
      <w:bodyDiv w:val="1"/>
      <w:marLeft w:val="0"/>
      <w:marRight w:val="0"/>
      <w:marTop w:val="0"/>
      <w:marBottom w:val="0"/>
      <w:divBdr>
        <w:top w:val="none" w:sz="0" w:space="0" w:color="auto"/>
        <w:left w:val="none" w:sz="0" w:space="0" w:color="auto"/>
        <w:bottom w:val="none" w:sz="0" w:space="0" w:color="auto"/>
        <w:right w:val="none" w:sz="0" w:space="0" w:color="auto"/>
      </w:divBdr>
    </w:div>
    <w:div w:id="19674070">
      <w:bodyDiv w:val="1"/>
      <w:marLeft w:val="0"/>
      <w:marRight w:val="0"/>
      <w:marTop w:val="0"/>
      <w:marBottom w:val="0"/>
      <w:divBdr>
        <w:top w:val="none" w:sz="0" w:space="0" w:color="auto"/>
        <w:left w:val="none" w:sz="0" w:space="0" w:color="auto"/>
        <w:bottom w:val="none" w:sz="0" w:space="0" w:color="auto"/>
        <w:right w:val="none" w:sz="0" w:space="0" w:color="auto"/>
      </w:divBdr>
    </w:div>
    <w:div w:id="20012920">
      <w:bodyDiv w:val="1"/>
      <w:marLeft w:val="0"/>
      <w:marRight w:val="0"/>
      <w:marTop w:val="0"/>
      <w:marBottom w:val="0"/>
      <w:divBdr>
        <w:top w:val="none" w:sz="0" w:space="0" w:color="auto"/>
        <w:left w:val="none" w:sz="0" w:space="0" w:color="auto"/>
        <w:bottom w:val="none" w:sz="0" w:space="0" w:color="auto"/>
        <w:right w:val="none" w:sz="0" w:space="0" w:color="auto"/>
      </w:divBdr>
    </w:div>
    <w:div w:id="27730790">
      <w:bodyDiv w:val="1"/>
      <w:marLeft w:val="0"/>
      <w:marRight w:val="0"/>
      <w:marTop w:val="0"/>
      <w:marBottom w:val="0"/>
      <w:divBdr>
        <w:top w:val="none" w:sz="0" w:space="0" w:color="auto"/>
        <w:left w:val="none" w:sz="0" w:space="0" w:color="auto"/>
        <w:bottom w:val="none" w:sz="0" w:space="0" w:color="auto"/>
        <w:right w:val="none" w:sz="0" w:space="0" w:color="auto"/>
      </w:divBdr>
    </w:div>
    <w:div w:id="37898452">
      <w:bodyDiv w:val="1"/>
      <w:marLeft w:val="0"/>
      <w:marRight w:val="0"/>
      <w:marTop w:val="0"/>
      <w:marBottom w:val="0"/>
      <w:divBdr>
        <w:top w:val="none" w:sz="0" w:space="0" w:color="auto"/>
        <w:left w:val="none" w:sz="0" w:space="0" w:color="auto"/>
        <w:bottom w:val="none" w:sz="0" w:space="0" w:color="auto"/>
        <w:right w:val="none" w:sz="0" w:space="0" w:color="auto"/>
      </w:divBdr>
    </w:div>
    <w:div w:id="46878494">
      <w:bodyDiv w:val="1"/>
      <w:marLeft w:val="0"/>
      <w:marRight w:val="0"/>
      <w:marTop w:val="0"/>
      <w:marBottom w:val="0"/>
      <w:divBdr>
        <w:top w:val="none" w:sz="0" w:space="0" w:color="auto"/>
        <w:left w:val="none" w:sz="0" w:space="0" w:color="auto"/>
        <w:bottom w:val="none" w:sz="0" w:space="0" w:color="auto"/>
        <w:right w:val="none" w:sz="0" w:space="0" w:color="auto"/>
      </w:divBdr>
    </w:div>
    <w:div w:id="58555567">
      <w:bodyDiv w:val="1"/>
      <w:marLeft w:val="0"/>
      <w:marRight w:val="0"/>
      <w:marTop w:val="0"/>
      <w:marBottom w:val="0"/>
      <w:divBdr>
        <w:top w:val="none" w:sz="0" w:space="0" w:color="auto"/>
        <w:left w:val="none" w:sz="0" w:space="0" w:color="auto"/>
        <w:bottom w:val="none" w:sz="0" w:space="0" w:color="auto"/>
        <w:right w:val="none" w:sz="0" w:space="0" w:color="auto"/>
      </w:divBdr>
      <w:divsChild>
        <w:div w:id="1080325649">
          <w:marLeft w:val="0"/>
          <w:marRight w:val="0"/>
          <w:marTop w:val="0"/>
          <w:marBottom w:val="0"/>
          <w:divBdr>
            <w:top w:val="none" w:sz="0" w:space="0" w:color="auto"/>
            <w:left w:val="none" w:sz="0" w:space="0" w:color="auto"/>
            <w:bottom w:val="none" w:sz="0" w:space="0" w:color="auto"/>
            <w:right w:val="none" w:sz="0" w:space="0" w:color="auto"/>
          </w:divBdr>
          <w:divsChild>
            <w:div w:id="2040931716">
              <w:marLeft w:val="0"/>
              <w:marRight w:val="0"/>
              <w:marTop w:val="0"/>
              <w:marBottom w:val="0"/>
              <w:divBdr>
                <w:top w:val="none" w:sz="0" w:space="0" w:color="auto"/>
                <w:left w:val="none" w:sz="0" w:space="0" w:color="auto"/>
                <w:bottom w:val="none" w:sz="0" w:space="0" w:color="auto"/>
                <w:right w:val="none" w:sz="0" w:space="0" w:color="auto"/>
              </w:divBdr>
              <w:divsChild>
                <w:div w:id="1322276273">
                  <w:marLeft w:val="0"/>
                  <w:marRight w:val="0"/>
                  <w:marTop w:val="0"/>
                  <w:marBottom w:val="0"/>
                  <w:divBdr>
                    <w:top w:val="none" w:sz="0" w:space="0" w:color="auto"/>
                    <w:left w:val="none" w:sz="0" w:space="0" w:color="auto"/>
                    <w:bottom w:val="none" w:sz="0" w:space="0" w:color="auto"/>
                    <w:right w:val="none" w:sz="0" w:space="0" w:color="auto"/>
                  </w:divBdr>
                  <w:divsChild>
                    <w:div w:id="342710062">
                      <w:marLeft w:val="0"/>
                      <w:marRight w:val="0"/>
                      <w:marTop w:val="0"/>
                      <w:marBottom w:val="0"/>
                      <w:divBdr>
                        <w:top w:val="none" w:sz="0" w:space="0" w:color="auto"/>
                        <w:left w:val="none" w:sz="0" w:space="0" w:color="auto"/>
                        <w:bottom w:val="none" w:sz="0" w:space="0" w:color="auto"/>
                        <w:right w:val="none" w:sz="0" w:space="0" w:color="auto"/>
                      </w:divBdr>
                    </w:div>
                    <w:div w:id="396131173">
                      <w:marLeft w:val="0"/>
                      <w:marRight w:val="0"/>
                      <w:marTop w:val="0"/>
                      <w:marBottom w:val="0"/>
                      <w:divBdr>
                        <w:top w:val="none" w:sz="0" w:space="0" w:color="auto"/>
                        <w:left w:val="none" w:sz="0" w:space="0" w:color="auto"/>
                        <w:bottom w:val="none" w:sz="0" w:space="0" w:color="auto"/>
                        <w:right w:val="none" w:sz="0" w:space="0" w:color="auto"/>
                      </w:divBdr>
                    </w:div>
                    <w:div w:id="21243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6760">
      <w:bodyDiv w:val="1"/>
      <w:marLeft w:val="0"/>
      <w:marRight w:val="0"/>
      <w:marTop w:val="0"/>
      <w:marBottom w:val="0"/>
      <w:divBdr>
        <w:top w:val="none" w:sz="0" w:space="0" w:color="auto"/>
        <w:left w:val="none" w:sz="0" w:space="0" w:color="auto"/>
        <w:bottom w:val="none" w:sz="0" w:space="0" w:color="auto"/>
        <w:right w:val="none" w:sz="0" w:space="0" w:color="auto"/>
      </w:divBdr>
    </w:div>
    <w:div w:id="66390616">
      <w:bodyDiv w:val="1"/>
      <w:marLeft w:val="0"/>
      <w:marRight w:val="0"/>
      <w:marTop w:val="0"/>
      <w:marBottom w:val="0"/>
      <w:divBdr>
        <w:top w:val="none" w:sz="0" w:space="0" w:color="auto"/>
        <w:left w:val="none" w:sz="0" w:space="0" w:color="auto"/>
        <w:bottom w:val="none" w:sz="0" w:space="0" w:color="auto"/>
        <w:right w:val="none" w:sz="0" w:space="0" w:color="auto"/>
      </w:divBdr>
    </w:div>
    <w:div w:id="67266638">
      <w:bodyDiv w:val="1"/>
      <w:marLeft w:val="0"/>
      <w:marRight w:val="0"/>
      <w:marTop w:val="0"/>
      <w:marBottom w:val="0"/>
      <w:divBdr>
        <w:top w:val="none" w:sz="0" w:space="0" w:color="auto"/>
        <w:left w:val="none" w:sz="0" w:space="0" w:color="auto"/>
        <w:bottom w:val="none" w:sz="0" w:space="0" w:color="auto"/>
        <w:right w:val="none" w:sz="0" w:space="0" w:color="auto"/>
      </w:divBdr>
    </w:div>
    <w:div w:id="68621776">
      <w:bodyDiv w:val="1"/>
      <w:marLeft w:val="0"/>
      <w:marRight w:val="0"/>
      <w:marTop w:val="0"/>
      <w:marBottom w:val="0"/>
      <w:divBdr>
        <w:top w:val="none" w:sz="0" w:space="0" w:color="auto"/>
        <w:left w:val="none" w:sz="0" w:space="0" w:color="auto"/>
        <w:bottom w:val="none" w:sz="0" w:space="0" w:color="auto"/>
        <w:right w:val="none" w:sz="0" w:space="0" w:color="auto"/>
      </w:divBdr>
    </w:div>
    <w:div w:id="72707447">
      <w:bodyDiv w:val="1"/>
      <w:marLeft w:val="0"/>
      <w:marRight w:val="0"/>
      <w:marTop w:val="0"/>
      <w:marBottom w:val="0"/>
      <w:divBdr>
        <w:top w:val="none" w:sz="0" w:space="0" w:color="auto"/>
        <w:left w:val="none" w:sz="0" w:space="0" w:color="auto"/>
        <w:bottom w:val="none" w:sz="0" w:space="0" w:color="auto"/>
        <w:right w:val="none" w:sz="0" w:space="0" w:color="auto"/>
      </w:divBdr>
      <w:divsChild>
        <w:div w:id="446583811">
          <w:marLeft w:val="547"/>
          <w:marRight w:val="0"/>
          <w:marTop w:val="0"/>
          <w:marBottom w:val="0"/>
          <w:divBdr>
            <w:top w:val="none" w:sz="0" w:space="0" w:color="auto"/>
            <w:left w:val="none" w:sz="0" w:space="0" w:color="auto"/>
            <w:bottom w:val="none" w:sz="0" w:space="0" w:color="auto"/>
            <w:right w:val="none" w:sz="0" w:space="0" w:color="auto"/>
          </w:divBdr>
        </w:div>
        <w:div w:id="1369795024">
          <w:marLeft w:val="547"/>
          <w:marRight w:val="0"/>
          <w:marTop w:val="0"/>
          <w:marBottom w:val="0"/>
          <w:divBdr>
            <w:top w:val="none" w:sz="0" w:space="0" w:color="auto"/>
            <w:left w:val="none" w:sz="0" w:space="0" w:color="auto"/>
            <w:bottom w:val="none" w:sz="0" w:space="0" w:color="auto"/>
            <w:right w:val="none" w:sz="0" w:space="0" w:color="auto"/>
          </w:divBdr>
        </w:div>
        <w:div w:id="1482193536">
          <w:marLeft w:val="547"/>
          <w:marRight w:val="0"/>
          <w:marTop w:val="0"/>
          <w:marBottom w:val="0"/>
          <w:divBdr>
            <w:top w:val="none" w:sz="0" w:space="0" w:color="auto"/>
            <w:left w:val="none" w:sz="0" w:space="0" w:color="auto"/>
            <w:bottom w:val="none" w:sz="0" w:space="0" w:color="auto"/>
            <w:right w:val="none" w:sz="0" w:space="0" w:color="auto"/>
          </w:divBdr>
        </w:div>
      </w:divsChild>
    </w:div>
    <w:div w:id="77294113">
      <w:bodyDiv w:val="1"/>
      <w:marLeft w:val="0"/>
      <w:marRight w:val="0"/>
      <w:marTop w:val="0"/>
      <w:marBottom w:val="0"/>
      <w:divBdr>
        <w:top w:val="none" w:sz="0" w:space="0" w:color="auto"/>
        <w:left w:val="none" w:sz="0" w:space="0" w:color="auto"/>
        <w:bottom w:val="none" w:sz="0" w:space="0" w:color="auto"/>
        <w:right w:val="none" w:sz="0" w:space="0" w:color="auto"/>
      </w:divBdr>
    </w:div>
    <w:div w:id="82267332">
      <w:bodyDiv w:val="1"/>
      <w:marLeft w:val="0"/>
      <w:marRight w:val="0"/>
      <w:marTop w:val="0"/>
      <w:marBottom w:val="0"/>
      <w:divBdr>
        <w:top w:val="none" w:sz="0" w:space="0" w:color="auto"/>
        <w:left w:val="none" w:sz="0" w:space="0" w:color="auto"/>
        <w:bottom w:val="none" w:sz="0" w:space="0" w:color="auto"/>
        <w:right w:val="none" w:sz="0" w:space="0" w:color="auto"/>
      </w:divBdr>
    </w:div>
    <w:div w:id="83309270">
      <w:bodyDiv w:val="1"/>
      <w:marLeft w:val="0"/>
      <w:marRight w:val="0"/>
      <w:marTop w:val="0"/>
      <w:marBottom w:val="0"/>
      <w:divBdr>
        <w:top w:val="none" w:sz="0" w:space="0" w:color="auto"/>
        <w:left w:val="none" w:sz="0" w:space="0" w:color="auto"/>
        <w:bottom w:val="none" w:sz="0" w:space="0" w:color="auto"/>
        <w:right w:val="none" w:sz="0" w:space="0" w:color="auto"/>
      </w:divBdr>
      <w:divsChild>
        <w:div w:id="70931607">
          <w:marLeft w:val="360"/>
          <w:marRight w:val="0"/>
          <w:marTop w:val="200"/>
          <w:marBottom w:val="0"/>
          <w:divBdr>
            <w:top w:val="none" w:sz="0" w:space="0" w:color="auto"/>
            <w:left w:val="none" w:sz="0" w:space="0" w:color="auto"/>
            <w:bottom w:val="none" w:sz="0" w:space="0" w:color="auto"/>
            <w:right w:val="none" w:sz="0" w:space="0" w:color="auto"/>
          </w:divBdr>
        </w:div>
        <w:div w:id="1034036053">
          <w:marLeft w:val="360"/>
          <w:marRight w:val="0"/>
          <w:marTop w:val="200"/>
          <w:marBottom w:val="0"/>
          <w:divBdr>
            <w:top w:val="none" w:sz="0" w:space="0" w:color="auto"/>
            <w:left w:val="none" w:sz="0" w:space="0" w:color="auto"/>
            <w:bottom w:val="none" w:sz="0" w:space="0" w:color="auto"/>
            <w:right w:val="none" w:sz="0" w:space="0" w:color="auto"/>
          </w:divBdr>
        </w:div>
        <w:div w:id="1421834374">
          <w:marLeft w:val="360"/>
          <w:marRight w:val="0"/>
          <w:marTop w:val="200"/>
          <w:marBottom w:val="0"/>
          <w:divBdr>
            <w:top w:val="none" w:sz="0" w:space="0" w:color="auto"/>
            <w:left w:val="none" w:sz="0" w:space="0" w:color="auto"/>
            <w:bottom w:val="none" w:sz="0" w:space="0" w:color="auto"/>
            <w:right w:val="none" w:sz="0" w:space="0" w:color="auto"/>
          </w:divBdr>
        </w:div>
        <w:div w:id="1730302765">
          <w:marLeft w:val="360"/>
          <w:marRight w:val="0"/>
          <w:marTop w:val="200"/>
          <w:marBottom w:val="0"/>
          <w:divBdr>
            <w:top w:val="none" w:sz="0" w:space="0" w:color="auto"/>
            <w:left w:val="none" w:sz="0" w:space="0" w:color="auto"/>
            <w:bottom w:val="none" w:sz="0" w:space="0" w:color="auto"/>
            <w:right w:val="none" w:sz="0" w:space="0" w:color="auto"/>
          </w:divBdr>
        </w:div>
        <w:div w:id="1845245559">
          <w:marLeft w:val="360"/>
          <w:marRight w:val="0"/>
          <w:marTop w:val="200"/>
          <w:marBottom w:val="0"/>
          <w:divBdr>
            <w:top w:val="none" w:sz="0" w:space="0" w:color="auto"/>
            <w:left w:val="none" w:sz="0" w:space="0" w:color="auto"/>
            <w:bottom w:val="none" w:sz="0" w:space="0" w:color="auto"/>
            <w:right w:val="none" w:sz="0" w:space="0" w:color="auto"/>
          </w:divBdr>
        </w:div>
      </w:divsChild>
    </w:div>
    <w:div w:id="88891468">
      <w:bodyDiv w:val="1"/>
      <w:marLeft w:val="0"/>
      <w:marRight w:val="0"/>
      <w:marTop w:val="0"/>
      <w:marBottom w:val="0"/>
      <w:divBdr>
        <w:top w:val="none" w:sz="0" w:space="0" w:color="auto"/>
        <w:left w:val="none" w:sz="0" w:space="0" w:color="auto"/>
        <w:bottom w:val="none" w:sz="0" w:space="0" w:color="auto"/>
        <w:right w:val="none" w:sz="0" w:space="0" w:color="auto"/>
      </w:divBdr>
    </w:div>
    <w:div w:id="95562672">
      <w:bodyDiv w:val="1"/>
      <w:marLeft w:val="0"/>
      <w:marRight w:val="0"/>
      <w:marTop w:val="0"/>
      <w:marBottom w:val="0"/>
      <w:divBdr>
        <w:top w:val="none" w:sz="0" w:space="0" w:color="auto"/>
        <w:left w:val="none" w:sz="0" w:space="0" w:color="auto"/>
        <w:bottom w:val="none" w:sz="0" w:space="0" w:color="auto"/>
        <w:right w:val="none" w:sz="0" w:space="0" w:color="auto"/>
      </w:divBdr>
    </w:div>
    <w:div w:id="96800500">
      <w:bodyDiv w:val="1"/>
      <w:marLeft w:val="0"/>
      <w:marRight w:val="0"/>
      <w:marTop w:val="0"/>
      <w:marBottom w:val="0"/>
      <w:divBdr>
        <w:top w:val="none" w:sz="0" w:space="0" w:color="auto"/>
        <w:left w:val="none" w:sz="0" w:space="0" w:color="auto"/>
        <w:bottom w:val="none" w:sz="0" w:space="0" w:color="auto"/>
        <w:right w:val="none" w:sz="0" w:space="0" w:color="auto"/>
      </w:divBdr>
    </w:div>
    <w:div w:id="107549786">
      <w:bodyDiv w:val="1"/>
      <w:marLeft w:val="0"/>
      <w:marRight w:val="0"/>
      <w:marTop w:val="0"/>
      <w:marBottom w:val="0"/>
      <w:divBdr>
        <w:top w:val="none" w:sz="0" w:space="0" w:color="auto"/>
        <w:left w:val="none" w:sz="0" w:space="0" w:color="auto"/>
        <w:bottom w:val="none" w:sz="0" w:space="0" w:color="auto"/>
        <w:right w:val="none" w:sz="0" w:space="0" w:color="auto"/>
      </w:divBdr>
    </w:div>
    <w:div w:id="111629756">
      <w:bodyDiv w:val="1"/>
      <w:marLeft w:val="0"/>
      <w:marRight w:val="0"/>
      <w:marTop w:val="0"/>
      <w:marBottom w:val="0"/>
      <w:divBdr>
        <w:top w:val="none" w:sz="0" w:space="0" w:color="auto"/>
        <w:left w:val="none" w:sz="0" w:space="0" w:color="auto"/>
        <w:bottom w:val="none" w:sz="0" w:space="0" w:color="auto"/>
        <w:right w:val="none" w:sz="0" w:space="0" w:color="auto"/>
      </w:divBdr>
      <w:divsChild>
        <w:div w:id="1759213787">
          <w:marLeft w:val="0"/>
          <w:marRight w:val="0"/>
          <w:marTop w:val="0"/>
          <w:marBottom w:val="0"/>
          <w:divBdr>
            <w:top w:val="none" w:sz="0" w:space="0" w:color="auto"/>
            <w:left w:val="none" w:sz="0" w:space="0" w:color="auto"/>
            <w:bottom w:val="none" w:sz="0" w:space="0" w:color="auto"/>
            <w:right w:val="none" w:sz="0" w:space="0" w:color="auto"/>
          </w:divBdr>
          <w:divsChild>
            <w:div w:id="298807784">
              <w:marLeft w:val="0"/>
              <w:marRight w:val="0"/>
              <w:marTop w:val="0"/>
              <w:marBottom w:val="0"/>
              <w:divBdr>
                <w:top w:val="none" w:sz="0" w:space="0" w:color="auto"/>
                <w:left w:val="none" w:sz="0" w:space="0" w:color="auto"/>
                <w:bottom w:val="none" w:sz="0" w:space="0" w:color="auto"/>
                <w:right w:val="none" w:sz="0" w:space="0" w:color="auto"/>
              </w:divBdr>
              <w:divsChild>
                <w:div w:id="880634481">
                  <w:marLeft w:val="0"/>
                  <w:marRight w:val="0"/>
                  <w:marTop w:val="0"/>
                  <w:marBottom w:val="0"/>
                  <w:divBdr>
                    <w:top w:val="none" w:sz="0" w:space="0" w:color="auto"/>
                    <w:left w:val="none" w:sz="0" w:space="0" w:color="auto"/>
                    <w:bottom w:val="none" w:sz="0" w:space="0" w:color="auto"/>
                    <w:right w:val="none" w:sz="0" w:space="0" w:color="auto"/>
                  </w:divBdr>
                  <w:divsChild>
                    <w:div w:id="4199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64322">
      <w:bodyDiv w:val="1"/>
      <w:marLeft w:val="0"/>
      <w:marRight w:val="0"/>
      <w:marTop w:val="0"/>
      <w:marBottom w:val="0"/>
      <w:divBdr>
        <w:top w:val="none" w:sz="0" w:space="0" w:color="auto"/>
        <w:left w:val="none" w:sz="0" w:space="0" w:color="auto"/>
        <w:bottom w:val="none" w:sz="0" w:space="0" w:color="auto"/>
        <w:right w:val="none" w:sz="0" w:space="0" w:color="auto"/>
      </w:divBdr>
      <w:divsChild>
        <w:div w:id="2053187063">
          <w:marLeft w:val="0"/>
          <w:marRight w:val="0"/>
          <w:marTop w:val="0"/>
          <w:marBottom w:val="0"/>
          <w:divBdr>
            <w:top w:val="none" w:sz="0" w:space="0" w:color="auto"/>
            <w:left w:val="none" w:sz="0" w:space="0" w:color="auto"/>
            <w:bottom w:val="none" w:sz="0" w:space="0" w:color="auto"/>
            <w:right w:val="none" w:sz="0" w:space="0" w:color="auto"/>
          </w:divBdr>
          <w:divsChild>
            <w:div w:id="846554222">
              <w:marLeft w:val="0"/>
              <w:marRight w:val="0"/>
              <w:marTop w:val="0"/>
              <w:marBottom w:val="0"/>
              <w:divBdr>
                <w:top w:val="none" w:sz="0" w:space="0" w:color="auto"/>
                <w:left w:val="none" w:sz="0" w:space="0" w:color="auto"/>
                <w:bottom w:val="none" w:sz="0" w:space="0" w:color="auto"/>
                <w:right w:val="none" w:sz="0" w:space="0" w:color="auto"/>
              </w:divBdr>
              <w:divsChild>
                <w:div w:id="3235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9141">
      <w:bodyDiv w:val="1"/>
      <w:marLeft w:val="0"/>
      <w:marRight w:val="0"/>
      <w:marTop w:val="0"/>
      <w:marBottom w:val="0"/>
      <w:divBdr>
        <w:top w:val="none" w:sz="0" w:space="0" w:color="auto"/>
        <w:left w:val="none" w:sz="0" w:space="0" w:color="auto"/>
        <w:bottom w:val="none" w:sz="0" w:space="0" w:color="auto"/>
        <w:right w:val="none" w:sz="0" w:space="0" w:color="auto"/>
      </w:divBdr>
    </w:div>
    <w:div w:id="123811451">
      <w:bodyDiv w:val="1"/>
      <w:marLeft w:val="0"/>
      <w:marRight w:val="0"/>
      <w:marTop w:val="0"/>
      <w:marBottom w:val="0"/>
      <w:divBdr>
        <w:top w:val="none" w:sz="0" w:space="0" w:color="auto"/>
        <w:left w:val="none" w:sz="0" w:space="0" w:color="auto"/>
        <w:bottom w:val="none" w:sz="0" w:space="0" w:color="auto"/>
        <w:right w:val="none" w:sz="0" w:space="0" w:color="auto"/>
      </w:divBdr>
    </w:div>
    <w:div w:id="126749374">
      <w:bodyDiv w:val="1"/>
      <w:marLeft w:val="0"/>
      <w:marRight w:val="0"/>
      <w:marTop w:val="0"/>
      <w:marBottom w:val="0"/>
      <w:divBdr>
        <w:top w:val="none" w:sz="0" w:space="0" w:color="auto"/>
        <w:left w:val="none" w:sz="0" w:space="0" w:color="auto"/>
        <w:bottom w:val="none" w:sz="0" w:space="0" w:color="auto"/>
        <w:right w:val="none" w:sz="0" w:space="0" w:color="auto"/>
      </w:divBdr>
      <w:divsChild>
        <w:div w:id="1071582007">
          <w:marLeft w:val="360"/>
          <w:marRight w:val="0"/>
          <w:marTop w:val="200"/>
          <w:marBottom w:val="0"/>
          <w:divBdr>
            <w:top w:val="none" w:sz="0" w:space="0" w:color="auto"/>
            <w:left w:val="none" w:sz="0" w:space="0" w:color="auto"/>
            <w:bottom w:val="none" w:sz="0" w:space="0" w:color="auto"/>
            <w:right w:val="none" w:sz="0" w:space="0" w:color="auto"/>
          </w:divBdr>
        </w:div>
        <w:div w:id="1231114916">
          <w:marLeft w:val="1080"/>
          <w:marRight w:val="0"/>
          <w:marTop w:val="100"/>
          <w:marBottom w:val="0"/>
          <w:divBdr>
            <w:top w:val="none" w:sz="0" w:space="0" w:color="auto"/>
            <w:left w:val="none" w:sz="0" w:space="0" w:color="auto"/>
            <w:bottom w:val="none" w:sz="0" w:space="0" w:color="auto"/>
            <w:right w:val="none" w:sz="0" w:space="0" w:color="auto"/>
          </w:divBdr>
        </w:div>
        <w:div w:id="1739666336">
          <w:marLeft w:val="1080"/>
          <w:marRight w:val="0"/>
          <w:marTop w:val="100"/>
          <w:marBottom w:val="0"/>
          <w:divBdr>
            <w:top w:val="none" w:sz="0" w:space="0" w:color="auto"/>
            <w:left w:val="none" w:sz="0" w:space="0" w:color="auto"/>
            <w:bottom w:val="none" w:sz="0" w:space="0" w:color="auto"/>
            <w:right w:val="none" w:sz="0" w:space="0" w:color="auto"/>
          </w:divBdr>
        </w:div>
        <w:div w:id="1998146755">
          <w:marLeft w:val="1080"/>
          <w:marRight w:val="0"/>
          <w:marTop w:val="100"/>
          <w:marBottom w:val="0"/>
          <w:divBdr>
            <w:top w:val="none" w:sz="0" w:space="0" w:color="auto"/>
            <w:left w:val="none" w:sz="0" w:space="0" w:color="auto"/>
            <w:bottom w:val="none" w:sz="0" w:space="0" w:color="auto"/>
            <w:right w:val="none" w:sz="0" w:space="0" w:color="auto"/>
          </w:divBdr>
        </w:div>
      </w:divsChild>
    </w:div>
    <w:div w:id="130098399">
      <w:bodyDiv w:val="1"/>
      <w:marLeft w:val="0"/>
      <w:marRight w:val="0"/>
      <w:marTop w:val="0"/>
      <w:marBottom w:val="0"/>
      <w:divBdr>
        <w:top w:val="none" w:sz="0" w:space="0" w:color="auto"/>
        <w:left w:val="none" w:sz="0" w:space="0" w:color="auto"/>
        <w:bottom w:val="none" w:sz="0" w:space="0" w:color="auto"/>
        <w:right w:val="none" w:sz="0" w:space="0" w:color="auto"/>
      </w:divBdr>
    </w:div>
    <w:div w:id="137766303">
      <w:bodyDiv w:val="1"/>
      <w:marLeft w:val="0"/>
      <w:marRight w:val="0"/>
      <w:marTop w:val="0"/>
      <w:marBottom w:val="0"/>
      <w:divBdr>
        <w:top w:val="none" w:sz="0" w:space="0" w:color="auto"/>
        <w:left w:val="none" w:sz="0" w:space="0" w:color="auto"/>
        <w:bottom w:val="none" w:sz="0" w:space="0" w:color="auto"/>
        <w:right w:val="none" w:sz="0" w:space="0" w:color="auto"/>
      </w:divBdr>
      <w:divsChild>
        <w:div w:id="1276862804">
          <w:marLeft w:val="0"/>
          <w:marRight w:val="0"/>
          <w:marTop w:val="0"/>
          <w:marBottom w:val="0"/>
          <w:divBdr>
            <w:top w:val="none" w:sz="0" w:space="0" w:color="auto"/>
            <w:left w:val="none" w:sz="0" w:space="0" w:color="auto"/>
            <w:bottom w:val="none" w:sz="0" w:space="0" w:color="auto"/>
            <w:right w:val="none" w:sz="0" w:space="0" w:color="auto"/>
          </w:divBdr>
          <w:divsChild>
            <w:div w:id="1069155110">
              <w:marLeft w:val="0"/>
              <w:marRight w:val="0"/>
              <w:marTop w:val="0"/>
              <w:marBottom w:val="0"/>
              <w:divBdr>
                <w:top w:val="none" w:sz="0" w:space="0" w:color="auto"/>
                <w:left w:val="none" w:sz="0" w:space="0" w:color="auto"/>
                <w:bottom w:val="none" w:sz="0" w:space="0" w:color="auto"/>
                <w:right w:val="none" w:sz="0" w:space="0" w:color="auto"/>
              </w:divBdr>
              <w:divsChild>
                <w:div w:id="7488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1852">
      <w:bodyDiv w:val="1"/>
      <w:marLeft w:val="0"/>
      <w:marRight w:val="0"/>
      <w:marTop w:val="0"/>
      <w:marBottom w:val="0"/>
      <w:divBdr>
        <w:top w:val="none" w:sz="0" w:space="0" w:color="auto"/>
        <w:left w:val="none" w:sz="0" w:space="0" w:color="auto"/>
        <w:bottom w:val="none" w:sz="0" w:space="0" w:color="auto"/>
        <w:right w:val="none" w:sz="0" w:space="0" w:color="auto"/>
      </w:divBdr>
    </w:div>
    <w:div w:id="142701086">
      <w:bodyDiv w:val="1"/>
      <w:marLeft w:val="0"/>
      <w:marRight w:val="0"/>
      <w:marTop w:val="0"/>
      <w:marBottom w:val="0"/>
      <w:divBdr>
        <w:top w:val="none" w:sz="0" w:space="0" w:color="auto"/>
        <w:left w:val="none" w:sz="0" w:space="0" w:color="auto"/>
        <w:bottom w:val="none" w:sz="0" w:space="0" w:color="auto"/>
        <w:right w:val="none" w:sz="0" w:space="0" w:color="auto"/>
      </w:divBdr>
    </w:div>
    <w:div w:id="144975795">
      <w:bodyDiv w:val="1"/>
      <w:marLeft w:val="0"/>
      <w:marRight w:val="0"/>
      <w:marTop w:val="0"/>
      <w:marBottom w:val="0"/>
      <w:divBdr>
        <w:top w:val="none" w:sz="0" w:space="0" w:color="auto"/>
        <w:left w:val="none" w:sz="0" w:space="0" w:color="auto"/>
        <w:bottom w:val="none" w:sz="0" w:space="0" w:color="auto"/>
        <w:right w:val="none" w:sz="0" w:space="0" w:color="auto"/>
      </w:divBdr>
      <w:divsChild>
        <w:div w:id="1859925096">
          <w:marLeft w:val="547"/>
          <w:marRight w:val="0"/>
          <w:marTop w:val="0"/>
          <w:marBottom w:val="0"/>
          <w:divBdr>
            <w:top w:val="none" w:sz="0" w:space="0" w:color="auto"/>
            <w:left w:val="none" w:sz="0" w:space="0" w:color="auto"/>
            <w:bottom w:val="none" w:sz="0" w:space="0" w:color="auto"/>
            <w:right w:val="none" w:sz="0" w:space="0" w:color="auto"/>
          </w:divBdr>
        </w:div>
      </w:divsChild>
    </w:div>
    <w:div w:id="155847844">
      <w:bodyDiv w:val="1"/>
      <w:marLeft w:val="0"/>
      <w:marRight w:val="0"/>
      <w:marTop w:val="0"/>
      <w:marBottom w:val="0"/>
      <w:divBdr>
        <w:top w:val="none" w:sz="0" w:space="0" w:color="auto"/>
        <w:left w:val="none" w:sz="0" w:space="0" w:color="auto"/>
        <w:bottom w:val="none" w:sz="0" w:space="0" w:color="auto"/>
        <w:right w:val="none" w:sz="0" w:space="0" w:color="auto"/>
      </w:divBdr>
    </w:div>
    <w:div w:id="158155222">
      <w:bodyDiv w:val="1"/>
      <w:marLeft w:val="0"/>
      <w:marRight w:val="0"/>
      <w:marTop w:val="0"/>
      <w:marBottom w:val="0"/>
      <w:divBdr>
        <w:top w:val="none" w:sz="0" w:space="0" w:color="auto"/>
        <w:left w:val="none" w:sz="0" w:space="0" w:color="auto"/>
        <w:bottom w:val="none" w:sz="0" w:space="0" w:color="auto"/>
        <w:right w:val="none" w:sz="0" w:space="0" w:color="auto"/>
      </w:divBdr>
    </w:div>
    <w:div w:id="158930626">
      <w:bodyDiv w:val="1"/>
      <w:marLeft w:val="0"/>
      <w:marRight w:val="0"/>
      <w:marTop w:val="0"/>
      <w:marBottom w:val="0"/>
      <w:divBdr>
        <w:top w:val="none" w:sz="0" w:space="0" w:color="auto"/>
        <w:left w:val="none" w:sz="0" w:space="0" w:color="auto"/>
        <w:bottom w:val="none" w:sz="0" w:space="0" w:color="auto"/>
        <w:right w:val="none" w:sz="0" w:space="0" w:color="auto"/>
      </w:divBdr>
    </w:div>
    <w:div w:id="161967603">
      <w:bodyDiv w:val="1"/>
      <w:marLeft w:val="0"/>
      <w:marRight w:val="0"/>
      <w:marTop w:val="0"/>
      <w:marBottom w:val="0"/>
      <w:divBdr>
        <w:top w:val="none" w:sz="0" w:space="0" w:color="auto"/>
        <w:left w:val="none" w:sz="0" w:space="0" w:color="auto"/>
        <w:bottom w:val="none" w:sz="0" w:space="0" w:color="auto"/>
        <w:right w:val="none" w:sz="0" w:space="0" w:color="auto"/>
      </w:divBdr>
    </w:div>
    <w:div w:id="163251060">
      <w:bodyDiv w:val="1"/>
      <w:marLeft w:val="0"/>
      <w:marRight w:val="0"/>
      <w:marTop w:val="0"/>
      <w:marBottom w:val="0"/>
      <w:divBdr>
        <w:top w:val="none" w:sz="0" w:space="0" w:color="auto"/>
        <w:left w:val="none" w:sz="0" w:space="0" w:color="auto"/>
        <w:bottom w:val="none" w:sz="0" w:space="0" w:color="auto"/>
        <w:right w:val="none" w:sz="0" w:space="0" w:color="auto"/>
      </w:divBdr>
    </w:div>
    <w:div w:id="163665595">
      <w:bodyDiv w:val="1"/>
      <w:marLeft w:val="0"/>
      <w:marRight w:val="0"/>
      <w:marTop w:val="0"/>
      <w:marBottom w:val="0"/>
      <w:divBdr>
        <w:top w:val="none" w:sz="0" w:space="0" w:color="auto"/>
        <w:left w:val="none" w:sz="0" w:space="0" w:color="auto"/>
        <w:bottom w:val="none" w:sz="0" w:space="0" w:color="auto"/>
        <w:right w:val="none" w:sz="0" w:space="0" w:color="auto"/>
      </w:divBdr>
    </w:div>
    <w:div w:id="165285821">
      <w:bodyDiv w:val="1"/>
      <w:marLeft w:val="0"/>
      <w:marRight w:val="0"/>
      <w:marTop w:val="0"/>
      <w:marBottom w:val="0"/>
      <w:divBdr>
        <w:top w:val="none" w:sz="0" w:space="0" w:color="auto"/>
        <w:left w:val="none" w:sz="0" w:space="0" w:color="auto"/>
        <w:bottom w:val="none" w:sz="0" w:space="0" w:color="auto"/>
        <w:right w:val="none" w:sz="0" w:space="0" w:color="auto"/>
      </w:divBdr>
    </w:div>
    <w:div w:id="176161129">
      <w:bodyDiv w:val="1"/>
      <w:marLeft w:val="0"/>
      <w:marRight w:val="0"/>
      <w:marTop w:val="0"/>
      <w:marBottom w:val="0"/>
      <w:divBdr>
        <w:top w:val="none" w:sz="0" w:space="0" w:color="auto"/>
        <w:left w:val="none" w:sz="0" w:space="0" w:color="auto"/>
        <w:bottom w:val="none" w:sz="0" w:space="0" w:color="auto"/>
        <w:right w:val="none" w:sz="0" w:space="0" w:color="auto"/>
      </w:divBdr>
    </w:div>
    <w:div w:id="176430089">
      <w:bodyDiv w:val="1"/>
      <w:marLeft w:val="0"/>
      <w:marRight w:val="0"/>
      <w:marTop w:val="0"/>
      <w:marBottom w:val="0"/>
      <w:divBdr>
        <w:top w:val="none" w:sz="0" w:space="0" w:color="auto"/>
        <w:left w:val="none" w:sz="0" w:space="0" w:color="auto"/>
        <w:bottom w:val="none" w:sz="0" w:space="0" w:color="auto"/>
        <w:right w:val="none" w:sz="0" w:space="0" w:color="auto"/>
      </w:divBdr>
      <w:divsChild>
        <w:div w:id="899900914">
          <w:marLeft w:val="0"/>
          <w:marRight w:val="0"/>
          <w:marTop w:val="0"/>
          <w:marBottom w:val="0"/>
          <w:divBdr>
            <w:top w:val="none" w:sz="0" w:space="0" w:color="auto"/>
            <w:left w:val="none" w:sz="0" w:space="0" w:color="auto"/>
            <w:bottom w:val="none" w:sz="0" w:space="0" w:color="auto"/>
            <w:right w:val="none" w:sz="0" w:space="0" w:color="auto"/>
          </w:divBdr>
        </w:div>
      </w:divsChild>
    </w:div>
    <w:div w:id="177424345">
      <w:bodyDiv w:val="1"/>
      <w:marLeft w:val="0"/>
      <w:marRight w:val="0"/>
      <w:marTop w:val="0"/>
      <w:marBottom w:val="0"/>
      <w:divBdr>
        <w:top w:val="none" w:sz="0" w:space="0" w:color="auto"/>
        <w:left w:val="none" w:sz="0" w:space="0" w:color="auto"/>
        <w:bottom w:val="none" w:sz="0" w:space="0" w:color="auto"/>
        <w:right w:val="none" w:sz="0" w:space="0" w:color="auto"/>
      </w:divBdr>
    </w:div>
    <w:div w:id="178743768">
      <w:bodyDiv w:val="1"/>
      <w:marLeft w:val="0"/>
      <w:marRight w:val="0"/>
      <w:marTop w:val="0"/>
      <w:marBottom w:val="0"/>
      <w:divBdr>
        <w:top w:val="none" w:sz="0" w:space="0" w:color="auto"/>
        <w:left w:val="none" w:sz="0" w:space="0" w:color="auto"/>
        <w:bottom w:val="none" w:sz="0" w:space="0" w:color="auto"/>
        <w:right w:val="none" w:sz="0" w:space="0" w:color="auto"/>
      </w:divBdr>
    </w:div>
    <w:div w:id="183327786">
      <w:bodyDiv w:val="1"/>
      <w:marLeft w:val="0"/>
      <w:marRight w:val="0"/>
      <w:marTop w:val="0"/>
      <w:marBottom w:val="0"/>
      <w:divBdr>
        <w:top w:val="none" w:sz="0" w:space="0" w:color="auto"/>
        <w:left w:val="none" w:sz="0" w:space="0" w:color="auto"/>
        <w:bottom w:val="none" w:sz="0" w:space="0" w:color="auto"/>
        <w:right w:val="none" w:sz="0" w:space="0" w:color="auto"/>
      </w:divBdr>
    </w:div>
    <w:div w:id="190186713">
      <w:bodyDiv w:val="1"/>
      <w:marLeft w:val="0"/>
      <w:marRight w:val="0"/>
      <w:marTop w:val="0"/>
      <w:marBottom w:val="0"/>
      <w:divBdr>
        <w:top w:val="none" w:sz="0" w:space="0" w:color="auto"/>
        <w:left w:val="none" w:sz="0" w:space="0" w:color="auto"/>
        <w:bottom w:val="none" w:sz="0" w:space="0" w:color="auto"/>
        <w:right w:val="none" w:sz="0" w:space="0" w:color="auto"/>
      </w:divBdr>
      <w:divsChild>
        <w:div w:id="337465436">
          <w:marLeft w:val="0"/>
          <w:marRight w:val="0"/>
          <w:marTop w:val="0"/>
          <w:marBottom w:val="0"/>
          <w:divBdr>
            <w:top w:val="none" w:sz="0" w:space="0" w:color="auto"/>
            <w:left w:val="none" w:sz="0" w:space="0" w:color="auto"/>
            <w:bottom w:val="none" w:sz="0" w:space="0" w:color="auto"/>
            <w:right w:val="none" w:sz="0" w:space="0" w:color="auto"/>
          </w:divBdr>
          <w:divsChild>
            <w:div w:id="333995936">
              <w:marLeft w:val="0"/>
              <w:marRight w:val="0"/>
              <w:marTop w:val="0"/>
              <w:marBottom w:val="0"/>
              <w:divBdr>
                <w:top w:val="none" w:sz="0" w:space="0" w:color="auto"/>
                <w:left w:val="none" w:sz="0" w:space="0" w:color="auto"/>
                <w:bottom w:val="none" w:sz="0" w:space="0" w:color="auto"/>
                <w:right w:val="none" w:sz="0" w:space="0" w:color="auto"/>
              </w:divBdr>
              <w:divsChild>
                <w:div w:id="287244662">
                  <w:marLeft w:val="0"/>
                  <w:marRight w:val="0"/>
                  <w:marTop w:val="0"/>
                  <w:marBottom w:val="0"/>
                  <w:divBdr>
                    <w:top w:val="none" w:sz="0" w:space="0" w:color="auto"/>
                    <w:left w:val="none" w:sz="0" w:space="0" w:color="auto"/>
                    <w:bottom w:val="none" w:sz="0" w:space="0" w:color="auto"/>
                    <w:right w:val="none" w:sz="0" w:space="0" w:color="auto"/>
                  </w:divBdr>
                  <w:divsChild>
                    <w:div w:id="969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59065">
      <w:bodyDiv w:val="1"/>
      <w:marLeft w:val="0"/>
      <w:marRight w:val="0"/>
      <w:marTop w:val="0"/>
      <w:marBottom w:val="0"/>
      <w:divBdr>
        <w:top w:val="none" w:sz="0" w:space="0" w:color="auto"/>
        <w:left w:val="none" w:sz="0" w:space="0" w:color="auto"/>
        <w:bottom w:val="none" w:sz="0" w:space="0" w:color="auto"/>
        <w:right w:val="none" w:sz="0" w:space="0" w:color="auto"/>
      </w:divBdr>
    </w:div>
    <w:div w:id="198049997">
      <w:bodyDiv w:val="1"/>
      <w:marLeft w:val="0"/>
      <w:marRight w:val="0"/>
      <w:marTop w:val="0"/>
      <w:marBottom w:val="0"/>
      <w:divBdr>
        <w:top w:val="none" w:sz="0" w:space="0" w:color="auto"/>
        <w:left w:val="none" w:sz="0" w:space="0" w:color="auto"/>
        <w:bottom w:val="none" w:sz="0" w:space="0" w:color="auto"/>
        <w:right w:val="none" w:sz="0" w:space="0" w:color="auto"/>
      </w:divBdr>
    </w:div>
    <w:div w:id="201091439">
      <w:bodyDiv w:val="1"/>
      <w:marLeft w:val="0"/>
      <w:marRight w:val="0"/>
      <w:marTop w:val="0"/>
      <w:marBottom w:val="0"/>
      <w:divBdr>
        <w:top w:val="none" w:sz="0" w:space="0" w:color="auto"/>
        <w:left w:val="none" w:sz="0" w:space="0" w:color="auto"/>
        <w:bottom w:val="none" w:sz="0" w:space="0" w:color="auto"/>
        <w:right w:val="none" w:sz="0" w:space="0" w:color="auto"/>
      </w:divBdr>
      <w:divsChild>
        <w:div w:id="2032947499">
          <w:marLeft w:val="0"/>
          <w:marRight w:val="0"/>
          <w:marTop w:val="0"/>
          <w:marBottom w:val="0"/>
          <w:divBdr>
            <w:top w:val="none" w:sz="0" w:space="0" w:color="auto"/>
            <w:left w:val="none" w:sz="0" w:space="0" w:color="auto"/>
            <w:bottom w:val="none" w:sz="0" w:space="0" w:color="auto"/>
            <w:right w:val="none" w:sz="0" w:space="0" w:color="auto"/>
          </w:divBdr>
          <w:divsChild>
            <w:div w:id="1498692452">
              <w:marLeft w:val="0"/>
              <w:marRight w:val="0"/>
              <w:marTop w:val="0"/>
              <w:marBottom w:val="0"/>
              <w:divBdr>
                <w:top w:val="none" w:sz="0" w:space="0" w:color="auto"/>
                <w:left w:val="none" w:sz="0" w:space="0" w:color="auto"/>
                <w:bottom w:val="none" w:sz="0" w:space="0" w:color="auto"/>
                <w:right w:val="none" w:sz="0" w:space="0" w:color="auto"/>
              </w:divBdr>
              <w:divsChild>
                <w:div w:id="5212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349">
      <w:bodyDiv w:val="1"/>
      <w:marLeft w:val="0"/>
      <w:marRight w:val="0"/>
      <w:marTop w:val="0"/>
      <w:marBottom w:val="0"/>
      <w:divBdr>
        <w:top w:val="none" w:sz="0" w:space="0" w:color="auto"/>
        <w:left w:val="none" w:sz="0" w:space="0" w:color="auto"/>
        <w:bottom w:val="none" w:sz="0" w:space="0" w:color="auto"/>
        <w:right w:val="none" w:sz="0" w:space="0" w:color="auto"/>
      </w:divBdr>
    </w:div>
    <w:div w:id="204487749">
      <w:bodyDiv w:val="1"/>
      <w:marLeft w:val="0"/>
      <w:marRight w:val="0"/>
      <w:marTop w:val="0"/>
      <w:marBottom w:val="0"/>
      <w:divBdr>
        <w:top w:val="none" w:sz="0" w:space="0" w:color="auto"/>
        <w:left w:val="none" w:sz="0" w:space="0" w:color="auto"/>
        <w:bottom w:val="none" w:sz="0" w:space="0" w:color="auto"/>
        <w:right w:val="none" w:sz="0" w:space="0" w:color="auto"/>
      </w:divBdr>
    </w:div>
    <w:div w:id="207109254">
      <w:bodyDiv w:val="1"/>
      <w:marLeft w:val="0"/>
      <w:marRight w:val="0"/>
      <w:marTop w:val="0"/>
      <w:marBottom w:val="0"/>
      <w:divBdr>
        <w:top w:val="none" w:sz="0" w:space="0" w:color="auto"/>
        <w:left w:val="none" w:sz="0" w:space="0" w:color="auto"/>
        <w:bottom w:val="none" w:sz="0" w:space="0" w:color="auto"/>
        <w:right w:val="none" w:sz="0" w:space="0" w:color="auto"/>
      </w:divBdr>
    </w:div>
    <w:div w:id="221986642">
      <w:bodyDiv w:val="1"/>
      <w:marLeft w:val="0"/>
      <w:marRight w:val="0"/>
      <w:marTop w:val="0"/>
      <w:marBottom w:val="0"/>
      <w:divBdr>
        <w:top w:val="none" w:sz="0" w:space="0" w:color="auto"/>
        <w:left w:val="none" w:sz="0" w:space="0" w:color="auto"/>
        <w:bottom w:val="none" w:sz="0" w:space="0" w:color="auto"/>
        <w:right w:val="none" w:sz="0" w:space="0" w:color="auto"/>
      </w:divBdr>
      <w:divsChild>
        <w:div w:id="1466044764">
          <w:marLeft w:val="0"/>
          <w:marRight w:val="0"/>
          <w:marTop w:val="0"/>
          <w:marBottom w:val="0"/>
          <w:divBdr>
            <w:top w:val="none" w:sz="0" w:space="0" w:color="auto"/>
            <w:left w:val="none" w:sz="0" w:space="0" w:color="auto"/>
            <w:bottom w:val="none" w:sz="0" w:space="0" w:color="auto"/>
            <w:right w:val="none" w:sz="0" w:space="0" w:color="auto"/>
          </w:divBdr>
          <w:divsChild>
            <w:div w:id="1482503831">
              <w:marLeft w:val="0"/>
              <w:marRight w:val="0"/>
              <w:marTop w:val="0"/>
              <w:marBottom w:val="0"/>
              <w:divBdr>
                <w:top w:val="none" w:sz="0" w:space="0" w:color="auto"/>
                <w:left w:val="none" w:sz="0" w:space="0" w:color="auto"/>
                <w:bottom w:val="none" w:sz="0" w:space="0" w:color="auto"/>
                <w:right w:val="none" w:sz="0" w:space="0" w:color="auto"/>
              </w:divBdr>
              <w:divsChild>
                <w:div w:id="5612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65680">
      <w:bodyDiv w:val="1"/>
      <w:marLeft w:val="0"/>
      <w:marRight w:val="0"/>
      <w:marTop w:val="0"/>
      <w:marBottom w:val="0"/>
      <w:divBdr>
        <w:top w:val="none" w:sz="0" w:space="0" w:color="auto"/>
        <w:left w:val="none" w:sz="0" w:space="0" w:color="auto"/>
        <w:bottom w:val="none" w:sz="0" w:space="0" w:color="auto"/>
        <w:right w:val="none" w:sz="0" w:space="0" w:color="auto"/>
      </w:divBdr>
      <w:divsChild>
        <w:div w:id="87120182">
          <w:marLeft w:val="547"/>
          <w:marRight w:val="0"/>
          <w:marTop w:val="154"/>
          <w:marBottom w:val="0"/>
          <w:divBdr>
            <w:top w:val="none" w:sz="0" w:space="0" w:color="auto"/>
            <w:left w:val="none" w:sz="0" w:space="0" w:color="auto"/>
            <w:bottom w:val="none" w:sz="0" w:space="0" w:color="auto"/>
            <w:right w:val="none" w:sz="0" w:space="0" w:color="auto"/>
          </w:divBdr>
        </w:div>
        <w:div w:id="660619095">
          <w:marLeft w:val="1800"/>
          <w:marRight w:val="0"/>
          <w:marTop w:val="115"/>
          <w:marBottom w:val="0"/>
          <w:divBdr>
            <w:top w:val="none" w:sz="0" w:space="0" w:color="auto"/>
            <w:left w:val="none" w:sz="0" w:space="0" w:color="auto"/>
            <w:bottom w:val="none" w:sz="0" w:space="0" w:color="auto"/>
            <w:right w:val="none" w:sz="0" w:space="0" w:color="auto"/>
          </w:divBdr>
        </w:div>
        <w:div w:id="1449549239">
          <w:marLeft w:val="1166"/>
          <w:marRight w:val="0"/>
          <w:marTop w:val="134"/>
          <w:marBottom w:val="0"/>
          <w:divBdr>
            <w:top w:val="none" w:sz="0" w:space="0" w:color="auto"/>
            <w:left w:val="none" w:sz="0" w:space="0" w:color="auto"/>
            <w:bottom w:val="none" w:sz="0" w:space="0" w:color="auto"/>
            <w:right w:val="none" w:sz="0" w:space="0" w:color="auto"/>
          </w:divBdr>
        </w:div>
      </w:divsChild>
    </w:div>
    <w:div w:id="227961947">
      <w:bodyDiv w:val="1"/>
      <w:marLeft w:val="0"/>
      <w:marRight w:val="0"/>
      <w:marTop w:val="0"/>
      <w:marBottom w:val="0"/>
      <w:divBdr>
        <w:top w:val="none" w:sz="0" w:space="0" w:color="auto"/>
        <w:left w:val="none" w:sz="0" w:space="0" w:color="auto"/>
        <w:bottom w:val="none" w:sz="0" w:space="0" w:color="auto"/>
        <w:right w:val="none" w:sz="0" w:space="0" w:color="auto"/>
      </w:divBdr>
    </w:div>
    <w:div w:id="230623520">
      <w:bodyDiv w:val="1"/>
      <w:marLeft w:val="0"/>
      <w:marRight w:val="0"/>
      <w:marTop w:val="0"/>
      <w:marBottom w:val="0"/>
      <w:divBdr>
        <w:top w:val="none" w:sz="0" w:space="0" w:color="auto"/>
        <w:left w:val="none" w:sz="0" w:space="0" w:color="auto"/>
        <w:bottom w:val="none" w:sz="0" w:space="0" w:color="auto"/>
        <w:right w:val="none" w:sz="0" w:space="0" w:color="auto"/>
      </w:divBdr>
      <w:divsChild>
        <w:div w:id="1856116568">
          <w:marLeft w:val="0"/>
          <w:marRight w:val="0"/>
          <w:marTop w:val="0"/>
          <w:marBottom w:val="0"/>
          <w:divBdr>
            <w:top w:val="none" w:sz="0" w:space="0" w:color="auto"/>
            <w:left w:val="none" w:sz="0" w:space="0" w:color="auto"/>
            <w:bottom w:val="none" w:sz="0" w:space="0" w:color="auto"/>
            <w:right w:val="none" w:sz="0" w:space="0" w:color="auto"/>
          </w:divBdr>
          <w:divsChild>
            <w:div w:id="275646784">
              <w:marLeft w:val="0"/>
              <w:marRight w:val="0"/>
              <w:marTop w:val="0"/>
              <w:marBottom w:val="0"/>
              <w:divBdr>
                <w:top w:val="none" w:sz="0" w:space="0" w:color="auto"/>
                <w:left w:val="none" w:sz="0" w:space="0" w:color="auto"/>
                <w:bottom w:val="none" w:sz="0" w:space="0" w:color="auto"/>
                <w:right w:val="none" w:sz="0" w:space="0" w:color="auto"/>
              </w:divBdr>
              <w:divsChild>
                <w:div w:id="731929367">
                  <w:marLeft w:val="0"/>
                  <w:marRight w:val="0"/>
                  <w:marTop w:val="0"/>
                  <w:marBottom w:val="0"/>
                  <w:divBdr>
                    <w:top w:val="none" w:sz="0" w:space="0" w:color="auto"/>
                    <w:left w:val="none" w:sz="0" w:space="0" w:color="auto"/>
                    <w:bottom w:val="none" w:sz="0" w:space="0" w:color="auto"/>
                    <w:right w:val="none" w:sz="0" w:space="0" w:color="auto"/>
                  </w:divBdr>
                  <w:divsChild>
                    <w:div w:id="1945381121">
                      <w:marLeft w:val="0"/>
                      <w:marRight w:val="0"/>
                      <w:marTop w:val="0"/>
                      <w:marBottom w:val="0"/>
                      <w:divBdr>
                        <w:top w:val="none" w:sz="0" w:space="0" w:color="auto"/>
                        <w:left w:val="none" w:sz="0" w:space="0" w:color="auto"/>
                        <w:bottom w:val="none" w:sz="0" w:space="0" w:color="auto"/>
                        <w:right w:val="none" w:sz="0" w:space="0" w:color="auto"/>
                      </w:divBdr>
                    </w:div>
                  </w:divsChild>
                </w:div>
                <w:div w:id="838235635">
                  <w:marLeft w:val="0"/>
                  <w:marRight w:val="0"/>
                  <w:marTop w:val="0"/>
                  <w:marBottom w:val="0"/>
                  <w:divBdr>
                    <w:top w:val="none" w:sz="0" w:space="0" w:color="auto"/>
                    <w:left w:val="none" w:sz="0" w:space="0" w:color="auto"/>
                    <w:bottom w:val="none" w:sz="0" w:space="0" w:color="auto"/>
                    <w:right w:val="none" w:sz="0" w:space="0" w:color="auto"/>
                  </w:divBdr>
                  <w:divsChild>
                    <w:div w:id="895973489">
                      <w:marLeft w:val="0"/>
                      <w:marRight w:val="0"/>
                      <w:marTop w:val="0"/>
                      <w:marBottom w:val="0"/>
                      <w:divBdr>
                        <w:top w:val="none" w:sz="0" w:space="0" w:color="auto"/>
                        <w:left w:val="none" w:sz="0" w:space="0" w:color="auto"/>
                        <w:bottom w:val="none" w:sz="0" w:space="0" w:color="auto"/>
                        <w:right w:val="none" w:sz="0" w:space="0" w:color="auto"/>
                      </w:divBdr>
                    </w:div>
                  </w:divsChild>
                </w:div>
                <w:div w:id="1137646051">
                  <w:marLeft w:val="0"/>
                  <w:marRight w:val="0"/>
                  <w:marTop w:val="0"/>
                  <w:marBottom w:val="0"/>
                  <w:divBdr>
                    <w:top w:val="none" w:sz="0" w:space="0" w:color="auto"/>
                    <w:left w:val="none" w:sz="0" w:space="0" w:color="auto"/>
                    <w:bottom w:val="none" w:sz="0" w:space="0" w:color="auto"/>
                    <w:right w:val="none" w:sz="0" w:space="0" w:color="auto"/>
                  </w:divBdr>
                  <w:divsChild>
                    <w:div w:id="7238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21896">
      <w:bodyDiv w:val="1"/>
      <w:marLeft w:val="0"/>
      <w:marRight w:val="0"/>
      <w:marTop w:val="0"/>
      <w:marBottom w:val="0"/>
      <w:divBdr>
        <w:top w:val="none" w:sz="0" w:space="0" w:color="auto"/>
        <w:left w:val="none" w:sz="0" w:space="0" w:color="auto"/>
        <w:bottom w:val="none" w:sz="0" w:space="0" w:color="auto"/>
        <w:right w:val="none" w:sz="0" w:space="0" w:color="auto"/>
      </w:divBdr>
    </w:div>
    <w:div w:id="236208950">
      <w:bodyDiv w:val="1"/>
      <w:marLeft w:val="0"/>
      <w:marRight w:val="0"/>
      <w:marTop w:val="0"/>
      <w:marBottom w:val="0"/>
      <w:divBdr>
        <w:top w:val="none" w:sz="0" w:space="0" w:color="auto"/>
        <w:left w:val="none" w:sz="0" w:space="0" w:color="auto"/>
        <w:bottom w:val="none" w:sz="0" w:space="0" w:color="auto"/>
        <w:right w:val="none" w:sz="0" w:space="0" w:color="auto"/>
      </w:divBdr>
    </w:div>
    <w:div w:id="238750927">
      <w:bodyDiv w:val="1"/>
      <w:marLeft w:val="0"/>
      <w:marRight w:val="0"/>
      <w:marTop w:val="0"/>
      <w:marBottom w:val="0"/>
      <w:divBdr>
        <w:top w:val="none" w:sz="0" w:space="0" w:color="auto"/>
        <w:left w:val="none" w:sz="0" w:space="0" w:color="auto"/>
        <w:bottom w:val="none" w:sz="0" w:space="0" w:color="auto"/>
        <w:right w:val="none" w:sz="0" w:space="0" w:color="auto"/>
      </w:divBdr>
    </w:div>
    <w:div w:id="240724401">
      <w:bodyDiv w:val="1"/>
      <w:marLeft w:val="0"/>
      <w:marRight w:val="0"/>
      <w:marTop w:val="0"/>
      <w:marBottom w:val="0"/>
      <w:divBdr>
        <w:top w:val="none" w:sz="0" w:space="0" w:color="auto"/>
        <w:left w:val="none" w:sz="0" w:space="0" w:color="auto"/>
        <w:bottom w:val="none" w:sz="0" w:space="0" w:color="auto"/>
        <w:right w:val="none" w:sz="0" w:space="0" w:color="auto"/>
      </w:divBdr>
    </w:div>
    <w:div w:id="248857982">
      <w:bodyDiv w:val="1"/>
      <w:marLeft w:val="0"/>
      <w:marRight w:val="0"/>
      <w:marTop w:val="0"/>
      <w:marBottom w:val="0"/>
      <w:divBdr>
        <w:top w:val="none" w:sz="0" w:space="0" w:color="auto"/>
        <w:left w:val="none" w:sz="0" w:space="0" w:color="auto"/>
        <w:bottom w:val="none" w:sz="0" w:space="0" w:color="auto"/>
        <w:right w:val="none" w:sz="0" w:space="0" w:color="auto"/>
      </w:divBdr>
    </w:div>
    <w:div w:id="256182508">
      <w:bodyDiv w:val="1"/>
      <w:marLeft w:val="0"/>
      <w:marRight w:val="0"/>
      <w:marTop w:val="0"/>
      <w:marBottom w:val="0"/>
      <w:divBdr>
        <w:top w:val="none" w:sz="0" w:space="0" w:color="auto"/>
        <w:left w:val="none" w:sz="0" w:space="0" w:color="auto"/>
        <w:bottom w:val="none" w:sz="0" w:space="0" w:color="auto"/>
        <w:right w:val="none" w:sz="0" w:space="0" w:color="auto"/>
      </w:divBdr>
      <w:divsChild>
        <w:div w:id="1583219516">
          <w:marLeft w:val="547"/>
          <w:marRight w:val="0"/>
          <w:marTop w:val="0"/>
          <w:marBottom w:val="0"/>
          <w:divBdr>
            <w:top w:val="none" w:sz="0" w:space="0" w:color="auto"/>
            <w:left w:val="none" w:sz="0" w:space="0" w:color="auto"/>
            <w:bottom w:val="none" w:sz="0" w:space="0" w:color="auto"/>
            <w:right w:val="none" w:sz="0" w:space="0" w:color="auto"/>
          </w:divBdr>
        </w:div>
      </w:divsChild>
    </w:div>
    <w:div w:id="262618434">
      <w:bodyDiv w:val="1"/>
      <w:marLeft w:val="0"/>
      <w:marRight w:val="0"/>
      <w:marTop w:val="0"/>
      <w:marBottom w:val="0"/>
      <w:divBdr>
        <w:top w:val="none" w:sz="0" w:space="0" w:color="auto"/>
        <w:left w:val="none" w:sz="0" w:space="0" w:color="auto"/>
        <w:bottom w:val="none" w:sz="0" w:space="0" w:color="auto"/>
        <w:right w:val="none" w:sz="0" w:space="0" w:color="auto"/>
      </w:divBdr>
    </w:div>
    <w:div w:id="267078672">
      <w:bodyDiv w:val="1"/>
      <w:marLeft w:val="0"/>
      <w:marRight w:val="0"/>
      <w:marTop w:val="0"/>
      <w:marBottom w:val="0"/>
      <w:divBdr>
        <w:top w:val="none" w:sz="0" w:space="0" w:color="auto"/>
        <w:left w:val="none" w:sz="0" w:space="0" w:color="auto"/>
        <w:bottom w:val="none" w:sz="0" w:space="0" w:color="auto"/>
        <w:right w:val="none" w:sz="0" w:space="0" w:color="auto"/>
      </w:divBdr>
    </w:div>
    <w:div w:id="273750019">
      <w:bodyDiv w:val="1"/>
      <w:marLeft w:val="0"/>
      <w:marRight w:val="0"/>
      <w:marTop w:val="0"/>
      <w:marBottom w:val="0"/>
      <w:divBdr>
        <w:top w:val="none" w:sz="0" w:space="0" w:color="auto"/>
        <w:left w:val="none" w:sz="0" w:space="0" w:color="auto"/>
        <w:bottom w:val="none" w:sz="0" w:space="0" w:color="auto"/>
        <w:right w:val="none" w:sz="0" w:space="0" w:color="auto"/>
      </w:divBdr>
    </w:div>
    <w:div w:id="274989506">
      <w:bodyDiv w:val="1"/>
      <w:marLeft w:val="0"/>
      <w:marRight w:val="0"/>
      <w:marTop w:val="0"/>
      <w:marBottom w:val="0"/>
      <w:divBdr>
        <w:top w:val="none" w:sz="0" w:space="0" w:color="auto"/>
        <w:left w:val="none" w:sz="0" w:space="0" w:color="auto"/>
        <w:bottom w:val="none" w:sz="0" w:space="0" w:color="auto"/>
        <w:right w:val="none" w:sz="0" w:space="0" w:color="auto"/>
      </w:divBdr>
    </w:div>
    <w:div w:id="285503688">
      <w:bodyDiv w:val="1"/>
      <w:marLeft w:val="0"/>
      <w:marRight w:val="0"/>
      <w:marTop w:val="0"/>
      <w:marBottom w:val="0"/>
      <w:divBdr>
        <w:top w:val="none" w:sz="0" w:space="0" w:color="auto"/>
        <w:left w:val="none" w:sz="0" w:space="0" w:color="auto"/>
        <w:bottom w:val="none" w:sz="0" w:space="0" w:color="auto"/>
        <w:right w:val="none" w:sz="0" w:space="0" w:color="auto"/>
      </w:divBdr>
    </w:div>
    <w:div w:id="292322875">
      <w:bodyDiv w:val="1"/>
      <w:marLeft w:val="0"/>
      <w:marRight w:val="0"/>
      <w:marTop w:val="0"/>
      <w:marBottom w:val="0"/>
      <w:divBdr>
        <w:top w:val="none" w:sz="0" w:space="0" w:color="auto"/>
        <w:left w:val="none" w:sz="0" w:space="0" w:color="auto"/>
        <w:bottom w:val="none" w:sz="0" w:space="0" w:color="auto"/>
        <w:right w:val="none" w:sz="0" w:space="0" w:color="auto"/>
      </w:divBdr>
    </w:div>
    <w:div w:id="302005021">
      <w:bodyDiv w:val="1"/>
      <w:marLeft w:val="0"/>
      <w:marRight w:val="0"/>
      <w:marTop w:val="0"/>
      <w:marBottom w:val="0"/>
      <w:divBdr>
        <w:top w:val="none" w:sz="0" w:space="0" w:color="auto"/>
        <w:left w:val="none" w:sz="0" w:space="0" w:color="auto"/>
        <w:bottom w:val="none" w:sz="0" w:space="0" w:color="auto"/>
        <w:right w:val="none" w:sz="0" w:space="0" w:color="auto"/>
      </w:divBdr>
    </w:div>
    <w:div w:id="302344776">
      <w:bodyDiv w:val="1"/>
      <w:marLeft w:val="0"/>
      <w:marRight w:val="0"/>
      <w:marTop w:val="0"/>
      <w:marBottom w:val="0"/>
      <w:divBdr>
        <w:top w:val="none" w:sz="0" w:space="0" w:color="auto"/>
        <w:left w:val="none" w:sz="0" w:space="0" w:color="auto"/>
        <w:bottom w:val="none" w:sz="0" w:space="0" w:color="auto"/>
        <w:right w:val="none" w:sz="0" w:space="0" w:color="auto"/>
      </w:divBdr>
    </w:div>
    <w:div w:id="303047610">
      <w:bodyDiv w:val="1"/>
      <w:marLeft w:val="0"/>
      <w:marRight w:val="0"/>
      <w:marTop w:val="0"/>
      <w:marBottom w:val="0"/>
      <w:divBdr>
        <w:top w:val="none" w:sz="0" w:space="0" w:color="auto"/>
        <w:left w:val="none" w:sz="0" w:space="0" w:color="auto"/>
        <w:bottom w:val="none" w:sz="0" w:space="0" w:color="auto"/>
        <w:right w:val="none" w:sz="0" w:space="0" w:color="auto"/>
      </w:divBdr>
    </w:div>
    <w:div w:id="308098936">
      <w:bodyDiv w:val="1"/>
      <w:marLeft w:val="0"/>
      <w:marRight w:val="0"/>
      <w:marTop w:val="0"/>
      <w:marBottom w:val="0"/>
      <w:divBdr>
        <w:top w:val="none" w:sz="0" w:space="0" w:color="auto"/>
        <w:left w:val="none" w:sz="0" w:space="0" w:color="auto"/>
        <w:bottom w:val="none" w:sz="0" w:space="0" w:color="auto"/>
        <w:right w:val="none" w:sz="0" w:space="0" w:color="auto"/>
      </w:divBdr>
    </w:div>
    <w:div w:id="308753390">
      <w:bodyDiv w:val="1"/>
      <w:marLeft w:val="0"/>
      <w:marRight w:val="0"/>
      <w:marTop w:val="0"/>
      <w:marBottom w:val="0"/>
      <w:divBdr>
        <w:top w:val="none" w:sz="0" w:space="0" w:color="auto"/>
        <w:left w:val="none" w:sz="0" w:space="0" w:color="auto"/>
        <w:bottom w:val="none" w:sz="0" w:space="0" w:color="auto"/>
        <w:right w:val="none" w:sz="0" w:space="0" w:color="auto"/>
      </w:divBdr>
      <w:divsChild>
        <w:div w:id="1658924059">
          <w:marLeft w:val="0"/>
          <w:marRight w:val="0"/>
          <w:marTop w:val="0"/>
          <w:marBottom w:val="0"/>
          <w:divBdr>
            <w:top w:val="none" w:sz="0" w:space="0" w:color="auto"/>
            <w:left w:val="none" w:sz="0" w:space="0" w:color="auto"/>
            <w:bottom w:val="none" w:sz="0" w:space="0" w:color="auto"/>
            <w:right w:val="none" w:sz="0" w:space="0" w:color="auto"/>
          </w:divBdr>
          <w:divsChild>
            <w:div w:id="143013270">
              <w:marLeft w:val="0"/>
              <w:marRight w:val="0"/>
              <w:marTop w:val="0"/>
              <w:marBottom w:val="0"/>
              <w:divBdr>
                <w:top w:val="none" w:sz="0" w:space="0" w:color="auto"/>
                <w:left w:val="none" w:sz="0" w:space="0" w:color="auto"/>
                <w:bottom w:val="none" w:sz="0" w:space="0" w:color="auto"/>
                <w:right w:val="none" w:sz="0" w:space="0" w:color="auto"/>
              </w:divBdr>
              <w:divsChild>
                <w:div w:id="6941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8026">
      <w:bodyDiv w:val="1"/>
      <w:marLeft w:val="0"/>
      <w:marRight w:val="0"/>
      <w:marTop w:val="0"/>
      <w:marBottom w:val="0"/>
      <w:divBdr>
        <w:top w:val="none" w:sz="0" w:space="0" w:color="auto"/>
        <w:left w:val="none" w:sz="0" w:space="0" w:color="auto"/>
        <w:bottom w:val="none" w:sz="0" w:space="0" w:color="auto"/>
        <w:right w:val="none" w:sz="0" w:space="0" w:color="auto"/>
      </w:divBdr>
    </w:div>
    <w:div w:id="314408455">
      <w:bodyDiv w:val="1"/>
      <w:marLeft w:val="0"/>
      <w:marRight w:val="0"/>
      <w:marTop w:val="0"/>
      <w:marBottom w:val="0"/>
      <w:divBdr>
        <w:top w:val="none" w:sz="0" w:space="0" w:color="auto"/>
        <w:left w:val="none" w:sz="0" w:space="0" w:color="auto"/>
        <w:bottom w:val="none" w:sz="0" w:space="0" w:color="auto"/>
        <w:right w:val="none" w:sz="0" w:space="0" w:color="auto"/>
      </w:divBdr>
      <w:divsChild>
        <w:div w:id="1110903776">
          <w:marLeft w:val="446"/>
          <w:marRight w:val="0"/>
          <w:marTop w:val="0"/>
          <w:marBottom w:val="0"/>
          <w:divBdr>
            <w:top w:val="none" w:sz="0" w:space="0" w:color="auto"/>
            <w:left w:val="none" w:sz="0" w:space="0" w:color="auto"/>
            <w:bottom w:val="none" w:sz="0" w:space="0" w:color="auto"/>
            <w:right w:val="none" w:sz="0" w:space="0" w:color="auto"/>
          </w:divBdr>
        </w:div>
        <w:div w:id="2118480344">
          <w:marLeft w:val="446"/>
          <w:marRight w:val="0"/>
          <w:marTop w:val="0"/>
          <w:marBottom w:val="0"/>
          <w:divBdr>
            <w:top w:val="none" w:sz="0" w:space="0" w:color="auto"/>
            <w:left w:val="none" w:sz="0" w:space="0" w:color="auto"/>
            <w:bottom w:val="none" w:sz="0" w:space="0" w:color="auto"/>
            <w:right w:val="none" w:sz="0" w:space="0" w:color="auto"/>
          </w:divBdr>
        </w:div>
      </w:divsChild>
    </w:div>
    <w:div w:id="316152012">
      <w:bodyDiv w:val="1"/>
      <w:marLeft w:val="0"/>
      <w:marRight w:val="0"/>
      <w:marTop w:val="0"/>
      <w:marBottom w:val="0"/>
      <w:divBdr>
        <w:top w:val="none" w:sz="0" w:space="0" w:color="auto"/>
        <w:left w:val="none" w:sz="0" w:space="0" w:color="auto"/>
        <w:bottom w:val="none" w:sz="0" w:space="0" w:color="auto"/>
        <w:right w:val="none" w:sz="0" w:space="0" w:color="auto"/>
      </w:divBdr>
    </w:div>
    <w:div w:id="323748835">
      <w:bodyDiv w:val="1"/>
      <w:marLeft w:val="0"/>
      <w:marRight w:val="0"/>
      <w:marTop w:val="0"/>
      <w:marBottom w:val="0"/>
      <w:divBdr>
        <w:top w:val="none" w:sz="0" w:space="0" w:color="auto"/>
        <w:left w:val="none" w:sz="0" w:space="0" w:color="auto"/>
        <w:bottom w:val="none" w:sz="0" w:space="0" w:color="auto"/>
        <w:right w:val="none" w:sz="0" w:space="0" w:color="auto"/>
      </w:divBdr>
    </w:div>
    <w:div w:id="327758670">
      <w:bodyDiv w:val="1"/>
      <w:marLeft w:val="0"/>
      <w:marRight w:val="0"/>
      <w:marTop w:val="0"/>
      <w:marBottom w:val="0"/>
      <w:divBdr>
        <w:top w:val="none" w:sz="0" w:space="0" w:color="auto"/>
        <w:left w:val="none" w:sz="0" w:space="0" w:color="auto"/>
        <w:bottom w:val="none" w:sz="0" w:space="0" w:color="auto"/>
        <w:right w:val="none" w:sz="0" w:space="0" w:color="auto"/>
      </w:divBdr>
    </w:div>
    <w:div w:id="329336356">
      <w:bodyDiv w:val="1"/>
      <w:marLeft w:val="0"/>
      <w:marRight w:val="0"/>
      <w:marTop w:val="0"/>
      <w:marBottom w:val="0"/>
      <w:divBdr>
        <w:top w:val="none" w:sz="0" w:space="0" w:color="auto"/>
        <w:left w:val="none" w:sz="0" w:space="0" w:color="auto"/>
        <w:bottom w:val="none" w:sz="0" w:space="0" w:color="auto"/>
        <w:right w:val="none" w:sz="0" w:space="0" w:color="auto"/>
      </w:divBdr>
      <w:divsChild>
        <w:div w:id="434328075">
          <w:marLeft w:val="446"/>
          <w:marRight w:val="0"/>
          <w:marTop w:val="0"/>
          <w:marBottom w:val="0"/>
          <w:divBdr>
            <w:top w:val="none" w:sz="0" w:space="0" w:color="auto"/>
            <w:left w:val="none" w:sz="0" w:space="0" w:color="auto"/>
            <w:bottom w:val="none" w:sz="0" w:space="0" w:color="auto"/>
            <w:right w:val="none" w:sz="0" w:space="0" w:color="auto"/>
          </w:divBdr>
        </w:div>
      </w:divsChild>
    </w:div>
    <w:div w:id="330644122">
      <w:bodyDiv w:val="1"/>
      <w:marLeft w:val="0"/>
      <w:marRight w:val="0"/>
      <w:marTop w:val="0"/>
      <w:marBottom w:val="0"/>
      <w:divBdr>
        <w:top w:val="none" w:sz="0" w:space="0" w:color="auto"/>
        <w:left w:val="none" w:sz="0" w:space="0" w:color="auto"/>
        <w:bottom w:val="none" w:sz="0" w:space="0" w:color="auto"/>
        <w:right w:val="none" w:sz="0" w:space="0" w:color="auto"/>
      </w:divBdr>
    </w:div>
    <w:div w:id="335765488">
      <w:bodyDiv w:val="1"/>
      <w:marLeft w:val="0"/>
      <w:marRight w:val="0"/>
      <w:marTop w:val="0"/>
      <w:marBottom w:val="0"/>
      <w:divBdr>
        <w:top w:val="none" w:sz="0" w:space="0" w:color="auto"/>
        <w:left w:val="none" w:sz="0" w:space="0" w:color="auto"/>
        <w:bottom w:val="none" w:sz="0" w:space="0" w:color="auto"/>
        <w:right w:val="none" w:sz="0" w:space="0" w:color="auto"/>
      </w:divBdr>
    </w:div>
    <w:div w:id="337149935">
      <w:bodyDiv w:val="1"/>
      <w:marLeft w:val="0"/>
      <w:marRight w:val="0"/>
      <w:marTop w:val="0"/>
      <w:marBottom w:val="0"/>
      <w:divBdr>
        <w:top w:val="none" w:sz="0" w:space="0" w:color="auto"/>
        <w:left w:val="none" w:sz="0" w:space="0" w:color="auto"/>
        <w:bottom w:val="none" w:sz="0" w:space="0" w:color="auto"/>
        <w:right w:val="none" w:sz="0" w:space="0" w:color="auto"/>
      </w:divBdr>
      <w:divsChild>
        <w:div w:id="16659463">
          <w:marLeft w:val="0"/>
          <w:marRight w:val="0"/>
          <w:marTop w:val="0"/>
          <w:marBottom w:val="0"/>
          <w:divBdr>
            <w:top w:val="none" w:sz="0" w:space="0" w:color="auto"/>
            <w:left w:val="none" w:sz="0" w:space="0" w:color="auto"/>
            <w:bottom w:val="none" w:sz="0" w:space="0" w:color="auto"/>
            <w:right w:val="none" w:sz="0" w:space="0" w:color="auto"/>
          </w:divBdr>
          <w:divsChild>
            <w:div w:id="1846898719">
              <w:marLeft w:val="0"/>
              <w:marRight w:val="0"/>
              <w:marTop w:val="0"/>
              <w:marBottom w:val="0"/>
              <w:divBdr>
                <w:top w:val="none" w:sz="0" w:space="0" w:color="auto"/>
                <w:left w:val="none" w:sz="0" w:space="0" w:color="auto"/>
                <w:bottom w:val="none" w:sz="0" w:space="0" w:color="auto"/>
                <w:right w:val="none" w:sz="0" w:space="0" w:color="auto"/>
              </w:divBdr>
              <w:divsChild>
                <w:div w:id="2142186755">
                  <w:marLeft w:val="0"/>
                  <w:marRight w:val="0"/>
                  <w:marTop w:val="0"/>
                  <w:marBottom w:val="0"/>
                  <w:divBdr>
                    <w:top w:val="none" w:sz="0" w:space="0" w:color="auto"/>
                    <w:left w:val="none" w:sz="0" w:space="0" w:color="auto"/>
                    <w:bottom w:val="none" w:sz="0" w:space="0" w:color="auto"/>
                    <w:right w:val="none" w:sz="0" w:space="0" w:color="auto"/>
                  </w:divBdr>
                  <w:divsChild>
                    <w:div w:id="2995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47209">
      <w:bodyDiv w:val="1"/>
      <w:marLeft w:val="0"/>
      <w:marRight w:val="0"/>
      <w:marTop w:val="0"/>
      <w:marBottom w:val="0"/>
      <w:divBdr>
        <w:top w:val="none" w:sz="0" w:space="0" w:color="auto"/>
        <w:left w:val="none" w:sz="0" w:space="0" w:color="auto"/>
        <w:bottom w:val="none" w:sz="0" w:space="0" w:color="auto"/>
        <w:right w:val="none" w:sz="0" w:space="0" w:color="auto"/>
      </w:divBdr>
    </w:div>
    <w:div w:id="353769174">
      <w:bodyDiv w:val="1"/>
      <w:marLeft w:val="0"/>
      <w:marRight w:val="0"/>
      <w:marTop w:val="0"/>
      <w:marBottom w:val="0"/>
      <w:divBdr>
        <w:top w:val="none" w:sz="0" w:space="0" w:color="auto"/>
        <w:left w:val="none" w:sz="0" w:space="0" w:color="auto"/>
        <w:bottom w:val="none" w:sz="0" w:space="0" w:color="auto"/>
        <w:right w:val="none" w:sz="0" w:space="0" w:color="auto"/>
      </w:divBdr>
    </w:div>
    <w:div w:id="354692736">
      <w:bodyDiv w:val="1"/>
      <w:marLeft w:val="0"/>
      <w:marRight w:val="0"/>
      <w:marTop w:val="0"/>
      <w:marBottom w:val="0"/>
      <w:divBdr>
        <w:top w:val="none" w:sz="0" w:space="0" w:color="auto"/>
        <w:left w:val="none" w:sz="0" w:space="0" w:color="auto"/>
        <w:bottom w:val="none" w:sz="0" w:space="0" w:color="auto"/>
        <w:right w:val="none" w:sz="0" w:space="0" w:color="auto"/>
      </w:divBdr>
    </w:div>
    <w:div w:id="359086910">
      <w:bodyDiv w:val="1"/>
      <w:marLeft w:val="0"/>
      <w:marRight w:val="0"/>
      <w:marTop w:val="0"/>
      <w:marBottom w:val="0"/>
      <w:divBdr>
        <w:top w:val="none" w:sz="0" w:space="0" w:color="auto"/>
        <w:left w:val="none" w:sz="0" w:space="0" w:color="auto"/>
        <w:bottom w:val="none" w:sz="0" w:space="0" w:color="auto"/>
        <w:right w:val="none" w:sz="0" w:space="0" w:color="auto"/>
      </w:divBdr>
    </w:div>
    <w:div w:id="361395923">
      <w:bodyDiv w:val="1"/>
      <w:marLeft w:val="0"/>
      <w:marRight w:val="0"/>
      <w:marTop w:val="0"/>
      <w:marBottom w:val="0"/>
      <w:divBdr>
        <w:top w:val="none" w:sz="0" w:space="0" w:color="auto"/>
        <w:left w:val="none" w:sz="0" w:space="0" w:color="auto"/>
        <w:bottom w:val="none" w:sz="0" w:space="0" w:color="auto"/>
        <w:right w:val="none" w:sz="0" w:space="0" w:color="auto"/>
      </w:divBdr>
    </w:div>
    <w:div w:id="363334349">
      <w:bodyDiv w:val="1"/>
      <w:marLeft w:val="0"/>
      <w:marRight w:val="0"/>
      <w:marTop w:val="0"/>
      <w:marBottom w:val="0"/>
      <w:divBdr>
        <w:top w:val="none" w:sz="0" w:space="0" w:color="auto"/>
        <w:left w:val="none" w:sz="0" w:space="0" w:color="auto"/>
        <w:bottom w:val="none" w:sz="0" w:space="0" w:color="auto"/>
        <w:right w:val="none" w:sz="0" w:space="0" w:color="auto"/>
      </w:divBdr>
    </w:div>
    <w:div w:id="363754583">
      <w:bodyDiv w:val="1"/>
      <w:marLeft w:val="0"/>
      <w:marRight w:val="0"/>
      <w:marTop w:val="0"/>
      <w:marBottom w:val="0"/>
      <w:divBdr>
        <w:top w:val="none" w:sz="0" w:space="0" w:color="auto"/>
        <w:left w:val="none" w:sz="0" w:space="0" w:color="auto"/>
        <w:bottom w:val="none" w:sz="0" w:space="0" w:color="auto"/>
        <w:right w:val="none" w:sz="0" w:space="0" w:color="auto"/>
      </w:divBdr>
    </w:div>
    <w:div w:id="365643722">
      <w:bodyDiv w:val="1"/>
      <w:marLeft w:val="0"/>
      <w:marRight w:val="0"/>
      <w:marTop w:val="0"/>
      <w:marBottom w:val="0"/>
      <w:divBdr>
        <w:top w:val="none" w:sz="0" w:space="0" w:color="auto"/>
        <w:left w:val="none" w:sz="0" w:space="0" w:color="auto"/>
        <w:bottom w:val="none" w:sz="0" w:space="0" w:color="auto"/>
        <w:right w:val="none" w:sz="0" w:space="0" w:color="auto"/>
      </w:divBdr>
    </w:div>
    <w:div w:id="366300585">
      <w:bodyDiv w:val="1"/>
      <w:marLeft w:val="0"/>
      <w:marRight w:val="0"/>
      <w:marTop w:val="0"/>
      <w:marBottom w:val="0"/>
      <w:divBdr>
        <w:top w:val="none" w:sz="0" w:space="0" w:color="auto"/>
        <w:left w:val="none" w:sz="0" w:space="0" w:color="auto"/>
        <w:bottom w:val="none" w:sz="0" w:space="0" w:color="auto"/>
        <w:right w:val="none" w:sz="0" w:space="0" w:color="auto"/>
      </w:divBdr>
    </w:div>
    <w:div w:id="367217308">
      <w:bodyDiv w:val="1"/>
      <w:marLeft w:val="0"/>
      <w:marRight w:val="0"/>
      <w:marTop w:val="0"/>
      <w:marBottom w:val="0"/>
      <w:divBdr>
        <w:top w:val="none" w:sz="0" w:space="0" w:color="auto"/>
        <w:left w:val="none" w:sz="0" w:space="0" w:color="auto"/>
        <w:bottom w:val="none" w:sz="0" w:space="0" w:color="auto"/>
        <w:right w:val="none" w:sz="0" w:space="0" w:color="auto"/>
      </w:divBdr>
      <w:divsChild>
        <w:div w:id="22368797">
          <w:marLeft w:val="0"/>
          <w:marRight w:val="0"/>
          <w:marTop w:val="0"/>
          <w:marBottom w:val="0"/>
          <w:divBdr>
            <w:top w:val="none" w:sz="0" w:space="0" w:color="auto"/>
            <w:left w:val="none" w:sz="0" w:space="0" w:color="auto"/>
            <w:bottom w:val="none" w:sz="0" w:space="0" w:color="auto"/>
            <w:right w:val="none" w:sz="0" w:space="0" w:color="auto"/>
          </w:divBdr>
        </w:div>
        <w:div w:id="885213582">
          <w:marLeft w:val="0"/>
          <w:marRight w:val="0"/>
          <w:marTop w:val="0"/>
          <w:marBottom w:val="0"/>
          <w:divBdr>
            <w:top w:val="none" w:sz="0" w:space="0" w:color="auto"/>
            <w:left w:val="none" w:sz="0" w:space="0" w:color="auto"/>
            <w:bottom w:val="none" w:sz="0" w:space="0" w:color="auto"/>
            <w:right w:val="none" w:sz="0" w:space="0" w:color="auto"/>
          </w:divBdr>
        </w:div>
        <w:div w:id="1115756659">
          <w:marLeft w:val="0"/>
          <w:marRight w:val="0"/>
          <w:marTop w:val="0"/>
          <w:marBottom w:val="0"/>
          <w:divBdr>
            <w:top w:val="none" w:sz="0" w:space="0" w:color="auto"/>
            <w:left w:val="none" w:sz="0" w:space="0" w:color="auto"/>
            <w:bottom w:val="none" w:sz="0" w:space="0" w:color="auto"/>
            <w:right w:val="none" w:sz="0" w:space="0" w:color="auto"/>
          </w:divBdr>
        </w:div>
        <w:div w:id="1269116608">
          <w:marLeft w:val="0"/>
          <w:marRight w:val="0"/>
          <w:marTop w:val="0"/>
          <w:marBottom w:val="0"/>
          <w:divBdr>
            <w:top w:val="none" w:sz="0" w:space="0" w:color="auto"/>
            <w:left w:val="none" w:sz="0" w:space="0" w:color="auto"/>
            <w:bottom w:val="none" w:sz="0" w:space="0" w:color="auto"/>
            <w:right w:val="none" w:sz="0" w:space="0" w:color="auto"/>
          </w:divBdr>
        </w:div>
        <w:div w:id="2059275890">
          <w:marLeft w:val="0"/>
          <w:marRight w:val="0"/>
          <w:marTop w:val="0"/>
          <w:marBottom w:val="0"/>
          <w:divBdr>
            <w:top w:val="none" w:sz="0" w:space="0" w:color="auto"/>
            <w:left w:val="none" w:sz="0" w:space="0" w:color="auto"/>
            <w:bottom w:val="none" w:sz="0" w:space="0" w:color="auto"/>
            <w:right w:val="none" w:sz="0" w:space="0" w:color="auto"/>
          </w:divBdr>
        </w:div>
      </w:divsChild>
    </w:div>
    <w:div w:id="377170754">
      <w:bodyDiv w:val="1"/>
      <w:marLeft w:val="0"/>
      <w:marRight w:val="0"/>
      <w:marTop w:val="0"/>
      <w:marBottom w:val="0"/>
      <w:divBdr>
        <w:top w:val="none" w:sz="0" w:space="0" w:color="auto"/>
        <w:left w:val="none" w:sz="0" w:space="0" w:color="auto"/>
        <w:bottom w:val="none" w:sz="0" w:space="0" w:color="auto"/>
        <w:right w:val="none" w:sz="0" w:space="0" w:color="auto"/>
      </w:divBdr>
    </w:div>
    <w:div w:id="379018829">
      <w:bodyDiv w:val="1"/>
      <w:marLeft w:val="0"/>
      <w:marRight w:val="0"/>
      <w:marTop w:val="0"/>
      <w:marBottom w:val="0"/>
      <w:divBdr>
        <w:top w:val="none" w:sz="0" w:space="0" w:color="auto"/>
        <w:left w:val="none" w:sz="0" w:space="0" w:color="auto"/>
        <w:bottom w:val="none" w:sz="0" w:space="0" w:color="auto"/>
        <w:right w:val="none" w:sz="0" w:space="0" w:color="auto"/>
      </w:divBdr>
    </w:div>
    <w:div w:id="379281300">
      <w:bodyDiv w:val="1"/>
      <w:marLeft w:val="0"/>
      <w:marRight w:val="0"/>
      <w:marTop w:val="0"/>
      <w:marBottom w:val="0"/>
      <w:divBdr>
        <w:top w:val="none" w:sz="0" w:space="0" w:color="auto"/>
        <w:left w:val="none" w:sz="0" w:space="0" w:color="auto"/>
        <w:bottom w:val="none" w:sz="0" w:space="0" w:color="auto"/>
        <w:right w:val="none" w:sz="0" w:space="0" w:color="auto"/>
      </w:divBdr>
    </w:div>
    <w:div w:id="380716746">
      <w:bodyDiv w:val="1"/>
      <w:marLeft w:val="0"/>
      <w:marRight w:val="0"/>
      <w:marTop w:val="0"/>
      <w:marBottom w:val="0"/>
      <w:divBdr>
        <w:top w:val="none" w:sz="0" w:space="0" w:color="auto"/>
        <w:left w:val="none" w:sz="0" w:space="0" w:color="auto"/>
        <w:bottom w:val="none" w:sz="0" w:space="0" w:color="auto"/>
        <w:right w:val="none" w:sz="0" w:space="0" w:color="auto"/>
      </w:divBdr>
      <w:divsChild>
        <w:div w:id="1921408708">
          <w:marLeft w:val="0"/>
          <w:marRight w:val="0"/>
          <w:marTop w:val="0"/>
          <w:marBottom w:val="0"/>
          <w:divBdr>
            <w:top w:val="none" w:sz="0" w:space="0" w:color="auto"/>
            <w:left w:val="none" w:sz="0" w:space="0" w:color="auto"/>
            <w:bottom w:val="none" w:sz="0" w:space="0" w:color="auto"/>
            <w:right w:val="none" w:sz="0" w:space="0" w:color="auto"/>
          </w:divBdr>
          <w:divsChild>
            <w:div w:id="381711841">
              <w:marLeft w:val="0"/>
              <w:marRight w:val="0"/>
              <w:marTop w:val="0"/>
              <w:marBottom w:val="0"/>
              <w:divBdr>
                <w:top w:val="none" w:sz="0" w:space="0" w:color="auto"/>
                <w:left w:val="none" w:sz="0" w:space="0" w:color="auto"/>
                <w:bottom w:val="none" w:sz="0" w:space="0" w:color="auto"/>
                <w:right w:val="none" w:sz="0" w:space="0" w:color="auto"/>
              </w:divBdr>
              <w:divsChild>
                <w:div w:id="5896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4941">
      <w:bodyDiv w:val="1"/>
      <w:marLeft w:val="0"/>
      <w:marRight w:val="0"/>
      <w:marTop w:val="0"/>
      <w:marBottom w:val="0"/>
      <w:divBdr>
        <w:top w:val="none" w:sz="0" w:space="0" w:color="auto"/>
        <w:left w:val="none" w:sz="0" w:space="0" w:color="auto"/>
        <w:bottom w:val="none" w:sz="0" w:space="0" w:color="auto"/>
        <w:right w:val="none" w:sz="0" w:space="0" w:color="auto"/>
      </w:divBdr>
      <w:divsChild>
        <w:div w:id="470370553">
          <w:marLeft w:val="0"/>
          <w:marRight w:val="0"/>
          <w:marTop w:val="0"/>
          <w:marBottom w:val="0"/>
          <w:divBdr>
            <w:top w:val="none" w:sz="0" w:space="0" w:color="auto"/>
            <w:left w:val="none" w:sz="0" w:space="0" w:color="auto"/>
            <w:bottom w:val="none" w:sz="0" w:space="0" w:color="auto"/>
            <w:right w:val="none" w:sz="0" w:space="0" w:color="auto"/>
          </w:divBdr>
          <w:divsChild>
            <w:div w:id="259336409">
              <w:marLeft w:val="0"/>
              <w:marRight w:val="0"/>
              <w:marTop w:val="0"/>
              <w:marBottom w:val="0"/>
              <w:divBdr>
                <w:top w:val="none" w:sz="0" w:space="0" w:color="auto"/>
                <w:left w:val="none" w:sz="0" w:space="0" w:color="auto"/>
                <w:bottom w:val="none" w:sz="0" w:space="0" w:color="auto"/>
                <w:right w:val="none" w:sz="0" w:space="0" w:color="auto"/>
              </w:divBdr>
              <w:divsChild>
                <w:div w:id="359361250">
                  <w:marLeft w:val="0"/>
                  <w:marRight w:val="0"/>
                  <w:marTop w:val="0"/>
                  <w:marBottom w:val="0"/>
                  <w:divBdr>
                    <w:top w:val="none" w:sz="0" w:space="0" w:color="auto"/>
                    <w:left w:val="none" w:sz="0" w:space="0" w:color="auto"/>
                    <w:bottom w:val="none" w:sz="0" w:space="0" w:color="auto"/>
                    <w:right w:val="none" w:sz="0" w:space="0" w:color="auto"/>
                  </w:divBdr>
                  <w:divsChild>
                    <w:div w:id="9034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649787">
      <w:bodyDiv w:val="1"/>
      <w:marLeft w:val="0"/>
      <w:marRight w:val="0"/>
      <w:marTop w:val="0"/>
      <w:marBottom w:val="0"/>
      <w:divBdr>
        <w:top w:val="none" w:sz="0" w:space="0" w:color="auto"/>
        <w:left w:val="none" w:sz="0" w:space="0" w:color="auto"/>
        <w:bottom w:val="none" w:sz="0" w:space="0" w:color="auto"/>
        <w:right w:val="none" w:sz="0" w:space="0" w:color="auto"/>
      </w:divBdr>
    </w:div>
    <w:div w:id="409545659">
      <w:bodyDiv w:val="1"/>
      <w:marLeft w:val="0"/>
      <w:marRight w:val="0"/>
      <w:marTop w:val="0"/>
      <w:marBottom w:val="0"/>
      <w:divBdr>
        <w:top w:val="none" w:sz="0" w:space="0" w:color="auto"/>
        <w:left w:val="none" w:sz="0" w:space="0" w:color="auto"/>
        <w:bottom w:val="none" w:sz="0" w:space="0" w:color="auto"/>
        <w:right w:val="none" w:sz="0" w:space="0" w:color="auto"/>
      </w:divBdr>
    </w:div>
    <w:div w:id="411389028">
      <w:bodyDiv w:val="1"/>
      <w:marLeft w:val="0"/>
      <w:marRight w:val="0"/>
      <w:marTop w:val="0"/>
      <w:marBottom w:val="0"/>
      <w:divBdr>
        <w:top w:val="none" w:sz="0" w:space="0" w:color="auto"/>
        <w:left w:val="none" w:sz="0" w:space="0" w:color="auto"/>
        <w:bottom w:val="none" w:sz="0" w:space="0" w:color="auto"/>
        <w:right w:val="none" w:sz="0" w:space="0" w:color="auto"/>
      </w:divBdr>
    </w:div>
    <w:div w:id="417406813">
      <w:bodyDiv w:val="1"/>
      <w:marLeft w:val="0"/>
      <w:marRight w:val="0"/>
      <w:marTop w:val="0"/>
      <w:marBottom w:val="0"/>
      <w:divBdr>
        <w:top w:val="none" w:sz="0" w:space="0" w:color="auto"/>
        <w:left w:val="none" w:sz="0" w:space="0" w:color="auto"/>
        <w:bottom w:val="none" w:sz="0" w:space="0" w:color="auto"/>
        <w:right w:val="none" w:sz="0" w:space="0" w:color="auto"/>
      </w:divBdr>
    </w:div>
    <w:div w:id="419106159">
      <w:bodyDiv w:val="1"/>
      <w:marLeft w:val="0"/>
      <w:marRight w:val="0"/>
      <w:marTop w:val="0"/>
      <w:marBottom w:val="0"/>
      <w:divBdr>
        <w:top w:val="none" w:sz="0" w:space="0" w:color="auto"/>
        <w:left w:val="none" w:sz="0" w:space="0" w:color="auto"/>
        <w:bottom w:val="none" w:sz="0" w:space="0" w:color="auto"/>
        <w:right w:val="none" w:sz="0" w:space="0" w:color="auto"/>
      </w:divBdr>
      <w:divsChild>
        <w:div w:id="980306363">
          <w:marLeft w:val="547"/>
          <w:marRight w:val="0"/>
          <w:marTop w:val="0"/>
          <w:marBottom w:val="0"/>
          <w:divBdr>
            <w:top w:val="none" w:sz="0" w:space="0" w:color="auto"/>
            <w:left w:val="none" w:sz="0" w:space="0" w:color="auto"/>
            <w:bottom w:val="none" w:sz="0" w:space="0" w:color="auto"/>
            <w:right w:val="none" w:sz="0" w:space="0" w:color="auto"/>
          </w:divBdr>
        </w:div>
      </w:divsChild>
    </w:div>
    <w:div w:id="420566594">
      <w:bodyDiv w:val="1"/>
      <w:marLeft w:val="0"/>
      <w:marRight w:val="0"/>
      <w:marTop w:val="0"/>
      <w:marBottom w:val="0"/>
      <w:divBdr>
        <w:top w:val="none" w:sz="0" w:space="0" w:color="auto"/>
        <w:left w:val="none" w:sz="0" w:space="0" w:color="auto"/>
        <w:bottom w:val="none" w:sz="0" w:space="0" w:color="auto"/>
        <w:right w:val="none" w:sz="0" w:space="0" w:color="auto"/>
      </w:divBdr>
    </w:div>
    <w:div w:id="429007017">
      <w:bodyDiv w:val="1"/>
      <w:marLeft w:val="0"/>
      <w:marRight w:val="0"/>
      <w:marTop w:val="0"/>
      <w:marBottom w:val="0"/>
      <w:divBdr>
        <w:top w:val="none" w:sz="0" w:space="0" w:color="auto"/>
        <w:left w:val="none" w:sz="0" w:space="0" w:color="auto"/>
        <w:bottom w:val="none" w:sz="0" w:space="0" w:color="auto"/>
        <w:right w:val="none" w:sz="0" w:space="0" w:color="auto"/>
      </w:divBdr>
      <w:divsChild>
        <w:div w:id="26951512">
          <w:marLeft w:val="547"/>
          <w:marRight w:val="0"/>
          <w:marTop w:val="40"/>
          <w:marBottom w:val="0"/>
          <w:divBdr>
            <w:top w:val="none" w:sz="0" w:space="0" w:color="auto"/>
            <w:left w:val="none" w:sz="0" w:space="0" w:color="auto"/>
            <w:bottom w:val="none" w:sz="0" w:space="0" w:color="auto"/>
            <w:right w:val="none" w:sz="0" w:space="0" w:color="auto"/>
          </w:divBdr>
        </w:div>
        <w:div w:id="27683892">
          <w:marLeft w:val="547"/>
          <w:marRight w:val="0"/>
          <w:marTop w:val="40"/>
          <w:marBottom w:val="0"/>
          <w:divBdr>
            <w:top w:val="none" w:sz="0" w:space="0" w:color="auto"/>
            <w:left w:val="none" w:sz="0" w:space="0" w:color="auto"/>
            <w:bottom w:val="none" w:sz="0" w:space="0" w:color="auto"/>
            <w:right w:val="none" w:sz="0" w:space="0" w:color="auto"/>
          </w:divBdr>
        </w:div>
        <w:div w:id="199365743">
          <w:marLeft w:val="547"/>
          <w:marRight w:val="0"/>
          <w:marTop w:val="40"/>
          <w:marBottom w:val="0"/>
          <w:divBdr>
            <w:top w:val="none" w:sz="0" w:space="0" w:color="auto"/>
            <w:left w:val="none" w:sz="0" w:space="0" w:color="auto"/>
            <w:bottom w:val="none" w:sz="0" w:space="0" w:color="auto"/>
            <w:right w:val="none" w:sz="0" w:space="0" w:color="auto"/>
          </w:divBdr>
        </w:div>
        <w:div w:id="260842113">
          <w:marLeft w:val="547"/>
          <w:marRight w:val="0"/>
          <w:marTop w:val="40"/>
          <w:marBottom w:val="0"/>
          <w:divBdr>
            <w:top w:val="none" w:sz="0" w:space="0" w:color="auto"/>
            <w:left w:val="none" w:sz="0" w:space="0" w:color="auto"/>
            <w:bottom w:val="none" w:sz="0" w:space="0" w:color="auto"/>
            <w:right w:val="none" w:sz="0" w:space="0" w:color="auto"/>
          </w:divBdr>
        </w:div>
        <w:div w:id="407074645">
          <w:marLeft w:val="547"/>
          <w:marRight w:val="0"/>
          <w:marTop w:val="40"/>
          <w:marBottom w:val="0"/>
          <w:divBdr>
            <w:top w:val="none" w:sz="0" w:space="0" w:color="auto"/>
            <w:left w:val="none" w:sz="0" w:space="0" w:color="auto"/>
            <w:bottom w:val="none" w:sz="0" w:space="0" w:color="auto"/>
            <w:right w:val="none" w:sz="0" w:space="0" w:color="auto"/>
          </w:divBdr>
        </w:div>
        <w:div w:id="676925482">
          <w:marLeft w:val="547"/>
          <w:marRight w:val="0"/>
          <w:marTop w:val="40"/>
          <w:marBottom w:val="0"/>
          <w:divBdr>
            <w:top w:val="none" w:sz="0" w:space="0" w:color="auto"/>
            <w:left w:val="none" w:sz="0" w:space="0" w:color="auto"/>
            <w:bottom w:val="none" w:sz="0" w:space="0" w:color="auto"/>
            <w:right w:val="none" w:sz="0" w:space="0" w:color="auto"/>
          </w:divBdr>
        </w:div>
        <w:div w:id="688415169">
          <w:marLeft w:val="547"/>
          <w:marRight w:val="0"/>
          <w:marTop w:val="40"/>
          <w:marBottom w:val="0"/>
          <w:divBdr>
            <w:top w:val="none" w:sz="0" w:space="0" w:color="auto"/>
            <w:left w:val="none" w:sz="0" w:space="0" w:color="auto"/>
            <w:bottom w:val="none" w:sz="0" w:space="0" w:color="auto"/>
            <w:right w:val="none" w:sz="0" w:space="0" w:color="auto"/>
          </w:divBdr>
        </w:div>
        <w:div w:id="1110197078">
          <w:marLeft w:val="547"/>
          <w:marRight w:val="0"/>
          <w:marTop w:val="40"/>
          <w:marBottom w:val="0"/>
          <w:divBdr>
            <w:top w:val="none" w:sz="0" w:space="0" w:color="auto"/>
            <w:left w:val="none" w:sz="0" w:space="0" w:color="auto"/>
            <w:bottom w:val="none" w:sz="0" w:space="0" w:color="auto"/>
            <w:right w:val="none" w:sz="0" w:space="0" w:color="auto"/>
          </w:divBdr>
        </w:div>
        <w:div w:id="1168446946">
          <w:marLeft w:val="547"/>
          <w:marRight w:val="0"/>
          <w:marTop w:val="40"/>
          <w:marBottom w:val="0"/>
          <w:divBdr>
            <w:top w:val="none" w:sz="0" w:space="0" w:color="auto"/>
            <w:left w:val="none" w:sz="0" w:space="0" w:color="auto"/>
            <w:bottom w:val="none" w:sz="0" w:space="0" w:color="auto"/>
            <w:right w:val="none" w:sz="0" w:space="0" w:color="auto"/>
          </w:divBdr>
        </w:div>
        <w:div w:id="1503886215">
          <w:marLeft w:val="547"/>
          <w:marRight w:val="0"/>
          <w:marTop w:val="40"/>
          <w:marBottom w:val="0"/>
          <w:divBdr>
            <w:top w:val="none" w:sz="0" w:space="0" w:color="auto"/>
            <w:left w:val="none" w:sz="0" w:space="0" w:color="auto"/>
            <w:bottom w:val="none" w:sz="0" w:space="0" w:color="auto"/>
            <w:right w:val="none" w:sz="0" w:space="0" w:color="auto"/>
          </w:divBdr>
        </w:div>
        <w:div w:id="1898323245">
          <w:marLeft w:val="547"/>
          <w:marRight w:val="0"/>
          <w:marTop w:val="40"/>
          <w:marBottom w:val="0"/>
          <w:divBdr>
            <w:top w:val="none" w:sz="0" w:space="0" w:color="auto"/>
            <w:left w:val="none" w:sz="0" w:space="0" w:color="auto"/>
            <w:bottom w:val="none" w:sz="0" w:space="0" w:color="auto"/>
            <w:right w:val="none" w:sz="0" w:space="0" w:color="auto"/>
          </w:divBdr>
        </w:div>
      </w:divsChild>
    </w:div>
    <w:div w:id="439841882">
      <w:bodyDiv w:val="1"/>
      <w:marLeft w:val="0"/>
      <w:marRight w:val="0"/>
      <w:marTop w:val="0"/>
      <w:marBottom w:val="0"/>
      <w:divBdr>
        <w:top w:val="none" w:sz="0" w:space="0" w:color="auto"/>
        <w:left w:val="none" w:sz="0" w:space="0" w:color="auto"/>
        <w:bottom w:val="none" w:sz="0" w:space="0" w:color="auto"/>
        <w:right w:val="none" w:sz="0" w:space="0" w:color="auto"/>
      </w:divBdr>
    </w:div>
    <w:div w:id="446659979">
      <w:bodyDiv w:val="1"/>
      <w:marLeft w:val="0"/>
      <w:marRight w:val="0"/>
      <w:marTop w:val="0"/>
      <w:marBottom w:val="0"/>
      <w:divBdr>
        <w:top w:val="none" w:sz="0" w:space="0" w:color="auto"/>
        <w:left w:val="none" w:sz="0" w:space="0" w:color="auto"/>
        <w:bottom w:val="none" w:sz="0" w:space="0" w:color="auto"/>
        <w:right w:val="none" w:sz="0" w:space="0" w:color="auto"/>
      </w:divBdr>
    </w:div>
    <w:div w:id="446781331">
      <w:bodyDiv w:val="1"/>
      <w:marLeft w:val="0"/>
      <w:marRight w:val="0"/>
      <w:marTop w:val="0"/>
      <w:marBottom w:val="0"/>
      <w:divBdr>
        <w:top w:val="none" w:sz="0" w:space="0" w:color="auto"/>
        <w:left w:val="none" w:sz="0" w:space="0" w:color="auto"/>
        <w:bottom w:val="none" w:sz="0" w:space="0" w:color="auto"/>
        <w:right w:val="none" w:sz="0" w:space="0" w:color="auto"/>
      </w:divBdr>
      <w:divsChild>
        <w:div w:id="1331134169">
          <w:marLeft w:val="720"/>
          <w:marRight w:val="0"/>
          <w:marTop w:val="200"/>
          <w:marBottom w:val="0"/>
          <w:divBdr>
            <w:top w:val="none" w:sz="0" w:space="0" w:color="auto"/>
            <w:left w:val="none" w:sz="0" w:space="0" w:color="auto"/>
            <w:bottom w:val="none" w:sz="0" w:space="0" w:color="auto"/>
            <w:right w:val="none" w:sz="0" w:space="0" w:color="auto"/>
          </w:divBdr>
        </w:div>
        <w:div w:id="1423796252">
          <w:marLeft w:val="720"/>
          <w:marRight w:val="0"/>
          <w:marTop w:val="200"/>
          <w:marBottom w:val="0"/>
          <w:divBdr>
            <w:top w:val="none" w:sz="0" w:space="0" w:color="auto"/>
            <w:left w:val="none" w:sz="0" w:space="0" w:color="auto"/>
            <w:bottom w:val="none" w:sz="0" w:space="0" w:color="auto"/>
            <w:right w:val="none" w:sz="0" w:space="0" w:color="auto"/>
          </w:divBdr>
        </w:div>
      </w:divsChild>
    </w:div>
    <w:div w:id="451364623">
      <w:bodyDiv w:val="1"/>
      <w:marLeft w:val="0"/>
      <w:marRight w:val="0"/>
      <w:marTop w:val="0"/>
      <w:marBottom w:val="0"/>
      <w:divBdr>
        <w:top w:val="none" w:sz="0" w:space="0" w:color="auto"/>
        <w:left w:val="none" w:sz="0" w:space="0" w:color="auto"/>
        <w:bottom w:val="none" w:sz="0" w:space="0" w:color="auto"/>
        <w:right w:val="none" w:sz="0" w:space="0" w:color="auto"/>
      </w:divBdr>
    </w:div>
    <w:div w:id="455410935">
      <w:bodyDiv w:val="1"/>
      <w:marLeft w:val="0"/>
      <w:marRight w:val="0"/>
      <w:marTop w:val="0"/>
      <w:marBottom w:val="0"/>
      <w:divBdr>
        <w:top w:val="none" w:sz="0" w:space="0" w:color="auto"/>
        <w:left w:val="none" w:sz="0" w:space="0" w:color="auto"/>
        <w:bottom w:val="none" w:sz="0" w:space="0" w:color="auto"/>
        <w:right w:val="none" w:sz="0" w:space="0" w:color="auto"/>
      </w:divBdr>
    </w:div>
    <w:div w:id="456416717">
      <w:bodyDiv w:val="1"/>
      <w:marLeft w:val="0"/>
      <w:marRight w:val="0"/>
      <w:marTop w:val="0"/>
      <w:marBottom w:val="0"/>
      <w:divBdr>
        <w:top w:val="none" w:sz="0" w:space="0" w:color="auto"/>
        <w:left w:val="none" w:sz="0" w:space="0" w:color="auto"/>
        <w:bottom w:val="none" w:sz="0" w:space="0" w:color="auto"/>
        <w:right w:val="none" w:sz="0" w:space="0" w:color="auto"/>
      </w:divBdr>
      <w:divsChild>
        <w:div w:id="813987118">
          <w:marLeft w:val="0"/>
          <w:marRight w:val="0"/>
          <w:marTop w:val="0"/>
          <w:marBottom w:val="0"/>
          <w:divBdr>
            <w:top w:val="none" w:sz="0" w:space="0" w:color="auto"/>
            <w:left w:val="none" w:sz="0" w:space="0" w:color="auto"/>
            <w:bottom w:val="none" w:sz="0" w:space="0" w:color="auto"/>
            <w:right w:val="none" w:sz="0" w:space="0" w:color="auto"/>
          </w:divBdr>
          <w:divsChild>
            <w:div w:id="1120606865">
              <w:marLeft w:val="0"/>
              <w:marRight w:val="0"/>
              <w:marTop w:val="0"/>
              <w:marBottom w:val="0"/>
              <w:divBdr>
                <w:top w:val="none" w:sz="0" w:space="0" w:color="auto"/>
                <w:left w:val="none" w:sz="0" w:space="0" w:color="auto"/>
                <w:bottom w:val="none" w:sz="0" w:space="0" w:color="auto"/>
                <w:right w:val="none" w:sz="0" w:space="0" w:color="auto"/>
              </w:divBdr>
              <w:divsChild>
                <w:div w:id="354890213">
                  <w:marLeft w:val="0"/>
                  <w:marRight w:val="0"/>
                  <w:marTop w:val="0"/>
                  <w:marBottom w:val="0"/>
                  <w:divBdr>
                    <w:top w:val="none" w:sz="0" w:space="0" w:color="auto"/>
                    <w:left w:val="none" w:sz="0" w:space="0" w:color="auto"/>
                    <w:bottom w:val="none" w:sz="0" w:space="0" w:color="auto"/>
                    <w:right w:val="none" w:sz="0" w:space="0" w:color="auto"/>
                  </w:divBdr>
                  <w:divsChild>
                    <w:div w:id="18178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46357">
      <w:bodyDiv w:val="1"/>
      <w:marLeft w:val="0"/>
      <w:marRight w:val="0"/>
      <w:marTop w:val="0"/>
      <w:marBottom w:val="0"/>
      <w:divBdr>
        <w:top w:val="none" w:sz="0" w:space="0" w:color="auto"/>
        <w:left w:val="none" w:sz="0" w:space="0" w:color="auto"/>
        <w:bottom w:val="none" w:sz="0" w:space="0" w:color="auto"/>
        <w:right w:val="none" w:sz="0" w:space="0" w:color="auto"/>
      </w:divBdr>
    </w:div>
    <w:div w:id="461578465">
      <w:bodyDiv w:val="1"/>
      <w:marLeft w:val="0"/>
      <w:marRight w:val="0"/>
      <w:marTop w:val="0"/>
      <w:marBottom w:val="0"/>
      <w:divBdr>
        <w:top w:val="none" w:sz="0" w:space="0" w:color="auto"/>
        <w:left w:val="none" w:sz="0" w:space="0" w:color="auto"/>
        <w:bottom w:val="none" w:sz="0" w:space="0" w:color="auto"/>
        <w:right w:val="none" w:sz="0" w:space="0" w:color="auto"/>
      </w:divBdr>
      <w:divsChild>
        <w:div w:id="105975711">
          <w:marLeft w:val="1138"/>
          <w:marRight w:val="0"/>
          <w:marTop w:val="96"/>
          <w:marBottom w:val="0"/>
          <w:divBdr>
            <w:top w:val="none" w:sz="0" w:space="0" w:color="auto"/>
            <w:left w:val="none" w:sz="0" w:space="0" w:color="auto"/>
            <w:bottom w:val="none" w:sz="0" w:space="0" w:color="auto"/>
            <w:right w:val="none" w:sz="0" w:space="0" w:color="auto"/>
          </w:divBdr>
        </w:div>
        <w:div w:id="562178914">
          <w:marLeft w:val="1138"/>
          <w:marRight w:val="0"/>
          <w:marTop w:val="96"/>
          <w:marBottom w:val="0"/>
          <w:divBdr>
            <w:top w:val="none" w:sz="0" w:space="0" w:color="auto"/>
            <w:left w:val="none" w:sz="0" w:space="0" w:color="auto"/>
            <w:bottom w:val="none" w:sz="0" w:space="0" w:color="auto"/>
            <w:right w:val="none" w:sz="0" w:space="0" w:color="auto"/>
          </w:divBdr>
        </w:div>
        <w:div w:id="1337535899">
          <w:marLeft w:val="2261"/>
          <w:marRight w:val="0"/>
          <w:marTop w:val="96"/>
          <w:marBottom w:val="0"/>
          <w:divBdr>
            <w:top w:val="none" w:sz="0" w:space="0" w:color="auto"/>
            <w:left w:val="none" w:sz="0" w:space="0" w:color="auto"/>
            <w:bottom w:val="none" w:sz="0" w:space="0" w:color="auto"/>
            <w:right w:val="none" w:sz="0" w:space="0" w:color="auto"/>
          </w:divBdr>
        </w:div>
        <w:div w:id="1716277418">
          <w:marLeft w:val="2261"/>
          <w:marRight w:val="0"/>
          <w:marTop w:val="96"/>
          <w:marBottom w:val="0"/>
          <w:divBdr>
            <w:top w:val="none" w:sz="0" w:space="0" w:color="auto"/>
            <w:left w:val="none" w:sz="0" w:space="0" w:color="auto"/>
            <w:bottom w:val="none" w:sz="0" w:space="0" w:color="auto"/>
            <w:right w:val="none" w:sz="0" w:space="0" w:color="auto"/>
          </w:divBdr>
        </w:div>
        <w:div w:id="1759984535">
          <w:marLeft w:val="0"/>
          <w:marRight w:val="0"/>
          <w:marTop w:val="115"/>
          <w:marBottom w:val="0"/>
          <w:divBdr>
            <w:top w:val="none" w:sz="0" w:space="0" w:color="auto"/>
            <w:left w:val="none" w:sz="0" w:space="0" w:color="auto"/>
            <w:bottom w:val="none" w:sz="0" w:space="0" w:color="auto"/>
            <w:right w:val="none" w:sz="0" w:space="0" w:color="auto"/>
          </w:divBdr>
        </w:div>
      </w:divsChild>
    </w:div>
    <w:div w:id="461844298">
      <w:bodyDiv w:val="1"/>
      <w:marLeft w:val="0"/>
      <w:marRight w:val="0"/>
      <w:marTop w:val="0"/>
      <w:marBottom w:val="0"/>
      <w:divBdr>
        <w:top w:val="none" w:sz="0" w:space="0" w:color="auto"/>
        <w:left w:val="none" w:sz="0" w:space="0" w:color="auto"/>
        <w:bottom w:val="none" w:sz="0" w:space="0" w:color="auto"/>
        <w:right w:val="none" w:sz="0" w:space="0" w:color="auto"/>
      </w:divBdr>
      <w:divsChild>
        <w:div w:id="723330705">
          <w:marLeft w:val="547"/>
          <w:marRight w:val="0"/>
          <w:marTop w:val="134"/>
          <w:marBottom w:val="0"/>
          <w:divBdr>
            <w:top w:val="none" w:sz="0" w:space="0" w:color="auto"/>
            <w:left w:val="none" w:sz="0" w:space="0" w:color="auto"/>
            <w:bottom w:val="none" w:sz="0" w:space="0" w:color="auto"/>
            <w:right w:val="none" w:sz="0" w:space="0" w:color="auto"/>
          </w:divBdr>
        </w:div>
        <w:div w:id="1489204609">
          <w:marLeft w:val="547"/>
          <w:marRight w:val="0"/>
          <w:marTop w:val="144"/>
          <w:marBottom w:val="0"/>
          <w:divBdr>
            <w:top w:val="none" w:sz="0" w:space="0" w:color="auto"/>
            <w:left w:val="none" w:sz="0" w:space="0" w:color="auto"/>
            <w:bottom w:val="none" w:sz="0" w:space="0" w:color="auto"/>
            <w:right w:val="none" w:sz="0" w:space="0" w:color="auto"/>
          </w:divBdr>
        </w:div>
        <w:div w:id="2030327235">
          <w:marLeft w:val="547"/>
          <w:marRight w:val="0"/>
          <w:marTop w:val="134"/>
          <w:marBottom w:val="0"/>
          <w:divBdr>
            <w:top w:val="none" w:sz="0" w:space="0" w:color="auto"/>
            <w:left w:val="none" w:sz="0" w:space="0" w:color="auto"/>
            <w:bottom w:val="none" w:sz="0" w:space="0" w:color="auto"/>
            <w:right w:val="none" w:sz="0" w:space="0" w:color="auto"/>
          </w:divBdr>
        </w:div>
      </w:divsChild>
    </w:div>
    <w:div w:id="463275800">
      <w:bodyDiv w:val="1"/>
      <w:marLeft w:val="0"/>
      <w:marRight w:val="0"/>
      <w:marTop w:val="0"/>
      <w:marBottom w:val="0"/>
      <w:divBdr>
        <w:top w:val="none" w:sz="0" w:space="0" w:color="auto"/>
        <w:left w:val="none" w:sz="0" w:space="0" w:color="auto"/>
        <w:bottom w:val="none" w:sz="0" w:space="0" w:color="auto"/>
        <w:right w:val="none" w:sz="0" w:space="0" w:color="auto"/>
      </w:divBdr>
    </w:div>
    <w:div w:id="464398511">
      <w:bodyDiv w:val="1"/>
      <w:marLeft w:val="0"/>
      <w:marRight w:val="0"/>
      <w:marTop w:val="0"/>
      <w:marBottom w:val="0"/>
      <w:divBdr>
        <w:top w:val="none" w:sz="0" w:space="0" w:color="auto"/>
        <w:left w:val="none" w:sz="0" w:space="0" w:color="auto"/>
        <w:bottom w:val="none" w:sz="0" w:space="0" w:color="auto"/>
        <w:right w:val="none" w:sz="0" w:space="0" w:color="auto"/>
      </w:divBdr>
    </w:div>
    <w:div w:id="492993870">
      <w:bodyDiv w:val="1"/>
      <w:marLeft w:val="0"/>
      <w:marRight w:val="0"/>
      <w:marTop w:val="0"/>
      <w:marBottom w:val="0"/>
      <w:divBdr>
        <w:top w:val="none" w:sz="0" w:space="0" w:color="auto"/>
        <w:left w:val="none" w:sz="0" w:space="0" w:color="auto"/>
        <w:bottom w:val="none" w:sz="0" w:space="0" w:color="auto"/>
        <w:right w:val="none" w:sz="0" w:space="0" w:color="auto"/>
      </w:divBdr>
    </w:div>
    <w:div w:id="494878612">
      <w:bodyDiv w:val="1"/>
      <w:marLeft w:val="0"/>
      <w:marRight w:val="0"/>
      <w:marTop w:val="0"/>
      <w:marBottom w:val="0"/>
      <w:divBdr>
        <w:top w:val="none" w:sz="0" w:space="0" w:color="auto"/>
        <w:left w:val="none" w:sz="0" w:space="0" w:color="auto"/>
        <w:bottom w:val="none" w:sz="0" w:space="0" w:color="auto"/>
        <w:right w:val="none" w:sz="0" w:space="0" w:color="auto"/>
      </w:divBdr>
    </w:div>
    <w:div w:id="495263601">
      <w:bodyDiv w:val="1"/>
      <w:marLeft w:val="0"/>
      <w:marRight w:val="0"/>
      <w:marTop w:val="0"/>
      <w:marBottom w:val="0"/>
      <w:divBdr>
        <w:top w:val="none" w:sz="0" w:space="0" w:color="auto"/>
        <w:left w:val="none" w:sz="0" w:space="0" w:color="auto"/>
        <w:bottom w:val="none" w:sz="0" w:space="0" w:color="auto"/>
        <w:right w:val="none" w:sz="0" w:space="0" w:color="auto"/>
      </w:divBdr>
    </w:div>
    <w:div w:id="497042424">
      <w:bodyDiv w:val="1"/>
      <w:marLeft w:val="0"/>
      <w:marRight w:val="0"/>
      <w:marTop w:val="0"/>
      <w:marBottom w:val="0"/>
      <w:divBdr>
        <w:top w:val="none" w:sz="0" w:space="0" w:color="auto"/>
        <w:left w:val="none" w:sz="0" w:space="0" w:color="auto"/>
        <w:bottom w:val="none" w:sz="0" w:space="0" w:color="auto"/>
        <w:right w:val="none" w:sz="0" w:space="0" w:color="auto"/>
      </w:divBdr>
    </w:div>
    <w:div w:id="500509611">
      <w:bodyDiv w:val="1"/>
      <w:marLeft w:val="0"/>
      <w:marRight w:val="0"/>
      <w:marTop w:val="0"/>
      <w:marBottom w:val="0"/>
      <w:divBdr>
        <w:top w:val="none" w:sz="0" w:space="0" w:color="auto"/>
        <w:left w:val="none" w:sz="0" w:space="0" w:color="auto"/>
        <w:bottom w:val="none" w:sz="0" w:space="0" w:color="auto"/>
        <w:right w:val="none" w:sz="0" w:space="0" w:color="auto"/>
      </w:divBdr>
    </w:div>
    <w:div w:id="513811339">
      <w:bodyDiv w:val="1"/>
      <w:marLeft w:val="0"/>
      <w:marRight w:val="0"/>
      <w:marTop w:val="0"/>
      <w:marBottom w:val="0"/>
      <w:divBdr>
        <w:top w:val="none" w:sz="0" w:space="0" w:color="auto"/>
        <w:left w:val="none" w:sz="0" w:space="0" w:color="auto"/>
        <w:bottom w:val="none" w:sz="0" w:space="0" w:color="auto"/>
        <w:right w:val="none" w:sz="0" w:space="0" w:color="auto"/>
      </w:divBdr>
    </w:div>
    <w:div w:id="516768900">
      <w:bodyDiv w:val="1"/>
      <w:marLeft w:val="0"/>
      <w:marRight w:val="0"/>
      <w:marTop w:val="0"/>
      <w:marBottom w:val="0"/>
      <w:divBdr>
        <w:top w:val="none" w:sz="0" w:space="0" w:color="auto"/>
        <w:left w:val="none" w:sz="0" w:space="0" w:color="auto"/>
        <w:bottom w:val="none" w:sz="0" w:space="0" w:color="auto"/>
        <w:right w:val="none" w:sz="0" w:space="0" w:color="auto"/>
      </w:divBdr>
    </w:div>
    <w:div w:id="524101692">
      <w:bodyDiv w:val="1"/>
      <w:marLeft w:val="0"/>
      <w:marRight w:val="0"/>
      <w:marTop w:val="0"/>
      <w:marBottom w:val="0"/>
      <w:divBdr>
        <w:top w:val="none" w:sz="0" w:space="0" w:color="auto"/>
        <w:left w:val="none" w:sz="0" w:space="0" w:color="auto"/>
        <w:bottom w:val="none" w:sz="0" w:space="0" w:color="auto"/>
        <w:right w:val="none" w:sz="0" w:space="0" w:color="auto"/>
      </w:divBdr>
    </w:div>
    <w:div w:id="539438950">
      <w:bodyDiv w:val="1"/>
      <w:marLeft w:val="0"/>
      <w:marRight w:val="0"/>
      <w:marTop w:val="0"/>
      <w:marBottom w:val="0"/>
      <w:divBdr>
        <w:top w:val="none" w:sz="0" w:space="0" w:color="auto"/>
        <w:left w:val="none" w:sz="0" w:space="0" w:color="auto"/>
        <w:bottom w:val="none" w:sz="0" w:space="0" w:color="auto"/>
        <w:right w:val="none" w:sz="0" w:space="0" w:color="auto"/>
      </w:divBdr>
      <w:divsChild>
        <w:div w:id="270403792">
          <w:marLeft w:val="0"/>
          <w:marRight w:val="0"/>
          <w:marTop w:val="0"/>
          <w:marBottom w:val="0"/>
          <w:divBdr>
            <w:top w:val="none" w:sz="0" w:space="0" w:color="auto"/>
            <w:left w:val="none" w:sz="0" w:space="0" w:color="auto"/>
            <w:bottom w:val="none" w:sz="0" w:space="0" w:color="auto"/>
            <w:right w:val="none" w:sz="0" w:space="0" w:color="auto"/>
          </w:divBdr>
        </w:div>
      </w:divsChild>
    </w:div>
    <w:div w:id="544027819">
      <w:bodyDiv w:val="1"/>
      <w:marLeft w:val="0"/>
      <w:marRight w:val="0"/>
      <w:marTop w:val="0"/>
      <w:marBottom w:val="0"/>
      <w:divBdr>
        <w:top w:val="none" w:sz="0" w:space="0" w:color="auto"/>
        <w:left w:val="none" w:sz="0" w:space="0" w:color="auto"/>
        <w:bottom w:val="none" w:sz="0" w:space="0" w:color="auto"/>
        <w:right w:val="none" w:sz="0" w:space="0" w:color="auto"/>
      </w:divBdr>
    </w:div>
    <w:div w:id="546575387">
      <w:bodyDiv w:val="1"/>
      <w:marLeft w:val="0"/>
      <w:marRight w:val="0"/>
      <w:marTop w:val="0"/>
      <w:marBottom w:val="0"/>
      <w:divBdr>
        <w:top w:val="none" w:sz="0" w:space="0" w:color="auto"/>
        <w:left w:val="none" w:sz="0" w:space="0" w:color="auto"/>
        <w:bottom w:val="none" w:sz="0" w:space="0" w:color="auto"/>
        <w:right w:val="none" w:sz="0" w:space="0" w:color="auto"/>
      </w:divBdr>
    </w:div>
    <w:div w:id="549348102">
      <w:bodyDiv w:val="1"/>
      <w:marLeft w:val="0"/>
      <w:marRight w:val="0"/>
      <w:marTop w:val="0"/>
      <w:marBottom w:val="0"/>
      <w:divBdr>
        <w:top w:val="none" w:sz="0" w:space="0" w:color="auto"/>
        <w:left w:val="none" w:sz="0" w:space="0" w:color="auto"/>
        <w:bottom w:val="none" w:sz="0" w:space="0" w:color="auto"/>
        <w:right w:val="none" w:sz="0" w:space="0" w:color="auto"/>
      </w:divBdr>
    </w:div>
    <w:div w:id="567112560">
      <w:bodyDiv w:val="1"/>
      <w:marLeft w:val="0"/>
      <w:marRight w:val="0"/>
      <w:marTop w:val="0"/>
      <w:marBottom w:val="0"/>
      <w:divBdr>
        <w:top w:val="none" w:sz="0" w:space="0" w:color="auto"/>
        <w:left w:val="none" w:sz="0" w:space="0" w:color="auto"/>
        <w:bottom w:val="none" w:sz="0" w:space="0" w:color="auto"/>
        <w:right w:val="none" w:sz="0" w:space="0" w:color="auto"/>
      </w:divBdr>
    </w:div>
    <w:div w:id="576212106">
      <w:bodyDiv w:val="1"/>
      <w:marLeft w:val="0"/>
      <w:marRight w:val="0"/>
      <w:marTop w:val="0"/>
      <w:marBottom w:val="0"/>
      <w:divBdr>
        <w:top w:val="none" w:sz="0" w:space="0" w:color="auto"/>
        <w:left w:val="none" w:sz="0" w:space="0" w:color="auto"/>
        <w:bottom w:val="none" w:sz="0" w:space="0" w:color="auto"/>
        <w:right w:val="none" w:sz="0" w:space="0" w:color="auto"/>
      </w:divBdr>
      <w:divsChild>
        <w:div w:id="1897668935">
          <w:marLeft w:val="0"/>
          <w:marRight w:val="0"/>
          <w:marTop w:val="0"/>
          <w:marBottom w:val="0"/>
          <w:divBdr>
            <w:top w:val="none" w:sz="0" w:space="0" w:color="auto"/>
            <w:left w:val="none" w:sz="0" w:space="0" w:color="auto"/>
            <w:bottom w:val="none" w:sz="0" w:space="0" w:color="auto"/>
            <w:right w:val="none" w:sz="0" w:space="0" w:color="auto"/>
          </w:divBdr>
          <w:divsChild>
            <w:div w:id="229386476">
              <w:marLeft w:val="0"/>
              <w:marRight w:val="0"/>
              <w:marTop w:val="0"/>
              <w:marBottom w:val="0"/>
              <w:divBdr>
                <w:top w:val="none" w:sz="0" w:space="0" w:color="auto"/>
                <w:left w:val="none" w:sz="0" w:space="0" w:color="auto"/>
                <w:bottom w:val="none" w:sz="0" w:space="0" w:color="auto"/>
                <w:right w:val="none" w:sz="0" w:space="0" w:color="auto"/>
              </w:divBdr>
              <w:divsChild>
                <w:div w:id="917179183">
                  <w:marLeft w:val="0"/>
                  <w:marRight w:val="0"/>
                  <w:marTop w:val="0"/>
                  <w:marBottom w:val="0"/>
                  <w:divBdr>
                    <w:top w:val="none" w:sz="0" w:space="0" w:color="auto"/>
                    <w:left w:val="none" w:sz="0" w:space="0" w:color="auto"/>
                    <w:bottom w:val="none" w:sz="0" w:space="0" w:color="auto"/>
                    <w:right w:val="none" w:sz="0" w:space="0" w:color="auto"/>
                  </w:divBdr>
                  <w:divsChild>
                    <w:div w:id="7162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835672">
      <w:bodyDiv w:val="1"/>
      <w:marLeft w:val="0"/>
      <w:marRight w:val="0"/>
      <w:marTop w:val="0"/>
      <w:marBottom w:val="0"/>
      <w:divBdr>
        <w:top w:val="none" w:sz="0" w:space="0" w:color="auto"/>
        <w:left w:val="none" w:sz="0" w:space="0" w:color="auto"/>
        <w:bottom w:val="none" w:sz="0" w:space="0" w:color="auto"/>
        <w:right w:val="none" w:sz="0" w:space="0" w:color="auto"/>
      </w:divBdr>
    </w:div>
    <w:div w:id="583996460">
      <w:bodyDiv w:val="1"/>
      <w:marLeft w:val="0"/>
      <w:marRight w:val="0"/>
      <w:marTop w:val="0"/>
      <w:marBottom w:val="0"/>
      <w:divBdr>
        <w:top w:val="none" w:sz="0" w:space="0" w:color="auto"/>
        <w:left w:val="none" w:sz="0" w:space="0" w:color="auto"/>
        <w:bottom w:val="none" w:sz="0" w:space="0" w:color="auto"/>
        <w:right w:val="none" w:sz="0" w:space="0" w:color="auto"/>
      </w:divBdr>
      <w:divsChild>
        <w:div w:id="1038168619">
          <w:marLeft w:val="0"/>
          <w:marRight w:val="0"/>
          <w:marTop w:val="0"/>
          <w:marBottom w:val="0"/>
          <w:divBdr>
            <w:top w:val="none" w:sz="0" w:space="0" w:color="auto"/>
            <w:left w:val="none" w:sz="0" w:space="0" w:color="auto"/>
            <w:bottom w:val="none" w:sz="0" w:space="0" w:color="auto"/>
            <w:right w:val="none" w:sz="0" w:space="0" w:color="auto"/>
          </w:divBdr>
          <w:divsChild>
            <w:div w:id="690687659">
              <w:marLeft w:val="0"/>
              <w:marRight w:val="0"/>
              <w:marTop w:val="0"/>
              <w:marBottom w:val="0"/>
              <w:divBdr>
                <w:top w:val="none" w:sz="0" w:space="0" w:color="auto"/>
                <w:left w:val="none" w:sz="0" w:space="0" w:color="auto"/>
                <w:bottom w:val="none" w:sz="0" w:space="0" w:color="auto"/>
                <w:right w:val="none" w:sz="0" w:space="0" w:color="auto"/>
              </w:divBdr>
              <w:divsChild>
                <w:div w:id="6627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1760">
      <w:bodyDiv w:val="1"/>
      <w:marLeft w:val="0"/>
      <w:marRight w:val="0"/>
      <w:marTop w:val="0"/>
      <w:marBottom w:val="0"/>
      <w:divBdr>
        <w:top w:val="none" w:sz="0" w:space="0" w:color="auto"/>
        <w:left w:val="none" w:sz="0" w:space="0" w:color="auto"/>
        <w:bottom w:val="none" w:sz="0" w:space="0" w:color="auto"/>
        <w:right w:val="none" w:sz="0" w:space="0" w:color="auto"/>
      </w:divBdr>
    </w:div>
    <w:div w:id="586351193">
      <w:bodyDiv w:val="1"/>
      <w:marLeft w:val="0"/>
      <w:marRight w:val="0"/>
      <w:marTop w:val="0"/>
      <w:marBottom w:val="0"/>
      <w:divBdr>
        <w:top w:val="none" w:sz="0" w:space="0" w:color="auto"/>
        <w:left w:val="none" w:sz="0" w:space="0" w:color="auto"/>
        <w:bottom w:val="none" w:sz="0" w:space="0" w:color="auto"/>
        <w:right w:val="none" w:sz="0" w:space="0" w:color="auto"/>
      </w:divBdr>
    </w:div>
    <w:div w:id="590625509">
      <w:bodyDiv w:val="1"/>
      <w:marLeft w:val="0"/>
      <w:marRight w:val="0"/>
      <w:marTop w:val="0"/>
      <w:marBottom w:val="0"/>
      <w:divBdr>
        <w:top w:val="none" w:sz="0" w:space="0" w:color="auto"/>
        <w:left w:val="none" w:sz="0" w:space="0" w:color="auto"/>
        <w:bottom w:val="none" w:sz="0" w:space="0" w:color="auto"/>
        <w:right w:val="none" w:sz="0" w:space="0" w:color="auto"/>
      </w:divBdr>
    </w:div>
    <w:div w:id="593367003">
      <w:bodyDiv w:val="1"/>
      <w:marLeft w:val="0"/>
      <w:marRight w:val="0"/>
      <w:marTop w:val="0"/>
      <w:marBottom w:val="0"/>
      <w:divBdr>
        <w:top w:val="none" w:sz="0" w:space="0" w:color="auto"/>
        <w:left w:val="none" w:sz="0" w:space="0" w:color="auto"/>
        <w:bottom w:val="none" w:sz="0" w:space="0" w:color="auto"/>
        <w:right w:val="none" w:sz="0" w:space="0" w:color="auto"/>
      </w:divBdr>
    </w:div>
    <w:div w:id="594171475">
      <w:bodyDiv w:val="1"/>
      <w:marLeft w:val="0"/>
      <w:marRight w:val="0"/>
      <w:marTop w:val="0"/>
      <w:marBottom w:val="0"/>
      <w:divBdr>
        <w:top w:val="none" w:sz="0" w:space="0" w:color="auto"/>
        <w:left w:val="none" w:sz="0" w:space="0" w:color="auto"/>
        <w:bottom w:val="none" w:sz="0" w:space="0" w:color="auto"/>
        <w:right w:val="none" w:sz="0" w:space="0" w:color="auto"/>
      </w:divBdr>
    </w:div>
    <w:div w:id="595285200">
      <w:bodyDiv w:val="1"/>
      <w:marLeft w:val="0"/>
      <w:marRight w:val="0"/>
      <w:marTop w:val="0"/>
      <w:marBottom w:val="0"/>
      <w:divBdr>
        <w:top w:val="none" w:sz="0" w:space="0" w:color="auto"/>
        <w:left w:val="none" w:sz="0" w:space="0" w:color="auto"/>
        <w:bottom w:val="none" w:sz="0" w:space="0" w:color="auto"/>
        <w:right w:val="none" w:sz="0" w:space="0" w:color="auto"/>
      </w:divBdr>
      <w:divsChild>
        <w:div w:id="1264849745">
          <w:marLeft w:val="547"/>
          <w:marRight w:val="0"/>
          <w:marTop w:val="115"/>
          <w:marBottom w:val="0"/>
          <w:divBdr>
            <w:top w:val="none" w:sz="0" w:space="0" w:color="auto"/>
            <w:left w:val="none" w:sz="0" w:space="0" w:color="auto"/>
            <w:bottom w:val="none" w:sz="0" w:space="0" w:color="auto"/>
            <w:right w:val="none" w:sz="0" w:space="0" w:color="auto"/>
          </w:divBdr>
        </w:div>
        <w:div w:id="1652247699">
          <w:marLeft w:val="720"/>
          <w:marRight w:val="0"/>
          <w:marTop w:val="115"/>
          <w:marBottom w:val="0"/>
          <w:divBdr>
            <w:top w:val="none" w:sz="0" w:space="0" w:color="auto"/>
            <w:left w:val="none" w:sz="0" w:space="0" w:color="auto"/>
            <w:bottom w:val="none" w:sz="0" w:space="0" w:color="auto"/>
            <w:right w:val="none" w:sz="0" w:space="0" w:color="auto"/>
          </w:divBdr>
        </w:div>
        <w:div w:id="1838374009">
          <w:marLeft w:val="720"/>
          <w:marRight w:val="0"/>
          <w:marTop w:val="115"/>
          <w:marBottom w:val="0"/>
          <w:divBdr>
            <w:top w:val="none" w:sz="0" w:space="0" w:color="auto"/>
            <w:left w:val="none" w:sz="0" w:space="0" w:color="auto"/>
            <w:bottom w:val="none" w:sz="0" w:space="0" w:color="auto"/>
            <w:right w:val="none" w:sz="0" w:space="0" w:color="auto"/>
          </w:divBdr>
        </w:div>
      </w:divsChild>
    </w:div>
    <w:div w:id="596525659">
      <w:bodyDiv w:val="1"/>
      <w:marLeft w:val="0"/>
      <w:marRight w:val="0"/>
      <w:marTop w:val="0"/>
      <w:marBottom w:val="0"/>
      <w:divBdr>
        <w:top w:val="none" w:sz="0" w:space="0" w:color="auto"/>
        <w:left w:val="none" w:sz="0" w:space="0" w:color="auto"/>
        <w:bottom w:val="none" w:sz="0" w:space="0" w:color="auto"/>
        <w:right w:val="none" w:sz="0" w:space="0" w:color="auto"/>
      </w:divBdr>
    </w:div>
    <w:div w:id="597712289">
      <w:bodyDiv w:val="1"/>
      <w:marLeft w:val="0"/>
      <w:marRight w:val="0"/>
      <w:marTop w:val="0"/>
      <w:marBottom w:val="0"/>
      <w:divBdr>
        <w:top w:val="none" w:sz="0" w:space="0" w:color="auto"/>
        <w:left w:val="none" w:sz="0" w:space="0" w:color="auto"/>
        <w:bottom w:val="none" w:sz="0" w:space="0" w:color="auto"/>
        <w:right w:val="none" w:sz="0" w:space="0" w:color="auto"/>
      </w:divBdr>
    </w:div>
    <w:div w:id="602880895">
      <w:bodyDiv w:val="1"/>
      <w:marLeft w:val="0"/>
      <w:marRight w:val="0"/>
      <w:marTop w:val="0"/>
      <w:marBottom w:val="0"/>
      <w:divBdr>
        <w:top w:val="none" w:sz="0" w:space="0" w:color="auto"/>
        <w:left w:val="none" w:sz="0" w:space="0" w:color="auto"/>
        <w:bottom w:val="none" w:sz="0" w:space="0" w:color="auto"/>
        <w:right w:val="none" w:sz="0" w:space="0" w:color="auto"/>
      </w:divBdr>
    </w:div>
    <w:div w:id="608243901">
      <w:bodyDiv w:val="1"/>
      <w:marLeft w:val="0"/>
      <w:marRight w:val="0"/>
      <w:marTop w:val="0"/>
      <w:marBottom w:val="0"/>
      <w:divBdr>
        <w:top w:val="none" w:sz="0" w:space="0" w:color="auto"/>
        <w:left w:val="none" w:sz="0" w:space="0" w:color="auto"/>
        <w:bottom w:val="none" w:sz="0" w:space="0" w:color="auto"/>
        <w:right w:val="none" w:sz="0" w:space="0" w:color="auto"/>
      </w:divBdr>
    </w:div>
    <w:div w:id="615913229">
      <w:bodyDiv w:val="1"/>
      <w:marLeft w:val="0"/>
      <w:marRight w:val="0"/>
      <w:marTop w:val="0"/>
      <w:marBottom w:val="0"/>
      <w:divBdr>
        <w:top w:val="none" w:sz="0" w:space="0" w:color="auto"/>
        <w:left w:val="none" w:sz="0" w:space="0" w:color="auto"/>
        <w:bottom w:val="none" w:sz="0" w:space="0" w:color="auto"/>
        <w:right w:val="none" w:sz="0" w:space="0" w:color="auto"/>
      </w:divBdr>
    </w:div>
    <w:div w:id="616638625">
      <w:bodyDiv w:val="1"/>
      <w:marLeft w:val="0"/>
      <w:marRight w:val="0"/>
      <w:marTop w:val="0"/>
      <w:marBottom w:val="0"/>
      <w:divBdr>
        <w:top w:val="none" w:sz="0" w:space="0" w:color="auto"/>
        <w:left w:val="none" w:sz="0" w:space="0" w:color="auto"/>
        <w:bottom w:val="none" w:sz="0" w:space="0" w:color="auto"/>
        <w:right w:val="none" w:sz="0" w:space="0" w:color="auto"/>
      </w:divBdr>
    </w:div>
    <w:div w:id="620460138">
      <w:bodyDiv w:val="1"/>
      <w:marLeft w:val="0"/>
      <w:marRight w:val="0"/>
      <w:marTop w:val="0"/>
      <w:marBottom w:val="0"/>
      <w:divBdr>
        <w:top w:val="none" w:sz="0" w:space="0" w:color="auto"/>
        <w:left w:val="none" w:sz="0" w:space="0" w:color="auto"/>
        <w:bottom w:val="none" w:sz="0" w:space="0" w:color="auto"/>
        <w:right w:val="none" w:sz="0" w:space="0" w:color="auto"/>
      </w:divBdr>
      <w:divsChild>
        <w:div w:id="1755786816">
          <w:marLeft w:val="0"/>
          <w:marRight w:val="0"/>
          <w:marTop w:val="0"/>
          <w:marBottom w:val="0"/>
          <w:divBdr>
            <w:top w:val="none" w:sz="0" w:space="0" w:color="auto"/>
            <w:left w:val="none" w:sz="0" w:space="0" w:color="auto"/>
            <w:bottom w:val="none" w:sz="0" w:space="0" w:color="auto"/>
            <w:right w:val="none" w:sz="0" w:space="0" w:color="auto"/>
          </w:divBdr>
          <w:divsChild>
            <w:div w:id="10145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6859">
      <w:bodyDiv w:val="1"/>
      <w:marLeft w:val="0"/>
      <w:marRight w:val="0"/>
      <w:marTop w:val="0"/>
      <w:marBottom w:val="0"/>
      <w:divBdr>
        <w:top w:val="none" w:sz="0" w:space="0" w:color="auto"/>
        <w:left w:val="none" w:sz="0" w:space="0" w:color="auto"/>
        <w:bottom w:val="none" w:sz="0" w:space="0" w:color="auto"/>
        <w:right w:val="none" w:sz="0" w:space="0" w:color="auto"/>
      </w:divBdr>
    </w:div>
    <w:div w:id="631248749">
      <w:bodyDiv w:val="1"/>
      <w:marLeft w:val="0"/>
      <w:marRight w:val="0"/>
      <w:marTop w:val="0"/>
      <w:marBottom w:val="0"/>
      <w:divBdr>
        <w:top w:val="none" w:sz="0" w:space="0" w:color="auto"/>
        <w:left w:val="none" w:sz="0" w:space="0" w:color="auto"/>
        <w:bottom w:val="none" w:sz="0" w:space="0" w:color="auto"/>
        <w:right w:val="none" w:sz="0" w:space="0" w:color="auto"/>
      </w:divBdr>
      <w:divsChild>
        <w:div w:id="1389571456">
          <w:marLeft w:val="0"/>
          <w:marRight w:val="0"/>
          <w:marTop w:val="0"/>
          <w:marBottom w:val="0"/>
          <w:divBdr>
            <w:top w:val="none" w:sz="0" w:space="0" w:color="auto"/>
            <w:left w:val="none" w:sz="0" w:space="0" w:color="auto"/>
            <w:bottom w:val="none" w:sz="0" w:space="0" w:color="auto"/>
            <w:right w:val="none" w:sz="0" w:space="0" w:color="auto"/>
          </w:divBdr>
          <w:divsChild>
            <w:div w:id="44571181">
              <w:marLeft w:val="0"/>
              <w:marRight w:val="0"/>
              <w:marTop w:val="0"/>
              <w:marBottom w:val="0"/>
              <w:divBdr>
                <w:top w:val="none" w:sz="0" w:space="0" w:color="auto"/>
                <w:left w:val="none" w:sz="0" w:space="0" w:color="auto"/>
                <w:bottom w:val="none" w:sz="0" w:space="0" w:color="auto"/>
                <w:right w:val="none" w:sz="0" w:space="0" w:color="auto"/>
              </w:divBdr>
              <w:divsChild>
                <w:div w:id="1990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4873">
      <w:bodyDiv w:val="1"/>
      <w:marLeft w:val="0"/>
      <w:marRight w:val="0"/>
      <w:marTop w:val="0"/>
      <w:marBottom w:val="0"/>
      <w:divBdr>
        <w:top w:val="none" w:sz="0" w:space="0" w:color="auto"/>
        <w:left w:val="none" w:sz="0" w:space="0" w:color="auto"/>
        <w:bottom w:val="none" w:sz="0" w:space="0" w:color="auto"/>
        <w:right w:val="none" w:sz="0" w:space="0" w:color="auto"/>
      </w:divBdr>
    </w:div>
    <w:div w:id="635111471">
      <w:bodyDiv w:val="1"/>
      <w:marLeft w:val="0"/>
      <w:marRight w:val="0"/>
      <w:marTop w:val="0"/>
      <w:marBottom w:val="0"/>
      <w:divBdr>
        <w:top w:val="none" w:sz="0" w:space="0" w:color="auto"/>
        <w:left w:val="none" w:sz="0" w:space="0" w:color="auto"/>
        <w:bottom w:val="none" w:sz="0" w:space="0" w:color="auto"/>
        <w:right w:val="none" w:sz="0" w:space="0" w:color="auto"/>
      </w:divBdr>
    </w:div>
    <w:div w:id="641542341">
      <w:bodyDiv w:val="1"/>
      <w:marLeft w:val="0"/>
      <w:marRight w:val="0"/>
      <w:marTop w:val="0"/>
      <w:marBottom w:val="0"/>
      <w:divBdr>
        <w:top w:val="none" w:sz="0" w:space="0" w:color="auto"/>
        <w:left w:val="none" w:sz="0" w:space="0" w:color="auto"/>
        <w:bottom w:val="none" w:sz="0" w:space="0" w:color="auto"/>
        <w:right w:val="none" w:sz="0" w:space="0" w:color="auto"/>
      </w:divBdr>
    </w:div>
    <w:div w:id="641732928">
      <w:bodyDiv w:val="1"/>
      <w:marLeft w:val="0"/>
      <w:marRight w:val="0"/>
      <w:marTop w:val="0"/>
      <w:marBottom w:val="0"/>
      <w:divBdr>
        <w:top w:val="none" w:sz="0" w:space="0" w:color="auto"/>
        <w:left w:val="none" w:sz="0" w:space="0" w:color="auto"/>
        <w:bottom w:val="none" w:sz="0" w:space="0" w:color="auto"/>
        <w:right w:val="none" w:sz="0" w:space="0" w:color="auto"/>
      </w:divBdr>
    </w:div>
    <w:div w:id="649558649">
      <w:bodyDiv w:val="1"/>
      <w:marLeft w:val="0"/>
      <w:marRight w:val="0"/>
      <w:marTop w:val="0"/>
      <w:marBottom w:val="0"/>
      <w:divBdr>
        <w:top w:val="none" w:sz="0" w:space="0" w:color="auto"/>
        <w:left w:val="none" w:sz="0" w:space="0" w:color="auto"/>
        <w:bottom w:val="none" w:sz="0" w:space="0" w:color="auto"/>
        <w:right w:val="none" w:sz="0" w:space="0" w:color="auto"/>
      </w:divBdr>
    </w:div>
    <w:div w:id="652493271">
      <w:bodyDiv w:val="1"/>
      <w:marLeft w:val="0"/>
      <w:marRight w:val="0"/>
      <w:marTop w:val="0"/>
      <w:marBottom w:val="0"/>
      <w:divBdr>
        <w:top w:val="none" w:sz="0" w:space="0" w:color="auto"/>
        <w:left w:val="none" w:sz="0" w:space="0" w:color="auto"/>
        <w:bottom w:val="none" w:sz="0" w:space="0" w:color="auto"/>
        <w:right w:val="none" w:sz="0" w:space="0" w:color="auto"/>
      </w:divBdr>
    </w:div>
    <w:div w:id="663435045">
      <w:bodyDiv w:val="1"/>
      <w:marLeft w:val="0"/>
      <w:marRight w:val="0"/>
      <w:marTop w:val="0"/>
      <w:marBottom w:val="0"/>
      <w:divBdr>
        <w:top w:val="none" w:sz="0" w:space="0" w:color="auto"/>
        <w:left w:val="none" w:sz="0" w:space="0" w:color="auto"/>
        <w:bottom w:val="none" w:sz="0" w:space="0" w:color="auto"/>
        <w:right w:val="none" w:sz="0" w:space="0" w:color="auto"/>
      </w:divBdr>
    </w:div>
    <w:div w:id="667364720">
      <w:bodyDiv w:val="1"/>
      <w:marLeft w:val="0"/>
      <w:marRight w:val="0"/>
      <w:marTop w:val="0"/>
      <w:marBottom w:val="0"/>
      <w:divBdr>
        <w:top w:val="none" w:sz="0" w:space="0" w:color="auto"/>
        <w:left w:val="none" w:sz="0" w:space="0" w:color="auto"/>
        <w:bottom w:val="none" w:sz="0" w:space="0" w:color="auto"/>
        <w:right w:val="none" w:sz="0" w:space="0" w:color="auto"/>
      </w:divBdr>
    </w:div>
    <w:div w:id="667907174">
      <w:bodyDiv w:val="1"/>
      <w:marLeft w:val="0"/>
      <w:marRight w:val="0"/>
      <w:marTop w:val="0"/>
      <w:marBottom w:val="0"/>
      <w:divBdr>
        <w:top w:val="none" w:sz="0" w:space="0" w:color="auto"/>
        <w:left w:val="none" w:sz="0" w:space="0" w:color="auto"/>
        <w:bottom w:val="none" w:sz="0" w:space="0" w:color="auto"/>
        <w:right w:val="none" w:sz="0" w:space="0" w:color="auto"/>
      </w:divBdr>
    </w:div>
    <w:div w:id="668291702">
      <w:bodyDiv w:val="1"/>
      <w:marLeft w:val="0"/>
      <w:marRight w:val="0"/>
      <w:marTop w:val="0"/>
      <w:marBottom w:val="0"/>
      <w:divBdr>
        <w:top w:val="none" w:sz="0" w:space="0" w:color="auto"/>
        <w:left w:val="none" w:sz="0" w:space="0" w:color="auto"/>
        <w:bottom w:val="none" w:sz="0" w:space="0" w:color="auto"/>
        <w:right w:val="none" w:sz="0" w:space="0" w:color="auto"/>
      </w:divBdr>
    </w:div>
    <w:div w:id="687800585">
      <w:bodyDiv w:val="1"/>
      <w:marLeft w:val="0"/>
      <w:marRight w:val="0"/>
      <w:marTop w:val="0"/>
      <w:marBottom w:val="0"/>
      <w:divBdr>
        <w:top w:val="none" w:sz="0" w:space="0" w:color="auto"/>
        <w:left w:val="none" w:sz="0" w:space="0" w:color="auto"/>
        <w:bottom w:val="none" w:sz="0" w:space="0" w:color="auto"/>
        <w:right w:val="none" w:sz="0" w:space="0" w:color="auto"/>
      </w:divBdr>
      <w:divsChild>
        <w:div w:id="373039037">
          <w:marLeft w:val="0"/>
          <w:marRight w:val="0"/>
          <w:marTop w:val="0"/>
          <w:marBottom w:val="0"/>
          <w:divBdr>
            <w:top w:val="none" w:sz="0" w:space="0" w:color="auto"/>
            <w:left w:val="none" w:sz="0" w:space="0" w:color="auto"/>
            <w:bottom w:val="none" w:sz="0" w:space="0" w:color="auto"/>
            <w:right w:val="none" w:sz="0" w:space="0" w:color="auto"/>
          </w:divBdr>
          <w:divsChild>
            <w:div w:id="1627656301">
              <w:marLeft w:val="0"/>
              <w:marRight w:val="0"/>
              <w:marTop w:val="0"/>
              <w:marBottom w:val="0"/>
              <w:divBdr>
                <w:top w:val="none" w:sz="0" w:space="0" w:color="auto"/>
                <w:left w:val="none" w:sz="0" w:space="0" w:color="auto"/>
                <w:bottom w:val="none" w:sz="0" w:space="0" w:color="auto"/>
                <w:right w:val="none" w:sz="0" w:space="0" w:color="auto"/>
              </w:divBdr>
              <w:divsChild>
                <w:div w:id="896672763">
                  <w:marLeft w:val="0"/>
                  <w:marRight w:val="0"/>
                  <w:marTop w:val="0"/>
                  <w:marBottom w:val="0"/>
                  <w:divBdr>
                    <w:top w:val="none" w:sz="0" w:space="0" w:color="auto"/>
                    <w:left w:val="none" w:sz="0" w:space="0" w:color="auto"/>
                    <w:bottom w:val="none" w:sz="0" w:space="0" w:color="auto"/>
                    <w:right w:val="none" w:sz="0" w:space="0" w:color="auto"/>
                  </w:divBdr>
                </w:div>
              </w:divsChild>
            </w:div>
            <w:div w:id="1827940743">
              <w:marLeft w:val="0"/>
              <w:marRight w:val="0"/>
              <w:marTop w:val="0"/>
              <w:marBottom w:val="0"/>
              <w:divBdr>
                <w:top w:val="none" w:sz="0" w:space="0" w:color="auto"/>
                <w:left w:val="none" w:sz="0" w:space="0" w:color="auto"/>
                <w:bottom w:val="none" w:sz="0" w:space="0" w:color="auto"/>
                <w:right w:val="none" w:sz="0" w:space="0" w:color="auto"/>
              </w:divBdr>
              <w:divsChild>
                <w:div w:id="5635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9657">
      <w:bodyDiv w:val="1"/>
      <w:marLeft w:val="0"/>
      <w:marRight w:val="0"/>
      <w:marTop w:val="0"/>
      <w:marBottom w:val="0"/>
      <w:divBdr>
        <w:top w:val="none" w:sz="0" w:space="0" w:color="auto"/>
        <w:left w:val="none" w:sz="0" w:space="0" w:color="auto"/>
        <w:bottom w:val="none" w:sz="0" w:space="0" w:color="auto"/>
        <w:right w:val="none" w:sz="0" w:space="0" w:color="auto"/>
      </w:divBdr>
    </w:div>
    <w:div w:id="705103006">
      <w:bodyDiv w:val="1"/>
      <w:marLeft w:val="0"/>
      <w:marRight w:val="0"/>
      <w:marTop w:val="0"/>
      <w:marBottom w:val="0"/>
      <w:divBdr>
        <w:top w:val="none" w:sz="0" w:space="0" w:color="auto"/>
        <w:left w:val="none" w:sz="0" w:space="0" w:color="auto"/>
        <w:bottom w:val="none" w:sz="0" w:space="0" w:color="auto"/>
        <w:right w:val="none" w:sz="0" w:space="0" w:color="auto"/>
      </w:divBdr>
    </w:div>
    <w:div w:id="710349505">
      <w:bodyDiv w:val="1"/>
      <w:marLeft w:val="0"/>
      <w:marRight w:val="0"/>
      <w:marTop w:val="0"/>
      <w:marBottom w:val="0"/>
      <w:divBdr>
        <w:top w:val="none" w:sz="0" w:space="0" w:color="auto"/>
        <w:left w:val="none" w:sz="0" w:space="0" w:color="auto"/>
        <w:bottom w:val="none" w:sz="0" w:space="0" w:color="auto"/>
        <w:right w:val="none" w:sz="0" w:space="0" w:color="auto"/>
      </w:divBdr>
    </w:div>
    <w:div w:id="710769756">
      <w:bodyDiv w:val="1"/>
      <w:marLeft w:val="0"/>
      <w:marRight w:val="0"/>
      <w:marTop w:val="0"/>
      <w:marBottom w:val="0"/>
      <w:divBdr>
        <w:top w:val="none" w:sz="0" w:space="0" w:color="auto"/>
        <w:left w:val="none" w:sz="0" w:space="0" w:color="auto"/>
        <w:bottom w:val="none" w:sz="0" w:space="0" w:color="auto"/>
        <w:right w:val="none" w:sz="0" w:space="0" w:color="auto"/>
      </w:divBdr>
    </w:div>
    <w:div w:id="710805110">
      <w:bodyDiv w:val="1"/>
      <w:marLeft w:val="0"/>
      <w:marRight w:val="0"/>
      <w:marTop w:val="0"/>
      <w:marBottom w:val="0"/>
      <w:divBdr>
        <w:top w:val="none" w:sz="0" w:space="0" w:color="auto"/>
        <w:left w:val="none" w:sz="0" w:space="0" w:color="auto"/>
        <w:bottom w:val="none" w:sz="0" w:space="0" w:color="auto"/>
        <w:right w:val="none" w:sz="0" w:space="0" w:color="auto"/>
      </w:divBdr>
    </w:div>
    <w:div w:id="720204439">
      <w:bodyDiv w:val="1"/>
      <w:marLeft w:val="0"/>
      <w:marRight w:val="0"/>
      <w:marTop w:val="0"/>
      <w:marBottom w:val="0"/>
      <w:divBdr>
        <w:top w:val="none" w:sz="0" w:space="0" w:color="auto"/>
        <w:left w:val="none" w:sz="0" w:space="0" w:color="auto"/>
        <w:bottom w:val="none" w:sz="0" w:space="0" w:color="auto"/>
        <w:right w:val="none" w:sz="0" w:space="0" w:color="auto"/>
      </w:divBdr>
    </w:div>
    <w:div w:id="722019056">
      <w:bodyDiv w:val="1"/>
      <w:marLeft w:val="0"/>
      <w:marRight w:val="0"/>
      <w:marTop w:val="0"/>
      <w:marBottom w:val="0"/>
      <w:divBdr>
        <w:top w:val="none" w:sz="0" w:space="0" w:color="auto"/>
        <w:left w:val="none" w:sz="0" w:space="0" w:color="auto"/>
        <w:bottom w:val="none" w:sz="0" w:space="0" w:color="auto"/>
        <w:right w:val="none" w:sz="0" w:space="0" w:color="auto"/>
      </w:divBdr>
    </w:div>
    <w:div w:id="732243239">
      <w:bodyDiv w:val="1"/>
      <w:marLeft w:val="0"/>
      <w:marRight w:val="0"/>
      <w:marTop w:val="0"/>
      <w:marBottom w:val="0"/>
      <w:divBdr>
        <w:top w:val="none" w:sz="0" w:space="0" w:color="auto"/>
        <w:left w:val="none" w:sz="0" w:space="0" w:color="auto"/>
        <w:bottom w:val="none" w:sz="0" w:space="0" w:color="auto"/>
        <w:right w:val="none" w:sz="0" w:space="0" w:color="auto"/>
      </w:divBdr>
    </w:div>
    <w:div w:id="746194889">
      <w:bodyDiv w:val="1"/>
      <w:marLeft w:val="0"/>
      <w:marRight w:val="0"/>
      <w:marTop w:val="0"/>
      <w:marBottom w:val="0"/>
      <w:divBdr>
        <w:top w:val="none" w:sz="0" w:space="0" w:color="auto"/>
        <w:left w:val="none" w:sz="0" w:space="0" w:color="auto"/>
        <w:bottom w:val="none" w:sz="0" w:space="0" w:color="auto"/>
        <w:right w:val="none" w:sz="0" w:space="0" w:color="auto"/>
      </w:divBdr>
    </w:div>
    <w:div w:id="748235048">
      <w:bodyDiv w:val="1"/>
      <w:marLeft w:val="0"/>
      <w:marRight w:val="0"/>
      <w:marTop w:val="0"/>
      <w:marBottom w:val="0"/>
      <w:divBdr>
        <w:top w:val="none" w:sz="0" w:space="0" w:color="auto"/>
        <w:left w:val="none" w:sz="0" w:space="0" w:color="auto"/>
        <w:bottom w:val="none" w:sz="0" w:space="0" w:color="auto"/>
        <w:right w:val="none" w:sz="0" w:space="0" w:color="auto"/>
      </w:divBdr>
    </w:div>
    <w:div w:id="754479074">
      <w:bodyDiv w:val="1"/>
      <w:marLeft w:val="0"/>
      <w:marRight w:val="0"/>
      <w:marTop w:val="0"/>
      <w:marBottom w:val="0"/>
      <w:divBdr>
        <w:top w:val="none" w:sz="0" w:space="0" w:color="auto"/>
        <w:left w:val="none" w:sz="0" w:space="0" w:color="auto"/>
        <w:bottom w:val="none" w:sz="0" w:space="0" w:color="auto"/>
        <w:right w:val="none" w:sz="0" w:space="0" w:color="auto"/>
      </w:divBdr>
      <w:divsChild>
        <w:div w:id="1756434644">
          <w:marLeft w:val="0"/>
          <w:marRight w:val="0"/>
          <w:marTop w:val="0"/>
          <w:marBottom w:val="0"/>
          <w:divBdr>
            <w:top w:val="none" w:sz="0" w:space="0" w:color="auto"/>
            <w:left w:val="none" w:sz="0" w:space="0" w:color="auto"/>
            <w:bottom w:val="none" w:sz="0" w:space="0" w:color="auto"/>
            <w:right w:val="none" w:sz="0" w:space="0" w:color="auto"/>
          </w:divBdr>
          <w:divsChild>
            <w:div w:id="2080785692">
              <w:marLeft w:val="0"/>
              <w:marRight w:val="0"/>
              <w:marTop w:val="0"/>
              <w:marBottom w:val="0"/>
              <w:divBdr>
                <w:top w:val="none" w:sz="0" w:space="0" w:color="auto"/>
                <w:left w:val="none" w:sz="0" w:space="0" w:color="auto"/>
                <w:bottom w:val="none" w:sz="0" w:space="0" w:color="auto"/>
                <w:right w:val="none" w:sz="0" w:space="0" w:color="auto"/>
              </w:divBdr>
              <w:divsChild>
                <w:div w:id="3404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88152">
      <w:bodyDiv w:val="1"/>
      <w:marLeft w:val="0"/>
      <w:marRight w:val="0"/>
      <w:marTop w:val="0"/>
      <w:marBottom w:val="0"/>
      <w:divBdr>
        <w:top w:val="none" w:sz="0" w:space="0" w:color="auto"/>
        <w:left w:val="none" w:sz="0" w:space="0" w:color="auto"/>
        <w:bottom w:val="none" w:sz="0" w:space="0" w:color="auto"/>
        <w:right w:val="none" w:sz="0" w:space="0" w:color="auto"/>
      </w:divBdr>
      <w:divsChild>
        <w:div w:id="1529566725">
          <w:marLeft w:val="0"/>
          <w:marRight w:val="0"/>
          <w:marTop w:val="0"/>
          <w:marBottom w:val="0"/>
          <w:divBdr>
            <w:top w:val="none" w:sz="0" w:space="0" w:color="auto"/>
            <w:left w:val="none" w:sz="0" w:space="0" w:color="auto"/>
            <w:bottom w:val="none" w:sz="0" w:space="0" w:color="auto"/>
            <w:right w:val="none" w:sz="0" w:space="0" w:color="auto"/>
          </w:divBdr>
          <w:divsChild>
            <w:div w:id="8408072">
              <w:marLeft w:val="0"/>
              <w:marRight w:val="0"/>
              <w:marTop w:val="0"/>
              <w:marBottom w:val="0"/>
              <w:divBdr>
                <w:top w:val="none" w:sz="0" w:space="0" w:color="auto"/>
                <w:left w:val="none" w:sz="0" w:space="0" w:color="auto"/>
                <w:bottom w:val="none" w:sz="0" w:space="0" w:color="auto"/>
                <w:right w:val="none" w:sz="0" w:space="0" w:color="auto"/>
              </w:divBdr>
              <w:divsChild>
                <w:div w:id="12429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53739">
      <w:bodyDiv w:val="1"/>
      <w:marLeft w:val="0"/>
      <w:marRight w:val="0"/>
      <w:marTop w:val="0"/>
      <w:marBottom w:val="0"/>
      <w:divBdr>
        <w:top w:val="none" w:sz="0" w:space="0" w:color="auto"/>
        <w:left w:val="none" w:sz="0" w:space="0" w:color="auto"/>
        <w:bottom w:val="none" w:sz="0" w:space="0" w:color="auto"/>
        <w:right w:val="none" w:sz="0" w:space="0" w:color="auto"/>
      </w:divBdr>
    </w:div>
    <w:div w:id="769469192">
      <w:bodyDiv w:val="1"/>
      <w:marLeft w:val="0"/>
      <w:marRight w:val="0"/>
      <w:marTop w:val="0"/>
      <w:marBottom w:val="0"/>
      <w:divBdr>
        <w:top w:val="none" w:sz="0" w:space="0" w:color="auto"/>
        <w:left w:val="none" w:sz="0" w:space="0" w:color="auto"/>
        <w:bottom w:val="none" w:sz="0" w:space="0" w:color="auto"/>
        <w:right w:val="none" w:sz="0" w:space="0" w:color="auto"/>
      </w:divBdr>
    </w:div>
    <w:div w:id="777261488">
      <w:bodyDiv w:val="1"/>
      <w:marLeft w:val="0"/>
      <w:marRight w:val="0"/>
      <w:marTop w:val="0"/>
      <w:marBottom w:val="0"/>
      <w:divBdr>
        <w:top w:val="none" w:sz="0" w:space="0" w:color="auto"/>
        <w:left w:val="none" w:sz="0" w:space="0" w:color="auto"/>
        <w:bottom w:val="none" w:sz="0" w:space="0" w:color="auto"/>
        <w:right w:val="none" w:sz="0" w:space="0" w:color="auto"/>
      </w:divBdr>
      <w:divsChild>
        <w:div w:id="571428764">
          <w:marLeft w:val="720"/>
          <w:marRight w:val="0"/>
          <w:marTop w:val="0"/>
          <w:marBottom w:val="0"/>
          <w:divBdr>
            <w:top w:val="none" w:sz="0" w:space="0" w:color="auto"/>
            <w:left w:val="none" w:sz="0" w:space="0" w:color="auto"/>
            <w:bottom w:val="none" w:sz="0" w:space="0" w:color="auto"/>
            <w:right w:val="none" w:sz="0" w:space="0" w:color="auto"/>
          </w:divBdr>
        </w:div>
        <w:div w:id="2028748580">
          <w:marLeft w:val="720"/>
          <w:marRight w:val="0"/>
          <w:marTop w:val="0"/>
          <w:marBottom w:val="0"/>
          <w:divBdr>
            <w:top w:val="none" w:sz="0" w:space="0" w:color="auto"/>
            <w:left w:val="none" w:sz="0" w:space="0" w:color="auto"/>
            <w:bottom w:val="none" w:sz="0" w:space="0" w:color="auto"/>
            <w:right w:val="none" w:sz="0" w:space="0" w:color="auto"/>
          </w:divBdr>
        </w:div>
      </w:divsChild>
    </w:div>
    <w:div w:id="778139098">
      <w:bodyDiv w:val="1"/>
      <w:marLeft w:val="0"/>
      <w:marRight w:val="0"/>
      <w:marTop w:val="0"/>
      <w:marBottom w:val="0"/>
      <w:divBdr>
        <w:top w:val="none" w:sz="0" w:space="0" w:color="auto"/>
        <w:left w:val="none" w:sz="0" w:space="0" w:color="auto"/>
        <w:bottom w:val="none" w:sz="0" w:space="0" w:color="auto"/>
        <w:right w:val="none" w:sz="0" w:space="0" w:color="auto"/>
      </w:divBdr>
    </w:div>
    <w:div w:id="778640686">
      <w:bodyDiv w:val="1"/>
      <w:marLeft w:val="0"/>
      <w:marRight w:val="0"/>
      <w:marTop w:val="0"/>
      <w:marBottom w:val="0"/>
      <w:divBdr>
        <w:top w:val="none" w:sz="0" w:space="0" w:color="auto"/>
        <w:left w:val="none" w:sz="0" w:space="0" w:color="auto"/>
        <w:bottom w:val="none" w:sz="0" w:space="0" w:color="auto"/>
        <w:right w:val="none" w:sz="0" w:space="0" w:color="auto"/>
      </w:divBdr>
      <w:divsChild>
        <w:div w:id="855771220">
          <w:marLeft w:val="547"/>
          <w:marRight w:val="0"/>
          <w:marTop w:val="110"/>
          <w:marBottom w:val="0"/>
          <w:divBdr>
            <w:top w:val="none" w:sz="0" w:space="0" w:color="auto"/>
            <w:left w:val="none" w:sz="0" w:space="0" w:color="auto"/>
            <w:bottom w:val="none" w:sz="0" w:space="0" w:color="auto"/>
            <w:right w:val="none" w:sz="0" w:space="0" w:color="auto"/>
          </w:divBdr>
        </w:div>
        <w:div w:id="1148937397">
          <w:marLeft w:val="547"/>
          <w:marRight w:val="0"/>
          <w:marTop w:val="110"/>
          <w:marBottom w:val="0"/>
          <w:divBdr>
            <w:top w:val="none" w:sz="0" w:space="0" w:color="auto"/>
            <w:left w:val="none" w:sz="0" w:space="0" w:color="auto"/>
            <w:bottom w:val="none" w:sz="0" w:space="0" w:color="auto"/>
            <w:right w:val="none" w:sz="0" w:space="0" w:color="auto"/>
          </w:divBdr>
        </w:div>
        <w:div w:id="1240603186">
          <w:marLeft w:val="547"/>
          <w:marRight w:val="0"/>
          <w:marTop w:val="110"/>
          <w:marBottom w:val="0"/>
          <w:divBdr>
            <w:top w:val="none" w:sz="0" w:space="0" w:color="auto"/>
            <w:left w:val="none" w:sz="0" w:space="0" w:color="auto"/>
            <w:bottom w:val="none" w:sz="0" w:space="0" w:color="auto"/>
            <w:right w:val="none" w:sz="0" w:space="0" w:color="auto"/>
          </w:divBdr>
        </w:div>
        <w:div w:id="1581015131">
          <w:marLeft w:val="547"/>
          <w:marRight w:val="0"/>
          <w:marTop w:val="110"/>
          <w:marBottom w:val="0"/>
          <w:divBdr>
            <w:top w:val="none" w:sz="0" w:space="0" w:color="auto"/>
            <w:left w:val="none" w:sz="0" w:space="0" w:color="auto"/>
            <w:bottom w:val="none" w:sz="0" w:space="0" w:color="auto"/>
            <w:right w:val="none" w:sz="0" w:space="0" w:color="auto"/>
          </w:divBdr>
        </w:div>
        <w:div w:id="1855725824">
          <w:marLeft w:val="547"/>
          <w:marRight w:val="0"/>
          <w:marTop w:val="110"/>
          <w:marBottom w:val="0"/>
          <w:divBdr>
            <w:top w:val="none" w:sz="0" w:space="0" w:color="auto"/>
            <w:left w:val="none" w:sz="0" w:space="0" w:color="auto"/>
            <w:bottom w:val="none" w:sz="0" w:space="0" w:color="auto"/>
            <w:right w:val="none" w:sz="0" w:space="0" w:color="auto"/>
          </w:divBdr>
        </w:div>
      </w:divsChild>
    </w:div>
    <w:div w:id="779757676">
      <w:bodyDiv w:val="1"/>
      <w:marLeft w:val="0"/>
      <w:marRight w:val="0"/>
      <w:marTop w:val="0"/>
      <w:marBottom w:val="0"/>
      <w:divBdr>
        <w:top w:val="none" w:sz="0" w:space="0" w:color="auto"/>
        <w:left w:val="none" w:sz="0" w:space="0" w:color="auto"/>
        <w:bottom w:val="none" w:sz="0" w:space="0" w:color="auto"/>
        <w:right w:val="none" w:sz="0" w:space="0" w:color="auto"/>
      </w:divBdr>
    </w:div>
    <w:div w:id="783769285">
      <w:bodyDiv w:val="1"/>
      <w:marLeft w:val="0"/>
      <w:marRight w:val="0"/>
      <w:marTop w:val="0"/>
      <w:marBottom w:val="0"/>
      <w:divBdr>
        <w:top w:val="none" w:sz="0" w:space="0" w:color="auto"/>
        <w:left w:val="none" w:sz="0" w:space="0" w:color="auto"/>
        <w:bottom w:val="none" w:sz="0" w:space="0" w:color="auto"/>
        <w:right w:val="none" w:sz="0" w:space="0" w:color="auto"/>
      </w:divBdr>
    </w:div>
    <w:div w:id="784616947">
      <w:bodyDiv w:val="1"/>
      <w:marLeft w:val="0"/>
      <w:marRight w:val="0"/>
      <w:marTop w:val="0"/>
      <w:marBottom w:val="0"/>
      <w:divBdr>
        <w:top w:val="none" w:sz="0" w:space="0" w:color="auto"/>
        <w:left w:val="none" w:sz="0" w:space="0" w:color="auto"/>
        <w:bottom w:val="none" w:sz="0" w:space="0" w:color="auto"/>
        <w:right w:val="none" w:sz="0" w:space="0" w:color="auto"/>
      </w:divBdr>
    </w:div>
    <w:div w:id="791823916">
      <w:bodyDiv w:val="1"/>
      <w:marLeft w:val="0"/>
      <w:marRight w:val="0"/>
      <w:marTop w:val="0"/>
      <w:marBottom w:val="0"/>
      <w:divBdr>
        <w:top w:val="none" w:sz="0" w:space="0" w:color="auto"/>
        <w:left w:val="none" w:sz="0" w:space="0" w:color="auto"/>
        <w:bottom w:val="none" w:sz="0" w:space="0" w:color="auto"/>
        <w:right w:val="none" w:sz="0" w:space="0" w:color="auto"/>
      </w:divBdr>
    </w:div>
    <w:div w:id="794719539">
      <w:bodyDiv w:val="1"/>
      <w:marLeft w:val="0"/>
      <w:marRight w:val="0"/>
      <w:marTop w:val="0"/>
      <w:marBottom w:val="0"/>
      <w:divBdr>
        <w:top w:val="none" w:sz="0" w:space="0" w:color="auto"/>
        <w:left w:val="none" w:sz="0" w:space="0" w:color="auto"/>
        <w:bottom w:val="none" w:sz="0" w:space="0" w:color="auto"/>
        <w:right w:val="none" w:sz="0" w:space="0" w:color="auto"/>
      </w:divBdr>
    </w:div>
    <w:div w:id="797605177">
      <w:bodyDiv w:val="1"/>
      <w:marLeft w:val="0"/>
      <w:marRight w:val="0"/>
      <w:marTop w:val="0"/>
      <w:marBottom w:val="0"/>
      <w:divBdr>
        <w:top w:val="none" w:sz="0" w:space="0" w:color="auto"/>
        <w:left w:val="none" w:sz="0" w:space="0" w:color="auto"/>
        <w:bottom w:val="none" w:sz="0" w:space="0" w:color="auto"/>
        <w:right w:val="none" w:sz="0" w:space="0" w:color="auto"/>
      </w:divBdr>
    </w:div>
    <w:div w:id="807669086">
      <w:bodyDiv w:val="1"/>
      <w:marLeft w:val="0"/>
      <w:marRight w:val="0"/>
      <w:marTop w:val="0"/>
      <w:marBottom w:val="0"/>
      <w:divBdr>
        <w:top w:val="none" w:sz="0" w:space="0" w:color="auto"/>
        <w:left w:val="none" w:sz="0" w:space="0" w:color="auto"/>
        <w:bottom w:val="none" w:sz="0" w:space="0" w:color="auto"/>
        <w:right w:val="none" w:sz="0" w:space="0" w:color="auto"/>
      </w:divBdr>
    </w:div>
    <w:div w:id="815609977">
      <w:bodyDiv w:val="1"/>
      <w:marLeft w:val="0"/>
      <w:marRight w:val="0"/>
      <w:marTop w:val="0"/>
      <w:marBottom w:val="0"/>
      <w:divBdr>
        <w:top w:val="none" w:sz="0" w:space="0" w:color="auto"/>
        <w:left w:val="none" w:sz="0" w:space="0" w:color="auto"/>
        <w:bottom w:val="none" w:sz="0" w:space="0" w:color="auto"/>
        <w:right w:val="none" w:sz="0" w:space="0" w:color="auto"/>
      </w:divBdr>
    </w:div>
    <w:div w:id="817646030">
      <w:bodyDiv w:val="1"/>
      <w:marLeft w:val="0"/>
      <w:marRight w:val="0"/>
      <w:marTop w:val="0"/>
      <w:marBottom w:val="0"/>
      <w:divBdr>
        <w:top w:val="none" w:sz="0" w:space="0" w:color="auto"/>
        <w:left w:val="none" w:sz="0" w:space="0" w:color="auto"/>
        <w:bottom w:val="none" w:sz="0" w:space="0" w:color="auto"/>
        <w:right w:val="none" w:sz="0" w:space="0" w:color="auto"/>
      </w:divBdr>
    </w:div>
    <w:div w:id="823619734">
      <w:bodyDiv w:val="1"/>
      <w:marLeft w:val="0"/>
      <w:marRight w:val="0"/>
      <w:marTop w:val="0"/>
      <w:marBottom w:val="0"/>
      <w:divBdr>
        <w:top w:val="none" w:sz="0" w:space="0" w:color="auto"/>
        <w:left w:val="none" w:sz="0" w:space="0" w:color="auto"/>
        <w:bottom w:val="none" w:sz="0" w:space="0" w:color="auto"/>
        <w:right w:val="none" w:sz="0" w:space="0" w:color="auto"/>
      </w:divBdr>
    </w:div>
    <w:div w:id="825391128">
      <w:bodyDiv w:val="1"/>
      <w:marLeft w:val="0"/>
      <w:marRight w:val="0"/>
      <w:marTop w:val="0"/>
      <w:marBottom w:val="0"/>
      <w:divBdr>
        <w:top w:val="none" w:sz="0" w:space="0" w:color="auto"/>
        <w:left w:val="none" w:sz="0" w:space="0" w:color="auto"/>
        <w:bottom w:val="none" w:sz="0" w:space="0" w:color="auto"/>
        <w:right w:val="none" w:sz="0" w:space="0" w:color="auto"/>
      </w:divBdr>
    </w:div>
    <w:div w:id="832724857">
      <w:bodyDiv w:val="1"/>
      <w:marLeft w:val="0"/>
      <w:marRight w:val="0"/>
      <w:marTop w:val="0"/>
      <w:marBottom w:val="0"/>
      <w:divBdr>
        <w:top w:val="none" w:sz="0" w:space="0" w:color="auto"/>
        <w:left w:val="none" w:sz="0" w:space="0" w:color="auto"/>
        <w:bottom w:val="none" w:sz="0" w:space="0" w:color="auto"/>
        <w:right w:val="none" w:sz="0" w:space="0" w:color="auto"/>
      </w:divBdr>
    </w:div>
    <w:div w:id="836304959">
      <w:bodyDiv w:val="1"/>
      <w:marLeft w:val="0"/>
      <w:marRight w:val="0"/>
      <w:marTop w:val="0"/>
      <w:marBottom w:val="0"/>
      <w:divBdr>
        <w:top w:val="none" w:sz="0" w:space="0" w:color="auto"/>
        <w:left w:val="none" w:sz="0" w:space="0" w:color="auto"/>
        <w:bottom w:val="none" w:sz="0" w:space="0" w:color="auto"/>
        <w:right w:val="none" w:sz="0" w:space="0" w:color="auto"/>
      </w:divBdr>
    </w:div>
    <w:div w:id="838154788">
      <w:bodyDiv w:val="1"/>
      <w:marLeft w:val="0"/>
      <w:marRight w:val="0"/>
      <w:marTop w:val="0"/>
      <w:marBottom w:val="0"/>
      <w:divBdr>
        <w:top w:val="none" w:sz="0" w:space="0" w:color="auto"/>
        <w:left w:val="none" w:sz="0" w:space="0" w:color="auto"/>
        <w:bottom w:val="none" w:sz="0" w:space="0" w:color="auto"/>
        <w:right w:val="none" w:sz="0" w:space="0" w:color="auto"/>
      </w:divBdr>
      <w:divsChild>
        <w:div w:id="927428120">
          <w:marLeft w:val="0"/>
          <w:marRight w:val="0"/>
          <w:marTop w:val="0"/>
          <w:marBottom w:val="0"/>
          <w:divBdr>
            <w:top w:val="none" w:sz="0" w:space="0" w:color="auto"/>
            <w:left w:val="none" w:sz="0" w:space="0" w:color="auto"/>
            <w:bottom w:val="none" w:sz="0" w:space="0" w:color="auto"/>
            <w:right w:val="none" w:sz="0" w:space="0" w:color="auto"/>
          </w:divBdr>
          <w:divsChild>
            <w:div w:id="436340104">
              <w:marLeft w:val="0"/>
              <w:marRight w:val="0"/>
              <w:marTop w:val="0"/>
              <w:marBottom w:val="0"/>
              <w:divBdr>
                <w:top w:val="none" w:sz="0" w:space="0" w:color="auto"/>
                <w:left w:val="none" w:sz="0" w:space="0" w:color="auto"/>
                <w:bottom w:val="none" w:sz="0" w:space="0" w:color="auto"/>
                <w:right w:val="none" w:sz="0" w:space="0" w:color="auto"/>
              </w:divBdr>
              <w:divsChild>
                <w:div w:id="5458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1507">
      <w:bodyDiv w:val="1"/>
      <w:marLeft w:val="0"/>
      <w:marRight w:val="0"/>
      <w:marTop w:val="0"/>
      <w:marBottom w:val="0"/>
      <w:divBdr>
        <w:top w:val="none" w:sz="0" w:space="0" w:color="auto"/>
        <w:left w:val="none" w:sz="0" w:space="0" w:color="auto"/>
        <w:bottom w:val="none" w:sz="0" w:space="0" w:color="auto"/>
        <w:right w:val="none" w:sz="0" w:space="0" w:color="auto"/>
      </w:divBdr>
      <w:divsChild>
        <w:div w:id="585505526">
          <w:marLeft w:val="0"/>
          <w:marRight w:val="0"/>
          <w:marTop w:val="0"/>
          <w:marBottom w:val="0"/>
          <w:divBdr>
            <w:top w:val="none" w:sz="0" w:space="0" w:color="auto"/>
            <w:left w:val="none" w:sz="0" w:space="0" w:color="auto"/>
            <w:bottom w:val="none" w:sz="0" w:space="0" w:color="auto"/>
            <w:right w:val="none" w:sz="0" w:space="0" w:color="auto"/>
          </w:divBdr>
        </w:div>
      </w:divsChild>
    </w:div>
    <w:div w:id="843133374">
      <w:bodyDiv w:val="1"/>
      <w:marLeft w:val="0"/>
      <w:marRight w:val="0"/>
      <w:marTop w:val="0"/>
      <w:marBottom w:val="0"/>
      <w:divBdr>
        <w:top w:val="none" w:sz="0" w:space="0" w:color="auto"/>
        <w:left w:val="none" w:sz="0" w:space="0" w:color="auto"/>
        <w:bottom w:val="none" w:sz="0" w:space="0" w:color="auto"/>
        <w:right w:val="none" w:sz="0" w:space="0" w:color="auto"/>
      </w:divBdr>
    </w:div>
    <w:div w:id="845635596">
      <w:bodyDiv w:val="1"/>
      <w:marLeft w:val="0"/>
      <w:marRight w:val="0"/>
      <w:marTop w:val="0"/>
      <w:marBottom w:val="0"/>
      <w:divBdr>
        <w:top w:val="none" w:sz="0" w:space="0" w:color="auto"/>
        <w:left w:val="none" w:sz="0" w:space="0" w:color="auto"/>
        <w:bottom w:val="none" w:sz="0" w:space="0" w:color="auto"/>
        <w:right w:val="none" w:sz="0" w:space="0" w:color="auto"/>
      </w:divBdr>
      <w:divsChild>
        <w:div w:id="182788749">
          <w:marLeft w:val="806"/>
          <w:marRight w:val="0"/>
          <w:marTop w:val="0"/>
          <w:marBottom w:val="0"/>
          <w:divBdr>
            <w:top w:val="none" w:sz="0" w:space="0" w:color="auto"/>
            <w:left w:val="none" w:sz="0" w:space="0" w:color="auto"/>
            <w:bottom w:val="none" w:sz="0" w:space="0" w:color="auto"/>
            <w:right w:val="none" w:sz="0" w:space="0" w:color="auto"/>
          </w:divBdr>
        </w:div>
        <w:div w:id="652686337">
          <w:marLeft w:val="806"/>
          <w:marRight w:val="0"/>
          <w:marTop w:val="0"/>
          <w:marBottom w:val="0"/>
          <w:divBdr>
            <w:top w:val="none" w:sz="0" w:space="0" w:color="auto"/>
            <w:left w:val="none" w:sz="0" w:space="0" w:color="auto"/>
            <w:bottom w:val="none" w:sz="0" w:space="0" w:color="auto"/>
            <w:right w:val="none" w:sz="0" w:space="0" w:color="auto"/>
          </w:divBdr>
        </w:div>
        <w:div w:id="748621653">
          <w:marLeft w:val="806"/>
          <w:marRight w:val="0"/>
          <w:marTop w:val="0"/>
          <w:marBottom w:val="0"/>
          <w:divBdr>
            <w:top w:val="none" w:sz="0" w:space="0" w:color="auto"/>
            <w:left w:val="none" w:sz="0" w:space="0" w:color="auto"/>
            <w:bottom w:val="none" w:sz="0" w:space="0" w:color="auto"/>
            <w:right w:val="none" w:sz="0" w:space="0" w:color="auto"/>
          </w:divBdr>
        </w:div>
      </w:divsChild>
    </w:div>
    <w:div w:id="854147935">
      <w:bodyDiv w:val="1"/>
      <w:marLeft w:val="0"/>
      <w:marRight w:val="0"/>
      <w:marTop w:val="0"/>
      <w:marBottom w:val="0"/>
      <w:divBdr>
        <w:top w:val="none" w:sz="0" w:space="0" w:color="auto"/>
        <w:left w:val="none" w:sz="0" w:space="0" w:color="auto"/>
        <w:bottom w:val="none" w:sz="0" w:space="0" w:color="auto"/>
        <w:right w:val="none" w:sz="0" w:space="0" w:color="auto"/>
      </w:divBdr>
      <w:divsChild>
        <w:div w:id="154420830">
          <w:marLeft w:val="907"/>
          <w:marRight w:val="0"/>
          <w:marTop w:val="134"/>
          <w:marBottom w:val="0"/>
          <w:divBdr>
            <w:top w:val="none" w:sz="0" w:space="0" w:color="auto"/>
            <w:left w:val="none" w:sz="0" w:space="0" w:color="auto"/>
            <w:bottom w:val="none" w:sz="0" w:space="0" w:color="auto"/>
            <w:right w:val="none" w:sz="0" w:space="0" w:color="auto"/>
          </w:divBdr>
        </w:div>
        <w:div w:id="159467337">
          <w:marLeft w:val="907"/>
          <w:marRight w:val="0"/>
          <w:marTop w:val="134"/>
          <w:marBottom w:val="0"/>
          <w:divBdr>
            <w:top w:val="none" w:sz="0" w:space="0" w:color="auto"/>
            <w:left w:val="none" w:sz="0" w:space="0" w:color="auto"/>
            <w:bottom w:val="none" w:sz="0" w:space="0" w:color="auto"/>
            <w:right w:val="none" w:sz="0" w:space="0" w:color="auto"/>
          </w:divBdr>
        </w:div>
        <w:div w:id="281346835">
          <w:marLeft w:val="907"/>
          <w:marRight w:val="0"/>
          <w:marTop w:val="134"/>
          <w:marBottom w:val="0"/>
          <w:divBdr>
            <w:top w:val="none" w:sz="0" w:space="0" w:color="auto"/>
            <w:left w:val="none" w:sz="0" w:space="0" w:color="auto"/>
            <w:bottom w:val="none" w:sz="0" w:space="0" w:color="auto"/>
            <w:right w:val="none" w:sz="0" w:space="0" w:color="auto"/>
          </w:divBdr>
        </w:div>
        <w:div w:id="301279069">
          <w:marLeft w:val="907"/>
          <w:marRight w:val="0"/>
          <w:marTop w:val="134"/>
          <w:marBottom w:val="0"/>
          <w:divBdr>
            <w:top w:val="none" w:sz="0" w:space="0" w:color="auto"/>
            <w:left w:val="none" w:sz="0" w:space="0" w:color="auto"/>
            <w:bottom w:val="none" w:sz="0" w:space="0" w:color="auto"/>
            <w:right w:val="none" w:sz="0" w:space="0" w:color="auto"/>
          </w:divBdr>
        </w:div>
        <w:div w:id="1798795407">
          <w:marLeft w:val="907"/>
          <w:marRight w:val="0"/>
          <w:marTop w:val="134"/>
          <w:marBottom w:val="0"/>
          <w:divBdr>
            <w:top w:val="none" w:sz="0" w:space="0" w:color="auto"/>
            <w:left w:val="none" w:sz="0" w:space="0" w:color="auto"/>
            <w:bottom w:val="none" w:sz="0" w:space="0" w:color="auto"/>
            <w:right w:val="none" w:sz="0" w:space="0" w:color="auto"/>
          </w:divBdr>
        </w:div>
        <w:div w:id="1892568759">
          <w:marLeft w:val="907"/>
          <w:marRight w:val="0"/>
          <w:marTop w:val="134"/>
          <w:marBottom w:val="0"/>
          <w:divBdr>
            <w:top w:val="none" w:sz="0" w:space="0" w:color="auto"/>
            <w:left w:val="none" w:sz="0" w:space="0" w:color="auto"/>
            <w:bottom w:val="none" w:sz="0" w:space="0" w:color="auto"/>
            <w:right w:val="none" w:sz="0" w:space="0" w:color="auto"/>
          </w:divBdr>
        </w:div>
        <w:div w:id="1906799169">
          <w:marLeft w:val="907"/>
          <w:marRight w:val="0"/>
          <w:marTop w:val="134"/>
          <w:marBottom w:val="0"/>
          <w:divBdr>
            <w:top w:val="none" w:sz="0" w:space="0" w:color="auto"/>
            <w:left w:val="none" w:sz="0" w:space="0" w:color="auto"/>
            <w:bottom w:val="none" w:sz="0" w:space="0" w:color="auto"/>
            <w:right w:val="none" w:sz="0" w:space="0" w:color="auto"/>
          </w:divBdr>
        </w:div>
      </w:divsChild>
    </w:div>
    <w:div w:id="855659044">
      <w:bodyDiv w:val="1"/>
      <w:marLeft w:val="0"/>
      <w:marRight w:val="0"/>
      <w:marTop w:val="0"/>
      <w:marBottom w:val="0"/>
      <w:divBdr>
        <w:top w:val="none" w:sz="0" w:space="0" w:color="auto"/>
        <w:left w:val="none" w:sz="0" w:space="0" w:color="auto"/>
        <w:bottom w:val="none" w:sz="0" w:space="0" w:color="auto"/>
        <w:right w:val="none" w:sz="0" w:space="0" w:color="auto"/>
      </w:divBdr>
    </w:div>
    <w:div w:id="861478171">
      <w:bodyDiv w:val="1"/>
      <w:marLeft w:val="0"/>
      <w:marRight w:val="0"/>
      <w:marTop w:val="0"/>
      <w:marBottom w:val="0"/>
      <w:divBdr>
        <w:top w:val="none" w:sz="0" w:space="0" w:color="auto"/>
        <w:left w:val="none" w:sz="0" w:space="0" w:color="auto"/>
        <w:bottom w:val="none" w:sz="0" w:space="0" w:color="auto"/>
        <w:right w:val="none" w:sz="0" w:space="0" w:color="auto"/>
      </w:divBdr>
    </w:div>
    <w:div w:id="862547779">
      <w:bodyDiv w:val="1"/>
      <w:marLeft w:val="0"/>
      <w:marRight w:val="0"/>
      <w:marTop w:val="0"/>
      <w:marBottom w:val="0"/>
      <w:divBdr>
        <w:top w:val="none" w:sz="0" w:space="0" w:color="auto"/>
        <w:left w:val="none" w:sz="0" w:space="0" w:color="auto"/>
        <w:bottom w:val="none" w:sz="0" w:space="0" w:color="auto"/>
        <w:right w:val="none" w:sz="0" w:space="0" w:color="auto"/>
      </w:divBdr>
    </w:div>
    <w:div w:id="871654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3746">
          <w:marLeft w:val="0"/>
          <w:marRight w:val="0"/>
          <w:marTop w:val="0"/>
          <w:marBottom w:val="0"/>
          <w:divBdr>
            <w:top w:val="none" w:sz="0" w:space="0" w:color="auto"/>
            <w:left w:val="none" w:sz="0" w:space="0" w:color="auto"/>
            <w:bottom w:val="none" w:sz="0" w:space="0" w:color="auto"/>
            <w:right w:val="none" w:sz="0" w:space="0" w:color="auto"/>
          </w:divBdr>
          <w:divsChild>
            <w:div w:id="1108238502">
              <w:marLeft w:val="0"/>
              <w:marRight w:val="0"/>
              <w:marTop w:val="0"/>
              <w:marBottom w:val="0"/>
              <w:divBdr>
                <w:top w:val="none" w:sz="0" w:space="0" w:color="auto"/>
                <w:left w:val="none" w:sz="0" w:space="0" w:color="auto"/>
                <w:bottom w:val="none" w:sz="0" w:space="0" w:color="auto"/>
                <w:right w:val="none" w:sz="0" w:space="0" w:color="auto"/>
              </w:divBdr>
              <w:divsChild>
                <w:div w:id="1375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362">
      <w:bodyDiv w:val="1"/>
      <w:marLeft w:val="0"/>
      <w:marRight w:val="0"/>
      <w:marTop w:val="0"/>
      <w:marBottom w:val="0"/>
      <w:divBdr>
        <w:top w:val="none" w:sz="0" w:space="0" w:color="auto"/>
        <w:left w:val="none" w:sz="0" w:space="0" w:color="auto"/>
        <w:bottom w:val="none" w:sz="0" w:space="0" w:color="auto"/>
        <w:right w:val="none" w:sz="0" w:space="0" w:color="auto"/>
      </w:divBdr>
    </w:div>
    <w:div w:id="876164216">
      <w:bodyDiv w:val="1"/>
      <w:marLeft w:val="0"/>
      <w:marRight w:val="0"/>
      <w:marTop w:val="0"/>
      <w:marBottom w:val="0"/>
      <w:divBdr>
        <w:top w:val="none" w:sz="0" w:space="0" w:color="auto"/>
        <w:left w:val="none" w:sz="0" w:space="0" w:color="auto"/>
        <w:bottom w:val="none" w:sz="0" w:space="0" w:color="auto"/>
        <w:right w:val="none" w:sz="0" w:space="0" w:color="auto"/>
      </w:divBdr>
    </w:div>
    <w:div w:id="877351487">
      <w:bodyDiv w:val="1"/>
      <w:marLeft w:val="0"/>
      <w:marRight w:val="0"/>
      <w:marTop w:val="0"/>
      <w:marBottom w:val="0"/>
      <w:divBdr>
        <w:top w:val="none" w:sz="0" w:space="0" w:color="auto"/>
        <w:left w:val="none" w:sz="0" w:space="0" w:color="auto"/>
        <w:bottom w:val="none" w:sz="0" w:space="0" w:color="auto"/>
        <w:right w:val="none" w:sz="0" w:space="0" w:color="auto"/>
      </w:divBdr>
    </w:div>
    <w:div w:id="877354330">
      <w:bodyDiv w:val="1"/>
      <w:marLeft w:val="0"/>
      <w:marRight w:val="0"/>
      <w:marTop w:val="0"/>
      <w:marBottom w:val="0"/>
      <w:divBdr>
        <w:top w:val="none" w:sz="0" w:space="0" w:color="auto"/>
        <w:left w:val="none" w:sz="0" w:space="0" w:color="auto"/>
        <w:bottom w:val="none" w:sz="0" w:space="0" w:color="auto"/>
        <w:right w:val="none" w:sz="0" w:space="0" w:color="auto"/>
      </w:divBdr>
    </w:div>
    <w:div w:id="886179779">
      <w:bodyDiv w:val="1"/>
      <w:marLeft w:val="0"/>
      <w:marRight w:val="0"/>
      <w:marTop w:val="0"/>
      <w:marBottom w:val="0"/>
      <w:divBdr>
        <w:top w:val="none" w:sz="0" w:space="0" w:color="auto"/>
        <w:left w:val="none" w:sz="0" w:space="0" w:color="auto"/>
        <w:bottom w:val="none" w:sz="0" w:space="0" w:color="auto"/>
        <w:right w:val="none" w:sz="0" w:space="0" w:color="auto"/>
      </w:divBdr>
    </w:div>
    <w:div w:id="886799726">
      <w:bodyDiv w:val="1"/>
      <w:marLeft w:val="0"/>
      <w:marRight w:val="0"/>
      <w:marTop w:val="0"/>
      <w:marBottom w:val="0"/>
      <w:divBdr>
        <w:top w:val="none" w:sz="0" w:space="0" w:color="auto"/>
        <w:left w:val="none" w:sz="0" w:space="0" w:color="auto"/>
        <w:bottom w:val="none" w:sz="0" w:space="0" w:color="auto"/>
        <w:right w:val="none" w:sz="0" w:space="0" w:color="auto"/>
      </w:divBdr>
    </w:div>
    <w:div w:id="888154480">
      <w:bodyDiv w:val="1"/>
      <w:marLeft w:val="0"/>
      <w:marRight w:val="0"/>
      <w:marTop w:val="0"/>
      <w:marBottom w:val="0"/>
      <w:divBdr>
        <w:top w:val="none" w:sz="0" w:space="0" w:color="auto"/>
        <w:left w:val="none" w:sz="0" w:space="0" w:color="auto"/>
        <w:bottom w:val="none" w:sz="0" w:space="0" w:color="auto"/>
        <w:right w:val="none" w:sz="0" w:space="0" w:color="auto"/>
      </w:divBdr>
    </w:div>
    <w:div w:id="889265522">
      <w:bodyDiv w:val="1"/>
      <w:marLeft w:val="0"/>
      <w:marRight w:val="0"/>
      <w:marTop w:val="0"/>
      <w:marBottom w:val="0"/>
      <w:divBdr>
        <w:top w:val="none" w:sz="0" w:space="0" w:color="auto"/>
        <w:left w:val="none" w:sz="0" w:space="0" w:color="auto"/>
        <w:bottom w:val="none" w:sz="0" w:space="0" w:color="auto"/>
        <w:right w:val="none" w:sz="0" w:space="0" w:color="auto"/>
      </w:divBdr>
    </w:div>
    <w:div w:id="891893439">
      <w:bodyDiv w:val="1"/>
      <w:marLeft w:val="0"/>
      <w:marRight w:val="0"/>
      <w:marTop w:val="0"/>
      <w:marBottom w:val="0"/>
      <w:divBdr>
        <w:top w:val="none" w:sz="0" w:space="0" w:color="auto"/>
        <w:left w:val="none" w:sz="0" w:space="0" w:color="auto"/>
        <w:bottom w:val="none" w:sz="0" w:space="0" w:color="auto"/>
        <w:right w:val="none" w:sz="0" w:space="0" w:color="auto"/>
      </w:divBdr>
      <w:divsChild>
        <w:div w:id="1102840079">
          <w:marLeft w:val="547"/>
          <w:marRight w:val="0"/>
          <w:marTop w:val="0"/>
          <w:marBottom w:val="0"/>
          <w:divBdr>
            <w:top w:val="none" w:sz="0" w:space="0" w:color="auto"/>
            <w:left w:val="none" w:sz="0" w:space="0" w:color="auto"/>
            <w:bottom w:val="none" w:sz="0" w:space="0" w:color="auto"/>
            <w:right w:val="none" w:sz="0" w:space="0" w:color="auto"/>
          </w:divBdr>
        </w:div>
      </w:divsChild>
    </w:div>
    <w:div w:id="892548039">
      <w:bodyDiv w:val="1"/>
      <w:marLeft w:val="0"/>
      <w:marRight w:val="0"/>
      <w:marTop w:val="0"/>
      <w:marBottom w:val="0"/>
      <w:divBdr>
        <w:top w:val="none" w:sz="0" w:space="0" w:color="auto"/>
        <w:left w:val="none" w:sz="0" w:space="0" w:color="auto"/>
        <w:bottom w:val="none" w:sz="0" w:space="0" w:color="auto"/>
        <w:right w:val="none" w:sz="0" w:space="0" w:color="auto"/>
      </w:divBdr>
    </w:div>
    <w:div w:id="893850398">
      <w:bodyDiv w:val="1"/>
      <w:marLeft w:val="0"/>
      <w:marRight w:val="0"/>
      <w:marTop w:val="0"/>
      <w:marBottom w:val="0"/>
      <w:divBdr>
        <w:top w:val="none" w:sz="0" w:space="0" w:color="auto"/>
        <w:left w:val="none" w:sz="0" w:space="0" w:color="auto"/>
        <w:bottom w:val="none" w:sz="0" w:space="0" w:color="auto"/>
        <w:right w:val="none" w:sz="0" w:space="0" w:color="auto"/>
      </w:divBdr>
    </w:div>
    <w:div w:id="895553495">
      <w:bodyDiv w:val="1"/>
      <w:marLeft w:val="0"/>
      <w:marRight w:val="0"/>
      <w:marTop w:val="0"/>
      <w:marBottom w:val="0"/>
      <w:divBdr>
        <w:top w:val="none" w:sz="0" w:space="0" w:color="auto"/>
        <w:left w:val="none" w:sz="0" w:space="0" w:color="auto"/>
        <w:bottom w:val="none" w:sz="0" w:space="0" w:color="auto"/>
        <w:right w:val="none" w:sz="0" w:space="0" w:color="auto"/>
      </w:divBdr>
    </w:div>
    <w:div w:id="899243474">
      <w:bodyDiv w:val="1"/>
      <w:marLeft w:val="0"/>
      <w:marRight w:val="0"/>
      <w:marTop w:val="0"/>
      <w:marBottom w:val="0"/>
      <w:divBdr>
        <w:top w:val="none" w:sz="0" w:space="0" w:color="auto"/>
        <w:left w:val="none" w:sz="0" w:space="0" w:color="auto"/>
        <w:bottom w:val="none" w:sz="0" w:space="0" w:color="auto"/>
        <w:right w:val="none" w:sz="0" w:space="0" w:color="auto"/>
      </w:divBdr>
    </w:div>
    <w:div w:id="901452217">
      <w:bodyDiv w:val="1"/>
      <w:marLeft w:val="0"/>
      <w:marRight w:val="0"/>
      <w:marTop w:val="0"/>
      <w:marBottom w:val="0"/>
      <w:divBdr>
        <w:top w:val="none" w:sz="0" w:space="0" w:color="auto"/>
        <w:left w:val="none" w:sz="0" w:space="0" w:color="auto"/>
        <w:bottom w:val="none" w:sz="0" w:space="0" w:color="auto"/>
        <w:right w:val="none" w:sz="0" w:space="0" w:color="auto"/>
      </w:divBdr>
    </w:div>
    <w:div w:id="903955238">
      <w:bodyDiv w:val="1"/>
      <w:marLeft w:val="0"/>
      <w:marRight w:val="0"/>
      <w:marTop w:val="0"/>
      <w:marBottom w:val="0"/>
      <w:divBdr>
        <w:top w:val="none" w:sz="0" w:space="0" w:color="auto"/>
        <w:left w:val="none" w:sz="0" w:space="0" w:color="auto"/>
        <w:bottom w:val="none" w:sz="0" w:space="0" w:color="auto"/>
        <w:right w:val="none" w:sz="0" w:space="0" w:color="auto"/>
      </w:divBdr>
    </w:div>
    <w:div w:id="911546958">
      <w:bodyDiv w:val="1"/>
      <w:marLeft w:val="0"/>
      <w:marRight w:val="0"/>
      <w:marTop w:val="0"/>
      <w:marBottom w:val="0"/>
      <w:divBdr>
        <w:top w:val="none" w:sz="0" w:space="0" w:color="auto"/>
        <w:left w:val="none" w:sz="0" w:space="0" w:color="auto"/>
        <w:bottom w:val="none" w:sz="0" w:space="0" w:color="auto"/>
        <w:right w:val="none" w:sz="0" w:space="0" w:color="auto"/>
      </w:divBdr>
    </w:div>
    <w:div w:id="913469392">
      <w:bodyDiv w:val="1"/>
      <w:marLeft w:val="0"/>
      <w:marRight w:val="0"/>
      <w:marTop w:val="0"/>
      <w:marBottom w:val="0"/>
      <w:divBdr>
        <w:top w:val="none" w:sz="0" w:space="0" w:color="auto"/>
        <w:left w:val="none" w:sz="0" w:space="0" w:color="auto"/>
        <w:bottom w:val="none" w:sz="0" w:space="0" w:color="auto"/>
        <w:right w:val="none" w:sz="0" w:space="0" w:color="auto"/>
      </w:divBdr>
    </w:div>
    <w:div w:id="915674051">
      <w:bodyDiv w:val="1"/>
      <w:marLeft w:val="0"/>
      <w:marRight w:val="0"/>
      <w:marTop w:val="0"/>
      <w:marBottom w:val="0"/>
      <w:divBdr>
        <w:top w:val="none" w:sz="0" w:space="0" w:color="auto"/>
        <w:left w:val="none" w:sz="0" w:space="0" w:color="auto"/>
        <w:bottom w:val="none" w:sz="0" w:space="0" w:color="auto"/>
        <w:right w:val="none" w:sz="0" w:space="0" w:color="auto"/>
      </w:divBdr>
    </w:div>
    <w:div w:id="928470231">
      <w:bodyDiv w:val="1"/>
      <w:marLeft w:val="0"/>
      <w:marRight w:val="0"/>
      <w:marTop w:val="0"/>
      <w:marBottom w:val="0"/>
      <w:divBdr>
        <w:top w:val="none" w:sz="0" w:space="0" w:color="auto"/>
        <w:left w:val="none" w:sz="0" w:space="0" w:color="auto"/>
        <w:bottom w:val="none" w:sz="0" w:space="0" w:color="auto"/>
        <w:right w:val="none" w:sz="0" w:space="0" w:color="auto"/>
      </w:divBdr>
    </w:div>
    <w:div w:id="942148307">
      <w:bodyDiv w:val="1"/>
      <w:marLeft w:val="0"/>
      <w:marRight w:val="0"/>
      <w:marTop w:val="0"/>
      <w:marBottom w:val="0"/>
      <w:divBdr>
        <w:top w:val="none" w:sz="0" w:space="0" w:color="auto"/>
        <w:left w:val="none" w:sz="0" w:space="0" w:color="auto"/>
        <w:bottom w:val="none" w:sz="0" w:space="0" w:color="auto"/>
        <w:right w:val="none" w:sz="0" w:space="0" w:color="auto"/>
      </w:divBdr>
      <w:divsChild>
        <w:div w:id="540477509">
          <w:marLeft w:val="446"/>
          <w:marRight w:val="0"/>
          <w:marTop w:val="0"/>
          <w:marBottom w:val="0"/>
          <w:divBdr>
            <w:top w:val="none" w:sz="0" w:space="0" w:color="auto"/>
            <w:left w:val="none" w:sz="0" w:space="0" w:color="auto"/>
            <w:bottom w:val="none" w:sz="0" w:space="0" w:color="auto"/>
            <w:right w:val="none" w:sz="0" w:space="0" w:color="auto"/>
          </w:divBdr>
        </w:div>
        <w:div w:id="902907320">
          <w:marLeft w:val="446"/>
          <w:marRight w:val="0"/>
          <w:marTop w:val="0"/>
          <w:marBottom w:val="0"/>
          <w:divBdr>
            <w:top w:val="none" w:sz="0" w:space="0" w:color="auto"/>
            <w:left w:val="none" w:sz="0" w:space="0" w:color="auto"/>
            <w:bottom w:val="none" w:sz="0" w:space="0" w:color="auto"/>
            <w:right w:val="none" w:sz="0" w:space="0" w:color="auto"/>
          </w:divBdr>
        </w:div>
      </w:divsChild>
    </w:div>
    <w:div w:id="942684479">
      <w:bodyDiv w:val="1"/>
      <w:marLeft w:val="0"/>
      <w:marRight w:val="0"/>
      <w:marTop w:val="0"/>
      <w:marBottom w:val="0"/>
      <w:divBdr>
        <w:top w:val="none" w:sz="0" w:space="0" w:color="auto"/>
        <w:left w:val="none" w:sz="0" w:space="0" w:color="auto"/>
        <w:bottom w:val="none" w:sz="0" w:space="0" w:color="auto"/>
        <w:right w:val="none" w:sz="0" w:space="0" w:color="auto"/>
      </w:divBdr>
    </w:div>
    <w:div w:id="946624746">
      <w:bodyDiv w:val="1"/>
      <w:marLeft w:val="0"/>
      <w:marRight w:val="0"/>
      <w:marTop w:val="0"/>
      <w:marBottom w:val="0"/>
      <w:divBdr>
        <w:top w:val="none" w:sz="0" w:space="0" w:color="auto"/>
        <w:left w:val="none" w:sz="0" w:space="0" w:color="auto"/>
        <w:bottom w:val="none" w:sz="0" w:space="0" w:color="auto"/>
        <w:right w:val="none" w:sz="0" w:space="0" w:color="auto"/>
      </w:divBdr>
      <w:divsChild>
        <w:div w:id="1015619169">
          <w:marLeft w:val="240"/>
          <w:marRight w:val="0"/>
          <w:marTop w:val="60"/>
          <w:marBottom w:val="60"/>
          <w:divBdr>
            <w:top w:val="none" w:sz="0" w:space="0" w:color="auto"/>
            <w:left w:val="none" w:sz="0" w:space="0" w:color="auto"/>
            <w:bottom w:val="none" w:sz="0" w:space="0" w:color="auto"/>
            <w:right w:val="none" w:sz="0" w:space="0" w:color="auto"/>
          </w:divBdr>
          <w:divsChild>
            <w:div w:id="1169759012">
              <w:marLeft w:val="0"/>
              <w:marRight w:val="0"/>
              <w:marTop w:val="0"/>
              <w:marBottom w:val="0"/>
              <w:divBdr>
                <w:top w:val="none" w:sz="0" w:space="0" w:color="auto"/>
                <w:left w:val="none" w:sz="0" w:space="0" w:color="auto"/>
                <w:bottom w:val="none" w:sz="0" w:space="0" w:color="auto"/>
                <w:right w:val="none" w:sz="0" w:space="0" w:color="auto"/>
              </w:divBdr>
            </w:div>
          </w:divsChild>
        </w:div>
        <w:div w:id="947353085">
          <w:marLeft w:val="240"/>
          <w:marRight w:val="0"/>
          <w:marTop w:val="60"/>
          <w:marBottom w:val="60"/>
          <w:divBdr>
            <w:top w:val="none" w:sz="0" w:space="0" w:color="auto"/>
            <w:left w:val="none" w:sz="0" w:space="0" w:color="auto"/>
            <w:bottom w:val="none" w:sz="0" w:space="0" w:color="auto"/>
            <w:right w:val="none" w:sz="0" w:space="0" w:color="auto"/>
          </w:divBdr>
          <w:divsChild>
            <w:div w:id="1892687255">
              <w:marLeft w:val="0"/>
              <w:marRight w:val="0"/>
              <w:marTop w:val="0"/>
              <w:marBottom w:val="0"/>
              <w:divBdr>
                <w:top w:val="none" w:sz="0" w:space="0" w:color="auto"/>
                <w:left w:val="none" w:sz="0" w:space="0" w:color="auto"/>
                <w:bottom w:val="none" w:sz="0" w:space="0" w:color="auto"/>
                <w:right w:val="none" w:sz="0" w:space="0" w:color="auto"/>
              </w:divBdr>
            </w:div>
          </w:divsChild>
        </w:div>
        <w:div w:id="1802264475">
          <w:marLeft w:val="240"/>
          <w:marRight w:val="0"/>
          <w:marTop w:val="60"/>
          <w:marBottom w:val="60"/>
          <w:divBdr>
            <w:top w:val="none" w:sz="0" w:space="0" w:color="auto"/>
            <w:left w:val="none" w:sz="0" w:space="0" w:color="auto"/>
            <w:bottom w:val="none" w:sz="0" w:space="0" w:color="auto"/>
            <w:right w:val="none" w:sz="0" w:space="0" w:color="auto"/>
          </w:divBdr>
          <w:divsChild>
            <w:div w:id="326246769">
              <w:marLeft w:val="0"/>
              <w:marRight w:val="0"/>
              <w:marTop w:val="0"/>
              <w:marBottom w:val="0"/>
              <w:divBdr>
                <w:top w:val="none" w:sz="0" w:space="0" w:color="auto"/>
                <w:left w:val="none" w:sz="0" w:space="0" w:color="auto"/>
                <w:bottom w:val="none" w:sz="0" w:space="0" w:color="auto"/>
                <w:right w:val="none" w:sz="0" w:space="0" w:color="auto"/>
              </w:divBdr>
            </w:div>
          </w:divsChild>
        </w:div>
        <w:div w:id="2047480608">
          <w:marLeft w:val="240"/>
          <w:marRight w:val="0"/>
          <w:marTop w:val="60"/>
          <w:marBottom w:val="60"/>
          <w:divBdr>
            <w:top w:val="none" w:sz="0" w:space="0" w:color="auto"/>
            <w:left w:val="none" w:sz="0" w:space="0" w:color="auto"/>
            <w:bottom w:val="none" w:sz="0" w:space="0" w:color="auto"/>
            <w:right w:val="none" w:sz="0" w:space="0" w:color="auto"/>
          </w:divBdr>
          <w:divsChild>
            <w:div w:id="882595233">
              <w:marLeft w:val="240"/>
              <w:marRight w:val="0"/>
              <w:marTop w:val="60"/>
              <w:marBottom w:val="60"/>
              <w:divBdr>
                <w:top w:val="none" w:sz="0" w:space="0" w:color="auto"/>
                <w:left w:val="none" w:sz="0" w:space="0" w:color="auto"/>
                <w:bottom w:val="none" w:sz="0" w:space="0" w:color="auto"/>
                <w:right w:val="none" w:sz="0" w:space="0" w:color="auto"/>
              </w:divBdr>
              <w:divsChild>
                <w:div w:id="532308603">
                  <w:marLeft w:val="0"/>
                  <w:marRight w:val="0"/>
                  <w:marTop w:val="0"/>
                  <w:marBottom w:val="0"/>
                  <w:divBdr>
                    <w:top w:val="none" w:sz="0" w:space="0" w:color="auto"/>
                    <w:left w:val="none" w:sz="0" w:space="0" w:color="auto"/>
                    <w:bottom w:val="none" w:sz="0" w:space="0" w:color="auto"/>
                    <w:right w:val="none" w:sz="0" w:space="0" w:color="auto"/>
                  </w:divBdr>
                  <w:divsChild>
                    <w:div w:id="1448087604">
                      <w:marLeft w:val="434"/>
                      <w:marRight w:val="0"/>
                      <w:marTop w:val="0"/>
                      <w:marBottom w:val="0"/>
                      <w:divBdr>
                        <w:top w:val="none" w:sz="0" w:space="0" w:color="auto"/>
                        <w:left w:val="none" w:sz="0" w:space="0" w:color="auto"/>
                        <w:bottom w:val="none" w:sz="0" w:space="0" w:color="auto"/>
                        <w:right w:val="none" w:sz="0" w:space="0" w:color="auto"/>
                      </w:divBdr>
                    </w:div>
                  </w:divsChild>
                </w:div>
              </w:divsChild>
            </w:div>
            <w:div w:id="1347757439">
              <w:marLeft w:val="240"/>
              <w:marRight w:val="0"/>
              <w:marTop w:val="60"/>
              <w:marBottom w:val="60"/>
              <w:divBdr>
                <w:top w:val="none" w:sz="0" w:space="0" w:color="auto"/>
                <w:left w:val="none" w:sz="0" w:space="0" w:color="auto"/>
                <w:bottom w:val="none" w:sz="0" w:space="0" w:color="auto"/>
                <w:right w:val="none" w:sz="0" w:space="0" w:color="auto"/>
              </w:divBdr>
              <w:divsChild>
                <w:div w:id="6507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28171">
      <w:bodyDiv w:val="1"/>
      <w:marLeft w:val="0"/>
      <w:marRight w:val="0"/>
      <w:marTop w:val="0"/>
      <w:marBottom w:val="0"/>
      <w:divBdr>
        <w:top w:val="none" w:sz="0" w:space="0" w:color="auto"/>
        <w:left w:val="none" w:sz="0" w:space="0" w:color="auto"/>
        <w:bottom w:val="none" w:sz="0" w:space="0" w:color="auto"/>
        <w:right w:val="none" w:sz="0" w:space="0" w:color="auto"/>
      </w:divBdr>
      <w:divsChild>
        <w:div w:id="1401750262">
          <w:marLeft w:val="240"/>
          <w:marRight w:val="0"/>
          <w:marTop w:val="60"/>
          <w:marBottom w:val="60"/>
          <w:divBdr>
            <w:top w:val="none" w:sz="0" w:space="0" w:color="auto"/>
            <w:left w:val="none" w:sz="0" w:space="0" w:color="auto"/>
            <w:bottom w:val="none" w:sz="0" w:space="0" w:color="auto"/>
            <w:right w:val="none" w:sz="0" w:space="0" w:color="auto"/>
          </w:divBdr>
          <w:divsChild>
            <w:div w:id="1072895326">
              <w:marLeft w:val="0"/>
              <w:marRight w:val="0"/>
              <w:marTop w:val="0"/>
              <w:marBottom w:val="0"/>
              <w:divBdr>
                <w:top w:val="none" w:sz="0" w:space="0" w:color="auto"/>
                <w:left w:val="none" w:sz="0" w:space="0" w:color="auto"/>
                <w:bottom w:val="none" w:sz="0" w:space="0" w:color="auto"/>
                <w:right w:val="none" w:sz="0" w:space="0" w:color="auto"/>
              </w:divBdr>
            </w:div>
          </w:divsChild>
        </w:div>
        <w:div w:id="59251956">
          <w:marLeft w:val="240"/>
          <w:marRight w:val="0"/>
          <w:marTop w:val="60"/>
          <w:marBottom w:val="60"/>
          <w:divBdr>
            <w:top w:val="none" w:sz="0" w:space="0" w:color="auto"/>
            <w:left w:val="none" w:sz="0" w:space="0" w:color="auto"/>
            <w:bottom w:val="none" w:sz="0" w:space="0" w:color="auto"/>
            <w:right w:val="none" w:sz="0" w:space="0" w:color="auto"/>
          </w:divBdr>
          <w:divsChild>
            <w:div w:id="599916861">
              <w:marLeft w:val="0"/>
              <w:marRight w:val="0"/>
              <w:marTop w:val="0"/>
              <w:marBottom w:val="0"/>
              <w:divBdr>
                <w:top w:val="none" w:sz="0" w:space="0" w:color="auto"/>
                <w:left w:val="none" w:sz="0" w:space="0" w:color="auto"/>
                <w:bottom w:val="none" w:sz="0" w:space="0" w:color="auto"/>
                <w:right w:val="none" w:sz="0" w:space="0" w:color="auto"/>
              </w:divBdr>
            </w:div>
          </w:divsChild>
        </w:div>
        <w:div w:id="1953779065">
          <w:marLeft w:val="240"/>
          <w:marRight w:val="0"/>
          <w:marTop w:val="60"/>
          <w:marBottom w:val="60"/>
          <w:divBdr>
            <w:top w:val="none" w:sz="0" w:space="0" w:color="auto"/>
            <w:left w:val="none" w:sz="0" w:space="0" w:color="auto"/>
            <w:bottom w:val="none" w:sz="0" w:space="0" w:color="auto"/>
            <w:right w:val="none" w:sz="0" w:space="0" w:color="auto"/>
          </w:divBdr>
          <w:divsChild>
            <w:div w:id="294338619">
              <w:marLeft w:val="240"/>
              <w:marRight w:val="0"/>
              <w:marTop w:val="60"/>
              <w:marBottom w:val="60"/>
              <w:divBdr>
                <w:top w:val="none" w:sz="0" w:space="0" w:color="auto"/>
                <w:left w:val="none" w:sz="0" w:space="0" w:color="auto"/>
                <w:bottom w:val="none" w:sz="0" w:space="0" w:color="auto"/>
                <w:right w:val="none" w:sz="0" w:space="0" w:color="auto"/>
              </w:divBdr>
              <w:divsChild>
                <w:div w:id="1325746301">
                  <w:marLeft w:val="0"/>
                  <w:marRight w:val="0"/>
                  <w:marTop w:val="0"/>
                  <w:marBottom w:val="0"/>
                  <w:divBdr>
                    <w:top w:val="none" w:sz="0" w:space="0" w:color="auto"/>
                    <w:left w:val="none" w:sz="0" w:space="0" w:color="auto"/>
                    <w:bottom w:val="none" w:sz="0" w:space="0" w:color="auto"/>
                    <w:right w:val="none" w:sz="0" w:space="0" w:color="auto"/>
                  </w:divBdr>
                </w:div>
              </w:divsChild>
            </w:div>
            <w:div w:id="676690536">
              <w:marLeft w:val="240"/>
              <w:marRight w:val="0"/>
              <w:marTop w:val="60"/>
              <w:marBottom w:val="60"/>
              <w:divBdr>
                <w:top w:val="none" w:sz="0" w:space="0" w:color="auto"/>
                <w:left w:val="none" w:sz="0" w:space="0" w:color="auto"/>
                <w:bottom w:val="none" w:sz="0" w:space="0" w:color="auto"/>
                <w:right w:val="none" w:sz="0" w:space="0" w:color="auto"/>
              </w:divBdr>
              <w:divsChild>
                <w:div w:id="860047516">
                  <w:marLeft w:val="0"/>
                  <w:marRight w:val="0"/>
                  <w:marTop w:val="0"/>
                  <w:marBottom w:val="0"/>
                  <w:divBdr>
                    <w:top w:val="none" w:sz="0" w:space="0" w:color="auto"/>
                    <w:left w:val="none" w:sz="0" w:space="0" w:color="auto"/>
                    <w:bottom w:val="none" w:sz="0" w:space="0" w:color="auto"/>
                    <w:right w:val="none" w:sz="0" w:space="0" w:color="auto"/>
                  </w:divBdr>
                </w:div>
              </w:divsChild>
            </w:div>
            <w:div w:id="295064130">
              <w:marLeft w:val="240"/>
              <w:marRight w:val="0"/>
              <w:marTop w:val="60"/>
              <w:marBottom w:val="60"/>
              <w:divBdr>
                <w:top w:val="none" w:sz="0" w:space="0" w:color="auto"/>
                <w:left w:val="none" w:sz="0" w:space="0" w:color="auto"/>
                <w:bottom w:val="none" w:sz="0" w:space="0" w:color="auto"/>
                <w:right w:val="none" w:sz="0" w:space="0" w:color="auto"/>
              </w:divBdr>
              <w:divsChild>
                <w:div w:id="528303529">
                  <w:marLeft w:val="0"/>
                  <w:marRight w:val="0"/>
                  <w:marTop w:val="0"/>
                  <w:marBottom w:val="0"/>
                  <w:divBdr>
                    <w:top w:val="none" w:sz="0" w:space="0" w:color="auto"/>
                    <w:left w:val="none" w:sz="0" w:space="0" w:color="auto"/>
                    <w:bottom w:val="none" w:sz="0" w:space="0" w:color="auto"/>
                    <w:right w:val="none" w:sz="0" w:space="0" w:color="auto"/>
                  </w:divBdr>
                </w:div>
              </w:divsChild>
            </w:div>
            <w:div w:id="124666627">
              <w:marLeft w:val="240"/>
              <w:marRight w:val="0"/>
              <w:marTop w:val="60"/>
              <w:marBottom w:val="60"/>
              <w:divBdr>
                <w:top w:val="none" w:sz="0" w:space="0" w:color="auto"/>
                <w:left w:val="none" w:sz="0" w:space="0" w:color="auto"/>
                <w:bottom w:val="none" w:sz="0" w:space="0" w:color="auto"/>
                <w:right w:val="none" w:sz="0" w:space="0" w:color="auto"/>
              </w:divBdr>
              <w:divsChild>
                <w:div w:id="1391541162">
                  <w:marLeft w:val="0"/>
                  <w:marRight w:val="0"/>
                  <w:marTop w:val="0"/>
                  <w:marBottom w:val="0"/>
                  <w:divBdr>
                    <w:top w:val="none" w:sz="0" w:space="0" w:color="auto"/>
                    <w:left w:val="none" w:sz="0" w:space="0" w:color="auto"/>
                    <w:bottom w:val="none" w:sz="0" w:space="0" w:color="auto"/>
                    <w:right w:val="none" w:sz="0" w:space="0" w:color="auto"/>
                  </w:divBdr>
                </w:div>
              </w:divsChild>
            </w:div>
            <w:div w:id="367723673">
              <w:marLeft w:val="240"/>
              <w:marRight w:val="0"/>
              <w:marTop w:val="60"/>
              <w:marBottom w:val="60"/>
              <w:divBdr>
                <w:top w:val="none" w:sz="0" w:space="0" w:color="auto"/>
                <w:left w:val="none" w:sz="0" w:space="0" w:color="auto"/>
                <w:bottom w:val="none" w:sz="0" w:space="0" w:color="auto"/>
                <w:right w:val="none" w:sz="0" w:space="0" w:color="auto"/>
              </w:divBdr>
              <w:divsChild>
                <w:div w:id="2022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3058">
          <w:marLeft w:val="450"/>
          <w:marRight w:val="0"/>
          <w:marTop w:val="0"/>
          <w:marBottom w:val="0"/>
          <w:divBdr>
            <w:top w:val="none" w:sz="0" w:space="0" w:color="auto"/>
            <w:left w:val="none" w:sz="0" w:space="0" w:color="auto"/>
            <w:bottom w:val="none" w:sz="0" w:space="0" w:color="auto"/>
            <w:right w:val="none" w:sz="0" w:space="0" w:color="auto"/>
          </w:divBdr>
        </w:div>
      </w:divsChild>
    </w:div>
    <w:div w:id="952439128">
      <w:bodyDiv w:val="1"/>
      <w:marLeft w:val="0"/>
      <w:marRight w:val="0"/>
      <w:marTop w:val="0"/>
      <w:marBottom w:val="0"/>
      <w:divBdr>
        <w:top w:val="none" w:sz="0" w:space="0" w:color="auto"/>
        <w:left w:val="none" w:sz="0" w:space="0" w:color="auto"/>
        <w:bottom w:val="none" w:sz="0" w:space="0" w:color="auto"/>
        <w:right w:val="none" w:sz="0" w:space="0" w:color="auto"/>
      </w:divBdr>
    </w:div>
    <w:div w:id="955213286">
      <w:bodyDiv w:val="1"/>
      <w:marLeft w:val="0"/>
      <w:marRight w:val="0"/>
      <w:marTop w:val="0"/>
      <w:marBottom w:val="0"/>
      <w:divBdr>
        <w:top w:val="none" w:sz="0" w:space="0" w:color="auto"/>
        <w:left w:val="none" w:sz="0" w:space="0" w:color="auto"/>
        <w:bottom w:val="none" w:sz="0" w:space="0" w:color="auto"/>
        <w:right w:val="none" w:sz="0" w:space="0" w:color="auto"/>
      </w:divBdr>
    </w:div>
    <w:div w:id="961959951">
      <w:bodyDiv w:val="1"/>
      <w:marLeft w:val="0"/>
      <w:marRight w:val="0"/>
      <w:marTop w:val="0"/>
      <w:marBottom w:val="0"/>
      <w:divBdr>
        <w:top w:val="none" w:sz="0" w:space="0" w:color="auto"/>
        <w:left w:val="none" w:sz="0" w:space="0" w:color="auto"/>
        <w:bottom w:val="none" w:sz="0" w:space="0" w:color="auto"/>
        <w:right w:val="none" w:sz="0" w:space="0" w:color="auto"/>
      </w:divBdr>
      <w:divsChild>
        <w:div w:id="197476648">
          <w:marLeft w:val="360"/>
          <w:marRight w:val="0"/>
          <w:marTop w:val="200"/>
          <w:marBottom w:val="0"/>
          <w:divBdr>
            <w:top w:val="none" w:sz="0" w:space="0" w:color="auto"/>
            <w:left w:val="none" w:sz="0" w:space="0" w:color="auto"/>
            <w:bottom w:val="none" w:sz="0" w:space="0" w:color="auto"/>
            <w:right w:val="none" w:sz="0" w:space="0" w:color="auto"/>
          </w:divBdr>
        </w:div>
        <w:div w:id="679628834">
          <w:marLeft w:val="360"/>
          <w:marRight w:val="0"/>
          <w:marTop w:val="200"/>
          <w:marBottom w:val="0"/>
          <w:divBdr>
            <w:top w:val="none" w:sz="0" w:space="0" w:color="auto"/>
            <w:left w:val="none" w:sz="0" w:space="0" w:color="auto"/>
            <w:bottom w:val="none" w:sz="0" w:space="0" w:color="auto"/>
            <w:right w:val="none" w:sz="0" w:space="0" w:color="auto"/>
          </w:divBdr>
        </w:div>
        <w:div w:id="1789007952">
          <w:marLeft w:val="1080"/>
          <w:marRight w:val="0"/>
          <w:marTop w:val="100"/>
          <w:marBottom w:val="0"/>
          <w:divBdr>
            <w:top w:val="none" w:sz="0" w:space="0" w:color="auto"/>
            <w:left w:val="none" w:sz="0" w:space="0" w:color="auto"/>
            <w:bottom w:val="none" w:sz="0" w:space="0" w:color="auto"/>
            <w:right w:val="none" w:sz="0" w:space="0" w:color="auto"/>
          </w:divBdr>
        </w:div>
      </w:divsChild>
    </w:div>
    <w:div w:id="962152064">
      <w:bodyDiv w:val="1"/>
      <w:marLeft w:val="0"/>
      <w:marRight w:val="0"/>
      <w:marTop w:val="0"/>
      <w:marBottom w:val="0"/>
      <w:divBdr>
        <w:top w:val="none" w:sz="0" w:space="0" w:color="auto"/>
        <w:left w:val="none" w:sz="0" w:space="0" w:color="auto"/>
        <w:bottom w:val="none" w:sz="0" w:space="0" w:color="auto"/>
        <w:right w:val="none" w:sz="0" w:space="0" w:color="auto"/>
      </w:divBdr>
      <w:divsChild>
        <w:div w:id="967584916">
          <w:marLeft w:val="547"/>
          <w:marRight w:val="0"/>
          <w:marTop w:val="0"/>
          <w:marBottom w:val="0"/>
          <w:divBdr>
            <w:top w:val="none" w:sz="0" w:space="0" w:color="auto"/>
            <w:left w:val="none" w:sz="0" w:space="0" w:color="auto"/>
            <w:bottom w:val="none" w:sz="0" w:space="0" w:color="auto"/>
            <w:right w:val="none" w:sz="0" w:space="0" w:color="auto"/>
          </w:divBdr>
        </w:div>
      </w:divsChild>
    </w:div>
    <w:div w:id="964387490">
      <w:bodyDiv w:val="1"/>
      <w:marLeft w:val="0"/>
      <w:marRight w:val="0"/>
      <w:marTop w:val="0"/>
      <w:marBottom w:val="0"/>
      <w:divBdr>
        <w:top w:val="none" w:sz="0" w:space="0" w:color="auto"/>
        <w:left w:val="none" w:sz="0" w:space="0" w:color="auto"/>
        <w:bottom w:val="none" w:sz="0" w:space="0" w:color="auto"/>
        <w:right w:val="none" w:sz="0" w:space="0" w:color="auto"/>
      </w:divBdr>
    </w:div>
    <w:div w:id="965353356">
      <w:bodyDiv w:val="1"/>
      <w:marLeft w:val="0"/>
      <w:marRight w:val="0"/>
      <w:marTop w:val="0"/>
      <w:marBottom w:val="0"/>
      <w:divBdr>
        <w:top w:val="none" w:sz="0" w:space="0" w:color="auto"/>
        <w:left w:val="none" w:sz="0" w:space="0" w:color="auto"/>
        <w:bottom w:val="none" w:sz="0" w:space="0" w:color="auto"/>
        <w:right w:val="none" w:sz="0" w:space="0" w:color="auto"/>
      </w:divBdr>
    </w:div>
    <w:div w:id="967583719">
      <w:bodyDiv w:val="1"/>
      <w:marLeft w:val="0"/>
      <w:marRight w:val="0"/>
      <w:marTop w:val="0"/>
      <w:marBottom w:val="0"/>
      <w:divBdr>
        <w:top w:val="none" w:sz="0" w:space="0" w:color="auto"/>
        <w:left w:val="none" w:sz="0" w:space="0" w:color="auto"/>
        <w:bottom w:val="none" w:sz="0" w:space="0" w:color="auto"/>
        <w:right w:val="none" w:sz="0" w:space="0" w:color="auto"/>
      </w:divBdr>
      <w:divsChild>
        <w:div w:id="1379165503">
          <w:marLeft w:val="0"/>
          <w:marRight w:val="0"/>
          <w:marTop w:val="0"/>
          <w:marBottom w:val="0"/>
          <w:divBdr>
            <w:top w:val="none" w:sz="0" w:space="0" w:color="auto"/>
            <w:left w:val="none" w:sz="0" w:space="0" w:color="auto"/>
            <w:bottom w:val="none" w:sz="0" w:space="0" w:color="auto"/>
            <w:right w:val="none" w:sz="0" w:space="0" w:color="auto"/>
          </w:divBdr>
          <w:divsChild>
            <w:div w:id="2088843997">
              <w:marLeft w:val="0"/>
              <w:marRight w:val="0"/>
              <w:marTop w:val="0"/>
              <w:marBottom w:val="0"/>
              <w:divBdr>
                <w:top w:val="none" w:sz="0" w:space="0" w:color="auto"/>
                <w:left w:val="none" w:sz="0" w:space="0" w:color="auto"/>
                <w:bottom w:val="none" w:sz="0" w:space="0" w:color="auto"/>
                <w:right w:val="none" w:sz="0" w:space="0" w:color="auto"/>
              </w:divBdr>
              <w:divsChild>
                <w:div w:id="17618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665385">
      <w:bodyDiv w:val="1"/>
      <w:marLeft w:val="0"/>
      <w:marRight w:val="0"/>
      <w:marTop w:val="0"/>
      <w:marBottom w:val="0"/>
      <w:divBdr>
        <w:top w:val="none" w:sz="0" w:space="0" w:color="auto"/>
        <w:left w:val="none" w:sz="0" w:space="0" w:color="auto"/>
        <w:bottom w:val="none" w:sz="0" w:space="0" w:color="auto"/>
        <w:right w:val="none" w:sz="0" w:space="0" w:color="auto"/>
      </w:divBdr>
    </w:div>
    <w:div w:id="974800783">
      <w:bodyDiv w:val="1"/>
      <w:marLeft w:val="0"/>
      <w:marRight w:val="0"/>
      <w:marTop w:val="0"/>
      <w:marBottom w:val="0"/>
      <w:divBdr>
        <w:top w:val="none" w:sz="0" w:space="0" w:color="auto"/>
        <w:left w:val="none" w:sz="0" w:space="0" w:color="auto"/>
        <w:bottom w:val="none" w:sz="0" w:space="0" w:color="auto"/>
        <w:right w:val="none" w:sz="0" w:space="0" w:color="auto"/>
      </w:divBdr>
      <w:divsChild>
        <w:div w:id="1565871961">
          <w:marLeft w:val="0"/>
          <w:marRight w:val="0"/>
          <w:marTop w:val="0"/>
          <w:marBottom w:val="0"/>
          <w:divBdr>
            <w:top w:val="none" w:sz="0" w:space="0" w:color="auto"/>
            <w:left w:val="none" w:sz="0" w:space="0" w:color="auto"/>
            <w:bottom w:val="none" w:sz="0" w:space="0" w:color="auto"/>
            <w:right w:val="none" w:sz="0" w:space="0" w:color="auto"/>
          </w:divBdr>
          <w:divsChild>
            <w:div w:id="1650943963">
              <w:marLeft w:val="0"/>
              <w:marRight w:val="0"/>
              <w:marTop w:val="0"/>
              <w:marBottom w:val="0"/>
              <w:divBdr>
                <w:top w:val="none" w:sz="0" w:space="0" w:color="auto"/>
                <w:left w:val="none" w:sz="0" w:space="0" w:color="auto"/>
                <w:bottom w:val="none" w:sz="0" w:space="0" w:color="auto"/>
                <w:right w:val="none" w:sz="0" w:space="0" w:color="auto"/>
              </w:divBdr>
              <w:divsChild>
                <w:div w:id="6734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9379">
      <w:bodyDiv w:val="1"/>
      <w:marLeft w:val="0"/>
      <w:marRight w:val="0"/>
      <w:marTop w:val="0"/>
      <w:marBottom w:val="0"/>
      <w:divBdr>
        <w:top w:val="none" w:sz="0" w:space="0" w:color="auto"/>
        <w:left w:val="none" w:sz="0" w:space="0" w:color="auto"/>
        <w:bottom w:val="none" w:sz="0" w:space="0" w:color="auto"/>
        <w:right w:val="none" w:sz="0" w:space="0" w:color="auto"/>
      </w:divBdr>
    </w:div>
    <w:div w:id="980767941">
      <w:bodyDiv w:val="1"/>
      <w:marLeft w:val="0"/>
      <w:marRight w:val="0"/>
      <w:marTop w:val="0"/>
      <w:marBottom w:val="0"/>
      <w:divBdr>
        <w:top w:val="none" w:sz="0" w:space="0" w:color="auto"/>
        <w:left w:val="none" w:sz="0" w:space="0" w:color="auto"/>
        <w:bottom w:val="none" w:sz="0" w:space="0" w:color="auto"/>
        <w:right w:val="none" w:sz="0" w:space="0" w:color="auto"/>
      </w:divBdr>
    </w:div>
    <w:div w:id="986280912">
      <w:bodyDiv w:val="1"/>
      <w:marLeft w:val="0"/>
      <w:marRight w:val="0"/>
      <w:marTop w:val="0"/>
      <w:marBottom w:val="0"/>
      <w:divBdr>
        <w:top w:val="none" w:sz="0" w:space="0" w:color="auto"/>
        <w:left w:val="none" w:sz="0" w:space="0" w:color="auto"/>
        <w:bottom w:val="none" w:sz="0" w:space="0" w:color="auto"/>
        <w:right w:val="none" w:sz="0" w:space="0" w:color="auto"/>
      </w:divBdr>
    </w:div>
    <w:div w:id="987631713">
      <w:bodyDiv w:val="1"/>
      <w:marLeft w:val="0"/>
      <w:marRight w:val="0"/>
      <w:marTop w:val="0"/>
      <w:marBottom w:val="0"/>
      <w:divBdr>
        <w:top w:val="none" w:sz="0" w:space="0" w:color="auto"/>
        <w:left w:val="none" w:sz="0" w:space="0" w:color="auto"/>
        <w:bottom w:val="none" w:sz="0" w:space="0" w:color="auto"/>
        <w:right w:val="none" w:sz="0" w:space="0" w:color="auto"/>
      </w:divBdr>
      <w:divsChild>
        <w:div w:id="829758971">
          <w:marLeft w:val="547"/>
          <w:marRight w:val="0"/>
          <w:marTop w:val="0"/>
          <w:marBottom w:val="0"/>
          <w:divBdr>
            <w:top w:val="none" w:sz="0" w:space="0" w:color="auto"/>
            <w:left w:val="none" w:sz="0" w:space="0" w:color="auto"/>
            <w:bottom w:val="none" w:sz="0" w:space="0" w:color="auto"/>
            <w:right w:val="none" w:sz="0" w:space="0" w:color="auto"/>
          </w:divBdr>
        </w:div>
      </w:divsChild>
    </w:div>
    <w:div w:id="988745721">
      <w:bodyDiv w:val="1"/>
      <w:marLeft w:val="0"/>
      <w:marRight w:val="0"/>
      <w:marTop w:val="0"/>
      <w:marBottom w:val="0"/>
      <w:divBdr>
        <w:top w:val="none" w:sz="0" w:space="0" w:color="auto"/>
        <w:left w:val="none" w:sz="0" w:space="0" w:color="auto"/>
        <w:bottom w:val="none" w:sz="0" w:space="0" w:color="auto"/>
        <w:right w:val="none" w:sz="0" w:space="0" w:color="auto"/>
      </w:divBdr>
      <w:divsChild>
        <w:div w:id="73480835">
          <w:marLeft w:val="547"/>
          <w:marRight w:val="0"/>
          <w:marTop w:val="0"/>
          <w:marBottom w:val="0"/>
          <w:divBdr>
            <w:top w:val="none" w:sz="0" w:space="0" w:color="auto"/>
            <w:left w:val="none" w:sz="0" w:space="0" w:color="auto"/>
            <w:bottom w:val="none" w:sz="0" w:space="0" w:color="auto"/>
            <w:right w:val="none" w:sz="0" w:space="0" w:color="auto"/>
          </w:divBdr>
        </w:div>
        <w:div w:id="710806360">
          <w:marLeft w:val="547"/>
          <w:marRight w:val="0"/>
          <w:marTop w:val="0"/>
          <w:marBottom w:val="0"/>
          <w:divBdr>
            <w:top w:val="none" w:sz="0" w:space="0" w:color="auto"/>
            <w:left w:val="none" w:sz="0" w:space="0" w:color="auto"/>
            <w:bottom w:val="none" w:sz="0" w:space="0" w:color="auto"/>
            <w:right w:val="none" w:sz="0" w:space="0" w:color="auto"/>
          </w:divBdr>
        </w:div>
        <w:div w:id="960456488">
          <w:marLeft w:val="547"/>
          <w:marRight w:val="0"/>
          <w:marTop w:val="0"/>
          <w:marBottom w:val="0"/>
          <w:divBdr>
            <w:top w:val="none" w:sz="0" w:space="0" w:color="auto"/>
            <w:left w:val="none" w:sz="0" w:space="0" w:color="auto"/>
            <w:bottom w:val="none" w:sz="0" w:space="0" w:color="auto"/>
            <w:right w:val="none" w:sz="0" w:space="0" w:color="auto"/>
          </w:divBdr>
        </w:div>
        <w:div w:id="997197185">
          <w:marLeft w:val="547"/>
          <w:marRight w:val="0"/>
          <w:marTop w:val="0"/>
          <w:marBottom w:val="0"/>
          <w:divBdr>
            <w:top w:val="none" w:sz="0" w:space="0" w:color="auto"/>
            <w:left w:val="none" w:sz="0" w:space="0" w:color="auto"/>
            <w:bottom w:val="none" w:sz="0" w:space="0" w:color="auto"/>
            <w:right w:val="none" w:sz="0" w:space="0" w:color="auto"/>
          </w:divBdr>
        </w:div>
        <w:div w:id="1662081461">
          <w:marLeft w:val="547"/>
          <w:marRight w:val="0"/>
          <w:marTop w:val="0"/>
          <w:marBottom w:val="0"/>
          <w:divBdr>
            <w:top w:val="none" w:sz="0" w:space="0" w:color="auto"/>
            <w:left w:val="none" w:sz="0" w:space="0" w:color="auto"/>
            <w:bottom w:val="none" w:sz="0" w:space="0" w:color="auto"/>
            <w:right w:val="none" w:sz="0" w:space="0" w:color="auto"/>
          </w:divBdr>
        </w:div>
        <w:div w:id="1698851083">
          <w:marLeft w:val="547"/>
          <w:marRight w:val="0"/>
          <w:marTop w:val="0"/>
          <w:marBottom w:val="0"/>
          <w:divBdr>
            <w:top w:val="none" w:sz="0" w:space="0" w:color="auto"/>
            <w:left w:val="none" w:sz="0" w:space="0" w:color="auto"/>
            <w:bottom w:val="none" w:sz="0" w:space="0" w:color="auto"/>
            <w:right w:val="none" w:sz="0" w:space="0" w:color="auto"/>
          </w:divBdr>
        </w:div>
      </w:divsChild>
    </w:div>
    <w:div w:id="992106427">
      <w:bodyDiv w:val="1"/>
      <w:marLeft w:val="0"/>
      <w:marRight w:val="0"/>
      <w:marTop w:val="0"/>
      <w:marBottom w:val="0"/>
      <w:divBdr>
        <w:top w:val="none" w:sz="0" w:space="0" w:color="auto"/>
        <w:left w:val="none" w:sz="0" w:space="0" w:color="auto"/>
        <w:bottom w:val="none" w:sz="0" w:space="0" w:color="auto"/>
        <w:right w:val="none" w:sz="0" w:space="0" w:color="auto"/>
      </w:divBdr>
    </w:div>
    <w:div w:id="994576477">
      <w:bodyDiv w:val="1"/>
      <w:marLeft w:val="0"/>
      <w:marRight w:val="0"/>
      <w:marTop w:val="0"/>
      <w:marBottom w:val="0"/>
      <w:divBdr>
        <w:top w:val="none" w:sz="0" w:space="0" w:color="auto"/>
        <w:left w:val="none" w:sz="0" w:space="0" w:color="auto"/>
        <w:bottom w:val="none" w:sz="0" w:space="0" w:color="auto"/>
        <w:right w:val="none" w:sz="0" w:space="0" w:color="auto"/>
      </w:divBdr>
      <w:divsChild>
        <w:div w:id="517545507">
          <w:marLeft w:val="547"/>
          <w:marRight w:val="0"/>
          <w:marTop w:val="0"/>
          <w:marBottom w:val="0"/>
          <w:divBdr>
            <w:top w:val="none" w:sz="0" w:space="0" w:color="auto"/>
            <w:left w:val="none" w:sz="0" w:space="0" w:color="auto"/>
            <w:bottom w:val="none" w:sz="0" w:space="0" w:color="auto"/>
            <w:right w:val="none" w:sz="0" w:space="0" w:color="auto"/>
          </w:divBdr>
        </w:div>
      </w:divsChild>
    </w:div>
    <w:div w:id="995299665">
      <w:bodyDiv w:val="1"/>
      <w:marLeft w:val="0"/>
      <w:marRight w:val="0"/>
      <w:marTop w:val="0"/>
      <w:marBottom w:val="0"/>
      <w:divBdr>
        <w:top w:val="none" w:sz="0" w:space="0" w:color="auto"/>
        <w:left w:val="none" w:sz="0" w:space="0" w:color="auto"/>
        <w:bottom w:val="none" w:sz="0" w:space="0" w:color="auto"/>
        <w:right w:val="none" w:sz="0" w:space="0" w:color="auto"/>
      </w:divBdr>
    </w:div>
    <w:div w:id="996497593">
      <w:bodyDiv w:val="1"/>
      <w:marLeft w:val="0"/>
      <w:marRight w:val="0"/>
      <w:marTop w:val="0"/>
      <w:marBottom w:val="0"/>
      <w:divBdr>
        <w:top w:val="none" w:sz="0" w:space="0" w:color="auto"/>
        <w:left w:val="none" w:sz="0" w:space="0" w:color="auto"/>
        <w:bottom w:val="none" w:sz="0" w:space="0" w:color="auto"/>
        <w:right w:val="none" w:sz="0" w:space="0" w:color="auto"/>
      </w:divBdr>
    </w:div>
    <w:div w:id="1001734736">
      <w:bodyDiv w:val="1"/>
      <w:marLeft w:val="0"/>
      <w:marRight w:val="0"/>
      <w:marTop w:val="0"/>
      <w:marBottom w:val="0"/>
      <w:divBdr>
        <w:top w:val="none" w:sz="0" w:space="0" w:color="auto"/>
        <w:left w:val="none" w:sz="0" w:space="0" w:color="auto"/>
        <w:bottom w:val="none" w:sz="0" w:space="0" w:color="auto"/>
        <w:right w:val="none" w:sz="0" w:space="0" w:color="auto"/>
      </w:divBdr>
    </w:div>
    <w:div w:id="1004284457">
      <w:bodyDiv w:val="1"/>
      <w:marLeft w:val="0"/>
      <w:marRight w:val="0"/>
      <w:marTop w:val="0"/>
      <w:marBottom w:val="0"/>
      <w:divBdr>
        <w:top w:val="none" w:sz="0" w:space="0" w:color="auto"/>
        <w:left w:val="none" w:sz="0" w:space="0" w:color="auto"/>
        <w:bottom w:val="none" w:sz="0" w:space="0" w:color="auto"/>
        <w:right w:val="none" w:sz="0" w:space="0" w:color="auto"/>
      </w:divBdr>
    </w:div>
    <w:div w:id="1006519643">
      <w:bodyDiv w:val="1"/>
      <w:marLeft w:val="0"/>
      <w:marRight w:val="0"/>
      <w:marTop w:val="0"/>
      <w:marBottom w:val="0"/>
      <w:divBdr>
        <w:top w:val="none" w:sz="0" w:space="0" w:color="auto"/>
        <w:left w:val="none" w:sz="0" w:space="0" w:color="auto"/>
        <w:bottom w:val="none" w:sz="0" w:space="0" w:color="auto"/>
        <w:right w:val="none" w:sz="0" w:space="0" w:color="auto"/>
      </w:divBdr>
    </w:div>
    <w:div w:id="1007364522">
      <w:bodyDiv w:val="1"/>
      <w:marLeft w:val="0"/>
      <w:marRight w:val="0"/>
      <w:marTop w:val="0"/>
      <w:marBottom w:val="0"/>
      <w:divBdr>
        <w:top w:val="none" w:sz="0" w:space="0" w:color="auto"/>
        <w:left w:val="none" w:sz="0" w:space="0" w:color="auto"/>
        <w:bottom w:val="none" w:sz="0" w:space="0" w:color="auto"/>
        <w:right w:val="none" w:sz="0" w:space="0" w:color="auto"/>
      </w:divBdr>
    </w:div>
    <w:div w:id="1007638175">
      <w:bodyDiv w:val="1"/>
      <w:marLeft w:val="0"/>
      <w:marRight w:val="0"/>
      <w:marTop w:val="0"/>
      <w:marBottom w:val="0"/>
      <w:divBdr>
        <w:top w:val="none" w:sz="0" w:space="0" w:color="auto"/>
        <w:left w:val="none" w:sz="0" w:space="0" w:color="auto"/>
        <w:bottom w:val="none" w:sz="0" w:space="0" w:color="auto"/>
        <w:right w:val="none" w:sz="0" w:space="0" w:color="auto"/>
      </w:divBdr>
    </w:div>
    <w:div w:id="1007906657">
      <w:bodyDiv w:val="1"/>
      <w:marLeft w:val="0"/>
      <w:marRight w:val="0"/>
      <w:marTop w:val="0"/>
      <w:marBottom w:val="0"/>
      <w:divBdr>
        <w:top w:val="none" w:sz="0" w:space="0" w:color="auto"/>
        <w:left w:val="none" w:sz="0" w:space="0" w:color="auto"/>
        <w:bottom w:val="none" w:sz="0" w:space="0" w:color="auto"/>
        <w:right w:val="none" w:sz="0" w:space="0" w:color="auto"/>
      </w:divBdr>
    </w:div>
    <w:div w:id="1016880396">
      <w:bodyDiv w:val="1"/>
      <w:marLeft w:val="0"/>
      <w:marRight w:val="0"/>
      <w:marTop w:val="0"/>
      <w:marBottom w:val="0"/>
      <w:divBdr>
        <w:top w:val="none" w:sz="0" w:space="0" w:color="auto"/>
        <w:left w:val="none" w:sz="0" w:space="0" w:color="auto"/>
        <w:bottom w:val="none" w:sz="0" w:space="0" w:color="auto"/>
        <w:right w:val="none" w:sz="0" w:space="0" w:color="auto"/>
      </w:divBdr>
      <w:divsChild>
        <w:div w:id="54814701">
          <w:marLeft w:val="547"/>
          <w:marRight w:val="0"/>
          <w:marTop w:val="0"/>
          <w:marBottom w:val="0"/>
          <w:divBdr>
            <w:top w:val="none" w:sz="0" w:space="0" w:color="auto"/>
            <w:left w:val="none" w:sz="0" w:space="0" w:color="auto"/>
            <w:bottom w:val="none" w:sz="0" w:space="0" w:color="auto"/>
            <w:right w:val="none" w:sz="0" w:space="0" w:color="auto"/>
          </w:divBdr>
        </w:div>
        <w:div w:id="241838184">
          <w:marLeft w:val="547"/>
          <w:marRight w:val="0"/>
          <w:marTop w:val="0"/>
          <w:marBottom w:val="0"/>
          <w:divBdr>
            <w:top w:val="none" w:sz="0" w:space="0" w:color="auto"/>
            <w:left w:val="none" w:sz="0" w:space="0" w:color="auto"/>
            <w:bottom w:val="none" w:sz="0" w:space="0" w:color="auto"/>
            <w:right w:val="none" w:sz="0" w:space="0" w:color="auto"/>
          </w:divBdr>
        </w:div>
        <w:div w:id="1590197189">
          <w:marLeft w:val="547"/>
          <w:marRight w:val="0"/>
          <w:marTop w:val="0"/>
          <w:marBottom w:val="0"/>
          <w:divBdr>
            <w:top w:val="none" w:sz="0" w:space="0" w:color="auto"/>
            <w:left w:val="none" w:sz="0" w:space="0" w:color="auto"/>
            <w:bottom w:val="none" w:sz="0" w:space="0" w:color="auto"/>
            <w:right w:val="none" w:sz="0" w:space="0" w:color="auto"/>
          </w:divBdr>
        </w:div>
      </w:divsChild>
    </w:div>
    <w:div w:id="1019164171">
      <w:bodyDiv w:val="1"/>
      <w:marLeft w:val="0"/>
      <w:marRight w:val="0"/>
      <w:marTop w:val="0"/>
      <w:marBottom w:val="0"/>
      <w:divBdr>
        <w:top w:val="none" w:sz="0" w:space="0" w:color="auto"/>
        <w:left w:val="none" w:sz="0" w:space="0" w:color="auto"/>
        <w:bottom w:val="none" w:sz="0" w:space="0" w:color="auto"/>
        <w:right w:val="none" w:sz="0" w:space="0" w:color="auto"/>
      </w:divBdr>
      <w:divsChild>
        <w:div w:id="1135754045">
          <w:marLeft w:val="0"/>
          <w:marRight w:val="0"/>
          <w:marTop w:val="0"/>
          <w:marBottom w:val="0"/>
          <w:divBdr>
            <w:top w:val="none" w:sz="0" w:space="0" w:color="auto"/>
            <w:left w:val="none" w:sz="0" w:space="0" w:color="auto"/>
            <w:bottom w:val="none" w:sz="0" w:space="0" w:color="auto"/>
            <w:right w:val="none" w:sz="0" w:space="0" w:color="auto"/>
          </w:divBdr>
          <w:divsChild>
            <w:div w:id="463545308">
              <w:marLeft w:val="0"/>
              <w:marRight w:val="0"/>
              <w:marTop w:val="0"/>
              <w:marBottom w:val="0"/>
              <w:divBdr>
                <w:top w:val="none" w:sz="0" w:space="0" w:color="auto"/>
                <w:left w:val="none" w:sz="0" w:space="0" w:color="auto"/>
                <w:bottom w:val="none" w:sz="0" w:space="0" w:color="auto"/>
                <w:right w:val="none" w:sz="0" w:space="0" w:color="auto"/>
              </w:divBdr>
              <w:divsChild>
                <w:div w:id="15259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77665">
      <w:bodyDiv w:val="1"/>
      <w:marLeft w:val="0"/>
      <w:marRight w:val="0"/>
      <w:marTop w:val="0"/>
      <w:marBottom w:val="0"/>
      <w:divBdr>
        <w:top w:val="none" w:sz="0" w:space="0" w:color="auto"/>
        <w:left w:val="none" w:sz="0" w:space="0" w:color="auto"/>
        <w:bottom w:val="none" w:sz="0" w:space="0" w:color="auto"/>
        <w:right w:val="none" w:sz="0" w:space="0" w:color="auto"/>
      </w:divBdr>
    </w:div>
    <w:div w:id="1021005504">
      <w:bodyDiv w:val="1"/>
      <w:marLeft w:val="0"/>
      <w:marRight w:val="0"/>
      <w:marTop w:val="0"/>
      <w:marBottom w:val="0"/>
      <w:divBdr>
        <w:top w:val="none" w:sz="0" w:space="0" w:color="auto"/>
        <w:left w:val="none" w:sz="0" w:space="0" w:color="auto"/>
        <w:bottom w:val="none" w:sz="0" w:space="0" w:color="auto"/>
        <w:right w:val="none" w:sz="0" w:space="0" w:color="auto"/>
      </w:divBdr>
    </w:div>
    <w:div w:id="1021278984">
      <w:bodyDiv w:val="1"/>
      <w:marLeft w:val="0"/>
      <w:marRight w:val="0"/>
      <w:marTop w:val="0"/>
      <w:marBottom w:val="0"/>
      <w:divBdr>
        <w:top w:val="none" w:sz="0" w:space="0" w:color="auto"/>
        <w:left w:val="none" w:sz="0" w:space="0" w:color="auto"/>
        <w:bottom w:val="none" w:sz="0" w:space="0" w:color="auto"/>
        <w:right w:val="none" w:sz="0" w:space="0" w:color="auto"/>
      </w:divBdr>
    </w:div>
    <w:div w:id="1028683745">
      <w:bodyDiv w:val="1"/>
      <w:marLeft w:val="0"/>
      <w:marRight w:val="0"/>
      <w:marTop w:val="0"/>
      <w:marBottom w:val="0"/>
      <w:divBdr>
        <w:top w:val="none" w:sz="0" w:space="0" w:color="auto"/>
        <w:left w:val="none" w:sz="0" w:space="0" w:color="auto"/>
        <w:bottom w:val="none" w:sz="0" w:space="0" w:color="auto"/>
        <w:right w:val="none" w:sz="0" w:space="0" w:color="auto"/>
      </w:divBdr>
      <w:divsChild>
        <w:div w:id="1258562848">
          <w:marLeft w:val="806"/>
          <w:marRight w:val="0"/>
          <w:marTop w:val="0"/>
          <w:marBottom w:val="0"/>
          <w:divBdr>
            <w:top w:val="none" w:sz="0" w:space="0" w:color="auto"/>
            <w:left w:val="none" w:sz="0" w:space="0" w:color="auto"/>
            <w:bottom w:val="none" w:sz="0" w:space="0" w:color="auto"/>
            <w:right w:val="none" w:sz="0" w:space="0" w:color="auto"/>
          </w:divBdr>
        </w:div>
        <w:div w:id="1494949270">
          <w:marLeft w:val="806"/>
          <w:marRight w:val="0"/>
          <w:marTop w:val="0"/>
          <w:marBottom w:val="0"/>
          <w:divBdr>
            <w:top w:val="none" w:sz="0" w:space="0" w:color="auto"/>
            <w:left w:val="none" w:sz="0" w:space="0" w:color="auto"/>
            <w:bottom w:val="none" w:sz="0" w:space="0" w:color="auto"/>
            <w:right w:val="none" w:sz="0" w:space="0" w:color="auto"/>
          </w:divBdr>
        </w:div>
        <w:div w:id="1745032131">
          <w:marLeft w:val="806"/>
          <w:marRight w:val="0"/>
          <w:marTop w:val="0"/>
          <w:marBottom w:val="0"/>
          <w:divBdr>
            <w:top w:val="none" w:sz="0" w:space="0" w:color="auto"/>
            <w:left w:val="none" w:sz="0" w:space="0" w:color="auto"/>
            <w:bottom w:val="none" w:sz="0" w:space="0" w:color="auto"/>
            <w:right w:val="none" w:sz="0" w:space="0" w:color="auto"/>
          </w:divBdr>
        </w:div>
        <w:div w:id="1993635186">
          <w:marLeft w:val="806"/>
          <w:marRight w:val="0"/>
          <w:marTop w:val="0"/>
          <w:marBottom w:val="0"/>
          <w:divBdr>
            <w:top w:val="none" w:sz="0" w:space="0" w:color="auto"/>
            <w:left w:val="none" w:sz="0" w:space="0" w:color="auto"/>
            <w:bottom w:val="none" w:sz="0" w:space="0" w:color="auto"/>
            <w:right w:val="none" w:sz="0" w:space="0" w:color="auto"/>
          </w:divBdr>
        </w:div>
        <w:div w:id="2063359764">
          <w:marLeft w:val="806"/>
          <w:marRight w:val="0"/>
          <w:marTop w:val="0"/>
          <w:marBottom w:val="0"/>
          <w:divBdr>
            <w:top w:val="none" w:sz="0" w:space="0" w:color="auto"/>
            <w:left w:val="none" w:sz="0" w:space="0" w:color="auto"/>
            <w:bottom w:val="none" w:sz="0" w:space="0" w:color="auto"/>
            <w:right w:val="none" w:sz="0" w:space="0" w:color="auto"/>
          </w:divBdr>
        </w:div>
      </w:divsChild>
    </w:div>
    <w:div w:id="1029137324">
      <w:bodyDiv w:val="1"/>
      <w:marLeft w:val="0"/>
      <w:marRight w:val="0"/>
      <w:marTop w:val="0"/>
      <w:marBottom w:val="0"/>
      <w:divBdr>
        <w:top w:val="none" w:sz="0" w:space="0" w:color="auto"/>
        <w:left w:val="none" w:sz="0" w:space="0" w:color="auto"/>
        <w:bottom w:val="none" w:sz="0" w:space="0" w:color="auto"/>
        <w:right w:val="none" w:sz="0" w:space="0" w:color="auto"/>
      </w:divBdr>
    </w:div>
    <w:div w:id="1036274831">
      <w:bodyDiv w:val="1"/>
      <w:marLeft w:val="0"/>
      <w:marRight w:val="0"/>
      <w:marTop w:val="0"/>
      <w:marBottom w:val="0"/>
      <w:divBdr>
        <w:top w:val="none" w:sz="0" w:space="0" w:color="auto"/>
        <w:left w:val="none" w:sz="0" w:space="0" w:color="auto"/>
        <w:bottom w:val="none" w:sz="0" w:space="0" w:color="auto"/>
        <w:right w:val="none" w:sz="0" w:space="0" w:color="auto"/>
      </w:divBdr>
      <w:divsChild>
        <w:div w:id="853882651">
          <w:marLeft w:val="547"/>
          <w:marRight w:val="0"/>
          <w:marTop w:val="115"/>
          <w:marBottom w:val="0"/>
          <w:divBdr>
            <w:top w:val="none" w:sz="0" w:space="0" w:color="auto"/>
            <w:left w:val="none" w:sz="0" w:space="0" w:color="auto"/>
            <w:bottom w:val="none" w:sz="0" w:space="0" w:color="auto"/>
            <w:right w:val="none" w:sz="0" w:space="0" w:color="auto"/>
          </w:divBdr>
        </w:div>
        <w:div w:id="1338313196">
          <w:marLeft w:val="1166"/>
          <w:marRight w:val="0"/>
          <w:marTop w:val="115"/>
          <w:marBottom w:val="0"/>
          <w:divBdr>
            <w:top w:val="none" w:sz="0" w:space="0" w:color="auto"/>
            <w:left w:val="none" w:sz="0" w:space="0" w:color="auto"/>
            <w:bottom w:val="none" w:sz="0" w:space="0" w:color="auto"/>
            <w:right w:val="none" w:sz="0" w:space="0" w:color="auto"/>
          </w:divBdr>
        </w:div>
      </w:divsChild>
    </w:div>
    <w:div w:id="1043140949">
      <w:bodyDiv w:val="1"/>
      <w:marLeft w:val="0"/>
      <w:marRight w:val="0"/>
      <w:marTop w:val="0"/>
      <w:marBottom w:val="0"/>
      <w:divBdr>
        <w:top w:val="none" w:sz="0" w:space="0" w:color="auto"/>
        <w:left w:val="none" w:sz="0" w:space="0" w:color="auto"/>
        <w:bottom w:val="none" w:sz="0" w:space="0" w:color="auto"/>
        <w:right w:val="none" w:sz="0" w:space="0" w:color="auto"/>
      </w:divBdr>
    </w:div>
    <w:div w:id="1043482189">
      <w:bodyDiv w:val="1"/>
      <w:marLeft w:val="0"/>
      <w:marRight w:val="0"/>
      <w:marTop w:val="0"/>
      <w:marBottom w:val="0"/>
      <w:divBdr>
        <w:top w:val="none" w:sz="0" w:space="0" w:color="auto"/>
        <w:left w:val="none" w:sz="0" w:space="0" w:color="auto"/>
        <w:bottom w:val="none" w:sz="0" w:space="0" w:color="auto"/>
        <w:right w:val="none" w:sz="0" w:space="0" w:color="auto"/>
      </w:divBdr>
    </w:div>
    <w:div w:id="1044869962">
      <w:bodyDiv w:val="1"/>
      <w:marLeft w:val="0"/>
      <w:marRight w:val="0"/>
      <w:marTop w:val="0"/>
      <w:marBottom w:val="0"/>
      <w:divBdr>
        <w:top w:val="none" w:sz="0" w:space="0" w:color="auto"/>
        <w:left w:val="none" w:sz="0" w:space="0" w:color="auto"/>
        <w:bottom w:val="none" w:sz="0" w:space="0" w:color="auto"/>
        <w:right w:val="none" w:sz="0" w:space="0" w:color="auto"/>
      </w:divBdr>
    </w:div>
    <w:div w:id="1051223136">
      <w:bodyDiv w:val="1"/>
      <w:marLeft w:val="0"/>
      <w:marRight w:val="0"/>
      <w:marTop w:val="0"/>
      <w:marBottom w:val="0"/>
      <w:divBdr>
        <w:top w:val="none" w:sz="0" w:space="0" w:color="auto"/>
        <w:left w:val="none" w:sz="0" w:space="0" w:color="auto"/>
        <w:bottom w:val="none" w:sz="0" w:space="0" w:color="auto"/>
        <w:right w:val="none" w:sz="0" w:space="0" w:color="auto"/>
      </w:divBdr>
    </w:div>
    <w:div w:id="1053579333">
      <w:bodyDiv w:val="1"/>
      <w:marLeft w:val="0"/>
      <w:marRight w:val="0"/>
      <w:marTop w:val="0"/>
      <w:marBottom w:val="0"/>
      <w:divBdr>
        <w:top w:val="none" w:sz="0" w:space="0" w:color="auto"/>
        <w:left w:val="none" w:sz="0" w:space="0" w:color="auto"/>
        <w:bottom w:val="none" w:sz="0" w:space="0" w:color="auto"/>
        <w:right w:val="none" w:sz="0" w:space="0" w:color="auto"/>
      </w:divBdr>
    </w:div>
    <w:div w:id="1054044661">
      <w:bodyDiv w:val="1"/>
      <w:marLeft w:val="0"/>
      <w:marRight w:val="0"/>
      <w:marTop w:val="0"/>
      <w:marBottom w:val="0"/>
      <w:divBdr>
        <w:top w:val="none" w:sz="0" w:space="0" w:color="auto"/>
        <w:left w:val="none" w:sz="0" w:space="0" w:color="auto"/>
        <w:bottom w:val="none" w:sz="0" w:space="0" w:color="auto"/>
        <w:right w:val="none" w:sz="0" w:space="0" w:color="auto"/>
      </w:divBdr>
    </w:div>
    <w:div w:id="1055549032">
      <w:bodyDiv w:val="1"/>
      <w:marLeft w:val="0"/>
      <w:marRight w:val="0"/>
      <w:marTop w:val="0"/>
      <w:marBottom w:val="0"/>
      <w:divBdr>
        <w:top w:val="none" w:sz="0" w:space="0" w:color="auto"/>
        <w:left w:val="none" w:sz="0" w:space="0" w:color="auto"/>
        <w:bottom w:val="none" w:sz="0" w:space="0" w:color="auto"/>
        <w:right w:val="none" w:sz="0" w:space="0" w:color="auto"/>
      </w:divBdr>
    </w:div>
    <w:div w:id="1086808537">
      <w:bodyDiv w:val="1"/>
      <w:marLeft w:val="0"/>
      <w:marRight w:val="0"/>
      <w:marTop w:val="0"/>
      <w:marBottom w:val="0"/>
      <w:divBdr>
        <w:top w:val="none" w:sz="0" w:space="0" w:color="auto"/>
        <w:left w:val="none" w:sz="0" w:space="0" w:color="auto"/>
        <w:bottom w:val="none" w:sz="0" w:space="0" w:color="auto"/>
        <w:right w:val="none" w:sz="0" w:space="0" w:color="auto"/>
      </w:divBdr>
    </w:div>
    <w:div w:id="1087078337">
      <w:bodyDiv w:val="1"/>
      <w:marLeft w:val="0"/>
      <w:marRight w:val="0"/>
      <w:marTop w:val="0"/>
      <w:marBottom w:val="0"/>
      <w:divBdr>
        <w:top w:val="none" w:sz="0" w:space="0" w:color="auto"/>
        <w:left w:val="none" w:sz="0" w:space="0" w:color="auto"/>
        <w:bottom w:val="none" w:sz="0" w:space="0" w:color="auto"/>
        <w:right w:val="none" w:sz="0" w:space="0" w:color="auto"/>
      </w:divBdr>
    </w:div>
    <w:div w:id="1091776340">
      <w:bodyDiv w:val="1"/>
      <w:marLeft w:val="0"/>
      <w:marRight w:val="0"/>
      <w:marTop w:val="0"/>
      <w:marBottom w:val="0"/>
      <w:divBdr>
        <w:top w:val="none" w:sz="0" w:space="0" w:color="auto"/>
        <w:left w:val="none" w:sz="0" w:space="0" w:color="auto"/>
        <w:bottom w:val="none" w:sz="0" w:space="0" w:color="auto"/>
        <w:right w:val="none" w:sz="0" w:space="0" w:color="auto"/>
      </w:divBdr>
    </w:div>
    <w:div w:id="1094933692">
      <w:bodyDiv w:val="1"/>
      <w:marLeft w:val="0"/>
      <w:marRight w:val="0"/>
      <w:marTop w:val="0"/>
      <w:marBottom w:val="0"/>
      <w:divBdr>
        <w:top w:val="none" w:sz="0" w:space="0" w:color="auto"/>
        <w:left w:val="none" w:sz="0" w:space="0" w:color="auto"/>
        <w:bottom w:val="none" w:sz="0" w:space="0" w:color="auto"/>
        <w:right w:val="none" w:sz="0" w:space="0" w:color="auto"/>
      </w:divBdr>
    </w:div>
    <w:div w:id="1098673338">
      <w:bodyDiv w:val="1"/>
      <w:marLeft w:val="0"/>
      <w:marRight w:val="0"/>
      <w:marTop w:val="0"/>
      <w:marBottom w:val="0"/>
      <w:divBdr>
        <w:top w:val="none" w:sz="0" w:space="0" w:color="auto"/>
        <w:left w:val="none" w:sz="0" w:space="0" w:color="auto"/>
        <w:bottom w:val="none" w:sz="0" w:space="0" w:color="auto"/>
        <w:right w:val="none" w:sz="0" w:space="0" w:color="auto"/>
      </w:divBdr>
    </w:div>
    <w:div w:id="1099988570">
      <w:bodyDiv w:val="1"/>
      <w:marLeft w:val="0"/>
      <w:marRight w:val="0"/>
      <w:marTop w:val="0"/>
      <w:marBottom w:val="0"/>
      <w:divBdr>
        <w:top w:val="none" w:sz="0" w:space="0" w:color="auto"/>
        <w:left w:val="none" w:sz="0" w:space="0" w:color="auto"/>
        <w:bottom w:val="none" w:sz="0" w:space="0" w:color="auto"/>
        <w:right w:val="none" w:sz="0" w:space="0" w:color="auto"/>
      </w:divBdr>
    </w:div>
    <w:div w:id="1117916961">
      <w:bodyDiv w:val="1"/>
      <w:marLeft w:val="0"/>
      <w:marRight w:val="0"/>
      <w:marTop w:val="0"/>
      <w:marBottom w:val="0"/>
      <w:divBdr>
        <w:top w:val="none" w:sz="0" w:space="0" w:color="auto"/>
        <w:left w:val="none" w:sz="0" w:space="0" w:color="auto"/>
        <w:bottom w:val="none" w:sz="0" w:space="0" w:color="auto"/>
        <w:right w:val="none" w:sz="0" w:space="0" w:color="auto"/>
      </w:divBdr>
    </w:div>
    <w:div w:id="1118986037">
      <w:bodyDiv w:val="1"/>
      <w:marLeft w:val="0"/>
      <w:marRight w:val="0"/>
      <w:marTop w:val="0"/>
      <w:marBottom w:val="0"/>
      <w:divBdr>
        <w:top w:val="none" w:sz="0" w:space="0" w:color="auto"/>
        <w:left w:val="none" w:sz="0" w:space="0" w:color="auto"/>
        <w:bottom w:val="none" w:sz="0" w:space="0" w:color="auto"/>
        <w:right w:val="none" w:sz="0" w:space="0" w:color="auto"/>
      </w:divBdr>
    </w:div>
    <w:div w:id="1122266007">
      <w:bodyDiv w:val="1"/>
      <w:marLeft w:val="0"/>
      <w:marRight w:val="0"/>
      <w:marTop w:val="0"/>
      <w:marBottom w:val="0"/>
      <w:divBdr>
        <w:top w:val="none" w:sz="0" w:space="0" w:color="auto"/>
        <w:left w:val="none" w:sz="0" w:space="0" w:color="auto"/>
        <w:bottom w:val="none" w:sz="0" w:space="0" w:color="auto"/>
        <w:right w:val="none" w:sz="0" w:space="0" w:color="auto"/>
      </w:divBdr>
      <w:divsChild>
        <w:div w:id="1546066254">
          <w:marLeft w:val="1080"/>
          <w:marRight w:val="0"/>
          <w:marTop w:val="100"/>
          <w:marBottom w:val="0"/>
          <w:divBdr>
            <w:top w:val="none" w:sz="0" w:space="0" w:color="auto"/>
            <w:left w:val="none" w:sz="0" w:space="0" w:color="auto"/>
            <w:bottom w:val="none" w:sz="0" w:space="0" w:color="auto"/>
            <w:right w:val="none" w:sz="0" w:space="0" w:color="auto"/>
          </w:divBdr>
        </w:div>
      </w:divsChild>
    </w:div>
    <w:div w:id="1126656741">
      <w:bodyDiv w:val="1"/>
      <w:marLeft w:val="0"/>
      <w:marRight w:val="0"/>
      <w:marTop w:val="0"/>
      <w:marBottom w:val="0"/>
      <w:divBdr>
        <w:top w:val="none" w:sz="0" w:space="0" w:color="auto"/>
        <w:left w:val="none" w:sz="0" w:space="0" w:color="auto"/>
        <w:bottom w:val="none" w:sz="0" w:space="0" w:color="auto"/>
        <w:right w:val="none" w:sz="0" w:space="0" w:color="auto"/>
      </w:divBdr>
    </w:div>
    <w:div w:id="1129855537">
      <w:bodyDiv w:val="1"/>
      <w:marLeft w:val="0"/>
      <w:marRight w:val="0"/>
      <w:marTop w:val="0"/>
      <w:marBottom w:val="0"/>
      <w:divBdr>
        <w:top w:val="none" w:sz="0" w:space="0" w:color="auto"/>
        <w:left w:val="none" w:sz="0" w:space="0" w:color="auto"/>
        <w:bottom w:val="none" w:sz="0" w:space="0" w:color="auto"/>
        <w:right w:val="none" w:sz="0" w:space="0" w:color="auto"/>
      </w:divBdr>
    </w:div>
    <w:div w:id="1131706185">
      <w:bodyDiv w:val="1"/>
      <w:marLeft w:val="0"/>
      <w:marRight w:val="0"/>
      <w:marTop w:val="0"/>
      <w:marBottom w:val="0"/>
      <w:divBdr>
        <w:top w:val="none" w:sz="0" w:space="0" w:color="auto"/>
        <w:left w:val="none" w:sz="0" w:space="0" w:color="auto"/>
        <w:bottom w:val="none" w:sz="0" w:space="0" w:color="auto"/>
        <w:right w:val="none" w:sz="0" w:space="0" w:color="auto"/>
      </w:divBdr>
    </w:div>
    <w:div w:id="1131823599">
      <w:bodyDiv w:val="1"/>
      <w:marLeft w:val="0"/>
      <w:marRight w:val="0"/>
      <w:marTop w:val="0"/>
      <w:marBottom w:val="0"/>
      <w:divBdr>
        <w:top w:val="none" w:sz="0" w:space="0" w:color="auto"/>
        <w:left w:val="none" w:sz="0" w:space="0" w:color="auto"/>
        <w:bottom w:val="none" w:sz="0" w:space="0" w:color="auto"/>
        <w:right w:val="none" w:sz="0" w:space="0" w:color="auto"/>
      </w:divBdr>
    </w:div>
    <w:div w:id="1133018941">
      <w:bodyDiv w:val="1"/>
      <w:marLeft w:val="0"/>
      <w:marRight w:val="0"/>
      <w:marTop w:val="0"/>
      <w:marBottom w:val="0"/>
      <w:divBdr>
        <w:top w:val="none" w:sz="0" w:space="0" w:color="auto"/>
        <w:left w:val="none" w:sz="0" w:space="0" w:color="auto"/>
        <w:bottom w:val="none" w:sz="0" w:space="0" w:color="auto"/>
        <w:right w:val="none" w:sz="0" w:space="0" w:color="auto"/>
      </w:divBdr>
    </w:div>
    <w:div w:id="1138183464">
      <w:bodyDiv w:val="1"/>
      <w:marLeft w:val="0"/>
      <w:marRight w:val="0"/>
      <w:marTop w:val="0"/>
      <w:marBottom w:val="0"/>
      <w:divBdr>
        <w:top w:val="none" w:sz="0" w:space="0" w:color="auto"/>
        <w:left w:val="none" w:sz="0" w:space="0" w:color="auto"/>
        <w:bottom w:val="none" w:sz="0" w:space="0" w:color="auto"/>
        <w:right w:val="none" w:sz="0" w:space="0" w:color="auto"/>
      </w:divBdr>
    </w:div>
    <w:div w:id="1140154075">
      <w:bodyDiv w:val="1"/>
      <w:marLeft w:val="0"/>
      <w:marRight w:val="0"/>
      <w:marTop w:val="0"/>
      <w:marBottom w:val="0"/>
      <w:divBdr>
        <w:top w:val="none" w:sz="0" w:space="0" w:color="auto"/>
        <w:left w:val="none" w:sz="0" w:space="0" w:color="auto"/>
        <w:bottom w:val="none" w:sz="0" w:space="0" w:color="auto"/>
        <w:right w:val="none" w:sz="0" w:space="0" w:color="auto"/>
      </w:divBdr>
    </w:div>
    <w:div w:id="1144083128">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150554743">
      <w:bodyDiv w:val="1"/>
      <w:marLeft w:val="0"/>
      <w:marRight w:val="0"/>
      <w:marTop w:val="0"/>
      <w:marBottom w:val="0"/>
      <w:divBdr>
        <w:top w:val="none" w:sz="0" w:space="0" w:color="auto"/>
        <w:left w:val="none" w:sz="0" w:space="0" w:color="auto"/>
        <w:bottom w:val="none" w:sz="0" w:space="0" w:color="auto"/>
        <w:right w:val="none" w:sz="0" w:space="0" w:color="auto"/>
      </w:divBdr>
    </w:div>
    <w:div w:id="1159077078">
      <w:bodyDiv w:val="1"/>
      <w:marLeft w:val="0"/>
      <w:marRight w:val="0"/>
      <w:marTop w:val="0"/>
      <w:marBottom w:val="0"/>
      <w:divBdr>
        <w:top w:val="none" w:sz="0" w:space="0" w:color="auto"/>
        <w:left w:val="none" w:sz="0" w:space="0" w:color="auto"/>
        <w:bottom w:val="none" w:sz="0" w:space="0" w:color="auto"/>
        <w:right w:val="none" w:sz="0" w:space="0" w:color="auto"/>
      </w:divBdr>
    </w:div>
    <w:div w:id="1159079158">
      <w:bodyDiv w:val="1"/>
      <w:marLeft w:val="0"/>
      <w:marRight w:val="0"/>
      <w:marTop w:val="0"/>
      <w:marBottom w:val="0"/>
      <w:divBdr>
        <w:top w:val="none" w:sz="0" w:space="0" w:color="auto"/>
        <w:left w:val="none" w:sz="0" w:space="0" w:color="auto"/>
        <w:bottom w:val="none" w:sz="0" w:space="0" w:color="auto"/>
        <w:right w:val="none" w:sz="0" w:space="0" w:color="auto"/>
      </w:divBdr>
    </w:div>
    <w:div w:id="1162618698">
      <w:bodyDiv w:val="1"/>
      <w:marLeft w:val="0"/>
      <w:marRight w:val="0"/>
      <w:marTop w:val="0"/>
      <w:marBottom w:val="0"/>
      <w:divBdr>
        <w:top w:val="none" w:sz="0" w:space="0" w:color="auto"/>
        <w:left w:val="none" w:sz="0" w:space="0" w:color="auto"/>
        <w:bottom w:val="none" w:sz="0" w:space="0" w:color="auto"/>
        <w:right w:val="none" w:sz="0" w:space="0" w:color="auto"/>
      </w:divBdr>
    </w:div>
    <w:div w:id="1164128888">
      <w:bodyDiv w:val="1"/>
      <w:marLeft w:val="0"/>
      <w:marRight w:val="0"/>
      <w:marTop w:val="0"/>
      <w:marBottom w:val="0"/>
      <w:divBdr>
        <w:top w:val="none" w:sz="0" w:space="0" w:color="auto"/>
        <w:left w:val="none" w:sz="0" w:space="0" w:color="auto"/>
        <w:bottom w:val="none" w:sz="0" w:space="0" w:color="auto"/>
        <w:right w:val="none" w:sz="0" w:space="0" w:color="auto"/>
      </w:divBdr>
    </w:div>
    <w:div w:id="1168180238">
      <w:bodyDiv w:val="1"/>
      <w:marLeft w:val="0"/>
      <w:marRight w:val="0"/>
      <w:marTop w:val="0"/>
      <w:marBottom w:val="0"/>
      <w:divBdr>
        <w:top w:val="none" w:sz="0" w:space="0" w:color="auto"/>
        <w:left w:val="none" w:sz="0" w:space="0" w:color="auto"/>
        <w:bottom w:val="none" w:sz="0" w:space="0" w:color="auto"/>
        <w:right w:val="none" w:sz="0" w:space="0" w:color="auto"/>
      </w:divBdr>
      <w:divsChild>
        <w:div w:id="248929728">
          <w:marLeft w:val="547"/>
          <w:marRight w:val="0"/>
          <w:marTop w:val="0"/>
          <w:marBottom w:val="0"/>
          <w:divBdr>
            <w:top w:val="none" w:sz="0" w:space="0" w:color="auto"/>
            <w:left w:val="none" w:sz="0" w:space="0" w:color="auto"/>
            <w:bottom w:val="none" w:sz="0" w:space="0" w:color="auto"/>
            <w:right w:val="none" w:sz="0" w:space="0" w:color="auto"/>
          </w:divBdr>
        </w:div>
        <w:div w:id="1391146320">
          <w:marLeft w:val="547"/>
          <w:marRight w:val="0"/>
          <w:marTop w:val="0"/>
          <w:marBottom w:val="0"/>
          <w:divBdr>
            <w:top w:val="none" w:sz="0" w:space="0" w:color="auto"/>
            <w:left w:val="none" w:sz="0" w:space="0" w:color="auto"/>
            <w:bottom w:val="none" w:sz="0" w:space="0" w:color="auto"/>
            <w:right w:val="none" w:sz="0" w:space="0" w:color="auto"/>
          </w:divBdr>
        </w:div>
        <w:div w:id="1897232804">
          <w:marLeft w:val="547"/>
          <w:marRight w:val="0"/>
          <w:marTop w:val="0"/>
          <w:marBottom w:val="0"/>
          <w:divBdr>
            <w:top w:val="none" w:sz="0" w:space="0" w:color="auto"/>
            <w:left w:val="none" w:sz="0" w:space="0" w:color="auto"/>
            <w:bottom w:val="none" w:sz="0" w:space="0" w:color="auto"/>
            <w:right w:val="none" w:sz="0" w:space="0" w:color="auto"/>
          </w:divBdr>
        </w:div>
        <w:div w:id="2097285098">
          <w:marLeft w:val="547"/>
          <w:marRight w:val="0"/>
          <w:marTop w:val="0"/>
          <w:marBottom w:val="0"/>
          <w:divBdr>
            <w:top w:val="none" w:sz="0" w:space="0" w:color="auto"/>
            <w:left w:val="none" w:sz="0" w:space="0" w:color="auto"/>
            <w:bottom w:val="none" w:sz="0" w:space="0" w:color="auto"/>
            <w:right w:val="none" w:sz="0" w:space="0" w:color="auto"/>
          </w:divBdr>
        </w:div>
      </w:divsChild>
    </w:div>
    <w:div w:id="1174495721">
      <w:bodyDiv w:val="1"/>
      <w:marLeft w:val="0"/>
      <w:marRight w:val="0"/>
      <w:marTop w:val="0"/>
      <w:marBottom w:val="0"/>
      <w:divBdr>
        <w:top w:val="none" w:sz="0" w:space="0" w:color="auto"/>
        <w:left w:val="none" w:sz="0" w:space="0" w:color="auto"/>
        <w:bottom w:val="none" w:sz="0" w:space="0" w:color="auto"/>
        <w:right w:val="none" w:sz="0" w:space="0" w:color="auto"/>
      </w:divBdr>
      <w:divsChild>
        <w:div w:id="787743002">
          <w:marLeft w:val="0"/>
          <w:marRight w:val="0"/>
          <w:marTop w:val="0"/>
          <w:marBottom w:val="0"/>
          <w:divBdr>
            <w:top w:val="none" w:sz="0" w:space="0" w:color="auto"/>
            <w:left w:val="none" w:sz="0" w:space="0" w:color="auto"/>
            <w:bottom w:val="none" w:sz="0" w:space="0" w:color="auto"/>
            <w:right w:val="none" w:sz="0" w:space="0" w:color="auto"/>
          </w:divBdr>
          <w:divsChild>
            <w:div w:id="1082338258">
              <w:marLeft w:val="0"/>
              <w:marRight w:val="0"/>
              <w:marTop w:val="0"/>
              <w:marBottom w:val="0"/>
              <w:divBdr>
                <w:top w:val="none" w:sz="0" w:space="0" w:color="auto"/>
                <w:left w:val="none" w:sz="0" w:space="0" w:color="auto"/>
                <w:bottom w:val="none" w:sz="0" w:space="0" w:color="auto"/>
                <w:right w:val="none" w:sz="0" w:space="0" w:color="auto"/>
              </w:divBdr>
              <w:divsChild>
                <w:div w:id="1779326180">
                  <w:marLeft w:val="0"/>
                  <w:marRight w:val="0"/>
                  <w:marTop w:val="0"/>
                  <w:marBottom w:val="0"/>
                  <w:divBdr>
                    <w:top w:val="none" w:sz="0" w:space="0" w:color="auto"/>
                    <w:left w:val="none" w:sz="0" w:space="0" w:color="auto"/>
                    <w:bottom w:val="none" w:sz="0" w:space="0" w:color="auto"/>
                    <w:right w:val="none" w:sz="0" w:space="0" w:color="auto"/>
                  </w:divBdr>
                  <w:divsChild>
                    <w:div w:id="20965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19947">
      <w:bodyDiv w:val="1"/>
      <w:marLeft w:val="0"/>
      <w:marRight w:val="0"/>
      <w:marTop w:val="0"/>
      <w:marBottom w:val="0"/>
      <w:divBdr>
        <w:top w:val="none" w:sz="0" w:space="0" w:color="auto"/>
        <w:left w:val="none" w:sz="0" w:space="0" w:color="auto"/>
        <w:bottom w:val="none" w:sz="0" w:space="0" w:color="auto"/>
        <w:right w:val="none" w:sz="0" w:space="0" w:color="auto"/>
      </w:divBdr>
    </w:div>
    <w:div w:id="1178541826">
      <w:bodyDiv w:val="1"/>
      <w:marLeft w:val="0"/>
      <w:marRight w:val="0"/>
      <w:marTop w:val="0"/>
      <w:marBottom w:val="0"/>
      <w:divBdr>
        <w:top w:val="none" w:sz="0" w:space="0" w:color="auto"/>
        <w:left w:val="none" w:sz="0" w:space="0" w:color="auto"/>
        <w:bottom w:val="none" w:sz="0" w:space="0" w:color="auto"/>
        <w:right w:val="none" w:sz="0" w:space="0" w:color="auto"/>
      </w:divBdr>
      <w:divsChild>
        <w:div w:id="514729365">
          <w:marLeft w:val="0"/>
          <w:marRight w:val="0"/>
          <w:marTop w:val="0"/>
          <w:marBottom w:val="0"/>
          <w:divBdr>
            <w:top w:val="none" w:sz="0" w:space="0" w:color="auto"/>
            <w:left w:val="none" w:sz="0" w:space="0" w:color="auto"/>
            <w:bottom w:val="none" w:sz="0" w:space="0" w:color="auto"/>
            <w:right w:val="none" w:sz="0" w:space="0" w:color="auto"/>
          </w:divBdr>
          <w:divsChild>
            <w:div w:id="1016346118">
              <w:marLeft w:val="0"/>
              <w:marRight w:val="0"/>
              <w:marTop w:val="0"/>
              <w:marBottom w:val="0"/>
              <w:divBdr>
                <w:top w:val="none" w:sz="0" w:space="0" w:color="auto"/>
                <w:left w:val="none" w:sz="0" w:space="0" w:color="auto"/>
                <w:bottom w:val="none" w:sz="0" w:space="0" w:color="auto"/>
                <w:right w:val="none" w:sz="0" w:space="0" w:color="auto"/>
              </w:divBdr>
              <w:divsChild>
                <w:div w:id="422141663">
                  <w:marLeft w:val="0"/>
                  <w:marRight w:val="0"/>
                  <w:marTop w:val="0"/>
                  <w:marBottom w:val="0"/>
                  <w:divBdr>
                    <w:top w:val="none" w:sz="0" w:space="0" w:color="auto"/>
                    <w:left w:val="none" w:sz="0" w:space="0" w:color="auto"/>
                    <w:bottom w:val="none" w:sz="0" w:space="0" w:color="auto"/>
                    <w:right w:val="none" w:sz="0" w:space="0" w:color="auto"/>
                  </w:divBdr>
                  <w:divsChild>
                    <w:div w:id="9831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62583">
      <w:bodyDiv w:val="1"/>
      <w:marLeft w:val="0"/>
      <w:marRight w:val="0"/>
      <w:marTop w:val="0"/>
      <w:marBottom w:val="0"/>
      <w:divBdr>
        <w:top w:val="none" w:sz="0" w:space="0" w:color="auto"/>
        <w:left w:val="none" w:sz="0" w:space="0" w:color="auto"/>
        <w:bottom w:val="none" w:sz="0" w:space="0" w:color="auto"/>
        <w:right w:val="none" w:sz="0" w:space="0" w:color="auto"/>
      </w:divBdr>
    </w:div>
    <w:div w:id="1182233724">
      <w:bodyDiv w:val="1"/>
      <w:marLeft w:val="0"/>
      <w:marRight w:val="0"/>
      <w:marTop w:val="0"/>
      <w:marBottom w:val="0"/>
      <w:divBdr>
        <w:top w:val="none" w:sz="0" w:space="0" w:color="auto"/>
        <w:left w:val="none" w:sz="0" w:space="0" w:color="auto"/>
        <w:bottom w:val="none" w:sz="0" w:space="0" w:color="auto"/>
        <w:right w:val="none" w:sz="0" w:space="0" w:color="auto"/>
      </w:divBdr>
    </w:div>
    <w:div w:id="1185095708">
      <w:bodyDiv w:val="1"/>
      <w:marLeft w:val="0"/>
      <w:marRight w:val="0"/>
      <w:marTop w:val="0"/>
      <w:marBottom w:val="0"/>
      <w:divBdr>
        <w:top w:val="none" w:sz="0" w:space="0" w:color="auto"/>
        <w:left w:val="none" w:sz="0" w:space="0" w:color="auto"/>
        <w:bottom w:val="none" w:sz="0" w:space="0" w:color="auto"/>
        <w:right w:val="none" w:sz="0" w:space="0" w:color="auto"/>
      </w:divBdr>
    </w:div>
    <w:div w:id="1191920560">
      <w:bodyDiv w:val="1"/>
      <w:marLeft w:val="0"/>
      <w:marRight w:val="0"/>
      <w:marTop w:val="0"/>
      <w:marBottom w:val="0"/>
      <w:divBdr>
        <w:top w:val="none" w:sz="0" w:space="0" w:color="auto"/>
        <w:left w:val="none" w:sz="0" w:space="0" w:color="auto"/>
        <w:bottom w:val="none" w:sz="0" w:space="0" w:color="auto"/>
        <w:right w:val="none" w:sz="0" w:space="0" w:color="auto"/>
      </w:divBdr>
    </w:div>
    <w:div w:id="1197306216">
      <w:bodyDiv w:val="1"/>
      <w:marLeft w:val="0"/>
      <w:marRight w:val="0"/>
      <w:marTop w:val="0"/>
      <w:marBottom w:val="0"/>
      <w:divBdr>
        <w:top w:val="none" w:sz="0" w:space="0" w:color="auto"/>
        <w:left w:val="none" w:sz="0" w:space="0" w:color="auto"/>
        <w:bottom w:val="none" w:sz="0" w:space="0" w:color="auto"/>
        <w:right w:val="none" w:sz="0" w:space="0" w:color="auto"/>
      </w:divBdr>
    </w:div>
    <w:div w:id="1200171219">
      <w:bodyDiv w:val="1"/>
      <w:marLeft w:val="0"/>
      <w:marRight w:val="0"/>
      <w:marTop w:val="0"/>
      <w:marBottom w:val="0"/>
      <w:divBdr>
        <w:top w:val="none" w:sz="0" w:space="0" w:color="auto"/>
        <w:left w:val="none" w:sz="0" w:space="0" w:color="auto"/>
        <w:bottom w:val="none" w:sz="0" w:space="0" w:color="auto"/>
        <w:right w:val="none" w:sz="0" w:space="0" w:color="auto"/>
      </w:divBdr>
    </w:div>
    <w:div w:id="1206867313">
      <w:bodyDiv w:val="1"/>
      <w:marLeft w:val="0"/>
      <w:marRight w:val="0"/>
      <w:marTop w:val="0"/>
      <w:marBottom w:val="0"/>
      <w:divBdr>
        <w:top w:val="none" w:sz="0" w:space="0" w:color="auto"/>
        <w:left w:val="none" w:sz="0" w:space="0" w:color="auto"/>
        <w:bottom w:val="none" w:sz="0" w:space="0" w:color="auto"/>
        <w:right w:val="none" w:sz="0" w:space="0" w:color="auto"/>
      </w:divBdr>
      <w:divsChild>
        <w:div w:id="254437508">
          <w:marLeft w:val="0"/>
          <w:marRight w:val="0"/>
          <w:marTop w:val="0"/>
          <w:marBottom w:val="0"/>
          <w:divBdr>
            <w:top w:val="none" w:sz="0" w:space="0" w:color="auto"/>
            <w:left w:val="none" w:sz="0" w:space="0" w:color="auto"/>
            <w:bottom w:val="none" w:sz="0" w:space="0" w:color="auto"/>
            <w:right w:val="none" w:sz="0" w:space="0" w:color="auto"/>
          </w:divBdr>
          <w:divsChild>
            <w:div w:id="1580410846">
              <w:marLeft w:val="0"/>
              <w:marRight w:val="0"/>
              <w:marTop w:val="0"/>
              <w:marBottom w:val="0"/>
              <w:divBdr>
                <w:top w:val="none" w:sz="0" w:space="0" w:color="auto"/>
                <w:left w:val="none" w:sz="0" w:space="0" w:color="auto"/>
                <w:bottom w:val="none" w:sz="0" w:space="0" w:color="auto"/>
                <w:right w:val="none" w:sz="0" w:space="0" w:color="auto"/>
              </w:divBdr>
            </w:div>
          </w:divsChild>
        </w:div>
        <w:div w:id="649211709">
          <w:marLeft w:val="0"/>
          <w:marRight w:val="0"/>
          <w:marTop w:val="0"/>
          <w:marBottom w:val="0"/>
          <w:divBdr>
            <w:top w:val="none" w:sz="0" w:space="0" w:color="auto"/>
            <w:left w:val="none" w:sz="0" w:space="0" w:color="auto"/>
            <w:bottom w:val="none" w:sz="0" w:space="0" w:color="auto"/>
            <w:right w:val="none" w:sz="0" w:space="0" w:color="auto"/>
          </w:divBdr>
          <w:divsChild>
            <w:div w:id="9570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6784">
      <w:bodyDiv w:val="1"/>
      <w:marLeft w:val="0"/>
      <w:marRight w:val="0"/>
      <w:marTop w:val="0"/>
      <w:marBottom w:val="0"/>
      <w:divBdr>
        <w:top w:val="none" w:sz="0" w:space="0" w:color="auto"/>
        <w:left w:val="none" w:sz="0" w:space="0" w:color="auto"/>
        <w:bottom w:val="none" w:sz="0" w:space="0" w:color="auto"/>
        <w:right w:val="none" w:sz="0" w:space="0" w:color="auto"/>
      </w:divBdr>
    </w:div>
    <w:div w:id="1212183519">
      <w:bodyDiv w:val="1"/>
      <w:marLeft w:val="0"/>
      <w:marRight w:val="0"/>
      <w:marTop w:val="0"/>
      <w:marBottom w:val="0"/>
      <w:divBdr>
        <w:top w:val="none" w:sz="0" w:space="0" w:color="auto"/>
        <w:left w:val="none" w:sz="0" w:space="0" w:color="auto"/>
        <w:bottom w:val="none" w:sz="0" w:space="0" w:color="auto"/>
        <w:right w:val="none" w:sz="0" w:space="0" w:color="auto"/>
      </w:divBdr>
      <w:divsChild>
        <w:div w:id="1943949997">
          <w:marLeft w:val="0"/>
          <w:marRight w:val="0"/>
          <w:marTop w:val="0"/>
          <w:marBottom w:val="0"/>
          <w:divBdr>
            <w:top w:val="none" w:sz="0" w:space="0" w:color="auto"/>
            <w:left w:val="none" w:sz="0" w:space="0" w:color="auto"/>
            <w:bottom w:val="none" w:sz="0" w:space="0" w:color="auto"/>
            <w:right w:val="none" w:sz="0" w:space="0" w:color="auto"/>
          </w:divBdr>
          <w:divsChild>
            <w:div w:id="2144081197">
              <w:marLeft w:val="0"/>
              <w:marRight w:val="0"/>
              <w:marTop w:val="0"/>
              <w:marBottom w:val="0"/>
              <w:divBdr>
                <w:top w:val="none" w:sz="0" w:space="0" w:color="auto"/>
                <w:left w:val="none" w:sz="0" w:space="0" w:color="auto"/>
                <w:bottom w:val="none" w:sz="0" w:space="0" w:color="auto"/>
                <w:right w:val="none" w:sz="0" w:space="0" w:color="auto"/>
              </w:divBdr>
              <w:divsChild>
                <w:div w:id="21387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7059">
      <w:bodyDiv w:val="1"/>
      <w:marLeft w:val="0"/>
      <w:marRight w:val="0"/>
      <w:marTop w:val="0"/>
      <w:marBottom w:val="0"/>
      <w:divBdr>
        <w:top w:val="none" w:sz="0" w:space="0" w:color="auto"/>
        <w:left w:val="none" w:sz="0" w:space="0" w:color="auto"/>
        <w:bottom w:val="none" w:sz="0" w:space="0" w:color="auto"/>
        <w:right w:val="none" w:sz="0" w:space="0" w:color="auto"/>
      </w:divBdr>
      <w:divsChild>
        <w:div w:id="691611225">
          <w:marLeft w:val="0"/>
          <w:marRight w:val="0"/>
          <w:marTop w:val="0"/>
          <w:marBottom w:val="0"/>
          <w:divBdr>
            <w:top w:val="none" w:sz="0" w:space="0" w:color="auto"/>
            <w:left w:val="none" w:sz="0" w:space="0" w:color="auto"/>
            <w:bottom w:val="none" w:sz="0" w:space="0" w:color="auto"/>
            <w:right w:val="none" w:sz="0" w:space="0" w:color="auto"/>
          </w:divBdr>
          <w:divsChild>
            <w:div w:id="1300722043">
              <w:marLeft w:val="0"/>
              <w:marRight w:val="0"/>
              <w:marTop w:val="0"/>
              <w:marBottom w:val="0"/>
              <w:divBdr>
                <w:top w:val="none" w:sz="0" w:space="0" w:color="auto"/>
                <w:left w:val="none" w:sz="0" w:space="0" w:color="auto"/>
                <w:bottom w:val="none" w:sz="0" w:space="0" w:color="auto"/>
                <w:right w:val="none" w:sz="0" w:space="0" w:color="auto"/>
              </w:divBdr>
              <w:divsChild>
                <w:div w:id="204560359">
                  <w:marLeft w:val="0"/>
                  <w:marRight w:val="0"/>
                  <w:marTop w:val="0"/>
                  <w:marBottom w:val="0"/>
                  <w:divBdr>
                    <w:top w:val="none" w:sz="0" w:space="0" w:color="auto"/>
                    <w:left w:val="none" w:sz="0" w:space="0" w:color="auto"/>
                    <w:bottom w:val="none" w:sz="0" w:space="0" w:color="auto"/>
                    <w:right w:val="none" w:sz="0" w:space="0" w:color="auto"/>
                  </w:divBdr>
                  <w:divsChild>
                    <w:div w:id="123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014775">
      <w:bodyDiv w:val="1"/>
      <w:marLeft w:val="0"/>
      <w:marRight w:val="0"/>
      <w:marTop w:val="0"/>
      <w:marBottom w:val="0"/>
      <w:divBdr>
        <w:top w:val="none" w:sz="0" w:space="0" w:color="auto"/>
        <w:left w:val="none" w:sz="0" w:space="0" w:color="auto"/>
        <w:bottom w:val="none" w:sz="0" w:space="0" w:color="auto"/>
        <w:right w:val="none" w:sz="0" w:space="0" w:color="auto"/>
      </w:divBdr>
      <w:divsChild>
        <w:div w:id="2039620102">
          <w:marLeft w:val="547"/>
          <w:marRight w:val="0"/>
          <w:marTop w:val="0"/>
          <w:marBottom w:val="0"/>
          <w:divBdr>
            <w:top w:val="none" w:sz="0" w:space="0" w:color="auto"/>
            <w:left w:val="none" w:sz="0" w:space="0" w:color="auto"/>
            <w:bottom w:val="none" w:sz="0" w:space="0" w:color="auto"/>
            <w:right w:val="none" w:sz="0" w:space="0" w:color="auto"/>
          </w:divBdr>
        </w:div>
      </w:divsChild>
    </w:div>
    <w:div w:id="1223515688">
      <w:bodyDiv w:val="1"/>
      <w:marLeft w:val="0"/>
      <w:marRight w:val="0"/>
      <w:marTop w:val="0"/>
      <w:marBottom w:val="0"/>
      <w:divBdr>
        <w:top w:val="none" w:sz="0" w:space="0" w:color="auto"/>
        <w:left w:val="none" w:sz="0" w:space="0" w:color="auto"/>
        <w:bottom w:val="none" w:sz="0" w:space="0" w:color="auto"/>
        <w:right w:val="none" w:sz="0" w:space="0" w:color="auto"/>
      </w:divBdr>
      <w:divsChild>
        <w:div w:id="209340787">
          <w:marLeft w:val="547"/>
          <w:marRight w:val="0"/>
          <w:marTop w:val="154"/>
          <w:marBottom w:val="0"/>
          <w:divBdr>
            <w:top w:val="none" w:sz="0" w:space="0" w:color="auto"/>
            <w:left w:val="none" w:sz="0" w:space="0" w:color="auto"/>
            <w:bottom w:val="none" w:sz="0" w:space="0" w:color="auto"/>
            <w:right w:val="none" w:sz="0" w:space="0" w:color="auto"/>
          </w:divBdr>
        </w:div>
        <w:div w:id="2105372441">
          <w:marLeft w:val="1166"/>
          <w:marRight w:val="0"/>
          <w:marTop w:val="134"/>
          <w:marBottom w:val="0"/>
          <w:divBdr>
            <w:top w:val="none" w:sz="0" w:space="0" w:color="auto"/>
            <w:left w:val="none" w:sz="0" w:space="0" w:color="auto"/>
            <w:bottom w:val="none" w:sz="0" w:space="0" w:color="auto"/>
            <w:right w:val="none" w:sz="0" w:space="0" w:color="auto"/>
          </w:divBdr>
        </w:div>
      </w:divsChild>
    </w:div>
    <w:div w:id="1229683644">
      <w:bodyDiv w:val="1"/>
      <w:marLeft w:val="0"/>
      <w:marRight w:val="0"/>
      <w:marTop w:val="0"/>
      <w:marBottom w:val="0"/>
      <w:divBdr>
        <w:top w:val="none" w:sz="0" w:space="0" w:color="auto"/>
        <w:left w:val="none" w:sz="0" w:space="0" w:color="auto"/>
        <w:bottom w:val="none" w:sz="0" w:space="0" w:color="auto"/>
        <w:right w:val="none" w:sz="0" w:space="0" w:color="auto"/>
      </w:divBdr>
    </w:div>
    <w:div w:id="1237860577">
      <w:bodyDiv w:val="1"/>
      <w:marLeft w:val="0"/>
      <w:marRight w:val="0"/>
      <w:marTop w:val="0"/>
      <w:marBottom w:val="0"/>
      <w:divBdr>
        <w:top w:val="none" w:sz="0" w:space="0" w:color="auto"/>
        <w:left w:val="none" w:sz="0" w:space="0" w:color="auto"/>
        <w:bottom w:val="none" w:sz="0" w:space="0" w:color="auto"/>
        <w:right w:val="none" w:sz="0" w:space="0" w:color="auto"/>
      </w:divBdr>
    </w:div>
    <w:div w:id="1245146522">
      <w:bodyDiv w:val="1"/>
      <w:marLeft w:val="0"/>
      <w:marRight w:val="0"/>
      <w:marTop w:val="0"/>
      <w:marBottom w:val="0"/>
      <w:divBdr>
        <w:top w:val="none" w:sz="0" w:space="0" w:color="auto"/>
        <w:left w:val="none" w:sz="0" w:space="0" w:color="auto"/>
        <w:bottom w:val="none" w:sz="0" w:space="0" w:color="auto"/>
        <w:right w:val="none" w:sz="0" w:space="0" w:color="auto"/>
      </w:divBdr>
    </w:div>
    <w:div w:id="1274748823">
      <w:bodyDiv w:val="1"/>
      <w:marLeft w:val="0"/>
      <w:marRight w:val="0"/>
      <w:marTop w:val="0"/>
      <w:marBottom w:val="0"/>
      <w:divBdr>
        <w:top w:val="none" w:sz="0" w:space="0" w:color="auto"/>
        <w:left w:val="none" w:sz="0" w:space="0" w:color="auto"/>
        <w:bottom w:val="none" w:sz="0" w:space="0" w:color="auto"/>
        <w:right w:val="none" w:sz="0" w:space="0" w:color="auto"/>
      </w:divBdr>
    </w:div>
    <w:div w:id="1275096938">
      <w:bodyDiv w:val="1"/>
      <w:marLeft w:val="0"/>
      <w:marRight w:val="0"/>
      <w:marTop w:val="0"/>
      <w:marBottom w:val="0"/>
      <w:divBdr>
        <w:top w:val="none" w:sz="0" w:space="0" w:color="auto"/>
        <w:left w:val="none" w:sz="0" w:space="0" w:color="auto"/>
        <w:bottom w:val="none" w:sz="0" w:space="0" w:color="auto"/>
        <w:right w:val="none" w:sz="0" w:space="0" w:color="auto"/>
      </w:divBdr>
    </w:div>
    <w:div w:id="1277517811">
      <w:bodyDiv w:val="1"/>
      <w:marLeft w:val="0"/>
      <w:marRight w:val="0"/>
      <w:marTop w:val="0"/>
      <w:marBottom w:val="0"/>
      <w:divBdr>
        <w:top w:val="none" w:sz="0" w:space="0" w:color="auto"/>
        <w:left w:val="none" w:sz="0" w:space="0" w:color="auto"/>
        <w:bottom w:val="none" w:sz="0" w:space="0" w:color="auto"/>
        <w:right w:val="none" w:sz="0" w:space="0" w:color="auto"/>
      </w:divBdr>
    </w:div>
    <w:div w:id="1279097487">
      <w:bodyDiv w:val="1"/>
      <w:marLeft w:val="0"/>
      <w:marRight w:val="0"/>
      <w:marTop w:val="0"/>
      <w:marBottom w:val="0"/>
      <w:divBdr>
        <w:top w:val="none" w:sz="0" w:space="0" w:color="auto"/>
        <w:left w:val="none" w:sz="0" w:space="0" w:color="auto"/>
        <w:bottom w:val="none" w:sz="0" w:space="0" w:color="auto"/>
        <w:right w:val="none" w:sz="0" w:space="0" w:color="auto"/>
      </w:divBdr>
      <w:divsChild>
        <w:div w:id="665282643">
          <w:marLeft w:val="0"/>
          <w:marRight w:val="0"/>
          <w:marTop w:val="0"/>
          <w:marBottom w:val="0"/>
          <w:divBdr>
            <w:top w:val="none" w:sz="0" w:space="0" w:color="auto"/>
            <w:left w:val="none" w:sz="0" w:space="0" w:color="auto"/>
            <w:bottom w:val="none" w:sz="0" w:space="0" w:color="auto"/>
            <w:right w:val="none" w:sz="0" w:space="0" w:color="auto"/>
          </w:divBdr>
          <w:divsChild>
            <w:div w:id="667176763">
              <w:marLeft w:val="0"/>
              <w:marRight w:val="0"/>
              <w:marTop w:val="0"/>
              <w:marBottom w:val="0"/>
              <w:divBdr>
                <w:top w:val="none" w:sz="0" w:space="0" w:color="auto"/>
                <w:left w:val="none" w:sz="0" w:space="0" w:color="auto"/>
                <w:bottom w:val="none" w:sz="0" w:space="0" w:color="auto"/>
                <w:right w:val="none" w:sz="0" w:space="0" w:color="auto"/>
              </w:divBdr>
              <w:divsChild>
                <w:div w:id="9724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5415">
      <w:bodyDiv w:val="1"/>
      <w:marLeft w:val="0"/>
      <w:marRight w:val="0"/>
      <w:marTop w:val="0"/>
      <w:marBottom w:val="0"/>
      <w:divBdr>
        <w:top w:val="none" w:sz="0" w:space="0" w:color="auto"/>
        <w:left w:val="none" w:sz="0" w:space="0" w:color="auto"/>
        <w:bottom w:val="none" w:sz="0" w:space="0" w:color="auto"/>
        <w:right w:val="none" w:sz="0" w:space="0" w:color="auto"/>
      </w:divBdr>
    </w:div>
    <w:div w:id="1280917169">
      <w:bodyDiv w:val="1"/>
      <w:marLeft w:val="0"/>
      <w:marRight w:val="0"/>
      <w:marTop w:val="0"/>
      <w:marBottom w:val="0"/>
      <w:divBdr>
        <w:top w:val="none" w:sz="0" w:space="0" w:color="auto"/>
        <w:left w:val="none" w:sz="0" w:space="0" w:color="auto"/>
        <w:bottom w:val="none" w:sz="0" w:space="0" w:color="auto"/>
        <w:right w:val="none" w:sz="0" w:space="0" w:color="auto"/>
      </w:divBdr>
      <w:divsChild>
        <w:div w:id="696808138">
          <w:marLeft w:val="547"/>
          <w:marRight w:val="0"/>
          <w:marTop w:val="0"/>
          <w:marBottom w:val="0"/>
          <w:divBdr>
            <w:top w:val="none" w:sz="0" w:space="0" w:color="auto"/>
            <w:left w:val="none" w:sz="0" w:space="0" w:color="auto"/>
            <w:bottom w:val="none" w:sz="0" w:space="0" w:color="auto"/>
            <w:right w:val="none" w:sz="0" w:space="0" w:color="auto"/>
          </w:divBdr>
        </w:div>
      </w:divsChild>
    </w:div>
    <w:div w:id="1283070926">
      <w:bodyDiv w:val="1"/>
      <w:marLeft w:val="0"/>
      <w:marRight w:val="0"/>
      <w:marTop w:val="0"/>
      <w:marBottom w:val="0"/>
      <w:divBdr>
        <w:top w:val="none" w:sz="0" w:space="0" w:color="auto"/>
        <w:left w:val="none" w:sz="0" w:space="0" w:color="auto"/>
        <w:bottom w:val="none" w:sz="0" w:space="0" w:color="auto"/>
        <w:right w:val="none" w:sz="0" w:space="0" w:color="auto"/>
      </w:divBdr>
    </w:div>
    <w:div w:id="1285817048">
      <w:bodyDiv w:val="1"/>
      <w:marLeft w:val="0"/>
      <w:marRight w:val="0"/>
      <w:marTop w:val="0"/>
      <w:marBottom w:val="0"/>
      <w:divBdr>
        <w:top w:val="none" w:sz="0" w:space="0" w:color="auto"/>
        <w:left w:val="none" w:sz="0" w:space="0" w:color="auto"/>
        <w:bottom w:val="none" w:sz="0" w:space="0" w:color="auto"/>
        <w:right w:val="none" w:sz="0" w:space="0" w:color="auto"/>
      </w:divBdr>
    </w:div>
    <w:div w:id="1286426225">
      <w:bodyDiv w:val="1"/>
      <w:marLeft w:val="0"/>
      <w:marRight w:val="0"/>
      <w:marTop w:val="0"/>
      <w:marBottom w:val="0"/>
      <w:divBdr>
        <w:top w:val="none" w:sz="0" w:space="0" w:color="auto"/>
        <w:left w:val="none" w:sz="0" w:space="0" w:color="auto"/>
        <w:bottom w:val="none" w:sz="0" w:space="0" w:color="auto"/>
        <w:right w:val="none" w:sz="0" w:space="0" w:color="auto"/>
      </w:divBdr>
    </w:div>
    <w:div w:id="1289164285">
      <w:bodyDiv w:val="1"/>
      <w:marLeft w:val="0"/>
      <w:marRight w:val="0"/>
      <w:marTop w:val="0"/>
      <w:marBottom w:val="0"/>
      <w:divBdr>
        <w:top w:val="none" w:sz="0" w:space="0" w:color="auto"/>
        <w:left w:val="none" w:sz="0" w:space="0" w:color="auto"/>
        <w:bottom w:val="none" w:sz="0" w:space="0" w:color="auto"/>
        <w:right w:val="none" w:sz="0" w:space="0" w:color="auto"/>
      </w:divBdr>
    </w:div>
    <w:div w:id="1289776197">
      <w:bodyDiv w:val="1"/>
      <w:marLeft w:val="0"/>
      <w:marRight w:val="0"/>
      <w:marTop w:val="0"/>
      <w:marBottom w:val="0"/>
      <w:divBdr>
        <w:top w:val="none" w:sz="0" w:space="0" w:color="auto"/>
        <w:left w:val="none" w:sz="0" w:space="0" w:color="auto"/>
        <w:bottom w:val="none" w:sz="0" w:space="0" w:color="auto"/>
        <w:right w:val="none" w:sz="0" w:space="0" w:color="auto"/>
      </w:divBdr>
      <w:divsChild>
        <w:div w:id="1267345906">
          <w:marLeft w:val="0"/>
          <w:marRight w:val="0"/>
          <w:marTop w:val="0"/>
          <w:marBottom w:val="0"/>
          <w:divBdr>
            <w:top w:val="none" w:sz="0" w:space="0" w:color="auto"/>
            <w:left w:val="none" w:sz="0" w:space="0" w:color="auto"/>
            <w:bottom w:val="none" w:sz="0" w:space="0" w:color="auto"/>
            <w:right w:val="none" w:sz="0" w:space="0" w:color="auto"/>
          </w:divBdr>
          <w:divsChild>
            <w:div w:id="902522098">
              <w:marLeft w:val="0"/>
              <w:marRight w:val="0"/>
              <w:marTop w:val="0"/>
              <w:marBottom w:val="0"/>
              <w:divBdr>
                <w:top w:val="none" w:sz="0" w:space="0" w:color="auto"/>
                <w:left w:val="none" w:sz="0" w:space="0" w:color="auto"/>
                <w:bottom w:val="none" w:sz="0" w:space="0" w:color="auto"/>
                <w:right w:val="none" w:sz="0" w:space="0" w:color="auto"/>
              </w:divBdr>
              <w:divsChild>
                <w:div w:id="657731412">
                  <w:marLeft w:val="0"/>
                  <w:marRight w:val="0"/>
                  <w:marTop w:val="0"/>
                  <w:marBottom w:val="0"/>
                  <w:divBdr>
                    <w:top w:val="none" w:sz="0" w:space="0" w:color="auto"/>
                    <w:left w:val="none" w:sz="0" w:space="0" w:color="auto"/>
                    <w:bottom w:val="none" w:sz="0" w:space="0" w:color="auto"/>
                    <w:right w:val="none" w:sz="0" w:space="0" w:color="auto"/>
                  </w:divBdr>
                  <w:divsChild>
                    <w:div w:id="1829203827">
                      <w:marLeft w:val="0"/>
                      <w:marRight w:val="0"/>
                      <w:marTop w:val="0"/>
                      <w:marBottom w:val="0"/>
                      <w:divBdr>
                        <w:top w:val="none" w:sz="0" w:space="0" w:color="auto"/>
                        <w:left w:val="none" w:sz="0" w:space="0" w:color="auto"/>
                        <w:bottom w:val="none" w:sz="0" w:space="0" w:color="auto"/>
                        <w:right w:val="none" w:sz="0" w:space="0" w:color="auto"/>
                      </w:divBdr>
                    </w:div>
                  </w:divsChild>
                </w:div>
                <w:div w:id="1775786250">
                  <w:marLeft w:val="0"/>
                  <w:marRight w:val="0"/>
                  <w:marTop w:val="0"/>
                  <w:marBottom w:val="0"/>
                  <w:divBdr>
                    <w:top w:val="none" w:sz="0" w:space="0" w:color="auto"/>
                    <w:left w:val="none" w:sz="0" w:space="0" w:color="auto"/>
                    <w:bottom w:val="none" w:sz="0" w:space="0" w:color="auto"/>
                    <w:right w:val="none" w:sz="0" w:space="0" w:color="auto"/>
                  </w:divBdr>
                  <w:divsChild>
                    <w:div w:id="18649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6481">
      <w:bodyDiv w:val="1"/>
      <w:marLeft w:val="0"/>
      <w:marRight w:val="0"/>
      <w:marTop w:val="0"/>
      <w:marBottom w:val="0"/>
      <w:divBdr>
        <w:top w:val="none" w:sz="0" w:space="0" w:color="auto"/>
        <w:left w:val="none" w:sz="0" w:space="0" w:color="auto"/>
        <w:bottom w:val="none" w:sz="0" w:space="0" w:color="auto"/>
        <w:right w:val="none" w:sz="0" w:space="0" w:color="auto"/>
      </w:divBdr>
    </w:div>
    <w:div w:id="1297641075">
      <w:bodyDiv w:val="1"/>
      <w:marLeft w:val="0"/>
      <w:marRight w:val="0"/>
      <w:marTop w:val="0"/>
      <w:marBottom w:val="0"/>
      <w:divBdr>
        <w:top w:val="none" w:sz="0" w:space="0" w:color="auto"/>
        <w:left w:val="none" w:sz="0" w:space="0" w:color="auto"/>
        <w:bottom w:val="none" w:sz="0" w:space="0" w:color="auto"/>
        <w:right w:val="none" w:sz="0" w:space="0" w:color="auto"/>
      </w:divBdr>
    </w:div>
    <w:div w:id="1298146073">
      <w:bodyDiv w:val="1"/>
      <w:marLeft w:val="0"/>
      <w:marRight w:val="0"/>
      <w:marTop w:val="0"/>
      <w:marBottom w:val="0"/>
      <w:divBdr>
        <w:top w:val="none" w:sz="0" w:space="0" w:color="auto"/>
        <w:left w:val="none" w:sz="0" w:space="0" w:color="auto"/>
        <w:bottom w:val="none" w:sz="0" w:space="0" w:color="auto"/>
        <w:right w:val="none" w:sz="0" w:space="0" w:color="auto"/>
      </w:divBdr>
    </w:div>
    <w:div w:id="1301839294">
      <w:bodyDiv w:val="1"/>
      <w:marLeft w:val="0"/>
      <w:marRight w:val="0"/>
      <w:marTop w:val="0"/>
      <w:marBottom w:val="0"/>
      <w:divBdr>
        <w:top w:val="none" w:sz="0" w:space="0" w:color="auto"/>
        <w:left w:val="none" w:sz="0" w:space="0" w:color="auto"/>
        <w:bottom w:val="none" w:sz="0" w:space="0" w:color="auto"/>
        <w:right w:val="none" w:sz="0" w:space="0" w:color="auto"/>
      </w:divBdr>
      <w:divsChild>
        <w:div w:id="1291475596">
          <w:marLeft w:val="547"/>
          <w:marRight w:val="0"/>
          <w:marTop w:val="0"/>
          <w:marBottom w:val="0"/>
          <w:divBdr>
            <w:top w:val="none" w:sz="0" w:space="0" w:color="auto"/>
            <w:left w:val="none" w:sz="0" w:space="0" w:color="auto"/>
            <w:bottom w:val="none" w:sz="0" w:space="0" w:color="auto"/>
            <w:right w:val="none" w:sz="0" w:space="0" w:color="auto"/>
          </w:divBdr>
        </w:div>
        <w:div w:id="1547372898">
          <w:marLeft w:val="547"/>
          <w:marRight w:val="0"/>
          <w:marTop w:val="0"/>
          <w:marBottom w:val="0"/>
          <w:divBdr>
            <w:top w:val="none" w:sz="0" w:space="0" w:color="auto"/>
            <w:left w:val="none" w:sz="0" w:space="0" w:color="auto"/>
            <w:bottom w:val="none" w:sz="0" w:space="0" w:color="auto"/>
            <w:right w:val="none" w:sz="0" w:space="0" w:color="auto"/>
          </w:divBdr>
        </w:div>
        <w:div w:id="1866869275">
          <w:marLeft w:val="547"/>
          <w:marRight w:val="0"/>
          <w:marTop w:val="0"/>
          <w:marBottom w:val="0"/>
          <w:divBdr>
            <w:top w:val="none" w:sz="0" w:space="0" w:color="auto"/>
            <w:left w:val="none" w:sz="0" w:space="0" w:color="auto"/>
            <w:bottom w:val="none" w:sz="0" w:space="0" w:color="auto"/>
            <w:right w:val="none" w:sz="0" w:space="0" w:color="auto"/>
          </w:divBdr>
        </w:div>
      </w:divsChild>
    </w:div>
    <w:div w:id="1302808347">
      <w:bodyDiv w:val="1"/>
      <w:marLeft w:val="0"/>
      <w:marRight w:val="0"/>
      <w:marTop w:val="0"/>
      <w:marBottom w:val="0"/>
      <w:divBdr>
        <w:top w:val="none" w:sz="0" w:space="0" w:color="auto"/>
        <w:left w:val="none" w:sz="0" w:space="0" w:color="auto"/>
        <w:bottom w:val="none" w:sz="0" w:space="0" w:color="auto"/>
        <w:right w:val="none" w:sz="0" w:space="0" w:color="auto"/>
      </w:divBdr>
    </w:div>
    <w:div w:id="1304313909">
      <w:bodyDiv w:val="1"/>
      <w:marLeft w:val="0"/>
      <w:marRight w:val="0"/>
      <w:marTop w:val="0"/>
      <w:marBottom w:val="0"/>
      <w:divBdr>
        <w:top w:val="none" w:sz="0" w:space="0" w:color="auto"/>
        <w:left w:val="none" w:sz="0" w:space="0" w:color="auto"/>
        <w:bottom w:val="none" w:sz="0" w:space="0" w:color="auto"/>
        <w:right w:val="none" w:sz="0" w:space="0" w:color="auto"/>
      </w:divBdr>
    </w:div>
    <w:div w:id="1308125551">
      <w:bodyDiv w:val="1"/>
      <w:marLeft w:val="0"/>
      <w:marRight w:val="0"/>
      <w:marTop w:val="0"/>
      <w:marBottom w:val="0"/>
      <w:divBdr>
        <w:top w:val="none" w:sz="0" w:space="0" w:color="auto"/>
        <w:left w:val="none" w:sz="0" w:space="0" w:color="auto"/>
        <w:bottom w:val="none" w:sz="0" w:space="0" w:color="auto"/>
        <w:right w:val="none" w:sz="0" w:space="0" w:color="auto"/>
      </w:divBdr>
      <w:divsChild>
        <w:div w:id="2062710377">
          <w:marLeft w:val="0"/>
          <w:marRight w:val="0"/>
          <w:marTop w:val="0"/>
          <w:marBottom w:val="0"/>
          <w:divBdr>
            <w:top w:val="none" w:sz="0" w:space="0" w:color="auto"/>
            <w:left w:val="none" w:sz="0" w:space="0" w:color="auto"/>
            <w:bottom w:val="none" w:sz="0" w:space="0" w:color="auto"/>
            <w:right w:val="none" w:sz="0" w:space="0" w:color="auto"/>
          </w:divBdr>
          <w:divsChild>
            <w:div w:id="301811466">
              <w:marLeft w:val="0"/>
              <w:marRight w:val="0"/>
              <w:marTop w:val="0"/>
              <w:marBottom w:val="0"/>
              <w:divBdr>
                <w:top w:val="none" w:sz="0" w:space="0" w:color="auto"/>
                <w:left w:val="none" w:sz="0" w:space="0" w:color="auto"/>
                <w:bottom w:val="none" w:sz="0" w:space="0" w:color="auto"/>
                <w:right w:val="none" w:sz="0" w:space="0" w:color="auto"/>
              </w:divBdr>
              <w:divsChild>
                <w:div w:id="19053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3984">
      <w:bodyDiv w:val="1"/>
      <w:marLeft w:val="0"/>
      <w:marRight w:val="0"/>
      <w:marTop w:val="0"/>
      <w:marBottom w:val="0"/>
      <w:divBdr>
        <w:top w:val="none" w:sz="0" w:space="0" w:color="auto"/>
        <w:left w:val="none" w:sz="0" w:space="0" w:color="auto"/>
        <w:bottom w:val="none" w:sz="0" w:space="0" w:color="auto"/>
        <w:right w:val="none" w:sz="0" w:space="0" w:color="auto"/>
      </w:divBdr>
    </w:div>
    <w:div w:id="1313757048">
      <w:bodyDiv w:val="1"/>
      <w:marLeft w:val="0"/>
      <w:marRight w:val="0"/>
      <w:marTop w:val="0"/>
      <w:marBottom w:val="0"/>
      <w:divBdr>
        <w:top w:val="none" w:sz="0" w:space="0" w:color="auto"/>
        <w:left w:val="none" w:sz="0" w:space="0" w:color="auto"/>
        <w:bottom w:val="none" w:sz="0" w:space="0" w:color="auto"/>
        <w:right w:val="none" w:sz="0" w:space="0" w:color="auto"/>
      </w:divBdr>
    </w:div>
    <w:div w:id="1313871778">
      <w:bodyDiv w:val="1"/>
      <w:marLeft w:val="0"/>
      <w:marRight w:val="0"/>
      <w:marTop w:val="0"/>
      <w:marBottom w:val="0"/>
      <w:divBdr>
        <w:top w:val="none" w:sz="0" w:space="0" w:color="auto"/>
        <w:left w:val="none" w:sz="0" w:space="0" w:color="auto"/>
        <w:bottom w:val="none" w:sz="0" w:space="0" w:color="auto"/>
        <w:right w:val="none" w:sz="0" w:space="0" w:color="auto"/>
      </w:divBdr>
    </w:div>
    <w:div w:id="1314721301">
      <w:bodyDiv w:val="1"/>
      <w:marLeft w:val="0"/>
      <w:marRight w:val="0"/>
      <w:marTop w:val="0"/>
      <w:marBottom w:val="0"/>
      <w:divBdr>
        <w:top w:val="none" w:sz="0" w:space="0" w:color="auto"/>
        <w:left w:val="none" w:sz="0" w:space="0" w:color="auto"/>
        <w:bottom w:val="none" w:sz="0" w:space="0" w:color="auto"/>
        <w:right w:val="none" w:sz="0" w:space="0" w:color="auto"/>
      </w:divBdr>
    </w:div>
    <w:div w:id="1330405865">
      <w:bodyDiv w:val="1"/>
      <w:marLeft w:val="0"/>
      <w:marRight w:val="0"/>
      <w:marTop w:val="0"/>
      <w:marBottom w:val="0"/>
      <w:divBdr>
        <w:top w:val="none" w:sz="0" w:space="0" w:color="auto"/>
        <w:left w:val="none" w:sz="0" w:space="0" w:color="auto"/>
        <w:bottom w:val="none" w:sz="0" w:space="0" w:color="auto"/>
        <w:right w:val="none" w:sz="0" w:space="0" w:color="auto"/>
      </w:divBdr>
    </w:div>
    <w:div w:id="1340615718">
      <w:bodyDiv w:val="1"/>
      <w:marLeft w:val="0"/>
      <w:marRight w:val="0"/>
      <w:marTop w:val="0"/>
      <w:marBottom w:val="0"/>
      <w:divBdr>
        <w:top w:val="none" w:sz="0" w:space="0" w:color="auto"/>
        <w:left w:val="none" w:sz="0" w:space="0" w:color="auto"/>
        <w:bottom w:val="none" w:sz="0" w:space="0" w:color="auto"/>
        <w:right w:val="none" w:sz="0" w:space="0" w:color="auto"/>
      </w:divBdr>
      <w:divsChild>
        <w:div w:id="81218562">
          <w:marLeft w:val="720"/>
          <w:marRight w:val="0"/>
          <w:marTop w:val="0"/>
          <w:marBottom w:val="0"/>
          <w:divBdr>
            <w:top w:val="none" w:sz="0" w:space="0" w:color="auto"/>
            <w:left w:val="none" w:sz="0" w:space="0" w:color="auto"/>
            <w:bottom w:val="none" w:sz="0" w:space="0" w:color="auto"/>
            <w:right w:val="none" w:sz="0" w:space="0" w:color="auto"/>
          </w:divBdr>
        </w:div>
        <w:div w:id="337804908">
          <w:marLeft w:val="720"/>
          <w:marRight w:val="0"/>
          <w:marTop w:val="0"/>
          <w:marBottom w:val="0"/>
          <w:divBdr>
            <w:top w:val="none" w:sz="0" w:space="0" w:color="auto"/>
            <w:left w:val="none" w:sz="0" w:space="0" w:color="auto"/>
            <w:bottom w:val="none" w:sz="0" w:space="0" w:color="auto"/>
            <w:right w:val="none" w:sz="0" w:space="0" w:color="auto"/>
          </w:divBdr>
        </w:div>
        <w:div w:id="398406702">
          <w:marLeft w:val="720"/>
          <w:marRight w:val="0"/>
          <w:marTop w:val="0"/>
          <w:marBottom w:val="0"/>
          <w:divBdr>
            <w:top w:val="none" w:sz="0" w:space="0" w:color="auto"/>
            <w:left w:val="none" w:sz="0" w:space="0" w:color="auto"/>
            <w:bottom w:val="none" w:sz="0" w:space="0" w:color="auto"/>
            <w:right w:val="none" w:sz="0" w:space="0" w:color="auto"/>
          </w:divBdr>
        </w:div>
        <w:div w:id="2035574374">
          <w:marLeft w:val="720"/>
          <w:marRight w:val="0"/>
          <w:marTop w:val="0"/>
          <w:marBottom w:val="0"/>
          <w:divBdr>
            <w:top w:val="none" w:sz="0" w:space="0" w:color="auto"/>
            <w:left w:val="none" w:sz="0" w:space="0" w:color="auto"/>
            <w:bottom w:val="none" w:sz="0" w:space="0" w:color="auto"/>
            <w:right w:val="none" w:sz="0" w:space="0" w:color="auto"/>
          </w:divBdr>
        </w:div>
      </w:divsChild>
    </w:div>
    <w:div w:id="1342469623">
      <w:bodyDiv w:val="1"/>
      <w:marLeft w:val="0"/>
      <w:marRight w:val="0"/>
      <w:marTop w:val="0"/>
      <w:marBottom w:val="0"/>
      <w:divBdr>
        <w:top w:val="none" w:sz="0" w:space="0" w:color="auto"/>
        <w:left w:val="none" w:sz="0" w:space="0" w:color="auto"/>
        <w:bottom w:val="none" w:sz="0" w:space="0" w:color="auto"/>
        <w:right w:val="none" w:sz="0" w:space="0" w:color="auto"/>
      </w:divBdr>
    </w:div>
    <w:div w:id="1343507234">
      <w:bodyDiv w:val="1"/>
      <w:marLeft w:val="0"/>
      <w:marRight w:val="0"/>
      <w:marTop w:val="0"/>
      <w:marBottom w:val="0"/>
      <w:divBdr>
        <w:top w:val="none" w:sz="0" w:space="0" w:color="auto"/>
        <w:left w:val="none" w:sz="0" w:space="0" w:color="auto"/>
        <w:bottom w:val="none" w:sz="0" w:space="0" w:color="auto"/>
        <w:right w:val="none" w:sz="0" w:space="0" w:color="auto"/>
      </w:divBdr>
    </w:div>
    <w:div w:id="1347249964">
      <w:bodyDiv w:val="1"/>
      <w:marLeft w:val="0"/>
      <w:marRight w:val="0"/>
      <w:marTop w:val="0"/>
      <w:marBottom w:val="0"/>
      <w:divBdr>
        <w:top w:val="none" w:sz="0" w:space="0" w:color="auto"/>
        <w:left w:val="none" w:sz="0" w:space="0" w:color="auto"/>
        <w:bottom w:val="none" w:sz="0" w:space="0" w:color="auto"/>
        <w:right w:val="none" w:sz="0" w:space="0" w:color="auto"/>
      </w:divBdr>
    </w:div>
    <w:div w:id="1351567676">
      <w:bodyDiv w:val="1"/>
      <w:marLeft w:val="0"/>
      <w:marRight w:val="0"/>
      <w:marTop w:val="0"/>
      <w:marBottom w:val="0"/>
      <w:divBdr>
        <w:top w:val="none" w:sz="0" w:space="0" w:color="auto"/>
        <w:left w:val="none" w:sz="0" w:space="0" w:color="auto"/>
        <w:bottom w:val="none" w:sz="0" w:space="0" w:color="auto"/>
        <w:right w:val="none" w:sz="0" w:space="0" w:color="auto"/>
      </w:divBdr>
      <w:divsChild>
        <w:div w:id="1133911961">
          <w:marLeft w:val="0"/>
          <w:marRight w:val="0"/>
          <w:marTop w:val="0"/>
          <w:marBottom w:val="0"/>
          <w:divBdr>
            <w:top w:val="none" w:sz="0" w:space="0" w:color="auto"/>
            <w:left w:val="none" w:sz="0" w:space="0" w:color="auto"/>
            <w:bottom w:val="none" w:sz="0" w:space="0" w:color="auto"/>
            <w:right w:val="none" w:sz="0" w:space="0" w:color="auto"/>
          </w:divBdr>
          <w:divsChild>
            <w:div w:id="9923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8709">
      <w:bodyDiv w:val="1"/>
      <w:marLeft w:val="0"/>
      <w:marRight w:val="0"/>
      <w:marTop w:val="0"/>
      <w:marBottom w:val="0"/>
      <w:divBdr>
        <w:top w:val="none" w:sz="0" w:space="0" w:color="auto"/>
        <w:left w:val="none" w:sz="0" w:space="0" w:color="auto"/>
        <w:bottom w:val="none" w:sz="0" w:space="0" w:color="auto"/>
        <w:right w:val="none" w:sz="0" w:space="0" w:color="auto"/>
      </w:divBdr>
    </w:div>
    <w:div w:id="1358576648">
      <w:bodyDiv w:val="1"/>
      <w:marLeft w:val="0"/>
      <w:marRight w:val="0"/>
      <w:marTop w:val="0"/>
      <w:marBottom w:val="0"/>
      <w:divBdr>
        <w:top w:val="none" w:sz="0" w:space="0" w:color="auto"/>
        <w:left w:val="none" w:sz="0" w:space="0" w:color="auto"/>
        <w:bottom w:val="none" w:sz="0" w:space="0" w:color="auto"/>
        <w:right w:val="none" w:sz="0" w:space="0" w:color="auto"/>
      </w:divBdr>
    </w:div>
    <w:div w:id="1361588192">
      <w:bodyDiv w:val="1"/>
      <w:marLeft w:val="0"/>
      <w:marRight w:val="0"/>
      <w:marTop w:val="0"/>
      <w:marBottom w:val="0"/>
      <w:divBdr>
        <w:top w:val="none" w:sz="0" w:space="0" w:color="auto"/>
        <w:left w:val="none" w:sz="0" w:space="0" w:color="auto"/>
        <w:bottom w:val="none" w:sz="0" w:space="0" w:color="auto"/>
        <w:right w:val="none" w:sz="0" w:space="0" w:color="auto"/>
      </w:divBdr>
    </w:div>
    <w:div w:id="1362633064">
      <w:bodyDiv w:val="1"/>
      <w:marLeft w:val="0"/>
      <w:marRight w:val="0"/>
      <w:marTop w:val="0"/>
      <w:marBottom w:val="0"/>
      <w:divBdr>
        <w:top w:val="none" w:sz="0" w:space="0" w:color="auto"/>
        <w:left w:val="none" w:sz="0" w:space="0" w:color="auto"/>
        <w:bottom w:val="none" w:sz="0" w:space="0" w:color="auto"/>
        <w:right w:val="none" w:sz="0" w:space="0" w:color="auto"/>
      </w:divBdr>
    </w:div>
    <w:div w:id="1370572010">
      <w:bodyDiv w:val="1"/>
      <w:marLeft w:val="0"/>
      <w:marRight w:val="0"/>
      <w:marTop w:val="0"/>
      <w:marBottom w:val="0"/>
      <w:divBdr>
        <w:top w:val="none" w:sz="0" w:space="0" w:color="auto"/>
        <w:left w:val="none" w:sz="0" w:space="0" w:color="auto"/>
        <w:bottom w:val="none" w:sz="0" w:space="0" w:color="auto"/>
        <w:right w:val="none" w:sz="0" w:space="0" w:color="auto"/>
      </w:divBdr>
    </w:div>
    <w:div w:id="1376391421">
      <w:bodyDiv w:val="1"/>
      <w:marLeft w:val="0"/>
      <w:marRight w:val="0"/>
      <w:marTop w:val="0"/>
      <w:marBottom w:val="0"/>
      <w:divBdr>
        <w:top w:val="none" w:sz="0" w:space="0" w:color="auto"/>
        <w:left w:val="none" w:sz="0" w:space="0" w:color="auto"/>
        <w:bottom w:val="none" w:sz="0" w:space="0" w:color="auto"/>
        <w:right w:val="none" w:sz="0" w:space="0" w:color="auto"/>
      </w:divBdr>
    </w:div>
    <w:div w:id="1377310538">
      <w:bodyDiv w:val="1"/>
      <w:marLeft w:val="0"/>
      <w:marRight w:val="0"/>
      <w:marTop w:val="0"/>
      <w:marBottom w:val="0"/>
      <w:divBdr>
        <w:top w:val="none" w:sz="0" w:space="0" w:color="auto"/>
        <w:left w:val="none" w:sz="0" w:space="0" w:color="auto"/>
        <w:bottom w:val="none" w:sz="0" w:space="0" w:color="auto"/>
        <w:right w:val="none" w:sz="0" w:space="0" w:color="auto"/>
      </w:divBdr>
      <w:divsChild>
        <w:div w:id="467866767">
          <w:marLeft w:val="1166"/>
          <w:marRight w:val="0"/>
          <w:marTop w:val="134"/>
          <w:marBottom w:val="0"/>
          <w:divBdr>
            <w:top w:val="none" w:sz="0" w:space="0" w:color="auto"/>
            <w:left w:val="none" w:sz="0" w:space="0" w:color="auto"/>
            <w:bottom w:val="none" w:sz="0" w:space="0" w:color="auto"/>
            <w:right w:val="none" w:sz="0" w:space="0" w:color="auto"/>
          </w:divBdr>
        </w:div>
        <w:div w:id="816722076">
          <w:marLeft w:val="907"/>
          <w:marRight w:val="0"/>
          <w:marTop w:val="139"/>
          <w:marBottom w:val="0"/>
          <w:divBdr>
            <w:top w:val="none" w:sz="0" w:space="0" w:color="auto"/>
            <w:left w:val="none" w:sz="0" w:space="0" w:color="auto"/>
            <w:bottom w:val="none" w:sz="0" w:space="0" w:color="auto"/>
            <w:right w:val="none" w:sz="0" w:space="0" w:color="auto"/>
          </w:divBdr>
        </w:div>
        <w:div w:id="1577789832">
          <w:marLeft w:val="907"/>
          <w:marRight w:val="0"/>
          <w:marTop w:val="139"/>
          <w:marBottom w:val="0"/>
          <w:divBdr>
            <w:top w:val="none" w:sz="0" w:space="0" w:color="auto"/>
            <w:left w:val="none" w:sz="0" w:space="0" w:color="auto"/>
            <w:bottom w:val="none" w:sz="0" w:space="0" w:color="auto"/>
            <w:right w:val="none" w:sz="0" w:space="0" w:color="auto"/>
          </w:divBdr>
        </w:div>
        <w:div w:id="1849247743">
          <w:marLeft w:val="1166"/>
          <w:marRight w:val="0"/>
          <w:marTop w:val="134"/>
          <w:marBottom w:val="0"/>
          <w:divBdr>
            <w:top w:val="none" w:sz="0" w:space="0" w:color="auto"/>
            <w:left w:val="none" w:sz="0" w:space="0" w:color="auto"/>
            <w:bottom w:val="none" w:sz="0" w:space="0" w:color="auto"/>
            <w:right w:val="none" w:sz="0" w:space="0" w:color="auto"/>
          </w:divBdr>
        </w:div>
      </w:divsChild>
    </w:div>
    <w:div w:id="1378353203">
      <w:bodyDiv w:val="1"/>
      <w:marLeft w:val="0"/>
      <w:marRight w:val="0"/>
      <w:marTop w:val="0"/>
      <w:marBottom w:val="0"/>
      <w:divBdr>
        <w:top w:val="none" w:sz="0" w:space="0" w:color="auto"/>
        <w:left w:val="none" w:sz="0" w:space="0" w:color="auto"/>
        <w:bottom w:val="none" w:sz="0" w:space="0" w:color="auto"/>
        <w:right w:val="none" w:sz="0" w:space="0" w:color="auto"/>
      </w:divBdr>
    </w:div>
    <w:div w:id="1379672190">
      <w:bodyDiv w:val="1"/>
      <w:marLeft w:val="0"/>
      <w:marRight w:val="0"/>
      <w:marTop w:val="0"/>
      <w:marBottom w:val="0"/>
      <w:divBdr>
        <w:top w:val="none" w:sz="0" w:space="0" w:color="auto"/>
        <w:left w:val="none" w:sz="0" w:space="0" w:color="auto"/>
        <w:bottom w:val="none" w:sz="0" w:space="0" w:color="auto"/>
        <w:right w:val="none" w:sz="0" w:space="0" w:color="auto"/>
      </w:divBdr>
    </w:div>
    <w:div w:id="1382290074">
      <w:bodyDiv w:val="1"/>
      <w:marLeft w:val="0"/>
      <w:marRight w:val="0"/>
      <w:marTop w:val="0"/>
      <w:marBottom w:val="0"/>
      <w:divBdr>
        <w:top w:val="none" w:sz="0" w:space="0" w:color="auto"/>
        <w:left w:val="none" w:sz="0" w:space="0" w:color="auto"/>
        <w:bottom w:val="none" w:sz="0" w:space="0" w:color="auto"/>
        <w:right w:val="none" w:sz="0" w:space="0" w:color="auto"/>
      </w:divBdr>
    </w:div>
    <w:div w:id="1392194407">
      <w:bodyDiv w:val="1"/>
      <w:marLeft w:val="0"/>
      <w:marRight w:val="0"/>
      <w:marTop w:val="0"/>
      <w:marBottom w:val="0"/>
      <w:divBdr>
        <w:top w:val="none" w:sz="0" w:space="0" w:color="auto"/>
        <w:left w:val="none" w:sz="0" w:space="0" w:color="auto"/>
        <w:bottom w:val="none" w:sz="0" w:space="0" w:color="auto"/>
        <w:right w:val="none" w:sz="0" w:space="0" w:color="auto"/>
      </w:divBdr>
    </w:div>
    <w:div w:id="1396972953">
      <w:bodyDiv w:val="1"/>
      <w:marLeft w:val="0"/>
      <w:marRight w:val="0"/>
      <w:marTop w:val="0"/>
      <w:marBottom w:val="0"/>
      <w:divBdr>
        <w:top w:val="none" w:sz="0" w:space="0" w:color="auto"/>
        <w:left w:val="none" w:sz="0" w:space="0" w:color="auto"/>
        <w:bottom w:val="none" w:sz="0" w:space="0" w:color="auto"/>
        <w:right w:val="none" w:sz="0" w:space="0" w:color="auto"/>
      </w:divBdr>
    </w:div>
    <w:div w:id="1397585354">
      <w:bodyDiv w:val="1"/>
      <w:marLeft w:val="0"/>
      <w:marRight w:val="0"/>
      <w:marTop w:val="0"/>
      <w:marBottom w:val="0"/>
      <w:divBdr>
        <w:top w:val="none" w:sz="0" w:space="0" w:color="auto"/>
        <w:left w:val="none" w:sz="0" w:space="0" w:color="auto"/>
        <w:bottom w:val="none" w:sz="0" w:space="0" w:color="auto"/>
        <w:right w:val="none" w:sz="0" w:space="0" w:color="auto"/>
      </w:divBdr>
    </w:div>
    <w:div w:id="1417245697">
      <w:bodyDiv w:val="1"/>
      <w:marLeft w:val="0"/>
      <w:marRight w:val="0"/>
      <w:marTop w:val="0"/>
      <w:marBottom w:val="0"/>
      <w:divBdr>
        <w:top w:val="none" w:sz="0" w:space="0" w:color="auto"/>
        <w:left w:val="none" w:sz="0" w:space="0" w:color="auto"/>
        <w:bottom w:val="none" w:sz="0" w:space="0" w:color="auto"/>
        <w:right w:val="none" w:sz="0" w:space="0" w:color="auto"/>
      </w:divBdr>
    </w:div>
    <w:div w:id="1419403427">
      <w:bodyDiv w:val="1"/>
      <w:marLeft w:val="0"/>
      <w:marRight w:val="0"/>
      <w:marTop w:val="0"/>
      <w:marBottom w:val="0"/>
      <w:divBdr>
        <w:top w:val="none" w:sz="0" w:space="0" w:color="auto"/>
        <w:left w:val="none" w:sz="0" w:space="0" w:color="auto"/>
        <w:bottom w:val="none" w:sz="0" w:space="0" w:color="auto"/>
        <w:right w:val="none" w:sz="0" w:space="0" w:color="auto"/>
      </w:divBdr>
    </w:div>
    <w:div w:id="1420903046">
      <w:bodyDiv w:val="1"/>
      <w:marLeft w:val="0"/>
      <w:marRight w:val="0"/>
      <w:marTop w:val="0"/>
      <w:marBottom w:val="0"/>
      <w:divBdr>
        <w:top w:val="none" w:sz="0" w:space="0" w:color="auto"/>
        <w:left w:val="none" w:sz="0" w:space="0" w:color="auto"/>
        <w:bottom w:val="none" w:sz="0" w:space="0" w:color="auto"/>
        <w:right w:val="none" w:sz="0" w:space="0" w:color="auto"/>
      </w:divBdr>
    </w:div>
    <w:div w:id="1421024241">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sChild>
        <w:div w:id="1656908022">
          <w:marLeft w:val="0"/>
          <w:marRight w:val="0"/>
          <w:marTop w:val="0"/>
          <w:marBottom w:val="0"/>
          <w:divBdr>
            <w:top w:val="none" w:sz="0" w:space="0" w:color="auto"/>
            <w:left w:val="none" w:sz="0" w:space="0" w:color="auto"/>
            <w:bottom w:val="none" w:sz="0" w:space="0" w:color="auto"/>
            <w:right w:val="none" w:sz="0" w:space="0" w:color="auto"/>
          </w:divBdr>
          <w:divsChild>
            <w:div w:id="942759621">
              <w:marLeft w:val="0"/>
              <w:marRight w:val="0"/>
              <w:marTop w:val="0"/>
              <w:marBottom w:val="0"/>
              <w:divBdr>
                <w:top w:val="none" w:sz="0" w:space="0" w:color="auto"/>
                <w:left w:val="none" w:sz="0" w:space="0" w:color="auto"/>
                <w:bottom w:val="none" w:sz="0" w:space="0" w:color="auto"/>
                <w:right w:val="none" w:sz="0" w:space="0" w:color="auto"/>
              </w:divBdr>
              <w:divsChild>
                <w:div w:id="1622154106">
                  <w:marLeft w:val="0"/>
                  <w:marRight w:val="0"/>
                  <w:marTop w:val="0"/>
                  <w:marBottom w:val="0"/>
                  <w:divBdr>
                    <w:top w:val="none" w:sz="0" w:space="0" w:color="auto"/>
                    <w:left w:val="none" w:sz="0" w:space="0" w:color="auto"/>
                    <w:bottom w:val="none" w:sz="0" w:space="0" w:color="auto"/>
                    <w:right w:val="none" w:sz="0" w:space="0" w:color="auto"/>
                  </w:divBdr>
                  <w:divsChild>
                    <w:div w:id="18791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545366">
      <w:bodyDiv w:val="1"/>
      <w:marLeft w:val="0"/>
      <w:marRight w:val="0"/>
      <w:marTop w:val="0"/>
      <w:marBottom w:val="0"/>
      <w:divBdr>
        <w:top w:val="none" w:sz="0" w:space="0" w:color="auto"/>
        <w:left w:val="none" w:sz="0" w:space="0" w:color="auto"/>
        <w:bottom w:val="none" w:sz="0" w:space="0" w:color="auto"/>
        <w:right w:val="none" w:sz="0" w:space="0" w:color="auto"/>
      </w:divBdr>
    </w:div>
    <w:div w:id="1431971893">
      <w:bodyDiv w:val="1"/>
      <w:marLeft w:val="0"/>
      <w:marRight w:val="0"/>
      <w:marTop w:val="0"/>
      <w:marBottom w:val="0"/>
      <w:divBdr>
        <w:top w:val="none" w:sz="0" w:space="0" w:color="auto"/>
        <w:left w:val="none" w:sz="0" w:space="0" w:color="auto"/>
        <w:bottom w:val="none" w:sz="0" w:space="0" w:color="auto"/>
        <w:right w:val="none" w:sz="0" w:space="0" w:color="auto"/>
      </w:divBdr>
      <w:divsChild>
        <w:div w:id="1979995153">
          <w:marLeft w:val="240"/>
          <w:marRight w:val="0"/>
          <w:marTop w:val="60"/>
          <w:marBottom w:val="60"/>
          <w:divBdr>
            <w:top w:val="none" w:sz="0" w:space="0" w:color="auto"/>
            <w:left w:val="none" w:sz="0" w:space="0" w:color="auto"/>
            <w:bottom w:val="none" w:sz="0" w:space="0" w:color="auto"/>
            <w:right w:val="none" w:sz="0" w:space="0" w:color="auto"/>
          </w:divBdr>
          <w:divsChild>
            <w:div w:id="319582686">
              <w:marLeft w:val="0"/>
              <w:marRight w:val="0"/>
              <w:marTop w:val="0"/>
              <w:marBottom w:val="0"/>
              <w:divBdr>
                <w:top w:val="none" w:sz="0" w:space="0" w:color="auto"/>
                <w:left w:val="none" w:sz="0" w:space="0" w:color="auto"/>
                <w:bottom w:val="none" w:sz="0" w:space="0" w:color="auto"/>
                <w:right w:val="none" w:sz="0" w:space="0" w:color="auto"/>
              </w:divBdr>
            </w:div>
          </w:divsChild>
        </w:div>
        <w:div w:id="818233177">
          <w:marLeft w:val="240"/>
          <w:marRight w:val="0"/>
          <w:marTop w:val="60"/>
          <w:marBottom w:val="60"/>
          <w:divBdr>
            <w:top w:val="none" w:sz="0" w:space="0" w:color="auto"/>
            <w:left w:val="none" w:sz="0" w:space="0" w:color="auto"/>
            <w:bottom w:val="none" w:sz="0" w:space="0" w:color="auto"/>
            <w:right w:val="none" w:sz="0" w:space="0" w:color="auto"/>
          </w:divBdr>
          <w:divsChild>
            <w:div w:id="5093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40060">
      <w:bodyDiv w:val="1"/>
      <w:marLeft w:val="0"/>
      <w:marRight w:val="0"/>
      <w:marTop w:val="0"/>
      <w:marBottom w:val="0"/>
      <w:divBdr>
        <w:top w:val="none" w:sz="0" w:space="0" w:color="auto"/>
        <w:left w:val="none" w:sz="0" w:space="0" w:color="auto"/>
        <w:bottom w:val="none" w:sz="0" w:space="0" w:color="auto"/>
        <w:right w:val="none" w:sz="0" w:space="0" w:color="auto"/>
      </w:divBdr>
    </w:div>
    <w:div w:id="1436361356">
      <w:bodyDiv w:val="1"/>
      <w:marLeft w:val="0"/>
      <w:marRight w:val="0"/>
      <w:marTop w:val="0"/>
      <w:marBottom w:val="0"/>
      <w:divBdr>
        <w:top w:val="none" w:sz="0" w:space="0" w:color="auto"/>
        <w:left w:val="none" w:sz="0" w:space="0" w:color="auto"/>
        <w:bottom w:val="none" w:sz="0" w:space="0" w:color="auto"/>
        <w:right w:val="none" w:sz="0" w:space="0" w:color="auto"/>
      </w:divBdr>
    </w:div>
    <w:div w:id="1443501225">
      <w:bodyDiv w:val="1"/>
      <w:marLeft w:val="0"/>
      <w:marRight w:val="0"/>
      <w:marTop w:val="0"/>
      <w:marBottom w:val="0"/>
      <w:divBdr>
        <w:top w:val="none" w:sz="0" w:space="0" w:color="auto"/>
        <w:left w:val="none" w:sz="0" w:space="0" w:color="auto"/>
        <w:bottom w:val="none" w:sz="0" w:space="0" w:color="auto"/>
        <w:right w:val="none" w:sz="0" w:space="0" w:color="auto"/>
      </w:divBdr>
    </w:div>
    <w:div w:id="1454323978">
      <w:bodyDiv w:val="1"/>
      <w:marLeft w:val="0"/>
      <w:marRight w:val="0"/>
      <w:marTop w:val="0"/>
      <w:marBottom w:val="0"/>
      <w:divBdr>
        <w:top w:val="none" w:sz="0" w:space="0" w:color="auto"/>
        <w:left w:val="none" w:sz="0" w:space="0" w:color="auto"/>
        <w:bottom w:val="none" w:sz="0" w:space="0" w:color="auto"/>
        <w:right w:val="none" w:sz="0" w:space="0" w:color="auto"/>
      </w:divBdr>
    </w:div>
    <w:div w:id="1454515701">
      <w:bodyDiv w:val="1"/>
      <w:marLeft w:val="0"/>
      <w:marRight w:val="0"/>
      <w:marTop w:val="0"/>
      <w:marBottom w:val="0"/>
      <w:divBdr>
        <w:top w:val="none" w:sz="0" w:space="0" w:color="auto"/>
        <w:left w:val="none" w:sz="0" w:space="0" w:color="auto"/>
        <w:bottom w:val="none" w:sz="0" w:space="0" w:color="auto"/>
        <w:right w:val="none" w:sz="0" w:space="0" w:color="auto"/>
      </w:divBdr>
      <w:divsChild>
        <w:div w:id="829829596">
          <w:marLeft w:val="0"/>
          <w:marRight w:val="0"/>
          <w:marTop w:val="0"/>
          <w:marBottom w:val="0"/>
          <w:divBdr>
            <w:top w:val="none" w:sz="0" w:space="0" w:color="auto"/>
            <w:left w:val="none" w:sz="0" w:space="0" w:color="auto"/>
            <w:bottom w:val="none" w:sz="0" w:space="0" w:color="auto"/>
            <w:right w:val="none" w:sz="0" w:space="0" w:color="auto"/>
          </w:divBdr>
          <w:divsChild>
            <w:div w:id="570696194">
              <w:marLeft w:val="0"/>
              <w:marRight w:val="0"/>
              <w:marTop w:val="0"/>
              <w:marBottom w:val="0"/>
              <w:divBdr>
                <w:top w:val="none" w:sz="0" w:space="0" w:color="auto"/>
                <w:left w:val="none" w:sz="0" w:space="0" w:color="auto"/>
                <w:bottom w:val="none" w:sz="0" w:space="0" w:color="auto"/>
                <w:right w:val="none" w:sz="0" w:space="0" w:color="auto"/>
              </w:divBdr>
              <w:divsChild>
                <w:div w:id="4372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81538">
      <w:bodyDiv w:val="1"/>
      <w:marLeft w:val="0"/>
      <w:marRight w:val="0"/>
      <w:marTop w:val="0"/>
      <w:marBottom w:val="0"/>
      <w:divBdr>
        <w:top w:val="none" w:sz="0" w:space="0" w:color="auto"/>
        <w:left w:val="none" w:sz="0" w:space="0" w:color="auto"/>
        <w:bottom w:val="none" w:sz="0" w:space="0" w:color="auto"/>
        <w:right w:val="none" w:sz="0" w:space="0" w:color="auto"/>
      </w:divBdr>
    </w:div>
    <w:div w:id="1455829803">
      <w:bodyDiv w:val="1"/>
      <w:marLeft w:val="0"/>
      <w:marRight w:val="0"/>
      <w:marTop w:val="0"/>
      <w:marBottom w:val="0"/>
      <w:divBdr>
        <w:top w:val="none" w:sz="0" w:space="0" w:color="auto"/>
        <w:left w:val="none" w:sz="0" w:space="0" w:color="auto"/>
        <w:bottom w:val="none" w:sz="0" w:space="0" w:color="auto"/>
        <w:right w:val="none" w:sz="0" w:space="0" w:color="auto"/>
      </w:divBdr>
    </w:div>
    <w:div w:id="1457211459">
      <w:bodyDiv w:val="1"/>
      <w:marLeft w:val="0"/>
      <w:marRight w:val="0"/>
      <w:marTop w:val="0"/>
      <w:marBottom w:val="0"/>
      <w:divBdr>
        <w:top w:val="none" w:sz="0" w:space="0" w:color="auto"/>
        <w:left w:val="none" w:sz="0" w:space="0" w:color="auto"/>
        <w:bottom w:val="none" w:sz="0" w:space="0" w:color="auto"/>
        <w:right w:val="none" w:sz="0" w:space="0" w:color="auto"/>
      </w:divBdr>
    </w:div>
    <w:div w:id="1458570851">
      <w:bodyDiv w:val="1"/>
      <w:marLeft w:val="0"/>
      <w:marRight w:val="0"/>
      <w:marTop w:val="0"/>
      <w:marBottom w:val="0"/>
      <w:divBdr>
        <w:top w:val="none" w:sz="0" w:space="0" w:color="auto"/>
        <w:left w:val="none" w:sz="0" w:space="0" w:color="auto"/>
        <w:bottom w:val="none" w:sz="0" w:space="0" w:color="auto"/>
        <w:right w:val="none" w:sz="0" w:space="0" w:color="auto"/>
      </w:divBdr>
    </w:div>
    <w:div w:id="1460606139">
      <w:bodyDiv w:val="1"/>
      <w:marLeft w:val="0"/>
      <w:marRight w:val="0"/>
      <w:marTop w:val="0"/>
      <w:marBottom w:val="0"/>
      <w:divBdr>
        <w:top w:val="none" w:sz="0" w:space="0" w:color="auto"/>
        <w:left w:val="none" w:sz="0" w:space="0" w:color="auto"/>
        <w:bottom w:val="none" w:sz="0" w:space="0" w:color="auto"/>
        <w:right w:val="none" w:sz="0" w:space="0" w:color="auto"/>
      </w:divBdr>
    </w:div>
    <w:div w:id="1463187965">
      <w:bodyDiv w:val="1"/>
      <w:marLeft w:val="0"/>
      <w:marRight w:val="0"/>
      <w:marTop w:val="0"/>
      <w:marBottom w:val="0"/>
      <w:divBdr>
        <w:top w:val="none" w:sz="0" w:space="0" w:color="auto"/>
        <w:left w:val="none" w:sz="0" w:space="0" w:color="auto"/>
        <w:bottom w:val="none" w:sz="0" w:space="0" w:color="auto"/>
        <w:right w:val="none" w:sz="0" w:space="0" w:color="auto"/>
      </w:divBdr>
    </w:div>
    <w:div w:id="1467578845">
      <w:bodyDiv w:val="1"/>
      <w:marLeft w:val="0"/>
      <w:marRight w:val="0"/>
      <w:marTop w:val="0"/>
      <w:marBottom w:val="0"/>
      <w:divBdr>
        <w:top w:val="none" w:sz="0" w:space="0" w:color="auto"/>
        <w:left w:val="none" w:sz="0" w:space="0" w:color="auto"/>
        <w:bottom w:val="none" w:sz="0" w:space="0" w:color="auto"/>
        <w:right w:val="none" w:sz="0" w:space="0" w:color="auto"/>
      </w:divBdr>
    </w:div>
    <w:div w:id="1469786022">
      <w:bodyDiv w:val="1"/>
      <w:marLeft w:val="0"/>
      <w:marRight w:val="0"/>
      <w:marTop w:val="0"/>
      <w:marBottom w:val="0"/>
      <w:divBdr>
        <w:top w:val="none" w:sz="0" w:space="0" w:color="auto"/>
        <w:left w:val="none" w:sz="0" w:space="0" w:color="auto"/>
        <w:bottom w:val="none" w:sz="0" w:space="0" w:color="auto"/>
        <w:right w:val="none" w:sz="0" w:space="0" w:color="auto"/>
      </w:divBdr>
      <w:divsChild>
        <w:div w:id="871190946">
          <w:marLeft w:val="1166"/>
          <w:marRight w:val="0"/>
          <w:marTop w:val="115"/>
          <w:marBottom w:val="0"/>
          <w:divBdr>
            <w:top w:val="none" w:sz="0" w:space="0" w:color="auto"/>
            <w:left w:val="none" w:sz="0" w:space="0" w:color="auto"/>
            <w:bottom w:val="none" w:sz="0" w:space="0" w:color="auto"/>
            <w:right w:val="none" w:sz="0" w:space="0" w:color="auto"/>
          </w:divBdr>
        </w:div>
        <w:div w:id="1261911820">
          <w:marLeft w:val="547"/>
          <w:marRight w:val="0"/>
          <w:marTop w:val="130"/>
          <w:marBottom w:val="0"/>
          <w:divBdr>
            <w:top w:val="none" w:sz="0" w:space="0" w:color="auto"/>
            <w:left w:val="none" w:sz="0" w:space="0" w:color="auto"/>
            <w:bottom w:val="none" w:sz="0" w:space="0" w:color="auto"/>
            <w:right w:val="none" w:sz="0" w:space="0" w:color="auto"/>
          </w:divBdr>
        </w:div>
      </w:divsChild>
    </w:div>
    <w:div w:id="1473060691">
      <w:bodyDiv w:val="1"/>
      <w:marLeft w:val="0"/>
      <w:marRight w:val="0"/>
      <w:marTop w:val="0"/>
      <w:marBottom w:val="0"/>
      <w:divBdr>
        <w:top w:val="none" w:sz="0" w:space="0" w:color="auto"/>
        <w:left w:val="none" w:sz="0" w:space="0" w:color="auto"/>
        <w:bottom w:val="none" w:sz="0" w:space="0" w:color="auto"/>
        <w:right w:val="none" w:sz="0" w:space="0" w:color="auto"/>
      </w:divBdr>
      <w:divsChild>
        <w:div w:id="319818951">
          <w:marLeft w:val="720"/>
          <w:marRight w:val="0"/>
          <w:marTop w:val="0"/>
          <w:marBottom w:val="0"/>
          <w:divBdr>
            <w:top w:val="none" w:sz="0" w:space="0" w:color="auto"/>
            <w:left w:val="none" w:sz="0" w:space="0" w:color="auto"/>
            <w:bottom w:val="none" w:sz="0" w:space="0" w:color="auto"/>
            <w:right w:val="none" w:sz="0" w:space="0" w:color="auto"/>
          </w:divBdr>
        </w:div>
        <w:div w:id="1188979684">
          <w:marLeft w:val="720"/>
          <w:marRight w:val="0"/>
          <w:marTop w:val="0"/>
          <w:marBottom w:val="0"/>
          <w:divBdr>
            <w:top w:val="none" w:sz="0" w:space="0" w:color="auto"/>
            <w:left w:val="none" w:sz="0" w:space="0" w:color="auto"/>
            <w:bottom w:val="none" w:sz="0" w:space="0" w:color="auto"/>
            <w:right w:val="none" w:sz="0" w:space="0" w:color="auto"/>
          </w:divBdr>
        </w:div>
      </w:divsChild>
    </w:div>
    <w:div w:id="1473135680">
      <w:bodyDiv w:val="1"/>
      <w:marLeft w:val="0"/>
      <w:marRight w:val="0"/>
      <w:marTop w:val="0"/>
      <w:marBottom w:val="0"/>
      <w:divBdr>
        <w:top w:val="none" w:sz="0" w:space="0" w:color="auto"/>
        <w:left w:val="none" w:sz="0" w:space="0" w:color="auto"/>
        <w:bottom w:val="none" w:sz="0" w:space="0" w:color="auto"/>
        <w:right w:val="none" w:sz="0" w:space="0" w:color="auto"/>
      </w:divBdr>
      <w:divsChild>
        <w:div w:id="104885054">
          <w:marLeft w:val="0"/>
          <w:marRight w:val="0"/>
          <w:marTop w:val="0"/>
          <w:marBottom w:val="0"/>
          <w:divBdr>
            <w:top w:val="none" w:sz="0" w:space="0" w:color="auto"/>
            <w:left w:val="none" w:sz="0" w:space="0" w:color="auto"/>
            <w:bottom w:val="none" w:sz="0" w:space="0" w:color="auto"/>
            <w:right w:val="none" w:sz="0" w:space="0" w:color="auto"/>
          </w:divBdr>
          <w:divsChild>
            <w:div w:id="1639411917">
              <w:marLeft w:val="0"/>
              <w:marRight w:val="0"/>
              <w:marTop w:val="0"/>
              <w:marBottom w:val="0"/>
              <w:divBdr>
                <w:top w:val="none" w:sz="0" w:space="0" w:color="auto"/>
                <w:left w:val="none" w:sz="0" w:space="0" w:color="auto"/>
                <w:bottom w:val="none" w:sz="0" w:space="0" w:color="auto"/>
                <w:right w:val="none" w:sz="0" w:space="0" w:color="auto"/>
              </w:divBdr>
              <w:divsChild>
                <w:div w:id="7343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89131">
      <w:bodyDiv w:val="1"/>
      <w:marLeft w:val="0"/>
      <w:marRight w:val="0"/>
      <w:marTop w:val="0"/>
      <w:marBottom w:val="0"/>
      <w:divBdr>
        <w:top w:val="none" w:sz="0" w:space="0" w:color="auto"/>
        <w:left w:val="none" w:sz="0" w:space="0" w:color="auto"/>
        <w:bottom w:val="none" w:sz="0" w:space="0" w:color="auto"/>
        <w:right w:val="none" w:sz="0" w:space="0" w:color="auto"/>
      </w:divBdr>
    </w:div>
    <w:div w:id="1477575628">
      <w:bodyDiv w:val="1"/>
      <w:marLeft w:val="0"/>
      <w:marRight w:val="0"/>
      <w:marTop w:val="0"/>
      <w:marBottom w:val="0"/>
      <w:divBdr>
        <w:top w:val="none" w:sz="0" w:space="0" w:color="auto"/>
        <w:left w:val="none" w:sz="0" w:space="0" w:color="auto"/>
        <w:bottom w:val="none" w:sz="0" w:space="0" w:color="auto"/>
        <w:right w:val="none" w:sz="0" w:space="0" w:color="auto"/>
      </w:divBdr>
    </w:div>
    <w:div w:id="1478954413">
      <w:bodyDiv w:val="1"/>
      <w:marLeft w:val="0"/>
      <w:marRight w:val="0"/>
      <w:marTop w:val="0"/>
      <w:marBottom w:val="0"/>
      <w:divBdr>
        <w:top w:val="none" w:sz="0" w:space="0" w:color="auto"/>
        <w:left w:val="none" w:sz="0" w:space="0" w:color="auto"/>
        <w:bottom w:val="none" w:sz="0" w:space="0" w:color="auto"/>
        <w:right w:val="none" w:sz="0" w:space="0" w:color="auto"/>
      </w:divBdr>
    </w:div>
    <w:div w:id="1479304427">
      <w:bodyDiv w:val="1"/>
      <w:marLeft w:val="0"/>
      <w:marRight w:val="0"/>
      <w:marTop w:val="0"/>
      <w:marBottom w:val="0"/>
      <w:divBdr>
        <w:top w:val="none" w:sz="0" w:space="0" w:color="auto"/>
        <w:left w:val="none" w:sz="0" w:space="0" w:color="auto"/>
        <w:bottom w:val="none" w:sz="0" w:space="0" w:color="auto"/>
        <w:right w:val="none" w:sz="0" w:space="0" w:color="auto"/>
      </w:divBdr>
      <w:divsChild>
        <w:div w:id="877741747">
          <w:marLeft w:val="547"/>
          <w:marRight w:val="0"/>
          <w:marTop w:val="0"/>
          <w:marBottom w:val="0"/>
          <w:divBdr>
            <w:top w:val="none" w:sz="0" w:space="0" w:color="auto"/>
            <w:left w:val="none" w:sz="0" w:space="0" w:color="auto"/>
            <w:bottom w:val="none" w:sz="0" w:space="0" w:color="auto"/>
            <w:right w:val="none" w:sz="0" w:space="0" w:color="auto"/>
          </w:divBdr>
        </w:div>
      </w:divsChild>
    </w:div>
    <w:div w:id="1483084889">
      <w:bodyDiv w:val="1"/>
      <w:marLeft w:val="0"/>
      <w:marRight w:val="0"/>
      <w:marTop w:val="0"/>
      <w:marBottom w:val="0"/>
      <w:divBdr>
        <w:top w:val="none" w:sz="0" w:space="0" w:color="auto"/>
        <w:left w:val="none" w:sz="0" w:space="0" w:color="auto"/>
        <w:bottom w:val="none" w:sz="0" w:space="0" w:color="auto"/>
        <w:right w:val="none" w:sz="0" w:space="0" w:color="auto"/>
      </w:divBdr>
      <w:divsChild>
        <w:div w:id="1942369099">
          <w:marLeft w:val="0"/>
          <w:marRight w:val="0"/>
          <w:marTop w:val="0"/>
          <w:marBottom w:val="0"/>
          <w:divBdr>
            <w:top w:val="none" w:sz="0" w:space="0" w:color="auto"/>
            <w:left w:val="none" w:sz="0" w:space="0" w:color="auto"/>
            <w:bottom w:val="none" w:sz="0" w:space="0" w:color="auto"/>
            <w:right w:val="none" w:sz="0" w:space="0" w:color="auto"/>
          </w:divBdr>
          <w:divsChild>
            <w:div w:id="183133945">
              <w:marLeft w:val="0"/>
              <w:marRight w:val="0"/>
              <w:marTop w:val="0"/>
              <w:marBottom w:val="0"/>
              <w:divBdr>
                <w:top w:val="none" w:sz="0" w:space="0" w:color="auto"/>
                <w:left w:val="none" w:sz="0" w:space="0" w:color="auto"/>
                <w:bottom w:val="none" w:sz="0" w:space="0" w:color="auto"/>
                <w:right w:val="none" w:sz="0" w:space="0" w:color="auto"/>
              </w:divBdr>
              <w:divsChild>
                <w:div w:id="10890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7524">
      <w:bodyDiv w:val="1"/>
      <w:marLeft w:val="0"/>
      <w:marRight w:val="0"/>
      <w:marTop w:val="0"/>
      <w:marBottom w:val="0"/>
      <w:divBdr>
        <w:top w:val="none" w:sz="0" w:space="0" w:color="auto"/>
        <w:left w:val="none" w:sz="0" w:space="0" w:color="auto"/>
        <w:bottom w:val="none" w:sz="0" w:space="0" w:color="auto"/>
        <w:right w:val="none" w:sz="0" w:space="0" w:color="auto"/>
      </w:divBdr>
    </w:div>
    <w:div w:id="1490320468">
      <w:bodyDiv w:val="1"/>
      <w:marLeft w:val="0"/>
      <w:marRight w:val="0"/>
      <w:marTop w:val="0"/>
      <w:marBottom w:val="0"/>
      <w:divBdr>
        <w:top w:val="none" w:sz="0" w:space="0" w:color="auto"/>
        <w:left w:val="none" w:sz="0" w:space="0" w:color="auto"/>
        <w:bottom w:val="none" w:sz="0" w:space="0" w:color="auto"/>
        <w:right w:val="none" w:sz="0" w:space="0" w:color="auto"/>
      </w:divBdr>
    </w:div>
    <w:div w:id="1494027633">
      <w:bodyDiv w:val="1"/>
      <w:marLeft w:val="0"/>
      <w:marRight w:val="0"/>
      <w:marTop w:val="0"/>
      <w:marBottom w:val="0"/>
      <w:divBdr>
        <w:top w:val="none" w:sz="0" w:space="0" w:color="auto"/>
        <w:left w:val="none" w:sz="0" w:space="0" w:color="auto"/>
        <w:bottom w:val="none" w:sz="0" w:space="0" w:color="auto"/>
        <w:right w:val="none" w:sz="0" w:space="0" w:color="auto"/>
      </w:divBdr>
    </w:div>
    <w:div w:id="1501113714">
      <w:bodyDiv w:val="1"/>
      <w:marLeft w:val="0"/>
      <w:marRight w:val="0"/>
      <w:marTop w:val="0"/>
      <w:marBottom w:val="0"/>
      <w:divBdr>
        <w:top w:val="none" w:sz="0" w:space="0" w:color="auto"/>
        <w:left w:val="none" w:sz="0" w:space="0" w:color="auto"/>
        <w:bottom w:val="none" w:sz="0" w:space="0" w:color="auto"/>
        <w:right w:val="none" w:sz="0" w:space="0" w:color="auto"/>
      </w:divBdr>
    </w:div>
    <w:div w:id="1501702437">
      <w:bodyDiv w:val="1"/>
      <w:marLeft w:val="0"/>
      <w:marRight w:val="0"/>
      <w:marTop w:val="0"/>
      <w:marBottom w:val="0"/>
      <w:divBdr>
        <w:top w:val="none" w:sz="0" w:space="0" w:color="auto"/>
        <w:left w:val="none" w:sz="0" w:space="0" w:color="auto"/>
        <w:bottom w:val="none" w:sz="0" w:space="0" w:color="auto"/>
        <w:right w:val="none" w:sz="0" w:space="0" w:color="auto"/>
      </w:divBdr>
      <w:divsChild>
        <w:div w:id="1718167630">
          <w:marLeft w:val="806"/>
          <w:marRight w:val="0"/>
          <w:marTop w:val="0"/>
          <w:marBottom w:val="0"/>
          <w:divBdr>
            <w:top w:val="none" w:sz="0" w:space="0" w:color="auto"/>
            <w:left w:val="none" w:sz="0" w:space="0" w:color="auto"/>
            <w:bottom w:val="none" w:sz="0" w:space="0" w:color="auto"/>
            <w:right w:val="none" w:sz="0" w:space="0" w:color="auto"/>
          </w:divBdr>
        </w:div>
      </w:divsChild>
    </w:div>
    <w:div w:id="1502163787">
      <w:bodyDiv w:val="1"/>
      <w:marLeft w:val="0"/>
      <w:marRight w:val="0"/>
      <w:marTop w:val="0"/>
      <w:marBottom w:val="0"/>
      <w:divBdr>
        <w:top w:val="none" w:sz="0" w:space="0" w:color="auto"/>
        <w:left w:val="none" w:sz="0" w:space="0" w:color="auto"/>
        <w:bottom w:val="none" w:sz="0" w:space="0" w:color="auto"/>
        <w:right w:val="none" w:sz="0" w:space="0" w:color="auto"/>
      </w:divBdr>
    </w:div>
    <w:div w:id="1505125947">
      <w:bodyDiv w:val="1"/>
      <w:marLeft w:val="0"/>
      <w:marRight w:val="0"/>
      <w:marTop w:val="0"/>
      <w:marBottom w:val="0"/>
      <w:divBdr>
        <w:top w:val="none" w:sz="0" w:space="0" w:color="auto"/>
        <w:left w:val="none" w:sz="0" w:space="0" w:color="auto"/>
        <w:bottom w:val="none" w:sz="0" w:space="0" w:color="auto"/>
        <w:right w:val="none" w:sz="0" w:space="0" w:color="auto"/>
      </w:divBdr>
      <w:divsChild>
        <w:div w:id="675881051">
          <w:marLeft w:val="0"/>
          <w:marRight w:val="0"/>
          <w:marTop w:val="0"/>
          <w:marBottom w:val="0"/>
          <w:divBdr>
            <w:top w:val="none" w:sz="0" w:space="0" w:color="auto"/>
            <w:left w:val="none" w:sz="0" w:space="0" w:color="auto"/>
            <w:bottom w:val="none" w:sz="0" w:space="0" w:color="auto"/>
            <w:right w:val="none" w:sz="0" w:space="0" w:color="auto"/>
          </w:divBdr>
          <w:divsChild>
            <w:div w:id="934021435">
              <w:marLeft w:val="0"/>
              <w:marRight w:val="0"/>
              <w:marTop w:val="0"/>
              <w:marBottom w:val="0"/>
              <w:divBdr>
                <w:top w:val="none" w:sz="0" w:space="0" w:color="auto"/>
                <w:left w:val="none" w:sz="0" w:space="0" w:color="auto"/>
                <w:bottom w:val="none" w:sz="0" w:space="0" w:color="auto"/>
                <w:right w:val="none" w:sz="0" w:space="0" w:color="auto"/>
              </w:divBdr>
              <w:divsChild>
                <w:div w:id="6933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40731">
      <w:bodyDiv w:val="1"/>
      <w:marLeft w:val="0"/>
      <w:marRight w:val="0"/>
      <w:marTop w:val="0"/>
      <w:marBottom w:val="0"/>
      <w:divBdr>
        <w:top w:val="none" w:sz="0" w:space="0" w:color="auto"/>
        <w:left w:val="none" w:sz="0" w:space="0" w:color="auto"/>
        <w:bottom w:val="none" w:sz="0" w:space="0" w:color="auto"/>
        <w:right w:val="none" w:sz="0" w:space="0" w:color="auto"/>
      </w:divBdr>
    </w:div>
    <w:div w:id="1509248000">
      <w:bodyDiv w:val="1"/>
      <w:marLeft w:val="0"/>
      <w:marRight w:val="0"/>
      <w:marTop w:val="0"/>
      <w:marBottom w:val="0"/>
      <w:divBdr>
        <w:top w:val="none" w:sz="0" w:space="0" w:color="auto"/>
        <w:left w:val="none" w:sz="0" w:space="0" w:color="auto"/>
        <w:bottom w:val="none" w:sz="0" w:space="0" w:color="auto"/>
        <w:right w:val="none" w:sz="0" w:space="0" w:color="auto"/>
      </w:divBdr>
      <w:divsChild>
        <w:div w:id="500125021">
          <w:marLeft w:val="720"/>
          <w:marRight w:val="0"/>
          <w:marTop w:val="154"/>
          <w:marBottom w:val="0"/>
          <w:divBdr>
            <w:top w:val="none" w:sz="0" w:space="0" w:color="auto"/>
            <w:left w:val="none" w:sz="0" w:space="0" w:color="auto"/>
            <w:bottom w:val="none" w:sz="0" w:space="0" w:color="auto"/>
            <w:right w:val="none" w:sz="0" w:space="0" w:color="auto"/>
          </w:divBdr>
        </w:div>
        <w:div w:id="645861383">
          <w:marLeft w:val="720"/>
          <w:marRight w:val="0"/>
          <w:marTop w:val="154"/>
          <w:marBottom w:val="0"/>
          <w:divBdr>
            <w:top w:val="none" w:sz="0" w:space="0" w:color="auto"/>
            <w:left w:val="none" w:sz="0" w:space="0" w:color="auto"/>
            <w:bottom w:val="none" w:sz="0" w:space="0" w:color="auto"/>
            <w:right w:val="none" w:sz="0" w:space="0" w:color="auto"/>
          </w:divBdr>
        </w:div>
        <w:div w:id="975570097">
          <w:marLeft w:val="720"/>
          <w:marRight w:val="0"/>
          <w:marTop w:val="154"/>
          <w:marBottom w:val="0"/>
          <w:divBdr>
            <w:top w:val="none" w:sz="0" w:space="0" w:color="auto"/>
            <w:left w:val="none" w:sz="0" w:space="0" w:color="auto"/>
            <w:bottom w:val="none" w:sz="0" w:space="0" w:color="auto"/>
            <w:right w:val="none" w:sz="0" w:space="0" w:color="auto"/>
          </w:divBdr>
        </w:div>
      </w:divsChild>
    </w:div>
    <w:div w:id="1518689788">
      <w:bodyDiv w:val="1"/>
      <w:marLeft w:val="0"/>
      <w:marRight w:val="0"/>
      <w:marTop w:val="0"/>
      <w:marBottom w:val="0"/>
      <w:divBdr>
        <w:top w:val="none" w:sz="0" w:space="0" w:color="auto"/>
        <w:left w:val="none" w:sz="0" w:space="0" w:color="auto"/>
        <w:bottom w:val="none" w:sz="0" w:space="0" w:color="auto"/>
        <w:right w:val="none" w:sz="0" w:space="0" w:color="auto"/>
      </w:divBdr>
      <w:divsChild>
        <w:div w:id="74400136">
          <w:marLeft w:val="0"/>
          <w:marRight w:val="0"/>
          <w:marTop w:val="0"/>
          <w:marBottom w:val="0"/>
          <w:divBdr>
            <w:top w:val="none" w:sz="0" w:space="0" w:color="auto"/>
            <w:left w:val="none" w:sz="0" w:space="0" w:color="auto"/>
            <w:bottom w:val="none" w:sz="0" w:space="0" w:color="auto"/>
            <w:right w:val="none" w:sz="0" w:space="0" w:color="auto"/>
          </w:divBdr>
        </w:div>
        <w:div w:id="320037419">
          <w:marLeft w:val="0"/>
          <w:marRight w:val="0"/>
          <w:marTop w:val="0"/>
          <w:marBottom w:val="0"/>
          <w:divBdr>
            <w:top w:val="none" w:sz="0" w:space="0" w:color="auto"/>
            <w:left w:val="none" w:sz="0" w:space="0" w:color="auto"/>
            <w:bottom w:val="none" w:sz="0" w:space="0" w:color="auto"/>
            <w:right w:val="none" w:sz="0" w:space="0" w:color="auto"/>
          </w:divBdr>
        </w:div>
        <w:div w:id="348262188">
          <w:marLeft w:val="0"/>
          <w:marRight w:val="0"/>
          <w:marTop w:val="0"/>
          <w:marBottom w:val="0"/>
          <w:divBdr>
            <w:top w:val="none" w:sz="0" w:space="0" w:color="auto"/>
            <w:left w:val="none" w:sz="0" w:space="0" w:color="auto"/>
            <w:bottom w:val="none" w:sz="0" w:space="0" w:color="auto"/>
            <w:right w:val="none" w:sz="0" w:space="0" w:color="auto"/>
          </w:divBdr>
        </w:div>
        <w:div w:id="570432773">
          <w:marLeft w:val="0"/>
          <w:marRight w:val="0"/>
          <w:marTop w:val="0"/>
          <w:marBottom w:val="0"/>
          <w:divBdr>
            <w:top w:val="none" w:sz="0" w:space="0" w:color="auto"/>
            <w:left w:val="none" w:sz="0" w:space="0" w:color="auto"/>
            <w:bottom w:val="none" w:sz="0" w:space="0" w:color="auto"/>
            <w:right w:val="none" w:sz="0" w:space="0" w:color="auto"/>
          </w:divBdr>
        </w:div>
        <w:div w:id="616908816">
          <w:marLeft w:val="0"/>
          <w:marRight w:val="0"/>
          <w:marTop w:val="0"/>
          <w:marBottom w:val="0"/>
          <w:divBdr>
            <w:top w:val="none" w:sz="0" w:space="0" w:color="auto"/>
            <w:left w:val="none" w:sz="0" w:space="0" w:color="auto"/>
            <w:bottom w:val="none" w:sz="0" w:space="0" w:color="auto"/>
            <w:right w:val="none" w:sz="0" w:space="0" w:color="auto"/>
          </w:divBdr>
        </w:div>
        <w:div w:id="1520701840">
          <w:marLeft w:val="0"/>
          <w:marRight w:val="0"/>
          <w:marTop w:val="0"/>
          <w:marBottom w:val="0"/>
          <w:divBdr>
            <w:top w:val="none" w:sz="0" w:space="0" w:color="auto"/>
            <w:left w:val="none" w:sz="0" w:space="0" w:color="auto"/>
            <w:bottom w:val="none" w:sz="0" w:space="0" w:color="auto"/>
            <w:right w:val="none" w:sz="0" w:space="0" w:color="auto"/>
          </w:divBdr>
        </w:div>
        <w:div w:id="1849326828">
          <w:marLeft w:val="0"/>
          <w:marRight w:val="0"/>
          <w:marTop w:val="0"/>
          <w:marBottom w:val="0"/>
          <w:divBdr>
            <w:top w:val="none" w:sz="0" w:space="0" w:color="auto"/>
            <w:left w:val="none" w:sz="0" w:space="0" w:color="auto"/>
            <w:bottom w:val="none" w:sz="0" w:space="0" w:color="auto"/>
            <w:right w:val="none" w:sz="0" w:space="0" w:color="auto"/>
          </w:divBdr>
        </w:div>
      </w:divsChild>
    </w:div>
    <w:div w:id="1521700387">
      <w:bodyDiv w:val="1"/>
      <w:marLeft w:val="0"/>
      <w:marRight w:val="0"/>
      <w:marTop w:val="0"/>
      <w:marBottom w:val="0"/>
      <w:divBdr>
        <w:top w:val="none" w:sz="0" w:space="0" w:color="auto"/>
        <w:left w:val="none" w:sz="0" w:space="0" w:color="auto"/>
        <w:bottom w:val="none" w:sz="0" w:space="0" w:color="auto"/>
        <w:right w:val="none" w:sz="0" w:space="0" w:color="auto"/>
      </w:divBdr>
    </w:div>
    <w:div w:id="1531336102">
      <w:bodyDiv w:val="1"/>
      <w:marLeft w:val="0"/>
      <w:marRight w:val="0"/>
      <w:marTop w:val="0"/>
      <w:marBottom w:val="0"/>
      <w:divBdr>
        <w:top w:val="none" w:sz="0" w:space="0" w:color="auto"/>
        <w:left w:val="none" w:sz="0" w:space="0" w:color="auto"/>
        <w:bottom w:val="none" w:sz="0" w:space="0" w:color="auto"/>
        <w:right w:val="none" w:sz="0" w:space="0" w:color="auto"/>
      </w:divBdr>
      <w:divsChild>
        <w:div w:id="158620042">
          <w:marLeft w:val="446"/>
          <w:marRight w:val="0"/>
          <w:marTop w:val="0"/>
          <w:marBottom w:val="0"/>
          <w:divBdr>
            <w:top w:val="none" w:sz="0" w:space="0" w:color="auto"/>
            <w:left w:val="none" w:sz="0" w:space="0" w:color="auto"/>
            <w:bottom w:val="none" w:sz="0" w:space="0" w:color="auto"/>
            <w:right w:val="none" w:sz="0" w:space="0" w:color="auto"/>
          </w:divBdr>
        </w:div>
        <w:div w:id="328950849">
          <w:marLeft w:val="446"/>
          <w:marRight w:val="0"/>
          <w:marTop w:val="0"/>
          <w:marBottom w:val="0"/>
          <w:divBdr>
            <w:top w:val="none" w:sz="0" w:space="0" w:color="auto"/>
            <w:left w:val="none" w:sz="0" w:space="0" w:color="auto"/>
            <w:bottom w:val="none" w:sz="0" w:space="0" w:color="auto"/>
            <w:right w:val="none" w:sz="0" w:space="0" w:color="auto"/>
          </w:divBdr>
        </w:div>
        <w:div w:id="1039470837">
          <w:marLeft w:val="446"/>
          <w:marRight w:val="0"/>
          <w:marTop w:val="0"/>
          <w:marBottom w:val="0"/>
          <w:divBdr>
            <w:top w:val="none" w:sz="0" w:space="0" w:color="auto"/>
            <w:left w:val="none" w:sz="0" w:space="0" w:color="auto"/>
            <w:bottom w:val="none" w:sz="0" w:space="0" w:color="auto"/>
            <w:right w:val="none" w:sz="0" w:space="0" w:color="auto"/>
          </w:divBdr>
        </w:div>
        <w:div w:id="1627740050">
          <w:marLeft w:val="446"/>
          <w:marRight w:val="0"/>
          <w:marTop w:val="0"/>
          <w:marBottom w:val="0"/>
          <w:divBdr>
            <w:top w:val="none" w:sz="0" w:space="0" w:color="auto"/>
            <w:left w:val="none" w:sz="0" w:space="0" w:color="auto"/>
            <w:bottom w:val="none" w:sz="0" w:space="0" w:color="auto"/>
            <w:right w:val="none" w:sz="0" w:space="0" w:color="auto"/>
          </w:divBdr>
        </w:div>
        <w:div w:id="1758360376">
          <w:marLeft w:val="446"/>
          <w:marRight w:val="0"/>
          <w:marTop w:val="0"/>
          <w:marBottom w:val="0"/>
          <w:divBdr>
            <w:top w:val="none" w:sz="0" w:space="0" w:color="auto"/>
            <w:left w:val="none" w:sz="0" w:space="0" w:color="auto"/>
            <w:bottom w:val="none" w:sz="0" w:space="0" w:color="auto"/>
            <w:right w:val="none" w:sz="0" w:space="0" w:color="auto"/>
          </w:divBdr>
        </w:div>
      </w:divsChild>
    </w:div>
    <w:div w:id="1549536725">
      <w:bodyDiv w:val="1"/>
      <w:marLeft w:val="0"/>
      <w:marRight w:val="0"/>
      <w:marTop w:val="0"/>
      <w:marBottom w:val="0"/>
      <w:divBdr>
        <w:top w:val="none" w:sz="0" w:space="0" w:color="auto"/>
        <w:left w:val="none" w:sz="0" w:space="0" w:color="auto"/>
        <w:bottom w:val="none" w:sz="0" w:space="0" w:color="auto"/>
        <w:right w:val="none" w:sz="0" w:space="0" w:color="auto"/>
      </w:divBdr>
    </w:div>
    <w:div w:id="1554730203">
      <w:bodyDiv w:val="1"/>
      <w:marLeft w:val="0"/>
      <w:marRight w:val="0"/>
      <w:marTop w:val="0"/>
      <w:marBottom w:val="0"/>
      <w:divBdr>
        <w:top w:val="none" w:sz="0" w:space="0" w:color="auto"/>
        <w:left w:val="none" w:sz="0" w:space="0" w:color="auto"/>
        <w:bottom w:val="none" w:sz="0" w:space="0" w:color="auto"/>
        <w:right w:val="none" w:sz="0" w:space="0" w:color="auto"/>
      </w:divBdr>
    </w:div>
    <w:div w:id="1557543409">
      <w:bodyDiv w:val="1"/>
      <w:marLeft w:val="0"/>
      <w:marRight w:val="0"/>
      <w:marTop w:val="0"/>
      <w:marBottom w:val="0"/>
      <w:divBdr>
        <w:top w:val="none" w:sz="0" w:space="0" w:color="auto"/>
        <w:left w:val="none" w:sz="0" w:space="0" w:color="auto"/>
        <w:bottom w:val="none" w:sz="0" w:space="0" w:color="auto"/>
        <w:right w:val="none" w:sz="0" w:space="0" w:color="auto"/>
      </w:divBdr>
    </w:div>
    <w:div w:id="1562869232">
      <w:bodyDiv w:val="1"/>
      <w:marLeft w:val="0"/>
      <w:marRight w:val="0"/>
      <w:marTop w:val="0"/>
      <w:marBottom w:val="0"/>
      <w:divBdr>
        <w:top w:val="none" w:sz="0" w:space="0" w:color="auto"/>
        <w:left w:val="none" w:sz="0" w:space="0" w:color="auto"/>
        <w:bottom w:val="none" w:sz="0" w:space="0" w:color="auto"/>
        <w:right w:val="none" w:sz="0" w:space="0" w:color="auto"/>
      </w:divBdr>
    </w:div>
    <w:div w:id="1562903287">
      <w:bodyDiv w:val="1"/>
      <w:marLeft w:val="0"/>
      <w:marRight w:val="0"/>
      <w:marTop w:val="0"/>
      <w:marBottom w:val="0"/>
      <w:divBdr>
        <w:top w:val="none" w:sz="0" w:space="0" w:color="auto"/>
        <w:left w:val="none" w:sz="0" w:space="0" w:color="auto"/>
        <w:bottom w:val="none" w:sz="0" w:space="0" w:color="auto"/>
        <w:right w:val="none" w:sz="0" w:space="0" w:color="auto"/>
      </w:divBdr>
    </w:div>
    <w:div w:id="1565027052">
      <w:bodyDiv w:val="1"/>
      <w:marLeft w:val="0"/>
      <w:marRight w:val="0"/>
      <w:marTop w:val="0"/>
      <w:marBottom w:val="0"/>
      <w:divBdr>
        <w:top w:val="none" w:sz="0" w:space="0" w:color="auto"/>
        <w:left w:val="none" w:sz="0" w:space="0" w:color="auto"/>
        <w:bottom w:val="none" w:sz="0" w:space="0" w:color="auto"/>
        <w:right w:val="none" w:sz="0" w:space="0" w:color="auto"/>
      </w:divBdr>
    </w:div>
    <w:div w:id="1566142738">
      <w:bodyDiv w:val="1"/>
      <w:marLeft w:val="0"/>
      <w:marRight w:val="0"/>
      <w:marTop w:val="0"/>
      <w:marBottom w:val="0"/>
      <w:divBdr>
        <w:top w:val="none" w:sz="0" w:space="0" w:color="auto"/>
        <w:left w:val="none" w:sz="0" w:space="0" w:color="auto"/>
        <w:bottom w:val="none" w:sz="0" w:space="0" w:color="auto"/>
        <w:right w:val="none" w:sz="0" w:space="0" w:color="auto"/>
      </w:divBdr>
    </w:div>
    <w:div w:id="1569143620">
      <w:bodyDiv w:val="1"/>
      <w:marLeft w:val="0"/>
      <w:marRight w:val="0"/>
      <w:marTop w:val="0"/>
      <w:marBottom w:val="0"/>
      <w:divBdr>
        <w:top w:val="none" w:sz="0" w:space="0" w:color="auto"/>
        <w:left w:val="none" w:sz="0" w:space="0" w:color="auto"/>
        <w:bottom w:val="none" w:sz="0" w:space="0" w:color="auto"/>
        <w:right w:val="none" w:sz="0" w:space="0" w:color="auto"/>
      </w:divBdr>
    </w:div>
    <w:div w:id="1574313264">
      <w:bodyDiv w:val="1"/>
      <w:marLeft w:val="0"/>
      <w:marRight w:val="0"/>
      <w:marTop w:val="0"/>
      <w:marBottom w:val="0"/>
      <w:divBdr>
        <w:top w:val="none" w:sz="0" w:space="0" w:color="auto"/>
        <w:left w:val="none" w:sz="0" w:space="0" w:color="auto"/>
        <w:bottom w:val="none" w:sz="0" w:space="0" w:color="auto"/>
        <w:right w:val="none" w:sz="0" w:space="0" w:color="auto"/>
      </w:divBdr>
    </w:div>
    <w:div w:id="1579173088">
      <w:bodyDiv w:val="1"/>
      <w:marLeft w:val="0"/>
      <w:marRight w:val="0"/>
      <w:marTop w:val="0"/>
      <w:marBottom w:val="0"/>
      <w:divBdr>
        <w:top w:val="none" w:sz="0" w:space="0" w:color="auto"/>
        <w:left w:val="none" w:sz="0" w:space="0" w:color="auto"/>
        <w:bottom w:val="none" w:sz="0" w:space="0" w:color="auto"/>
        <w:right w:val="none" w:sz="0" w:space="0" w:color="auto"/>
      </w:divBdr>
    </w:div>
    <w:div w:id="1582711187">
      <w:bodyDiv w:val="1"/>
      <w:marLeft w:val="0"/>
      <w:marRight w:val="0"/>
      <w:marTop w:val="0"/>
      <w:marBottom w:val="0"/>
      <w:divBdr>
        <w:top w:val="none" w:sz="0" w:space="0" w:color="auto"/>
        <w:left w:val="none" w:sz="0" w:space="0" w:color="auto"/>
        <w:bottom w:val="none" w:sz="0" w:space="0" w:color="auto"/>
        <w:right w:val="none" w:sz="0" w:space="0" w:color="auto"/>
      </w:divBdr>
    </w:div>
    <w:div w:id="1585146122">
      <w:bodyDiv w:val="1"/>
      <w:marLeft w:val="0"/>
      <w:marRight w:val="0"/>
      <w:marTop w:val="0"/>
      <w:marBottom w:val="0"/>
      <w:divBdr>
        <w:top w:val="none" w:sz="0" w:space="0" w:color="auto"/>
        <w:left w:val="none" w:sz="0" w:space="0" w:color="auto"/>
        <w:bottom w:val="none" w:sz="0" w:space="0" w:color="auto"/>
        <w:right w:val="none" w:sz="0" w:space="0" w:color="auto"/>
      </w:divBdr>
    </w:div>
    <w:div w:id="1589197024">
      <w:bodyDiv w:val="1"/>
      <w:marLeft w:val="0"/>
      <w:marRight w:val="0"/>
      <w:marTop w:val="0"/>
      <w:marBottom w:val="0"/>
      <w:divBdr>
        <w:top w:val="none" w:sz="0" w:space="0" w:color="auto"/>
        <w:left w:val="none" w:sz="0" w:space="0" w:color="auto"/>
        <w:bottom w:val="none" w:sz="0" w:space="0" w:color="auto"/>
        <w:right w:val="none" w:sz="0" w:space="0" w:color="auto"/>
      </w:divBdr>
    </w:div>
    <w:div w:id="1592590403">
      <w:bodyDiv w:val="1"/>
      <w:marLeft w:val="0"/>
      <w:marRight w:val="0"/>
      <w:marTop w:val="0"/>
      <w:marBottom w:val="0"/>
      <w:divBdr>
        <w:top w:val="none" w:sz="0" w:space="0" w:color="auto"/>
        <w:left w:val="none" w:sz="0" w:space="0" w:color="auto"/>
        <w:bottom w:val="none" w:sz="0" w:space="0" w:color="auto"/>
        <w:right w:val="none" w:sz="0" w:space="0" w:color="auto"/>
      </w:divBdr>
    </w:div>
    <w:div w:id="1599023707">
      <w:bodyDiv w:val="1"/>
      <w:marLeft w:val="0"/>
      <w:marRight w:val="0"/>
      <w:marTop w:val="0"/>
      <w:marBottom w:val="0"/>
      <w:divBdr>
        <w:top w:val="none" w:sz="0" w:space="0" w:color="auto"/>
        <w:left w:val="none" w:sz="0" w:space="0" w:color="auto"/>
        <w:bottom w:val="none" w:sz="0" w:space="0" w:color="auto"/>
        <w:right w:val="none" w:sz="0" w:space="0" w:color="auto"/>
      </w:divBdr>
    </w:div>
    <w:div w:id="1600796193">
      <w:bodyDiv w:val="1"/>
      <w:marLeft w:val="0"/>
      <w:marRight w:val="0"/>
      <w:marTop w:val="0"/>
      <w:marBottom w:val="0"/>
      <w:divBdr>
        <w:top w:val="none" w:sz="0" w:space="0" w:color="auto"/>
        <w:left w:val="none" w:sz="0" w:space="0" w:color="auto"/>
        <w:bottom w:val="none" w:sz="0" w:space="0" w:color="auto"/>
        <w:right w:val="none" w:sz="0" w:space="0" w:color="auto"/>
      </w:divBdr>
    </w:div>
    <w:div w:id="1604609720">
      <w:bodyDiv w:val="1"/>
      <w:marLeft w:val="0"/>
      <w:marRight w:val="0"/>
      <w:marTop w:val="0"/>
      <w:marBottom w:val="0"/>
      <w:divBdr>
        <w:top w:val="none" w:sz="0" w:space="0" w:color="auto"/>
        <w:left w:val="none" w:sz="0" w:space="0" w:color="auto"/>
        <w:bottom w:val="none" w:sz="0" w:space="0" w:color="auto"/>
        <w:right w:val="none" w:sz="0" w:space="0" w:color="auto"/>
      </w:divBdr>
      <w:divsChild>
        <w:div w:id="129827644">
          <w:marLeft w:val="0"/>
          <w:marRight w:val="0"/>
          <w:marTop w:val="0"/>
          <w:marBottom w:val="0"/>
          <w:divBdr>
            <w:top w:val="none" w:sz="0" w:space="0" w:color="auto"/>
            <w:left w:val="none" w:sz="0" w:space="0" w:color="auto"/>
            <w:bottom w:val="none" w:sz="0" w:space="0" w:color="auto"/>
            <w:right w:val="none" w:sz="0" w:space="0" w:color="auto"/>
          </w:divBdr>
        </w:div>
      </w:divsChild>
    </w:div>
    <w:div w:id="1605378867">
      <w:bodyDiv w:val="1"/>
      <w:marLeft w:val="0"/>
      <w:marRight w:val="0"/>
      <w:marTop w:val="0"/>
      <w:marBottom w:val="0"/>
      <w:divBdr>
        <w:top w:val="none" w:sz="0" w:space="0" w:color="auto"/>
        <w:left w:val="none" w:sz="0" w:space="0" w:color="auto"/>
        <w:bottom w:val="none" w:sz="0" w:space="0" w:color="auto"/>
        <w:right w:val="none" w:sz="0" w:space="0" w:color="auto"/>
      </w:divBdr>
    </w:div>
    <w:div w:id="1608658451">
      <w:bodyDiv w:val="1"/>
      <w:marLeft w:val="0"/>
      <w:marRight w:val="0"/>
      <w:marTop w:val="0"/>
      <w:marBottom w:val="0"/>
      <w:divBdr>
        <w:top w:val="none" w:sz="0" w:space="0" w:color="auto"/>
        <w:left w:val="none" w:sz="0" w:space="0" w:color="auto"/>
        <w:bottom w:val="none" w:sz="0" w:space="0" w:color="auto"/>
        <w:right w:val="none" w:sz="0" w:space="0" w:color="auto"/>
      </w:divBdr>
    </w:div>
    <w:div w:id="1612086176">
      <w:bodyDiv w:val="1"/>
      <w:marLeft w:val="0"/>
      <w:marRight w:val="0"/>
      <w:marTop w:val="0"/>
      <w:marBottom w:val="0"/>
      <w:divBdr>
        <w:top w:val="none" w:sz="0" w:space="0" w:color="auto"/>
        <w:left w:val="none" w:sz="0" w:space="0" w:color="auto"/>
        <w:bottom w:val="none" w:sz="0" w:space="0" w:color="auto"/>
        <w:right w:val="none" w:sz="0" w:space="0" w:color="auto"/>
      </w:divBdr>
    </w:div>
    <w:div w:id="1613320609">
      <w:bodyDiv w:val="1"/>
      <w:marLeft w:val="0"/>
      <w:marRight w:val="0"/>
      <w:marTop w:val="0"/>
      <w:marBottom w:val="0"/>
      <w:divBdr>
        <w:top w:val="none" w:sz="0" w:space="0" w:color="auto"/>
        <w:left w:val="none" w:sz="0" w:space="0" w:color="auto"/>
        <w:bottom w:val="none" w:sz="0" w:space="0" w:color="auto"/>
        <w:right w:val="none" w:sz="0" w:space="0" w:color="auto"/>
      </w:divBdr>
    </w:div>
    <w:div w:id="1616669109">
      <w:bodyDiv w:val="1"/>
      <w:marLeft w:val="0"/>
      <w:marRight w:val="0"/>
      <w:marTop w:val="0"/>
      <w:marBottom w:val="0"/>
      <w:divBdr>
        <w:top w:val="none" w:sz="0" w:space="0" w:color="auto"/>
        <w:left w:val="none" w:sz="0" w:space="0" w:color="auto"/>
        <w:bottom w:val="none" w:sz="0" w:space="0" w:color="auto"/>
        <w:right w:val="none" w:sz="0" w:space="0" w:color="auto"/>
      </w:divBdr>
    </w:div>
    <w:div w:id="1622413983">
      <w:bodyDiv w:val="1"/>
      <w:marLeft w:val="0"/>
      <w:marRight w:val="0"/>
      <w:marTop w:val="0"/>
      <w:marBottom w:val="0"/>
      <w:divBdr>
        <w:top w:val="none" w:sz="0" w:space="0" w:color="auto"/>
        <w:left w:val="none" w:sz="0" w:space="0" w:color="auto"/>
        <w:bottom w:val="none" w:sz="0" w:space="0" w:color="auto"/>
        <w:right w:val="none" w:sz="0" w:space="0" w:color="auto"/>
      </w:divBdr>
    </w:div>
    <w:div w:id="1629432208">
      <w:bodyDiv w:val="1"/>
      <w:marLeft w:val="0"/>
      <w:marRight w:val="0"/>
      <w:marTop w:val="0"/>
      <w:marBottom w:val="0"/>
      <w:divBdr>
        <w:top w:val="none" w:sz="0" w:space="0" w:color="auto"/>
        <w:left w:val="none" w:sz="0" w:space="0" w:color="auto"/>
        <w:bottom w:val="none" w:sz="0" w:space="0" w:color="auto"/>
        <w:right w:val="none" w:sz="0" w:space="0" w:color="auto"/>
      </w:divBdr>
    </w:div>
    <w:div w:id="1629624417">
      <w:bodyDiv w:val="1"/>
      <w:marLeft w:val="0"/>
      <w:marRight w:val="0"/>
      <w:marTop w:val="0"/>
      <w:marBottom w:val="0"/>
      <w:divBdr>
        <w:top w:val="none" w:sz="0" w:space="0" w:color="auto"/>
        <w:left w:val="none" w:sz="0" w:space="0" w:color="auto"/>
        <w:bottom w:val="none" w:sz="0" w:space="0" w:color="auto"/>
        <w:right w:val="none" w:sz="0" w:space="0" w:color="auto"/>
      </w:divBdr>
    </w:div>
    <w:div w:id="1630086401">
      <w:bodyDiv w:val="1"/>
      <w:marLeft w:val="0"/>
      <w:marRight w:val="0"/>
      <w:marTop w:val="0"/>
      <w:marBottom w:val="0"/>
      <w:divBdr>
        <w:top w:val="none" w:sz="0" w:space="0" w:color="auto"/>
        <w:left w:val="none" w:sz="0" w:space="0" w:color="auto"/>
        <w:bottom w:val="none" w:sz="0" w:space="0" w:color="auto"/>
        <w:right w:val="none" w:sz="0" w:space="0" w:color="auto"/>
      </w:divBdr>
    </w:div>
    <w:div w:id="1633946362">
      <w:bodyDiv w:val="1"/>
      <w:marLeft w:val="0"/>
      <w:marRight w:val="0"/>
      <w:marTop w:val="0"/>
      <w:marBottom w:val="0"/>
      <w:divBdr>
        <w:top w:val="none" w:sz="0" w:space="0" w:color="auto"/>
        <w:left w:val="none" w:sz="0" w:space="0" w:color="auto"/>
        <w:bottom w:val="none" w:sz="0" w:space="0" w:color="auto"/>
        <w:right w:val="none" w:sz="0" w:space="0" w:color="auto"/>
      </w:divBdr>
    </w:div>
    <w:div w:id="1636518624">
      <w:bodyDiv w:val="1"/>
      <w:marLeft w:val="0"/>
      <w:marRight w:val="0"/>
      <w:marTop w:val="0"/>
      <w:marBottom w:val="0"/>
      <w:divBdr>
        <w:top w:val="none" w:sz="0" w:space="0" w:color="auto"/>
        <w:left w:val="none" w:sz="0" w:space="0" w:color="auto"/>
        <w:bottom w:val="none" w:sz="0" w:space="0" w:color="auto"/>
        <w:right w:val="none" w:sz="0" w:space="0" w:color="auto"/>
      </w:divBdr>
    </w:div>
    <w:div w:id="1637956103">
      <w:bodyDiv w:val="1"/>
      <w:marLeft w:val="0"/>
      <w:marRight w:val="0"/>
      <w:marTop w:val="0"/>
      <w:marBottom w:val="0"/>
      <w:divBdr>
        <w:top w:val="none" w:sz="0" w:space="0" w:color="auto"/>
        <w:left w:val="none" w:sz="0" w:space="0" w:color="auto"/>
        <w:bottom w:val="none" w:sz="0" w:space="0" w:color="auto"/>
        <w:right w:val="none" w:sz="0" w:space="0" w:color="auto"/>
      </w:divBdr>
    </w:div>
    <w:div w:id="1642418751">
      <w:bodyDiv w:val="1"/>
      <w:marLeft w:val="0"/>
      <w:marRight w:val="0"/>
      <w:marTop w:val="0"/>
      <w:marBottom w:val="0"/>
      <w:divBdr>
        <w:top w:val="none" w:sz="0" w:space="0" w:color="auto"/>
        <w:left w:val="none" w:sz="0" w:space="0" w:color="auto"/>
        <w:bottom w:val="none" w:sz="0" w:space="0" w:color="auto"/>
        <w:right w:val="none" w:sz="0" w:space="0" w:color="auto"/>
      </w:divBdr>
      <w:divsChild>
        <w:div w:id="266275129">
          <w:marLeft w:val="0"/>
          <w:marRight w:val="0"/>
          <w:marTop w:val="0"/>
          <w:marBottom w:val="0"/>
          <w:divBdr>
            <w:top w:val="none" w:sz="0" w:space="0" w:color="auto"/>
            <w:left w:val="none" w:sz="0" w:space="0" w:color="auto"/>
            <w:bottom w:val="none" w:sz="0" w:space="0" w:color="auto"/>
            <w:right w:val="none" w:sz="0" w:space="0" w:color="auto"/>
          </w:divBdr>
          <w:divsChild>
            <w:div w:id="2074769644">
              <w:marLeft w:val="0"/>
              <w:marRight w:val="0"/>
              <w:marTop w:val="0"/>
              <w:marBottom w:val="0"/>
              <w:divBdr>
                <w:top w:val="none" w:sz="0" w:space="0" w:color="auto"/>
                <w:left w:val="none" w:sz="0" w:space="0" w:color="auto"/>
                <w:bottom w:val="none" w:sz="0" w:space="0" w:color="auto"/>
                <w:right w:val="none" w:sz="0" w:space="0" w:color="auto"/>
              </w:divBdr>
              <w:divsChild>
                <w:div w:id="5806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50085">
      <w:bodyDiv w:val="1"/>
      <w:marLeft w:val="0"/>
      <w:marRight w:val="0"/>
      <w:marTop w:val="0"/>
      <w:marBottom w:val="0"/>
      <w:divBdr>
        <w:top w:val="none" w:sz="0" w:space="0" w:color="auto"/>
        <w:left w:val="none" w:sz="0" w:space="0" w:color="auto"/>
        <w:bottom w:val="none" w:sz="0" w:space="0" w:color="auto"/>
        <w:right w:val="none" w:sz="0" w:space="0" w:color="auto"/>
      </w:divBdr>
    </w:div>
    <w:div w:id="1646353577">
      <w:bodyDiv w:val="1"/>
      <w:marLeft w:val="0"/>
      <w:marRight w:val="0"/>
      <w:marTop w:val="0"/>
      <w:marBottom w:val="0"/>
      <w:divBdr>
        <w:top w:val="none" w:sz="0" w:space="0" w:color="auto"/>
        <w:left w:val="none" w:sz="0" w:space="0" w:color="auto"/>
        <w:bottom w:val="none" w:sz="0" w:space="0" w:color="auto"/>
        <w:right w:val="none" w:sz="0" w:space="0" w:color="auto"/>
      </w:divBdr>
    </w:div>
    <w:div w:id="1646353645">
      <w:bodyDiv w:val="1"/>
      <w:marLeft w:val="0"/>
      <w:marRight w:val="0"/>
      <w:marTop w:val="0"/>
      <w:marBottom w:val="0"/>
      <w:divBdr>
        <w:top w:val="none" w:sz="0" w:space="0" w:color="auto"/>
        <w:left w:val="none" w:sz="0" w:space="0" w:color="auto"/>
        <w:bottom w:val="none" w:sz="0" w:space="0" w:color="auto"/>
        <w:right w:val="none" w:sz="0" w:space="0" w:color="auto"/>
      </w:divBdr>
    </w:div>
    <w:div w:id="1649820869">
      <w:bodyDiv w:val="1"/>
      <w:marLeft w:val="0"/>
      <w:marRight w:val="0"/>
      <w:marTop w:val="0"/>
      <w:marBottom w:val="0"/>
      <w:divBdr>
        <w:top w:val="none" w:sz="0" w:space="0" w:color="auto"/>
        <w:left w:val="none" w:sz="0" w:space="0" w:color="auto"/>
        <w:bottom w:val="none" w:sz="0" w:space="0" w:color="auto"/>
        <w:right w:val="none" w:sz="0" w:space="0" w:color="auto"/>
      </w:divBdr>
    </w:div>
    <w:div w:id="1651054282">
      <w:bodyDiv w:val="1"/>
      <w:marLeft w:val="0"/>
      <w:marRight w:val="0"/>
      <w:marTop w:val="0"/>
      <w:marBottom w:val="0"/>
      <w:divBdr>
        <w:top w:val="none" w:sz="0" w:space="0" w:color="auto"/>
        <w:left w:val="none" w:sz="0" w:space="0" w:color="auto"/>
        <w:bottom w:val="none" w:sz="0" w:space="0" w:color="auto"/>
        <w:right w:val="none" w:sz="0" w:space="0" w:color="auto"/>
      </w:divBdr>
    </w:div>
    <w:div w:id="1653169574">
      <w:bodyDiv w:val="1"/>
      <w:marLeft w:val="0"/>
      <w:marRight w:val="0"/>
      <w:marTop w:val="0"/>
      <w:marBottom w:val="0"/>
      <w:divBdr>
        <w:top w:val="none" w:sz="0" w:space="0" w:color="auto"/>
        <w:left w:val="none" w:sz="0" w:space="0" w:color="auto"/>
        <w:bottom w:val="none" w:sz="0" w:space="0" w:color="auto"/>
        <w:right w:val="none" w:sz="0" w:space="0" w:color="auto"/>
      </w:divBdr>
    </w:div>
    <w:div w:id="1655184580">
      <w:bodyDiv w:val="1"/>
      <w:marLeft w:val="0"/>
      <w:marRight w:val="0"/>
      <w:marTop w:val="0"/>
      <w:marBottom w:val="0"/>
      <w:divBdr>
        <w:top w:val="none" w:sz="0" w:space="0" w:color="auto"/>
        <w:left w:val="none" w:sz="0" w:space="0" w:color="auto"/>
        <w:bottom w:val="none" w:sz="0" w:space="0" w:color="auto"/>
        <w:right w:val="none" w:sz="0" w:space="0" w:color="auto"/>
      </w:divBdr>
    </w:div>
    <w:div w:id="1659071077">
      <w:bodyDiv w:val="1"/>
      <w:marLeft w:val="0"/>
      <w:marRight w:val="0"/>
      <w:marTop w:val="0"/>
      <w:marBottom w:val="0"/>
      <w:divBdr>
        <w:top w:val="none" w:sz="0" w:space="0" w:color="auto"/>
        <w:left w:val="none" w:sz="0" w:space="0" w:color="auto"/>
        <w:bottom w:val="none" w:sz="0" w:space="0" w:color="auto"/>
        <w:right w:val="none" w:sz="0" w:space="0" w:color="auto"/>
      </w:divBdr>
    </w:div>
    <w:div w:id="1662849473">
      <w:bodyDiv w:val="1"/>
      <w:marLeft w:val="0"/>
      <w:marRight w:val="0"/>
      <w:marTop w:val="0"/>
      <w:marBottom w:val="0"/>
      <w:divBdr>
        <w:top w:val="none" w:sz="0" w:space="0" w:color="auto"/>
        <w:left w:val="none" w:sz="0" w:space="0" w:color="auto"/>
        <w:bottom w:val="none" w:sz="0" w:space="0" w:color="auto"/>
        <w:right w:val="none" w:sz="0" w:space="0" w:color="auto"/>
      </w:divBdr>
    </w:div>
    <w:div w:id="1667439132">
      <w:bodyDiv w:val="1"/>
      <w:marLeft w:val="0"/>
      <w:marRight w:val="0"/>
      <w:marTop w:val="0"/>
      <w:marBottom w:val="0"/>
      <w:divBdr>
        <w:top w:val="none" w:sz="0" w:space="0" w:color="auto"/>
        <w:left w:val="none" w:sz="0" w:space="0" w:color="auto"/>
        <w:bottom w:val="none" w:sz="0" w:space="0" w:color="auto"/>
        <w:right w:val="none" w:sz="0" w:space="0" w:color="auto"/>
      </w:divBdr>
    </w:div>
    <w:div w:id="1670400467">
      <w:bodyDiv w:val="1"/>
      <w:marLeft w:val="0"/>
      <w:marRight w:val="0"/>
      <w:marTop w:val="0"/>
      <w:marBottom w:val="0"/>
      <w:divBdr>
        <w:top w:val="none" w:sz="0" w:space="0" w:color="auto"/>
        <w:left w:val="none" w:sz="0" w:space="0" w:color="auto"/>
        <w:bottom w:val="none" w:sz="0" w:space="0" w:color="auto"/>
        <w:right w:val="none" w:sz="0" w:space="0" w:color="auto"/>
      </w:divBdr>
    </w:div>
    <w:div w:id="1670523460">
      <w:bodyDiv w:val="1"/>
      <w:marLeft w:val="0"/>
      <w:marRight w:val="0"/>
      <w:marTop w:val="0"/>
      <w:marBottom w:val="0"/>
      <w:divBdr>
        <w:top w:val="none" w:sz="0" w:space="0" w:color="auto"/>
        <w:left w:val="none" w:sz="0" w:space="0" w:color="auto"/>
        <w:bottom w:val="none" w:sz="0" w:space="0" w:color="auto"/>
        <w:right w:val="none" w:sz="0" w:space="0" w:color="auto"/>
      </w:divBdr>
    </w:div>
    <w:div w:id="1672441935">
      <w:bodyDiv w:val="1"/>
      <w:marLeft w:val="0"/>
      <w:marRight w:val="0"/>
      <w:marTop w:val="0"/>
      <w:marBottom w:val="0"/>
      <w:divBdr>
        <w:top w:val="none" w:sz="0" w:space="0" w:color="auto"/>
        <w:left w:val="none" w:sz="0" w:space="0" w:color="auto"/>
        <w:bottom w:val="none" w:sz="0" w:space="0" w:color="auto"/>
        <w:right w:val="none" w:sz="0" w:space="0" w:color="auto"/>
      </w:divBdr>
      <w:divsChild>
        <w:div w:id="1292900715">
          <w:marLeft w:val="0"/>
          <w:marRight w:val="0"/>
          <w:marTop w:val="0"/>
          <w:marBottom w:val="0"/>
          <w:divBdr>
            <w:top w:val="none" w:sz="0" w:space="0" w:color="auto"/>
            <w:left w:val="none" w:sz="0" w:space="0" w:color="auto"/>
            <w:bottom w:val="none" w:sz="0" w:space="0" w:color="auto"/>
            <w:right w:val="none" w:sz="0" w:space="0" w:color="auto"/>
          </w:divBdr>
        </w:div>
      </w:divsChild>
    </w:div>
    <w:div w:id="1677489378">
      <w:bodyDiv w:val="1"/>
      <w:marLeft w:val="0"/>
      <w:marRight w:val="0"/>
      <w:marTop w:val="0"/>
      <w:marBottom w:val="0"/>
      <w:divBdr>
        <w:top w:val="none" w:sz="0" w:space="0" w:color="auto"/>
        <w:left w:val="none" w:sz="0" w:space="0" w:color="auto"/>
        <w:bottom w:val="none" w:sz="0" w:space="0" w:color="auto"/>
        <w:right w:val="none" w:sz="0" w:space="0" w:color="auto"/>
      </w:divBdr>
      <w:divsChild>
        <w:div w:id="1914006984">
          <w:marLeft w:val="720"/>
          <w:marRight w:val="0"/>
          <w:marTop w:val="200"/>
          <w:marBottom w:val="0"/>
          <w:divBdr>
            <w:top w:val="none" w:sz="0" w:space="0" w:color="auto"/>
            <w:left w:val="none" w:sz="0" w:space="0" w:color="auto"/>
            <w:bottom w:val="none" w:sz="0" w:space="0" w:color="auto"/>
            <w:right w:val="none" w:sz="0" w:space="0" w:color="auto"/>
          </w:divBdr>
        </w:div>
        <w:div w:id="1985891389">
          <w:marLeft w:val="720"/>
          <w:marRight w:val="0"/>
          <w:marTop w:val="200"/>
          <w:marBottom w:val="0"/>
          <w:divBdr>
            <w:top w:val="none" w:sz="0" w:space="0" w:color="auto"/>
            <w:left w:val="none" w:sz="0" w:space="0" w:color="auto"/>
            <w:bottom w:val="none" w:sz="0" w:space="0" w:color="auto"/>
            <w:right w:val="none" w:sz="0" w:space="0" w:color="auto"/>
          </w:divBdr>
        </w:div>
      </w:divsChild>
    </w:div>
    <w:div w:id="1677801801">
      <w:bodyDiv w:val="1"/>
      <w:marLeft w:val="0"/>
      <w:marRight w:val="0"/>
      <w:marTop w:val="0"/>
      <w:marBottom w:val="0"/>
      <w:divBdr>
        <w:top w:val="none" w:sz="0" w:space="0" w:color="auto"/>
        <w:left w:val="none" w:sz="0" w:space="0" w:color="auto"/>
        <w:bottom w:val="none" w:sz="0" w:space="0" w:color="auto"/>
        <w:right w:val="none" w:sz="0" w:space="0" w:color="auto"/>
      </w:divBdr>
    </w:div>
    <w:div w:id="1678340110">
      <w:bodyDiv w:val="1"/>
      <w:marLeft w:val="0"/>
      <w:marRight w:val="0"/>
      <w:marTop w:val="0"/>
      <w:marBottom w:val="0"/>
      <w:divBdr>
        <w:top w:val="none" w:sz="0" w:space="0" w:color="auto"/>
        <w:left w:val="none" w:sz="0" w:space="0" w:color="auto"/>
        <w:bottom w:val="none" w:sz="0" w:space="0" w:color="auto"/>
        <w:right w:val="none" w:sz="0" w:space="0" w:color="auto"/>
      </w:divBdr>
    </w:div>
    <w:div w:id="1681350866">
      <w:bodyDiv w:val="1"/>
      <w:marLeft w:val="0"/>
      <w:marRight w:val="0"/>
      <w:marTop w:val="0"/>
      <w:marBottom w:val="0"/>
      <w:divBdr>
        <w:top w:val="none" w:sz="0" w:space="0" w:color="auto"/>
        <w:left w:val="none" w:sz="0" w:space="0" w:color="auto"/>
        <w:bottom w:val="none" w:sz="0" w:space="0" w:color="auto"/>
        <w:right w:val="none" w:sz="0" w:space="0" w:color="auto"/>
      </w:divBdr>
      <w:divsChild>
        <w:div w:id="690838158">
          <w:marLeft w:val="0"/>
          <w:marRight w:val="0"/>
          <w:marTop w:val="0"/>
          <w:marBottom w:val="0"/>
          <w:divBdr>
            <w:top w:val="none" w:sz="0" w:space="0" w:color="auto"/>
            <w:left w:val="none" w:sz="0" w:space="0" w:color="auto"/>
            <w:bottom w:val="none" w:sz="0" w:space="0" w:color="auto"/>
            <w:right w:val="none" w:sz="0" w:space="0" w:color="auto"/>
          </w:divBdr>
        </w:div>
      </w:divsChild>
    </w:div>
    <w:div w:id="1688095889">
      <w:bodyDiv w:val="1"/>
      <w:marLeft w:val="0"/>
      <w:marRight w:val="0"/>
      <w:marTop w:val="0"/>
      <w:marBottom w:val="0"/>
      <w:divBdr>
        <w:top w:val="none" w:sz="0" w:space="0" w:color="auto"/>
        <w:left w:val="none" w:sz="0" w:space="0" w:color="auto"/>
        <w:bottom w:val="none" w:sz="0" w:space="0" w:color="auto"/>
        <w:right w:val="none" w:sz="0" w:space="0" w:color="auto"/>
      </w:divBdr>
      <w:divsChild>
        <w:div w:id="1829203601">
          <w:marLeft w:val="0"/>
          <w:marRight w:val="0"/>
          <w:marTop w:val="0"/>
          <w:marBottom w:val="0"/>
          <w:divBdr>
            <w:top w:val="none" w:sz="0" w:space="0" w:color="auto"/>
            <w:left w:val="none" w:sz="0" w:space="0" w:color="auto"/>
            <w:bottom w:val="none" w:sz="0" w:space="0" w:color="auto"/>
            <w:right w:val="none" w:sz="0" w:space="0" w:color="auto"/>
          </w:divBdr>
          <w:divsChild>
            <w:div w:id="983315436">
              <w:marLeft w:val="0"/>
              <w:marRight w:val="0"/>
              <w:marTop w:val="0"/>
              <w:marBottom w:val="0"/>
              <w:divBdr>
                <w:top w:val="none" w:sz="0" w:space="0" w:color="auto"/>
                <w:left w:val="none" w:sz="0" w:space="0" w:color="auto"/>
                <w:bottom w:val="none" w:sz="0" w:space="0" w:color="auto"/>
                <w:right w:val="none" w:sz="0" w:space="0" w:color="auto"/>
              </w:divBdr>
              <w:divsChild>
                <w:div w:id="1412459032">
                  <w:marLeft w:val="0"/>
                  <w:marRight w:val="0"/>
                  <w:marTop w:val="0"/>
                  <w:marBottom w:val="0"/>
                  <w:divBdr>
                    <w:top w:val="none" w:sz="0" w:space="0" w:color="auto"/>
                    <w:left w:val="none" w:sz="0" w:space="0" w:color="auto"/>
                    <w:bottom w:val="none" w:sz="0" w:space="0" w:color="auto"/>
                    <w:right w:val="none" w:sz="0" w:space="0" w:color="auto"/>
                  </w:divBdr>
                  <w:divsChild>
                    <w:div w:id="3117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06998">
      <w:bodyDiv w:val="1"/>
      <w:marLeft w:val="0"/>
      <w:marRight w:val="0"/>
      <w:marTop w:val="0"/>
      <w:marBottom w:val="0"/>
      <w:divBdr>
        <w:top w:val="none" w:sz="0" w:space="0" w:color="auto"/>
        <w:left w:val="none" w:sz="0" w:space="0" w:color="auto"/>
        <w:bottom w:val="none" w:sz="0" w:space="0" w:color="auto"/>
        <w:right w:val="none" w:sz="0" w:space="0" w:color="auto"/>
      </w:divBdr>
    </w:div>
    <w:div w:id="1699504712">
      <w:bodyDiv w:val="1"/>
      <w:marLeft w:val="0"/>
      <w:marRight w:val="0"/>
      <w:marTop w:val="0"/>
      <w:marBottom w:val="0"/>
      <w:divBdr>
        <w:top w:val="none" w:sz="0" w:space="0" w:color="auto"/>
        <w:left w:val="none" w:sz="0" w:space="0" w:color="auto"/>
        <w:bottom w:val="none" w:sz="0" w:space="0" w:color="auto"/>
        <w:right w:val="none" w:sz="0" w:space="0" w:color="auto"/>
      </w:divBdr>
    </w:div>
    <w:div w:id="1704092557">
      <w:bodyDiv w:val="1"/>
      <w:marLeft w:val="0"/>
      <w:marRight w:val="0"/>
      <w:marTop w:val="0"/>
      <w:marBottom w:val="0"/>
      <w:divBdr>
        <w:top w:val="none" w:sz="0" w:space="0" w:color="auto"/>
        <w:left w:val="none" w:sz="0" w:space="0" w:color="auto"/>
        <w:bottom w:val="none" w:sz="0" w:space="0" w:color="auto"/>
        <w:right w:val="none" w:sz="0" w:space="0" w:color="auto"/>
      </w:divBdr>
    </w:div>
    <w:div w:id="1704592160">
      <w:bodyDiv w:val="1"/>
      <w:marLeft w:val="0"/>
      <w:marRight w:val="0"/>
      <w:marTop w:val="0"/>
      <w:marBottom w:val="0"/>
      <w:divBdr>
        <w:top w:val="none" w:sz="0" w:space="0" w:color="auto"/>
        <w:left w:val="none" w:sz="0" w:space="0" w:color="auto"/>
        <w:bottom w:val="none" w:sz="0" w:space="0" w:color="auto"/>
        <w:right w:val="none" w:sz="0" w:space="0" w:color="auto"/>
      </w:divBdr>
    </w:div>
    <w:div w:id="1708795682">
      <w:bodyDiv w:val="1"/>
      <w:marLeft w:val="0"/>
      <w:marRight w:val="0"/>
      <w:marTop w:val="0"/>
      <w:marBottom w:val="0"/>
      <w:divBdr>
        <w:top w:val="none" w:sz="0" w:space="0" w:color="auto"/>
        <w:left w:val="none" w:sz="0" w:space="0" w:color="auto"/>
        <w:bottom w:val="none" w:sz="0" w:space="0" w:color="auto"/>
        <w:right w:val="none" w:sz="0" w:space="0" w:color="auto"/>
      </w:divBdr>
    </w:div>
    <w:div w:id="1710182453">
      <w:bodyDiv w:val="1"/>
      <w:marLeft w:val="0"/>
      <w:marRight w:val="0"/>
      <w:marTop w:val="0"/>
      <w:marBottom w:val="0"/>
      <w:divBdr>
        <w:top w:val="none" w:sz="0" w:space="0" w:color="auto"/>
        <w:left w:val="none" w:sz="0" w:space="0" w:color="auto"/>
        <w:bottom w:val="none" w:sz="0" w:space="0" w:color="auto"/>
        <w:right w:val="none" w:sz="0" w:space="0" w:color="auto"/>
      </w:divBdr>
    </w:div>
    <w:div w:id="1717314026">
      <w:bodyDiv w:val="1"/>
      <w:marLeft w:val="0"/>
      <w:marRight w:val="0"/>
      <w:marTop w:val="0"/>
      <w:marBottom w:val="0"/>
      <w:divBdr>
        <w:top w:val="none" w:sz="0" w:space="0" w:color="auto"/>
        <w:left w:val="none" w:sz="0" w:space="0" w:color="auto"/>
        <w:bottom w:val="none" w:sz="0" w:space="0" w:color="auto"/>
        <w:right w:val="none" w:sz="0" w:space="0" w:color="auto"/>
      </w:divBdr>
    </w:div>
    <w:div w:id="1722822358">
      <w:bodyDiv w:val="1"/>
      <w:marLeft w:val="0"/>
      <w:marRight w:val="0"/>
      <w:marTop w:val="0"/>
      <w:marBottom w:val="0"/>
      <w:divBdr>
        <w:top w:val="none" w:sz="0" w:space="0" w:color="auto"/>
        <w:left w:val="none" w:sz="0" w:space="0" w:color="auto"/>
        <w:bottom w:val="none" w:sz="0" w:space="0" w:color="auto"/>
        <w:right w:val="none" w:sz="0" w:space="0" w:color="auto"/>
      </w:divBdr>
      <w:divsChild>
        <w:div w:id="133641291">
          <w:marLeft w:val="547"/>
          <w:marRight w:val="0"/>
          <w:marTop w:val="240"/>
          <w:marBottom w:val="240"/>
          <w:divBdr>
            <w:top w:val="none" w:sz="0" w:space="0" w:color="auto"/>
            <w:left w:val="none" w:sz="0" w:space="0" w:color="auto"/>
            <w:bottom w:val="none" w:sz="0" w:space="0" w:color="auto"/>
            <w:right w:val="none" w:sz="0" w:space="0" w:color="auto"/>
          </w:divBdr>
        </w:div>
        <w:div w:id="832716576">
          <w:marLeft w:val="547"/>
          <w:marRight w:val="0"/>
          <w:marTop w:val="240"/>
          <w:marBottom w:val="240"/>
          <w:divBdr>
            <w:top w:val="none" w:sz="0" w:space="0" w:color="auto"/>
            <w:left w:val="none" w:sz="0" w:space="0" w:color="auto"/>
            <w:bottom w:val="none" w:sz="0" w:space="0" w:color="auto"/>
            <w:right w:val="none" w:sz="0" w:space="0" w:color="auto"/>
          </w:divBdr>
        </w:div>
        <w:div w:id="1109472309">
          <w:marLeft w:val="547"/>
          <w:marRight w:val="0"/>
          <w:marTop w:val="240"/>
          <w:marBottom w:val="240"/>
          <w:divBdr>
            <w:top w:val="none" w:sz="0" w:space="0" w:color="auto"/>
            <w:left w:val="none" w:sz="0" w:space="0" w:color="auto"/>
            <w:bottom w:val="none" w:sz="0" w:space="0" w:color="auto"/>
            <w:right w:val="none" w:sz="0" w:space="0" w:color="auto"/>
          </w:divBdr>
        </w:div>
      </w:divsChild>
    </w:div>
    <w:div w:id="1723552193">
      <w:bodyDiv w:val="1"/>
      <w:marLeft w:val="0"/>
      <w:marRight w:val="0"/>
      <w:marTop w:val="0"/>
      <w:marBottom w:val="0"/>
      <w:divBdr>
        <w:top w:val="none" w:sz="0" w:space="0" w:color="auto"/>
        <w:left w:val="none" w:sz="0" w:space="0" w:color="auto"/>
        <w:bottom w:val="none" w:sz="0" w:space="0" w:color="auto"/>
        <w:right w:val="none" w:sz="0" w:space="0" w:color="auto"/>
      </w:divBdr>
    </w:div>
    <w:div w:id="1725908898">
      <w:bodyDiv w:val="1"/>
      <w:marLeft w:val="0"/>
      <w:marRight w:val="0"/>
      <w:marTop w:val="0"/>
      <w:marBottom w:val="0"/>
      <w:divBdr>
        <w:top w:val="none" w:sz="0" w:space="0" w:color="auto"/>
        <w:left w:val="none" w:sz="0" w:space="0" w:color="auto"/>
        <w:bottom w:val="none" w:sz="0" w:space="0" w:color="auto"/>
        <w:right w:val="none" w:sz="0" w:space="0" w:color="auto"/>
      </w:divBdr>
      <w:divsChild>
        <w:div w:id="1036349233">
          <w:marLeft w:val="0"/>
          <w:marRight w:val="0"/>
          <w:marTop w:val="0"/>
          <w:marBottom w:val="0"/>
          <w:divBdr>
            <w:top w:val="none" w:sz="0" w:space="0" w:color="auto"/>
            <w:left w:val="none" w:sz="0" w:space="0" w:color="auto"/>
            <w:bottom w:val="none" w:sz="0" w:space="0" w:color="auto"/>
            <w:right w:val="none" w:sz="0" w:space="0" w:color="auto"/>
          </w:divBdr>
        </w:div>
      </w:divsChild>
    </w:div>
    <w:div w:id="1727948154">
      <w:bodyDiv w:val="1"/>
      <w:marLeft w:val="0"/>
      <w:marRight w:val="0"/>
      <w:marTop w:val="0"/>
      <w:marBottom w:val="0"/>
      <w:divBdr>
        <w:top w:val="none" w:sz="0" w:space="0" w:color="auto"/>
        <w:left w:val="none" w:sz="0" w:space="0" w:color="auto"/>
        <w:bottom w:val="none" w:sz="0" w:space="0" w:color="auto"/>
        <w:right w:val="none" w:sz="0" w:space="0" w:color="auto"/>
      </w:divBdr>
      <w:divsChild>
        <w:div w:id="1282298922">
          <w:marLeft w:val="0"/>
          <w:marRight w:val="0"/>
          <w:marTop w:val="0"/>
          <w:marBottom w:val="0"/>
          <w:divBdr>
            <w:top w:val="none" w:sz="0" w:space="0" w:color="auto"/>
            <w:left w:val="none" w:sz="0" w:space="0" w:color="auto"/>
            <w:bottom w:val="none" w:sz="0" w:space="0" w:color="auto"/>
            <w:right w:val="none" w:sz="0" w:space="0" w:color="auto"/>
          </w:divBdr>
        </w:div>
      </w:divsChild>
    </w:div>
    <w:div w:id="1731466521">
      <w:bodyDiv w:val="1"/>
      <w:marLeft w:val="0"/>
      <w:marRight w:val="0"/>
      <w:marTop w:val="0"/>
      <w:marBottom w:val="0"/>
      <w:divBdr>
        <w:top w:val="none" w:sz="0" w:space="0" w:color="auto"/>
        <w:left w:val="none" w:sz="0" w:space="0" w:color="auto"/>
        <w:bottom w:val="none" w:sz="0" w:space="0" w:color="auto"/>
        <w:right w:val="none" w:sz="0" w:space="0" w:color="auto"/>
      </w:divBdr>
    </w:div>
    <w:div w:id="1733380469">
      <w:bodyDiv w:val="1"/>
      <w:marLeft w:val="0"/>
      <w:marRight w:val="0"/>
      <w:marTop w:val="0"/>
      <w:marBottom w:val="0"/>
      <w:divBdr>
        <w:top w:val="none" w:sz="0" w:space="0" w:color="auto"/>
        <w:left w:val="none" w:sz="0" w:space="0" w:color="auto"/>
        <w:bottom w:val="none" w:sz="0" w:space="0" w:color="auto"/>
        <w:right w:val="none" w:sz="0" w:space="0" w:color="auto"/>
      </w:divBdr>
    </w:div>
    <w:div w:id="1733698010">
      <w:bodyDiv w:val="1"/>
      <w:marLeft w:val="0"/>
      <w:marRight w:val="0"/>
      <w:marTop w:val="0"/>
      <w:marBottom w:val="0"/>
      <w:divBdr>
        <w:top w:val="none" w:sz="0" w:space="0" w:color="auto"/>
        <w:left w:val="none" w:sz="0" w:space="0" w:color="auto"/>
        <w:bottom w:val="none" w:sz="0" w:space="0" w:color="auto"/>
        <w:right w:val="none" w:sz="0" w:space="0" w:color="auto"/>
      </w:divBdr>
    </w:div>
    <w:div w:id="1738287766">
      <w:bodyDiv w:val="1"/>
      <w:marLeft w:val="0"/>
      <w:marRight w:val="0"/>
      <w:marTop w:val="0"/>
      <w:marBottom w:val="0"/>
      <w:divBdr>
        <w:top w:val="none" w:sz="0" w:space="0" w:color="auto"/>
        <w:left w:val="none" w:sz="0" w:space="0" w:color="auto"/>
        <w:bottom w:val="none" w:sz="0" w:space="0" w:color="auto"/>
        <w:right w:val="none" w:sz="0" w:space="0" w:color="auto"/>
      </w:divBdr>
    </w:div>
    <w:div w:id="1741637181">
      <w:bodyDiv w:val="1"/>
      <w:marLeft w:val="0"/>
      <w:marRight w:val="0"/>
      <w:marTop w:val="0"/>
      <w:marBottom w:val="0"/>
      <w:divBdr>
        <w:top w:val="none" w:sz="0" w:space="0" w:color="auto"/>
        <w:left w:val="none" w:sz="0" w:space="0" w:color="auto"/>
        <w:bottom w:val="none" w:sz="0" w:space="0" w:color="auto"/>
        <w:right w:val="none" w:sz="0" w:space="0" w:color="auto"/>
      </w:divBdr>
    </w:div>
    <w:div w:id="1745375919">
      <w:bodyDiv w:val="1"/>
      <w:marLeft w:val="0"/>
      <w:marRight w:val="0"/>
      <w:marTop w:val="0"/>
      <w:marBottom w:val="0"/>
      <w:divBdr>
        <w:top w:val="none" w:sz="0" w:space="0" w:color="auto"/>
        <w:left w:val="none" w:sz="0" w:space="0" w:color="auto"/>
        <w:bottom w:val="none" w:sz="0" w:space="0" w:color="auto"/>
        <w:right w:val="none" w:sz="0" w:space="0" w:color="auto"/>
      </w:divBdr>
      <w:divsChild>
        <w:div w:id="397168651">
          <w:marLeft w:val="547"/>
          <w:marRight w:val="0"/>
          <w:marTop w:val="0"/>
          <w:marBottom w:val="0"/>
          <w:divBdr>
            <w:top w:val="none" w:sz="0" w:space="0" w:color="auto"/>
            <w:left w:val="none" w:sz="0" w:space="0" w:color="auto"/>
            <w:bottom w:val="none" w:sz="0" w:space="0" w:color="auto"/>
            <w:right w:val="none" w:sz="0" w:space="0" w:color="auto"/>
          </w:divBdr>
        </w:div>
        <w:div w:id="1510291514">
          <w:marLeft w:val="547"/>
          <w:marRight w:val="0"/>
          <w:marTop w:val="0"/>
          <w:marBottom w:val="0"/>
          <w:divBdr>
            <w:top w:val="none" w:sz="0" w:space="0" w:color="auto"/>
            <w:left w:val="none" w:sz="0" w:space="0" w:color="auto"/>
            <w:bottom w:val="none" w:sz="0" w:space="0" w:color="auto"/>
            <w:right w:val="none" w:sz="0" w:space="0" w:color="auto"/>
          </w:divBdr>
        </w:div>
      </w:divsChild>
    </w:div>
    <w:div w:id="1746027572">
      <w:bodyDiv w:val="1"/>
      <w:marLeft w:val="0"/>
      <w:marRight w:val="0"/>
      <w:marTop w:val="0"/>
      <w:marBottom w:val="0"/>
      <w:divBdr>
        <w:top w:val="none" w:sz="0" w:space="0" w:color="auto"/>
        <w:left w:val="none" w:sz="0" w:space="0" w:color="auto"/>
        <w:bottom w:val="none" w:sz="0" w:space="0" w:color="auto"/>
        <w:right w:val="none" w:sz="0" w:space="0" w:color="auto"/>
      </w:divBdr>
      <w:divsChild>
        <w:div w:id="1304119063">
          <w:marLeft w:val="0"/>
          <w:marRight w:val="0"/>
          <w:marTop w:val="0"/>
          <w:marBottom w:val="0"/>
          <w:divBdr>
            <w:top w:val="none" w:sz="0" w:space="0" w:color="auto"/>
            <w:left w:val="none" w:sz="0" w:space="0" w:color="auto"/>
            <w:bottom w:val="none" w:sz="0" w:space="0" w:color="auto"/>
            <w:right w:val="none" w:sz="0" w:space="0" w:color="auto"/>
          </w:divBdr>
          <w:divsChild>
            <w:div w:id="1785803761">
              <w:marLeft w:val="0"/>
              <w:marRight w:val="0"/>
              <w:marTop w:val="0"/>
              <w:marBottom w:val="0"/>
              <w:divBdr>
                <w:top w:val="none" w:sz="0" w:space="0" w:color="auto"/>
                <w:left w:val="none" w:sz="0" w:space="0" w:color="auto"/>
                <w:bottom w:val="none" w:sz="0" w:space="0" w:color="auto"/>
                <w:right w:val="none" w:sz="0" w:space="0" w:color="auto"/>
              </w:divBdr>
              <w:divsChild>
                <w:div w:id="1122455554">
                  <w:marLeft w:val="0"/>
                  <w:marRight w:val="0"/>
                  <w:marTop w:val="0"/>
                  <w:marBottom w:val="0"/>
                  <w:divBdr>
                    <w:top w:val="none" w:sz="0" w:space="0" w:color="auto"/>
                    <w:left w:val="none" w:sz="0" w:space="0" w:color="auto"/>
                    <w:bottom w:val="none" w:sz="0" w:space="0" w:color="auto"/>
                    <w:right w:val="none" w:sz="0" w:space="0" w:color="auto"/>
                  </w:divBdr>
                  <w:divsChild>
                    <w:div w:id="20716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96295">
      <w:bodyDiv w:val="1"/>
      <w:marLeft w:val="0"/>
      <w:marRight w:val="0"/>
      <w:marTop w:val="0"/>
      <w:marBottom w:val="0"/>
      <w:divBdr>
        <w:top w:val="none" w:sz="0" w:space="0" w:color="auto"/>
        <w:left w:val="none" w:sz="0" w:space="0" w:color="auto"/>
        <w:bottom w:val="none" w:sz="0" w:space="0" w:color="auto"/>
        <w:right w:val="none" w:sz="0" w:space="0" w:color="auto"/>
      </w:divBdr>
      <w:divsChild>
        <w:div w:id="677273751">
          <w:marLeft w:val="907"/>
          <w:marRight w:val="0"/>
          <w:marTop w:val="134"/>
          <w:marBottom w:val="0"/>
          <w:divBdr>
            <w:top w:val="none" w:sz="0" w:space="0" w:color="auto"/>
            <w:left w:val="none" w:sz="0" w:space="0" w:color="auto"/>
            <w:bottom w:val="none" w:sz="0" w:space="0" w:color="auto"/>
            <w:right w:val="none" w:sz="0" w:space="0" w:color="auto"/>
          </w:divBdr>
        </w:div>
        <w:div w:id="851141191">
          <w:marLeft w:val="907"/>
          <w:marRight w:val="0"/>
          <w:marTop w:val="134"/>
          <w:marBottom w:val="0"/>
          <w:divBdr>
            <w:top w:val="none" w:sz="0" w:space="0" w:color="auto"/>
            <w:left w:val="none" w:sz="0" w:space="0" w:color="auto"/>
            <w:bottom w:val="none" w:sz="0" w:space="0" w:color="auto"/>
            <w:right w:val="none" w:sz="0" w:space="0" w:color="auto"/>
          </w:divBdr>
        </w:div>
        <w:div w:id="1158183454">
          <w:marLeft w:val="907"/>
          <w:marRight w:val="0"/>
          <w:marTop w:val="134"/>
          <w:marBottom w:val="0"/>
          <w:divBdr>
            <w:top w:val="none" w:sz="0" w:space="0" w:color="auto"/>
            <w:left w:val="none" w:sz="0" w:space="0" w:color="auto"/>
            <w:bottom w:val="none" w:sz="0" w:space="0" w:color="auto"/>
            <w:right w:val="none" w:sz="0" w:space="0" w:color="auto"/>
          </w:divBdr>
        </w:div>
        <w:div w:id="1508790710">
          <w:marLeft w:val="907"/>
          <w:marRight w:val="0"/>
          <w:marTop w:val="134"/>
          <w:marBottom w:val="0"/>
          <w:divBdr>
            <w:top w:val="none" w:sz="0" w:space="0" w:color="auto"/>
            <w:left w:val="none" w:sz="0" w:space="0" w:color="auto"/>
            <w:bottom w:val="none" w:sz="0" w:space="0" w:color="auto"/>
            <w:right w:val="none" w:sz="0" w:space="0" w:color="auto"/>
          </w:divBdr>
        </w:div>
        <w:div w:id="1643388684">
          <w:marLeft w:val="907"/>
          <w:marRight w:val="0"/>
          <w:marTop w:val="134"/>
          <w:marBottom w:val="0"/>
          <w:divBdr>
            <w:top w:val="none" w:sz="0" w:space="0" w:color="auto"/>
            <w:left w:val="none" w:sz="0" w:space="0" w:color="auto"/>
            <w:bottom w:val="none" w:sz="0" w:space="0" w:color="auto"/>
            <w:right w:val="none" w:sz="0" w:space="0" w:color="auto"/>
          </w:divBdr>
        </w:div>
        <w:div w:id="1767922648">
          <w:marLeft w:val="907"/>
          <w:marRight w:val="0"/>
          <w:marTop w:val="134"/>
          <w:marBottom w:val="0"/>
          <w:divBdr>
            <w:top w:val="none" w:sz="0" w:space="0" w:color="auto"/>
            <w:left w:val="none" w:sz="0" w:space="0" w:color="auto"/>
            <w:bottom w:val="none" w:sz="0" w:space="0" w:color="auto"/>
            <w:right w:val="none" w:sz="0" w:space="0" w:color="auto"/>
          </w:divBdr>
        </w:div>
        <w:div w:id="1825971554">
          <w:marLeft w:val="907"/>
          <w:marRight w:val="0"/>
          <w:marTop w:val="134"/>
          <w:marBottom w:val="0"/>
          <w:divBdr>
            <w:top w:val="none" w:sz="0" w:space="0" w:color="auto"/>
            <w:left w:val="none" w:sz="0" w:space="0" w:color="auto"/>
            <w:bottom w:val="none" w:sz="0" w:space="0" w:color="auto"/>
            <w:right w:val="none" w:sz="0" w:space="0" w:color="auto"/>
          </w:divBdr>
        </w:div>
      </w:divsChild>
    </w:div>
    <w:div w:id="1749499432">
      <w:bodyDiv w:val="1"/>
      <w:marLeft w:val="0"/>
      <w:marRight w:val="0"/>
      <w:marTop w:val="0"/>
      <w:marBottom w:val="0"/>
      <w:divBdr>
        <w:top w:val="none" w:sz="0" w:space="0" w:color="auto"/>
        <w:left w:val="none" w:sz="0" w:space="0" w:color="auto"/>
        <w:bottom w:val="none" w:sz="0" w:space="0" w:color="auto"/>
        <w:right w:val="none" w:sz="0" w:space="0" w:color="auto"/>
      </w:divBdr>
      <w:divsChild>
        <w:div w:id="479159125">
          <w:marLeft w:val="446"/>
          <w:marRight w:val="0"/>
          <w:marTop w:val="0"/>
          <w:marBottom w:val="0"/>
          <w:divBdr>
            <w:top w:val="none" w:sz="0" w:space="0" w:color="auto"/>
            <w:left w:val="none" w:sz="0" w:space="0" w:color="auto"/>
            <w:bottom w:val="none" w:sz="0" w:space="0" w:color="auto"/>
            <w:right w:val="none" w:sz="0" w:space="0" w:color="auto"/>
          </w:divBdr>
        </w:div>
        <w:div w:id="1608082221">
          <w:marLeft w:val="446"/>
          <w:marRight w:val="0"/>
          <w:marTop w:val="0"/>
          <w:marBottom w:val="0"/>
          <w:divBdr>
            <w:top w:val="none" w:sz="0" w:space="0" w:color="auto"/>
            <w:left w:val="none" w:sz="0" w:space="0" w:color="auto"/>
            <w:bottom w:val="none" w:sz="0" w:space="0" w:color="auto"/>
            <w:right w:val="none" w:sz="0" w:space="0" w:color="auto"/>
          </w:divBdr>
        </w:div>
      </w:divsChild>
    </w:div>
    <w:div w:id="1751000598">
      <w:bodyDiv w:val="1"/>
      <w:marLeft w:val="0"/>
      <w:marRight w:val="0"/>
      <w:marTop w:val="0"/>
      <w:marBottom w:val="0"/>
      <w:divBdr>
        <w:top w:val="none" w:sz="0" w:space="0" w:color="auto"/>
        <w:left w:val="none" w:sz="0" w:space="0" w:color="auto"/>
        <w:bottom w:val="none" w:sz="0" w:space="0" w:color="auto"/>
        <w:right w:val="none" w:sz="0" w:space="0" w:color="auto"/>
      </w:divBdr>
    </w:div>
    <w:div w:id="1751849641">
      <w:bodyDiv w:val="1"/>
      <w:marLeft w:val="0"/>
      <w:marRight w:val="0"/>
      <w:marTop w:val="0"/>
      <w:marBottom w:val="0"/>
      <w:divBdr>
        <w:top w:val="none" w:sz="0" w:space="0" w:color="auto"/>
        <w:left w:val="none" w:sz="0" w:space="0" w:color="auto"/>
        <w:bottom w:val="none" w:sz="0" w:space="0" w:color="auto"/>
        <w:right w:val="none" w:sz="0" w:space="0" w:color="auto"/>
      </w:divBdr>
      <w:divsChild>
        <w:div w:id="545065574">
          <w:marLeft w:val="0"/>
          <w:marRight w:val="0"/>
          <w:marTop w:val="75"/>
          <w:marBottom w:val="75"/>
          <w:divBdr>
            <w:top w:val="none" w:sz="0" w:space="0" w:color="auto"/>
            <w:left w:val="none" w:sz="0" w:space="0" w:color="auto"/>
            <w:bottom w:val="none" w:sz="0" w:space="0" w:color="auto"/>
            <w:right w:val="none" w:sz="0" w:space="0" w:color="auto"/>
          </w:divBdr>
        </w:div>
      </w:divsChild>
    </w:div>
    <w:div w:id="1755856814">
      <w:bodyDiv w:val="1"/>
      <w:marLeft w:val="0"/>
      <w:marRight w:val="0"/>
      <w:marTop w:val="0"/>
      <w:marBottom w:val="0"/>
      <w:divBdr>
        <w:top w:val="none" w:sz="0" w:space="0" w:color="auto"/>
        <w:left w:val="none" w:sz="0" w:space="0" w:color="auto"/>
        <w:bottom w:val="none" w:sz="0" w:space="0" w:color="auto"/>
        <w:right w:val="none" w:sz="0" w:space="0" w:color="auto"/>
      </w:divBdr>
    </w:div>
    <w:div w:id="1756510061">
      <w:bodyDiv w:val="1"/>
      <w:marLeft w:val="0"/>
      <w:marRight w:val="0"/>
      <w:marTop w:val="0"/>
      <w:marBottom w:val="0"/>
      <w:divBdr>
        <w:top w:val="none" w:sz="0" w:space="0" w:color="auto"/>
        <w:left w:val="none" w:sz="0" w:space="0" w:color="auto"/>
        <w:bottom w:val="none" w:sz="0" w:space="0" w:color="auto"/>
        <w:right w:val="none" w:sz="0" w:space="0" w:color="auto"/>
      </w:divBdr>
    </w:div>
    <w:div w:id="1764110664">
      <w:bodyDiv w:val="1"/>
      <w:marLeft w:val="0"/>
      <w:marRight w:val="0"/>
      <w:marTop w:val="0"/>
      <w:marBottom w:val="0"/>
      <w:divBdr>
        <w:top w:val="none" w:sz="0" w:space="0" w:color="auto"/>
        <w:left w:val="none" w:sz="0" w:space="0" w:color="auto"/>
        <w:bottom w:val="none" w:sz="0" w:space="0" w:color="auto"/>
        <w:right w:val="none" w:sz="0" w:space="0" w:color="auto"/>
      </w:divBdr>
      <w:divsChild>
        <w:div w:id="327103536">
          <w:marLeft w:val="547"/>
          <w:marRight w:val="0"/>
          <w:marTop w:val="134"/>
          <w:marBottom w:val="0"/>
          <w:divBdr>
            <w:top w:val="none" w:sz="0" w:space="0" w:color="auto"/>
            <w:left w:val="none" w:sz="0" w:space="0" w:color="auto"/>
            <w:bottom w:val="none" w:sz="0" w:space="0" w:color="auto"/>
            <w:right w:val="none" w:sz="0" w:space="0" w:color="auto"/>
          </w:divBdr>
        </w:div>
        <w:div w:id="552082865">
          <w:marLeft w:val="547"/>
          <w:marRight w:val="0"/>
          <w:marTop w:val="134"/>
          <w:marBottom w:val="0"/>
          <w:divBdr>
            <w:top w:val="none" w:sz="0" w:space="0" w:color="auto"/>
            <w:left w:val="none" w:sz="0" w:space="0" w:color="auto"/>
            <w:bottom w:val="none" w:sz="0" w:space="0" w:color="auto"/>
            <w:right w:val="none" w:sz="0" w:space="0" w:color="auto"/>
          </w:divBdr>
        </w:div>
        <w:div w:id="988828055">
          <w:marLeft w:val="547"/>
          <w:marRight w:val="0"/>
          <w:marTop w:val="144"/>
          <w:marBottom w:val="0"/>
          <w:divBdr>
            <w:top w:val="none" w:sz="0" w:space="0" w:color="auto"/>
            <w:left w:val="none" w:sz="0" w:space="0" w:color="auto"/>
            <w:bottom w:val="none" w:sz="0" w:space="0" w:color="auto"/>
            <w:right w:val="none" w:sz="0" w:space="0" w:color="auto"/>
          </w:divBdr>
        </w:div>
        <w:div w:id="1543323979">
          <w:marLeft w:val="547"/>
          <w:marRight w:val="0"/>
          <w:marTop w:val="134"/>
          <w:marBottom w:val="0"/>
          <w:divBdr>
            <w:top w:val="none" w:sz="0" w:space="0" w:color="auto"/>
            <w:left w:val="none" w:sz="0" w:space="0" w:color="auto"/>
            <w:bottom w:val="none" w:sz="0" w:space="0" w:color="auto"/>
            <w:right w:val="none" w:sz="0" w:space="0" w:color="auto"/>
          </w:divBdr>
        </w:div>
      </w:divsChild>
    </w:div>
    <w:div w:id="1765227145">
      <w:bodyDiv w:val="1"/>
      <w:marLeft w:val="0"/>
      <w:marRight w:val="0"/>
      <w:marTop w:val="0"/>
      <w:marBottom w:val="0"/>
      <w:divBdr>
        <w:top w:val="none" w:sz="0" w:space="0" w:color="auto"/>
        <w:left w:val="none" w:sz="0" w:space="0" w:color="auto"/>
        <w:bottom w:val="none" w:sz="0" w:space="0" w:color="auto"/>
        <w:right w:val="none" w:sz="0" w:space="0" w:color="auto"/>
      </w:divBdr>
    </w:div>
    <w:div w:id="1773552269">
      <w:bodyDiv w:val="1"/>
      <w:marLeft w:val="0"/>
      <w:marRight w:val="0"/>
      <w:marTop w:val="0"/>
      <w:marBottom w:val="0"/>
      <w:divBdr>
        <w:top w:val="none" w:sz="0" w:space="0" w:color="auto"/>
        <w:left w:val="none" w:sz="0" w:space="0" w:color="auto"/>
        <w:bottom w:val="none" w:sz="0" w:space="0" w:color="auto"/>
        <w:right w:val="none" w:sz="0" w:space="0" w:color="auto"/>
      </w:divBdr>
    </w:div>
    <w:div w:id="1773628598">
      <w:bodyDiv w:val="1"/>
      <w:marLeft w:val="0"/>
      <w:marRight w:val="0"/>
      <w:marTop w:val="0"/>
      <w:marBottom w:val="0"/>
      <w:divBdr>
        <w:top w:val="none" w:sz="0" w:space="0" w:color="auto"/>
        <w:left w:val="none" w:sz="0" w:space="0" w:color="auto"/>
        <w:bottom w:val="none" w:sz="0" w:space="0" w:color="auto"/>
        <w:right w:val="none" w:sz="0" w:space="0" w:color="auto"/>
      </w:divBdr>
    </w:div>
    <w:div w:id="1775858476">
      <w:bodyDiv w:val="1"/>
      <w:marLeft w:val="0"/>
      <w:marRight w:val="0"/>
      <w:marTop w:val="0"/>
      <w:marBottom w:val="0"/>
      <w:divBdr>
        <w:top w:val="none" w:sz="0" w:space="0" w:color="auto"/>
        <w:left w:val="none" w:sz="0" w:space="0" w:color="auto"/>
        <w:bottom w:val="none" w:sz="0" w:space="0" w:color="auto"/>
        <w:right w:val="none" w:sz="0" w:space="0" w:color="auto"/>
      </w:divBdr>
    </w:div>
    <w:div w:id="1776707869">
      <w:bodyDiv w:val="1"/>
      <w:marLeft w:val="0"/>
      <w:marRight w:val="0"/>
      <w:marTop w:val="0"/>
      <w:marBottom w:val="0"/>
      <w:divBdr>
        <w:top w:val="none" w:sz="0" w:space="0" w:color="auto"/>
        <w:left w:val="none" w:sz="0" w:space="0" w:color="auto"/>
        <w:bottom w:val="none" w:sz="0" w:space="0" w:color="auto"/>
        <w:right w:val="none" w:sz="0" w:space="0" w:color="auto"/>
      </w:divBdr>
    </w:div>
    <w:div w:id="1778133443">
      <w:bodyDiv w:val="1"/>
      <w:marLeft w:val="0"/>
      <w:marRight w:val="0"/>
      <w:marTop w:val="0"/>
      <w:marBottom w:val="0"/>
      <w:divBdr>
        <w:top w:val="none" w:sz="0" w:space="0" w:color="auto"/>
        <w:left w:val="none" w:sz="0" w:space="0" w:color="auto"/>
        <w:bottom w:val="none" w:sz="0" w:space="0" w:color="auto"/>
        <w:right w:val="none" w:sz="0" w:space="0" w:color="auto"/>
      </w:divBdr>
    </w:div>
    <w:div w:id="1785464904">
      <w:bodyDiv w:val="1"/>
      <w:marLeft w:val="0"/>
      <w:marRight w:val="0"/>
      <w:marTop w:val="0"/>
      <w:marBottom w:val="0"/>
      <w:divBdr>
        <w:top w:val="none" w:sz="0" w:space="0" w:color="auto"/>
        <w:left w:val="none" w:sz="0" w:space="0" w:color="auto"/>
        <w:bottom w:val="none" w:sz="0" w:space="0" w:color="auto"/>
        <w:right w:val="none" w:sz="0" w:space="0" w:color="auto"/>
      </w:divBdr>
    </w:div>
    <w:div w:id="1794010790">
      <w:bodyDiv w:val="1"/>
      <w:marLeft w:val="0"/>
      <w:marRight w:val="0"/>
      <w:marTop w:val="0"/>
      <w:marBottom w:val="0"/>
      <w:divBdr>
        <w:top w:val="none" w:sz="0" w:space="0" w:color="auto"/>
        <w:left w:val="none" w:sz="0" w:space="0" w:color="auto"/>
        <w:bottom w:val="none" w:sz="0" w:space="0" w:color="auto"/>
        <w:right w:val="none" w:sz="0" w:space="0" w:color="auto"/>
      </w:divBdr>
    </w:div>
    <w:div w:id="1798137381">
      <w:bodyDiv w:val="1"/>
      <w:marLeft w:val="0"/>
      <w:marRight w:val="0"/>
      <w:marTop w:val="0"/>
      <w:marBottom w:val="0"/>
      <w:divBdr>
        <w:top w:val="none" w:sz="0" w:space="0" w:color="auto"/>
        <w:left w:val="none" w:sz="0" w:space="0" w:color="auto"/>
        <w:bottom w:val="none" w:sz="0" w:space="0" w:color="auto"/>
        <w:right w:val="none" w:sz="0" w:space="0" w:color="auto"/>
      </w:divBdr>
      <w:divsChild>
        <w:div w:id="201287326">
          <w:marLeft w:val="0"/>
          <w:marRight w:val="0"/>
          <w:marTop w:val="0"/>
          <w:marBottom w:val="0"/>
          <w:divBdr>
            <w:top w:val="none" w:sz="0" w:space="0" w:color="auto"/>
            <w:left w:val="none" w:sz="0" w:space="0" w:color="auto"/>
            <w:bottom w:val="none" w:sz="0" w:space="0" w:color="auto"/>
            <w:right w:val="none" w:sz="0" w:space="0" w:color="auto"/>
          </w:divBdr>
          <w:divsChild>
            <w:div w:id="353002493">
              <w:marLeft w:val="0"/>
              <w:marRight w:val="0"/>
              <w:marTop w:val="0"/>
              <w:marBottom w:val="0"/>
              <w:divBdr>
                <w:top w:val="none" w:sz="0" w:space="0" w:color="auto"/>
                <w:left w:val="none" w:sz="0" w:space="0" w:color="auto"/>
                <w:bottom w:val="none" w:sz="0" w:space="0" w:color="auto"/>
                <w:right w:val="none" w:sz="0" w:space="0" w:color="auto"/>
              </w:divBdr>
              <w:divsChild>
                <w:div w:id="656155271">
                  <w:marLeft w:val="0"/>
                  <w:marRight w:val="0"/>
                  <w:marTop w:val="0"/>
                  <w:marBottom w:val="0"/>
                  <w:divBdr>
                    <w:top w:val="none" w:sz="0" w:space="0" w:color="auto"/>
                    <w:left w:val="none" w:sz="0" w:space="0" w:color="auto"/>
                    <w:bottom w:val="none" w:sz="0" w:space="0" w:color="auto"/>
                    <w:right w:val="none" w:sz="0" w:space="0" w:color="auto"/>
                  </w:divBdr>
                  <w:divsChild>
                    <w:div w:id="12775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71383">
      <w:bodyDiv w:val="1"/>
      <w:marLeft w:val="0"/>
      <w:marRight w:val="0"/>
      <w:marTop w:val="0"/>
      <w:marBottom w:val="0"/>
      <w:divBdr>
        <w:top w:val="none" w:sz="0" w:space="0" w:color="auto"/>
        <w:left w:val="none" w:sz="0" w:space="0" w:color="auto"/>
        <w:bottom w:val="none" w:sz="0" w:space="0" w:color="auto"/>
        <w:right w:val="none" w:sz="0" w:space="0" w:color="auto"/>
      </w:divBdr>
    </w:div>
    <w:div w:id="1798721760">
      <w:bodyDiv w:val="1"/>
      <w:marLeft w:val="0"/>
      <w:marRight w:val="0"/>
      <w:marTop w:val="0"/>
      <w:marBottom w:val="0"/>
      <w:divBdr>
        <w:top w:val="none" w:sz="0" w:space="0" w:color="auto"/>
        <w:left w:val="none" w:sz="0" w:space="0" w:color="auto"/>
        <w:bottom w:val="none" w:sz="0" w:space="0" w:color="auto"/>
        <w:right w:val="none" w:sz="0" w:space="0" w:color="auto"/>
      </w:divBdr>
    </w:div>
    <w:div w:id="1805729809">
      <w:bodyDiv w:val="1"/>
      <w:marLeft w:val="0"/>
      <w:marRight w:val="0"/>
      <w:marTop w:val="0"/>
      <w:marBottom w:val="0"/>
      <w:divBdr>
        <w:top w:val="none" w:sz="0" w:space="0" w:color="auto"/>
        <w:left w:val="none" w:sz="0" w:space="0" w:color="auto"/>
        <w:bottom w:val="none" w:sz="0" w:space="0" w:color="auto"/>
        <w:right w:val="none" w:sz="0" w:space="0" w:color="auto"/>
      </w:divBdr>
    </w:div>
    <w:div w:id="1811821996">
      <w:bodyDiv w:val="1"/>
      <w:marLeft w:val="0"/>
      <w:marRight w:val="0"/>
      <w:marTop w:val="0"/>
      <w:marBottom w:val="0"/>
      <w:divBdr>
        <w:top w:val="none" w:sz="0" w:space="0" w:color="auto"/>
        <w:left w:val="none" w:sz="0" w:space="0" w:color="auto"/>
        <w:bottom w:val="none" w:sz="0" w:space="0" w:color="auto"/>
        <w:right w:val="none" w:sz="0" w:space="0" w:color="auto"/>
      </w:divBdr>
    </w:div>
    <w:div w:id="1813061265">
      <w:bodyDiv w:val="1"/>
      <w:marLeft w:val="0"/>
      <w:marRight w:val="0"/>
      <w:marTop w:val="0"/>
      <w:marBottom w:val="0"/>
      <w:divBdr>
        <w:top w:val="none" w:sz="0" w:space="0" w:color="auto"/>
        <w:left w:val="none" w:sz="0" w:space="0" w:color="auto"/>
        <w:bottom w:val="none" w:sz="0" w:space="0" w:color="auto"/>
        <w:right w:val="none" w:sz="0" w:space="0" w:color="auto"/>
      </w:divBdr>
    </w:div>
    <w:div w:id="1828859254">
      <w:bodyDiv w:val="1"/>
      <w:marLeft w:val="0"/>
      <w:marRight w:val="0"/>
      <w:marTop w:val="0"/>
      <w:marBottom w:val="0"/>
      <w:divBdr>
        <w:top w:val="none" w:sz="0" w:space="0" w:color="auto"/>
        <w:left w:val="none" w:sz="0" w:space="0" w:color="auto"/>
        <w:bottom w:val="none" w:sz="0" w:space="0" w:color="auto"/>
        <w:right w:val="none" w:sz="0" w:space="0" w:color="auto"/>
      </w:divBdr>
    </w:div>
    <w:div w:id="1830172359">
      <w:bodyDiv w:val="1"/>
      <w:marLeft w:val="0"/>
      <w:marRight w:val="0"/>
      <w:marTop w:val="0"/>
      <w:marBottom w:val="0"/>
      <w:divBdr>
        <w:top w:val="none" w:sz="0" w:space="0" w:color="auto"/>
        <w:left w:val="none" w:sz="0" w:space="0" w:color="auto"/>
        <w:bottom w:val="none" w:sz="0" w:space="0" w:color="auto"/>
        <w:right w:val="none" w:sz="0" w:space="0" w:color="auto"/>
      </w:divBdr>
    </w:div>
    <w:div w:id="1835877873">
      <w:bodyDiv w:val="1"/>
      <w:marLeft w:val="0"/>
      <w:marRight w:val="0"/>
      <w:marTop w:val="0"/>
      <w:marBottom w:val="0"/>
      <w:divBdr>
        <w:top w:val="none" w:sz="0" w:space="0" w:color="auto"/>
        <w:left w:val="none" w:sz="0" w:space="0" w:color="auto"/>
        <w:bottom w:val="none" w:sz="0" w:space="0" w:color="auto"/>
        <w:right w:val="none" w:sz="0" w:space="0" w:color="auto"/>
      </w:divBdr>
    </w:div>
    <w:div w:id="1841239130">
      <w:bodyDiv w:val="1"/>
      <w:marLeft w:val="0"/>
      <w:marRight w:val="0"/>
      <w:marTop w:val="0"/>
      <w:marBottom w:val="0"/>
      <w:divBdr>
        <w:top w:val="none" w:sz="0" w:space="0" w:color="auto"/>
        <w:left w:val="none" w:sz="0" w:space="0" w:color="auto"/>
        <w:bottom w:val="none" w:sz="0" w:space="0" w:color="auto"/>
        <w:right w:val="none" w:sz="0" w:space="0" w:color="auto"/>
      </w:divBdr>
    </w:div>
    <w:div w:id="1843618561">
      <w:bodyDiv w:val="1"/>
      <w:marLeft w:val="0"/>
      <w:marRight w:val="0"/>
      <w:marTop w:val="0"/>
      <w:marBottom w:val="0"/>
      <w:divBdr>
        <w:top w:val="none" w:sz="0" w:space="0" w:color="auto"/>
        <w:left w:val="none" w:sz="0" w:space="0" w:color="auto"/>
        <w:bottom w:val="none" w:sz="0" w:space="0" w:color="auto"/>
        <w:right w:val="none" w:sz="0" w:space="0" w:color="auto"/>
      </w:divBdr>
    </w:div>
    <w:div w:id="1847133663">
      <w:bodyDiv w:val="1"/>
      <w:marLeft w:val="0"/>
      <w:marRight w:val="0"/>
      <w:marTop w:val="0"/>
      <w:marBottom w:val="0"/>
      <w:divBdr>
        <w:top w:val="none" w:sz="0" w:space="0" w:color="auto"/>
        <w:left w:val="none" w:sz="0" w:space="0" w:color="auto"/>
        <w:bottom w:val="none" w:sz="0" w:space="0" w:color="auto"/>
        <w:right w:val="none" w:sz="0" w:space="0" w:color="auto"/>
      </w:divBdr>
    </w:div>
    <w:div w:id="1849248482">
      <w:bodyDiv w:val="1"/>
      <w:marLeft w:val="0"/>
      <w:marRight w:val="0"/>
      <w:marTop w:val="0"/>
      <w:marBottom w:val="0"/>
      <w:divBdr>
        <w:top w:val="none" w:sz="0" w:space="0" w:color="auto"/>
        <w:left w:val="none" w:sz="0" w:space="0" w:color="auto"/>
        <w:bottom w:val="none" w:sz="0" w:space="0" w:color="auto"/>
        <w:right w:val="none" w:sz="0" w:space="0" w:color="auto"/>
      </w:divBdr>
    </w:div>
    <w:div w:id="1857694280">
      <w:bodyDiv w:val="1"/>
      <w:marLeft w:val="0"/>
      <w:marRight w:val="0"/>
      <w:marTop w:val="0"/>
      <w:marBottom w:val="0"/>
      <w:divBdr>
        <w:top w:val="none" w:sz="0" w:space="0" w:color="auto"/>
        <w:left w:val="none" w:sz="0" w:space="0" w:color="auto"/>
        <w:bottom w:val="none" w:sz="0" w:space="0" w:color="auto"/>
        <w:right w:val="none" w:sz="0" w:space="0" w:color="auto"/>
      </w:divBdr>
    </w:div>
    <w:div w:id="1858277060">
      <w:bodyDiv w:val="1"/>
      <w:marLeft w:val="0"/>
      <w:marRight w:val="0"/>
      <w:marTop w:val="0"/>
      <w:marBottom w:val="0"/>
      <w:divBdr>
        <w:top w:val="none" w:sz="0" w:space="0" w:color="auto"/>
        <w:left w:val="none" w:sz="0" w:space="0" w:color="auto"/>
        <w:bottom w:val="none" w:sz="0" w:space="0" w:color="auto"/>
        <w:right w:val="none" w:sz="0" w:space="0" w:color="auto"/>
      </w:divBdr>
    </w:div>
    <w:div w:id="1862938649">
      <w:bodyDiv w:val="1"/>
      <w:marLeft w:val="0"/>
      <w:marRight w:val="0"/>
      <w:marTop w:val="0"/>
      <w:marBottom w:val="0"/>
      <w:divBdr>
        <w:top w:val="none" w:sz="0" w:space="0" w:color="auto"/>
        <w:left w:val="none" w:sz="0" w:space="0" w:color="auto"/>
        <w:bottom w:val="none" w:sz="0" w:space="0" w:color="auto"/>
        <w:right w:val="none" w:sz="0" w:space="0" w:color="auto"/>
      </w:divBdr>
    </w:div>
    <w:div w:id="1863862604">
      <w:bodyDiv w:val="1"/>
      <w:marLeft w:val="0"/>
      <w:marRight w:val="0"/>
      <w:marTop w:val="0"/>
      <w:marBottom w:val="0"/>
      <w:divBdr>
        <w:top w:val="none" w:sz="0" w:space="0" w:color="auto"/>
        <w:left w:val="none" w:sz="0" w:space="0" w:color="auto"/>
        <w:bottom w:val="none" w:sz="0" w:space="0" w:color="auto"/>
        <w:right w:val="none" w:sz="0" w:space="0" w:color="auto"/>
      </w:divBdr>
    </w:div>
    <w:div w:id="1865751745">
      <w:bodyDiv w:val="1"/>
      <w:marLeft w:val="0"/>
      <w:marRight w:val="0"/>
      <w:marTop w:val="0"/>
      <w:marBottom w:val="0"/>
      <w:divBdr>
        <w:top w:val="none" w:sz="0" w:space="0" w:color="auto"/>
        <w:left w:val="none" w:sz="0" w:space="0" w:color="auto"/>
        <w:bottom w:val="none" w:sz="0" w:space="0" w:color="auto"/>
        <w:right w:val="none" w:sz="0" w:space="0" w:color="auto"/>
      </w:divBdr>
    </w:div>
    <w:div w:id="1866795827">
      <w:bodyDiv w:val="1"/>
      <w:marLeft w:val="0"/>
      <w:marRight w:val="0"/>
      <w:marTop w:val="0"/>
      <w:marBottom w:val="0"/>
      <w:divBdr>
        <w:top w:val="none" w:sz="0" w:space="0" w:color="auto"/>
        <w:left w:val="none" w:sz="0" w:space="0" w:color="auto"/>
        <w:bottom w:val="none" w:sz="0" w:space="0" w:color="auto"/>
        <w:right w:val="none" w:sz="0" w:space="0" w:color="auto"/>
      </w:divBdr>
      <w:divsChild>
        <w:div w:id="1734809494">
          <w:marLeft w:val="0"/>
          <w:marRight w:val="0"/>
          <w:marTop w:val="0"/>
          <w:marBottom w:val="0"/>
          <w:divBdr>
            <w:top w:val="none" w:sz="0" w:space="0" w:color="auto"/>
            <w:left w:val="none" w:sz="0" w:space="0" w:color="auto"/>
            <w:bottom w:val="none" w:sz="0" w:space="0" w:color="auto"/>
            <w:right w:val="none" w:sz="0" w:space="0" w:color="auto"/>
          </w:divBdr>
          <w:divsChild>
            <w:div w:id="1314944524">
              <w:marLeft w:val="0"/>
              <w:marRight w:val="0"/>
              <w:marTop w:val="0"/>
              <w:marBottom w:val="0"/>
              <w:divBdr>
                <w:top w:val="none" w:sz="0" w:space="0" w:color="auto"/>
                <w:left w:val="none" w:sz="0" w:space="0" w:color="auto"/>
                <w:bottom w:val="none" w:sz="0" w:space="0" w:color="auto"/>
                <w:right w:val="none" w:sz="0" w:space="0" w:color="auto"/>
              </w:divBdr>
              <w:divsChild>
                <w:div w:id="12805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111">
      <w:bodyDiv w:val="1"/>
      <w:marLeft w:val="0"/>
      <w:marRight w:val="0"/>
      <w:marTop w:val="0"/>
      <w:marBottom w:val="0"/>
      <w:divBdr>
        <w:top w:val="none" w:sz="0" w:space="0" w:color="auto"/>
        <w:left w:val="none" w:sz="0" w:space="0" w:color="auto"/>
        <w:bottom w:val="none" w:sz="0" w:space="0" w:color="auto"/>
        <w:right w:val="none" w:sz="0" w:space="0" w:color="auto"/>
      </w:divBdr>
    </w:div>
    <w:div w:id="1881743445">
      <w:bodyDiv w:val="1"/>
      <w:marLeft w:val="0"/>
      <w:marRight w:val="0"/>
      <w:marTop w:val="0"/>
      <w:marBottom w:val="0"/>
      <w:divBdr>
        <w:top w:val="none" w:sz="0" w:space="0" w:color="auto"/>
        <w:left w:val="none" w:sz="0" w:space="0" w:color="auto"/>
        <w:bottom w:val="none" w:sz="0" w:space="0" w:color="auto"/>
        <w:right w:val="none" w:sz="0" w:space="0" w:color="auto"/>
      </w:divBdr>
    </w:div>
    <w:div w:id="1882129038">
      <w:bodyDiv w:val="1"/>
      <w:marLeft w:val="0"/>
      <w:marRight w:val="0"/>
      <w:marTop w:val="0"/>
      <w:marBottom w:val="0"/>
      <w:divBdr>
        <w:top w:val="none" w:sz="0" w:space="0" w:color="auto"/>
        <w:left w:val="none" w:sz="0" w:space="0" w:color="auto"/>
        <w:bottom w:val="none" w:sz="0" w:space="0" w:color="auto"/>
        <w:right w:val="none" w:sz="0" w:space="0" w:color="auto"/>
      </w:divBdr>
    </w:div>
    <w:div w:id="1886060567">
      <w:bodyDiv w:val="1"/>
      <w:marLeft w:val="0"/>
      <w:marRight w:val="0"/>
      <w:marTop w:val="0"/>
      <w:marBottom w:val="0"/>
      <w:divBdr>
        <w:top w:val="none" w:sz="0" w:space="0" w:color="auto"/>
        <w:left w:val="none" w:sz="0" w:space="0" w:color="auto"/>
        <w:bottom w:val="none" w:sz="0" w:space="0" w:color="auto"/>
        <w:right w:val="none" w:sz="0" w:space="0" w:color="auto"/>
      </w:divBdr>
    </w:div>
    <w:div w:id="1899391418">
      <w:bodyDiv w:val="1"/>
      <w:marLeft w:val="0"/>
      <w:marRight w:val="0"/>
      <w:marTop w:val="0"/>
      <w:marBottom w:val="0"/>
      <w:divBdr>
        <w:top w:val="none" w:sz="0" w:space="0" w:color="auto"/>
        <w:left w:val="none" w:sz="0" w:space="0" w:color="auto"/>
        <w:bottom w:val="none" w:sz="0" w:space="0" w:color="auto"/>
        <w:right w:val="none" w:sz="0" w:space="0" w:color="auto"/>
      </w:divBdr>
    </w:div>
    <w:div w:id="1900363796">
      <w:bodyDiv w:val="1"/>
      <w:marLeft w:val="0"/>
      <w:marRight w:val="0"/>
      <w:marTop w:val="0"/>
      <w:marBottom w:val="0"/>
      <w:divBdr>
        <w:top w:val="none" w:sz="0" w:space="0" w:color="auto"/>
        <w:left w:val="none" w:sz="0" w:space="0" w:color="auto"/>
        <w:bottom w:val="none" w:sz="0" w:space="0" w:color="auto"/>
        <w:right w:val="none" w:sz="0" w:space="0" w:color="auto"/>
      </w:divBdr>
    </w:div>
    <w:div w:id="1904177255">
      <w:bodyDiv w:val="1"/>
      <w:marLeft w:val="0"/>
      <w:marRight w:val="0"/>
      <w:marTop w:val="0"/>
      <w:marBottom w:val="0"/>
      <w:divBdr>
        <w:top w:val="none" w:sz="0" w:space="0" w:color="auto"/>
        <w:left w:val="none" w:sz="0" w:space="0" w:color="auto"/>
        <w:bottom w:val="none" w:sz="0" w:space="0" w:color="auto"/>
        <w:right w:val="none" w:sz="0" w:space="0" w:color="auto"/>
      </w:divBdr>
    </w:div>
    <w:div w:id="1907451831">
      <w:bodyDiv w:val="1"/>
      <w:marLeft w:val="0"/>
      <w:marRight w:val="0"/>
      <w:marTop w:val="0"/>
      <w:marBottom w:val="0"/>
      <w:divBdr>
        <w:top w:val="none" w:sz="0" w:space="0" w:color="auto"/>
        <w:left w:val="none" w:sz="0" w:space="0" w:color="auto"/>
        <w:bottom w:val="none" w:sz="0" w:space="0" w:color="auto"/>
        <w:right w:val="none" w:sz="0" w:space="0" w:color="auto"/>
      </w:divBdr>
    </w:div>
    <w:div w:id="1907761712">
      <w:bodyDiv w:val="1"/>
      <w:marLeft w:val="0"/>
      <w:marRight w:val="0"/>
      <w:marTop w:val="0"/>
      <w:marBottom w:val="0"/>
      <w:divBdr>
        <w:top w:val="none" w:sz="0" w:space="0" w:color="auto"/>
        <w:left w:val="none" w:sz="0" w:space="0" w:color="auto"/>
        <w:bottom w:val="none" w:sz="0" w:space="0" w:color="auto"/>
        <w:right w:val="none" w:sz="0" w:space="0" w:color="auto"/>
      </w:divBdr>
    </w:div>
    <w:div w:id="1916624448">
      <w:bodyDiv w:val="1"/>
      <w:marLeft w:val="0"/>
      <w:marRight w:val="0"/>
      <w:marTop w:val="0"/>
      <w:marBottom w:val="0"/>
      <w:divBdr>
        <w:top w:val="none" w:sz="0" w:space="0" w:color="auto"/>
        <w:left w:val="none" w:sz="0" w:space="0" w:color="auto"/>
        <w:bottom w:val="none" w:sz="0" w:space="0" w:color="auto"/>
        <w:right w:val="none" w:sz="0" w:space="0" w:color="auto"/>
      </w:divBdr>
    </w:div>
    <w:div w:id="1917661768">
      <w:bodyDiv w:val="1"/>
      <w:marLeft w:val="0"/>
      <w:marRight w:val="0"/>
      <w:marTop w:val="0"/>
      <w:marBottom w:val="0"/>
      <w:divBdr>
        <w:top w:val="none" w:sz="0" w:space="0" w:color="auto"/>
        <w:left w:val="none" w:sz="0" w:space="0" w:color="auto"/>
        <w:bottom w:val="none" w:sz="0" w:space="0" w:color="auto"/>
        <w:right w:val="none" w:sz="0" w:space="0" w:color="auto"/>
      </w:divBdr>
    </w:div>
    <w:div w:id="1917864577">
      <w:bodyDiv w:val="1"/>
      <w:marLeft w:val="0"/>
      <w:marRight w:val="0"/>
      <w:marTop w:val="0"/>
      <w:marBottom w:val="0"/>
      <w:divBdr>
        <w:top w:val="none" w:sz="0" w:space="0" w:color="auto"/>
        <w:left w:val="none" w:sz="0" w:space="0" w:color="auto"/>
        <w:bottom w:val="none" w:sz="0" w:space="0" w:color="auto"/>
        <w:right w:val="none" w:sz="0" w:space="0" w:color="auto"/>
      </w:divBdr>
    </w:div>
    <w:div w:id="1918132910">
      <w:bodyDiv w:val="1"/>
      <w:marLeft w:val="0"/>
      <w:marRight w:val="0"/>
      <w:marTop w:val="0"/>
      <w:marBottom w:val="0"/>
      <w:divBdr>
        <w:top w:val="none" w:sz="0" w:space="0" w:color="auto"/>
        <w:left w:val="none" w:sz="0" w:space="0" w:color="auto"/>
        <w:bottom w:val="none" w:sz="0" w:space="0" w:color="auto"/>
        <w:right w:val="none" w:sz="0" w:space="0" w:color="auto"/>
      </w:divBdr>
      <w:divsChild>
        <w:div w:id="166137082">
          <w:marLeft w:val="0"/>
          <w:marRight w:val="0"/>
          <w:marTop w:val="0"/>
          <w:marBottom w:val="0"/>
          <w:divBdr>
            <w:top w:val="none" w:sz="0" w:space="0" w:color="auto"/>
            <w:left w:val="none" w:sz="0" w:space="0" w:color="auto"/>
            <w:bottom w:val="none" w:sz="0" w:space="0" w:color="auto"/>
            <w:right w:val="none" w:sz="0" w:space="0" w:color="auto"/>
          </w:divBdr>
          <w:divsChild>
            <w:div w:id="8889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2568">
      <w:bodyDiv w:val="1"/>
      <w:marLeft w:val="0"/>
      <w:marRight w:val="0"/>
      <w:marTop w:val="0"/>
      <w:marBottom w:val="0"/>
      <w:divBdr>
        <w:top w:val="none" w:sz="0" w:space="0" w:color="auto"/>
        <w:left w:val="none" w:sz="0" w:space="0" w:color="auto"/>
        <w:bottom w:val="none" w:sz="0" w:space="0" w:color="auto"/>
        <w:right w:val="none" w:sz="0" w:space="0" w:color="auto"/>
      </w:divBdr>
    </w:div>
    <w:div w:id="1923875256">
      <w:bodyDiv w:val="1"/>
      <w:marLeft w:val="0"/>
      <w:marRight w:val="0"/>
      <w:marTop w:val="0"/>
      <w:marBottom w:val="0"/>
      <w:divBdr>
        <w:top w:val="none" w:sz="0" w:space="0" w:color="auto"/>
        <w:left w:val="none" w:sz="0" w:space="0" w:color="auto"/>
        <w:bottom w:val="none" w:sz="0" w:space="0" w:color="auto"/>
        <w:right w:val="none" w:sz="0" w:space="0" w:color="auto"/>
      </w:divBdr>
    </w:div>
    <w:div w:id="1932542447">
      <w:bodyDiv w:val="1"/>
      <w:marLeft w:val="0"/>
      <w:marRight w:val="0"/>
      <w:marTop w:val="0"/>
      <w:marBottom w:val="0"/>
      <w:divBdr>
        <w:top w:val="none" w:sz="0" w:space="0" w:color="auto"/>
        <w:left w:val="none" w:sz="0" w:space="0" w:color="auto"/>
        <w:bottom w:val="none" w:sz="0" w:space="0" w:color="auto"/>
        <w:right w:val="none" w:sz="0" w:space="0" w:color="auto"/>
      </w:divBdr>
    </w:div>
    <w:div w:id="1932616187">
      <w:bodyDiv w:val="1"/>
      <w:marLeft w:val="0"/>
      <w:marRight w:val="0"/>
      <w:marTop w:val="0"/>
      <w:marBottom w:val="0"/>
      <w:divBdr>
        <w:top w:val="none" w:sz="0" w:space="0" w:color="auto"/>
        <w:left w:val="none" w:sz="0" w:space="0" w:color="auto"/>
        <w:bottom w:val="none" w:sz="0" w:space="0" w:color="auto"/>
        <w:right w:val="none" w:sz="0" w:space="0" w:color="auto"/>
      </w:divBdr>
    </w:div>
    <w:div w:id="1938125833">
      <w:bodyDiv w:val="1"/>
      <w:marLeft w:val="0"/>
      <w:marRight w:val="0"/>
      <w:marTop w:val="0"/>
      <w:marBottom w:val="0"/>
      <w:divBdr>
        <w:top w:val="none" w:sz="0" w:space="0" w:color="auto"/>
        <w:left w:val="none" w:sz="0" w:space="0" w:color="auto"/>
        <w:bottom w:val="none" w:sz="0" w:space="0" w:color="auto"/>
        <w:right w:val="none" w:sz="0" w:space="0" w:color="auto"/>
      </w:divBdr>
    </w:div>
    <w:div w:id="1939410855">
      <w:bodyDiv w:val="1"/>
      <w:marLeft w:val="0"/>
      <w:marRight w:val="0"/>
      <w:marTop w:val="0"/>
      <w:marBottom w:val="0"/>
      <w:divBdr>
        <w:top w:val="none" w:sz="0" w:space="0" w:color="auto"/>
        <w:left w:val="none" w:sz="0" w:space="0" w:color="auto"/>
        <w:bottom w:val="none" w:sz="0" w:space="0" w:color="auto"/>
        <w:right w:val="none" w:sz="0" w:space="0" w:color="auto"/>
      </w:divBdr>
      <w:divsChild>
        <w:div w:id="760297295">
          <w:marLeft w:val="0"/>
          <w:marRight w:val="0"/>
          <w:marTop w:val="0"/>
          <w:marBottom w:val="0"/>
          <w:divBdr>
            <w:top w:val="none" w:sz="0" w:space="0" w:color="auto"/>
            <w:left w:val="none" w:sz="0" w:space="0" w:color="auto"/>
            <w:bottom w:val="none" w:sz="0" w:space="0" w:color="auto"/>
            <w:right w:val="none" w:sz="0" w:space="0" w:color="auto"/>
          </w:divBdr>
          <w:divsChild>
            <w:div w:id="1043755157">
              <w:marLeft w:val="0"/>
              <w:marRight w:val="0"/>
              <w:marTop w:val="0"/>
              <w:marBottom w:val="0"/>
              <w:divBdr>
                <w:top w:val="none" w:sz="0" w:space="0" w:color="auto"/>
                <w:left w:val="none" w:sz="0" w:space="0" w:color="auto"/>
                <w:bottom w:val="none" w:sz="0" w:space="0" w:color="auto"/>
                <w:right w:val="none" w:sz="0" w:space="0" w:color="auto"/>
              </w:divBdr>
              <w:divsChild>
                <w:div w:id="8343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5340">
      <w:bodyDiv w:val="1"/>
      <w:marLeft w:val="0"/>
      <w:marRight w:val="0"/>
      <w:marTop w:val="0"/>
      <w:marBottom w:val="0"/>
      <w:divBdr>
        <w:top w:val="none" w:sz="0" w:space="0" w:color="auto"/>
        <w:left w:val="none" w:sz="0" w:space="0" w:color="auto"/>
        <w:bottom w:val="none" w:sz="0" w:space="0" w:color="auto"/>
        <w:right w:val="none" w:sz="0" w:space="0" w:color="auto"/>
      </w:divBdr>
    </w:div>
    <w:div w:id="1948191400">
      <w:bodyDiv w:val="1"/>
      <w:marLeft w:val="0"/>
      <w:marRight w:val="0"/>
      <w:marTop w:val="0"/>
      <w:marBottom w:val="0"/>
      <w:divBdr>
        <w:top w:val="none" w:sz="0" w:space="0" w:color="auto"/>
        <w:left w:val="none" w:sz="0" w:space="0" w:color="auto"/>
        <w:bottom w:val="none" w:sz="0" w:space="0" w:color="auto"/>
        <w:right w:val="none" w:sz="0" w:space="0" w:color="auto"/>
      </w:divBdr>
    </w:div>
    <w:div w:id="1948535552">
      <w:bodyDiv w:val="1"/>
      <w:marLeft w:val="0"/>
      <w:marRight w:val="0"/>
      <w:marTop w:val="0"/>
      <w:marBottom w:val="0"/>
      <w:divBdr>
        <w:top w:val="none" w:sz="0" w:space="0" w:color="auto"/>
        <w:left w:val="none" w:sz="0" w:space="0" w:color="auto"/>
        <w:bottom w:val="none" w:sz="0" w:space="0" w:color="auto"/>
        <w:right w:val="none" w:sz="0" w:space="0" w:color="auto"/>
      </w:divBdr>
    </w:div>
    <w:div w:id="1954438026">
      <w:bodyDiv w:val="1"/>
      <w:marLeft w:val="0"/>
      <w:marRight w:val="0"/>
      <w:marTop w:val="0"/>
      <w:marBottom w:val="0"/>
      <w:divBdr>
        <w:top w:val="none" w:sz="0" w:space="0" w:color="auto"/>
        <w:left w:val="none" w:sz="0" w:space="0" w:color="auto"/>
        <w:bottom w:val="none" w:sz="0" w:space="0" w:color="auto"/>
        <w:right w:val="none" w:sz="0" w:space="0" w:color="auto"/>
      </w:divBdr>
    </w:div>
    <w:div w:id="1955282423">
      <w:bodyDiv w:val="1"/>
      <w:marLeft w:val="0"/>
      <w:marRight w:val="0"/>
      <w:marTop w:val="0"/>
      <w:marBottom w:val="0"/>
      <w:divBdr>
        <w:top w:val="none" w:sz="0" w:space="0" w:color="auto"/>
        <w:left w:val="none" w:sz="0" w:space="0" w:color="auto"/>
        <w:bottom w:val="none" w:sz="0" w:space="0" w:color="auto"/>
        <w:right w:val="none" w:sz="0" w:space="0" w:color="auto"/>
      </w:divBdr>
    </w:div>
    <w:div w:id="1956673176">
      <w:bodyDiv w:val="1"/>
      <w:marLeft w:val="0"/>
      <w:marRight w:val="0"/>
      <w:marTop w:val="0"/>
      <w:marBottom w:val="0"/>
      <w:divBdr>
        <w:top w:val="none" w:sz="0" w:space="0" w:color="auto"/>
        <w:left w:val="none" w:sz="0" w:space="0" w:color="auto"/>
        <w:bottom w:val="none" w:sz="0" w:space="0" w:color="auto"/>
        <w:right w:val="none" w:sz="0" w:space="0" w:color="auto"/>
      </w:divBdr>
    </w:div>
    <w:div w:id="1958293669">
      <w:bodyDiv w:val="1"/>
      <w:marLeft w:val="0"/>
      <w:marRight w:val="0"/>
      <w:marTop w:val="0"/>
      <w:marBottom w:val="0"/>
      <w:divBdr>
        <w:top w:val="none" w:sz="0" w:space="0" w:color="auto"/>
        <w:left w:val="none" w:sz="0" w:space="0" w:color="auto"/>
        <w:bottom w:val="none" w:sz="0" w:space="0" w:color="auto"/>
        <w:right w:val="none" w:sz="0" w:space="0" w:color="auto"/>
      </w:divBdr>
      <w:divsChild>
        <w:div w:id="902565618">
          <w:marLeft w:val="0"/>
          <w:marRight w:val="0"/>
          <w:marTop w:val="0"/>
          <w:marBottom w:val="0"/>
          <w:divBdr>
            <w:top w:val="none" w:sz="0" w:space="0" w:color="auto"/>
            <w:left w:val="none" w:sz="0" w:space="0" w:color="auto"/>
            <w:bottom w:val="none" w:sz="0" w:space="0" w:color="auto"/>
            <w:right w:val="none" w:sz="0" w:space="0" w:color="auto"/>
          </w:divBdr>
          <w:divsChild>
            <w:div w:id="310716920">
              <w:marLeft w:val="0"/>
              <w:marRight w:val="0"/>
              <w:marTop w:val="0"/>
              <w:marBottom w:val="0"/>
              <w:divBdr>
                <w:top w:val="none" w:sz="0" w:space="0" w:color="auto"/>
                <w:left w:val="none" w:sz="0" w:space="0" w:color="auto"/>
                <w:bottom w:val="none" w:sz="0" w:space="0" w:color="auto"/>
                <w:right w:val="none" w:sz="0" w:space="0" w:color="auto"/>
              </w:divBdr>
              <w:divsChild>
                <w:div w:id="232349159">
                  <w:marLeft w:val="0"/>
                  <w:marRight w:val="0"/>
                  <w:marTop w:val="0"/>
                  <w:marBottom w:val="0"/>
                  <w:divBdr>
                    <w:top w:val="none" w:sz="0" w:space="0" w:color="auto"/>
                    <w:left w:val="none" w:sz="0" w:space="0" w:color="auto"/>
                    <w:bottom w:val="none" w:sz="0" w:space="0" w:color="auto"/>
                    <w:right w:val="none" w:sz="0" w:space="0" w:color="auto"/>
                  </w:divBdr>
                  <w:divsChild>
                    <w:div w:id="424422814">
                      <w:marLeft w:val="0"/>
                      <w:marRight w:val="0"/>
                      <w:marTop w:val="0"/>
                      <w:marBottom w:val="0"/>
                      <w:divBdr>
                        <w:top w:val="none" w:sz="0" w:space="0" w:color="auto"/>
                        <w:left w:val="none" w:sz="0" w:space="0" w:color="auto"/>
                        <w:bottom w:val="none" w:sz="0" w:space="0" w:color="auto"/>
                        <w:right w:val="none" w:sz="0" w:space="0" w:color="auto"/>
                      </w:divBdr>
                    </w:div>
                  </w:divsChild>
                </w:div>
                <w:div w:id="570425666">
                  <w:marLeft w:val="0"/>
                  <w:marRight w:val="0"/>
                  <w:marTop w:val="0"/>
                  <w:marBottom w:val="0"/>
                  <w:divBdr>
                    <w:top w:val="none" w:sz="0" w:space="0" w:color="auto"/>
                    <w:left w:val="none" w:sz="0" w:space="0" w:color="auto"/>
                    <w:bottom w:val="none" w:sz="0" w:space="0" w:color="auto"/>
                    <w:right w:val="none" w:sz="0" w:space="0" w:color="auto"/>
                  </w:divBdr>
                  <w:divsChild>
                    <w:div w:id="1283419111">
                      <w:marLeft w:val="0"/>
                      <w:marRight w:val="0"/>
                      <w:marTop w:val="0"/>
                      <w:marBottom w:val="0"/>
                      <w:divBdr>
                        <w:top w:val="none" w:sz="0" w:space="0" w:color="auto"/>
                        <w:left w:val="none" w:sz="0" w:space="0" w:color="auto"/>
                        <w:bottom w:val="none" w:sz="0" w:space="0" w:color="auto"/>
                        <w:right w:val="none" w:sz="0" w:space="0" w:color="auto"/>
                      </w:divBdr>
                    </w:div>
                  </w:divsChild>
                </w:div>
                <w:div w:id="1336498943">
                  <w:marLeft w:val="0"/>
                  <w:marRight w:val="0"/>
                  <w:marTop w:val="0"/>
                  <w:marBottom w:val="0"/>
                  <w:divBdr>
                    <w:top w:val="none" w:sz="0" w:space="0" w:color="auto"/>
                    <w:left w:val="none" w:sz="0" w:space="0" w:color="auto"/>
                    <w:bottom w:val="none" w:sz="0" w:space="0" w:color="auto"/>
                    <w:right w:val="none" w:sz="0" w:space="0" w:color="auto"/>
                  </w:divBdr>
                  <w:divsChild>
                    <w:div w:id="11951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97134">
      <w:bodyDiv w:val="1"/>
      <w:marLeft w:val="0"/>
      <w:marRight w:val="0"/>
      <w:marTop w:val="0"/>
      <w:marBottom w:val="0"/>
      <w:divBdr>
        <w:top w:val="none" w:sz="0" w:space="0" w:color="auto"/>
        <w:left w:val="none" w:sz="0" w:space="0" w:color="auto"/>
        <w:bottom w:val="none" w:sz="0" w:space="0" w:color="auto"/>
        <w:right w:val="none" w:sz="0" w:space="0" w:color="auto"/>
      </w:divBdr>
    </w:div>
    <w:div w:id="1966042912">
      <w:bodyDiv w:val="1"/>
      <w:marLeft w:val="0"/>
      <w:marRight w:val="0"/>
      <w:marTop w:val="0"/>
      <w:marBottom w:val="0"/>
      <w:divBdr>
        <w:top w:val="none" w:sz="0" w:space="0" w:color="auto"/>
        <w:left w:val="none" w:sz="0" w:space="0" w:color="auto"/>
        <w:bottom w:val="none" w:sz="0" w:space="0" w:color="auto"/>
        <w:right w:val="none" w:sz="0" w:space="0" w:color="auto"/>
      </w:divBdr>
    </w:div>
    <w:div w:id="1969629834">
      <w:bodyDiv w:val="1"/>
      <w:marLeft w:val="0"/>
      <w:marRight w:val="0"/>
      <w:marTop w:val="0"/>
      <w:marBottom w:val="0"/>
      <w:divBdr>
        <w:top w:val="none" w:sz="0" w:space="0" w:color="auto"/>
        <w:left w:val="none" w:sz="0" w:space="0" w:color="auto"/>
        <w:bottom w:val="none" w:sz="0" w:space="0" w:color="auto"/>
        <w:right w:val="none" w:sz="0" w:space="0" w:color="auto"/>
      </w:divBdr>
      <w:divsChild>
        <w:div w:id="918640415">
          <w:marLeft w:val="0"/>
          <w:marRight w:val="0"/>
          <w:marTop w:val="0"/>
          <w:marBottom w:val="0"/>
          <w:divBdr>
            <w:top w:val="none" w:sz="0" w:space="0" w:color="auto"/>
            <w:left w:val="none" w:sz="0" w:space="0" w:color="auto"/>
            <w:bottom w:val="none" w:sz="0" w:space="0" w:color="auto"/>
            <w:right w:val="none" w:sz="0" w:space="0" w:color="auto"/>
          </w:divBdr>
          <w:divsChild>
            <w:div w:id="1745376497">
              <w:marLeft w:val="0"/>
              <w:marRight w:val="0"/>
              <w:marTop w:val="0"/>
              <w:marBottom w:val="0"/>
              <w:divBdr>
                <w:top w:val="none" w:sz="0" w:space="0" w:color="auto"/>
                <w:left w:val="none" w:sz="0" w:space="0" w:color="auto"/>
                <w:bottom w:val="none" w:sz="0" w:space="0" w:color="auto"/>
                <w:right w:val="none" w:sz="0" w:space="0" w:color="auto"/>
              </w:divBdr>
              <w:divsChild>
                <w:div w:id="1161044210">
                  <w:marLeft w:val="0"/>
                  <w:marRight w:val="0"/>
                  <w:marTop w:val="0"/>
                  <w:marBottom w:val="0"/>
                  <w:divBdr>
                    <w:top w:val="none" w:sz="0" w:space="0" w:color="auto"/>
                    <w:left w:val="none" w:sz="0" w:space="0" w:color="auto"/>
                    <w:bottom w:val="none" w:sz="0" w:space="0" w:color="auto"/>
                    <w:right w:val="none" w:sz="0" w:space="0" w:color="auto"/>
                  </w:divBdr>
                  <w:divsChild>
                    <w:div w:id="17976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64308">
      <w:bodyDiv w:val="1"/>
      <w:marLeft w:val="0"/>
      <w:marRight w:val="0"/>
      <w:marTop w:val="0"/>
      <w:marBottom w:val="0"/>
      <w:divBdr>
        <w:top w:val="none" w:sz="0" w:space="0" w:color="auto"/>
        <w:left w:val="none" w:sz="0" w:space="0" w:color="auto"/>
        <w:bottom w:val="none" w:sz="0" w:space="0" w:color="auto"/>
        <w:right w:val="none" w:sz="0" w:space="0" w:color="auto"/>
      </w:divBdr>
    </w:div>
    <w:div w:id="1970670642">
      <w:bodyDiv w:val="1"/>
      <w:marLeft w:val="0"/>
      <w:marRight w:val="0"/>
      <w:marTop w:val="0"/>
      <w:marBottom w:val="0"/>
      <w:divBdr>
        <w:top w:val="none" w:sz="0" w:space="0" w:color="auto"/>
        <w:left w:val="none" w:sz="0" w:space="0" w:color="auto"/>
        <w:bottom w:val="none" w:sz="0" w:space="0" w:color="auto"/>
        <w:right w:val="none" w:sz="0" w:space="0" w:color="auto"/>
      </w:divBdr>
    </w:div>
    <w:div w:id="1975481024">
      <w:bodyDiv w:val="1"/>
      <w:marLeft w:val="0"/>
      <w:marRight w:val="0"/>
      <w:marTop w:val="0"/>
      <w:marBottom w:val="0"/>
      <w:divBdr>
        <w:top w:val="none" w:sz="0" w:space="0" w:color="auto"/>
        <w:left w:val="none" w:sz="0" w:space="0" w:color="auto"/>
        <w:bottom w:val="none" w:sz="0" w:space="0" w:color="auto"/>
        <w:right w:val="none" w:sz="0" w:space="0" w:color="auto"/>
      </w:divBdr>
    </w:div>
    <w:div w:id="1977762105">
      <w:bodyDiv w:val="1"/>
      <w:marLeft w:val="0"/>
      <w:marRight w:val="0"/>
      <w:marTop w:val="0"/>
      <w:marBottom w:val="0"/>
      <w:divBdr>
        <w:top w:val="none" w:sz="0" w:space="0" w:color="auto"/>
        <w:left w:val="none" w:sz="0" w:space="0" w:color="auto"/>
        <w:bottom w:val="none" w:sz="0" w:space="0" w:color="auto"/>
        <w:right w:val="none" w:sz="0" w:space="0" w:color="auto"/>
      </w:divBdr>
    </w:div>
    <w:div w:id="1983384401">
      <w:bodyDiv w:val="1"/>
      <w:marLeft w:val="0"/>
      <w:marRight w:val="0"/>
      <w:marTop w:val="0"/>
      <w:marBottom w:val="0"/>
      <w:divBdr>
        <w:top w:val="none" w:sz="0" w:space="0" w:color="auto"/>
        <w:left w:val="none" w:sz="0" w:space="0" w:color="auto"/>
        <w:bottom w:val="none" w:sz="0" w:space="0" w:color="auto"/>
        <w:right w:val="none" w:sz="0" w:space="0" w:color="auto"/>
      </w:divBdr>
    </w:div>
    <w:div w:id="1984849754">
      <w:bodyDiv w:val="1"/>
      <w:marLeft w:val="0"/>
      <w:marRight w:val="0"/>
      <w:marTop w:val="0"/>
      <w:marBottom w:val="0"/>
      <w:divBdr>
        <w:top w:val="none" w:sz="0" w:space="0" w:color="auto"/>
        <w:left w:val="none" w:sz="0" w:space="0" w:color="auto"/>
        <w:bottom w:val="none" w:sz="0" w:space="0" w:color="auto"/>
        <w:right w:val="none" w:sz="0" w:space="0" w:color="auto"/>
      </w:divBdr>
    </w:div>
    <w:div w:id="1986928597">
      <w:bodyDiv w:val="1"/>
      <w:marLeft w:val="0"/>
      <w:marRight w:val="0"/>
      <w:marTop w:val="0"/>
      <w:marBottom w:val="0"/>
      <w:divBdr>
        <w:top w:val="none" w:sz="0" w:space="0" w:color="auto"/>
        <w:left w:val="none" w:sz="0" w:space="0" w:color="auto"/>
        <w:bottom w:val="none" w:sz="0" w:space="0" w:color="auto"/>
        <w:right w:val="none" w:sz="0" w:space="0" w:color="auto"/>
      </w:divBdr>
    </w:div>
    <w:div w:id="1995641066">
      <w:bodyDiv w:val="1"/>
      <w:marLeft w:val="0"/>
      <w:marRight w:val="0"/>
      <w:marTop w:val="0"/>
      <w:marBottom w:val="0"/>
      <w:divBdr>
        <w:top w:val="none" w:sz="0" w:space="0" w:color="auto"/>
        <w:left w:val="none" w:sz="0" w:space="0" w:color="auto"/>
        <w:bottom w:val="none" w:sz="0" w:space="0" w:color="auto"/>
        <w:right w:val="none" w:sz="0" w:space="0" w:color="auto"/>
      </w:divBdr>
    </w:div>
    <w:div w:id="2000838956">
      <w:bodyDiv w:val="1"/>
      <w:marLeft w:val="0"/>
      <w:marRight w:val="0"/>
      <w:marTop w:val="0"/>
      <w:marBottom w:val="0"/>
      <w:divBdr>
        <w:top w:val="none" w:sz="0" w:space="0" w:color="auto"/>
        <w:left w:val="none" w:sz="0" w:space="0" w:color="auto"/>
        <w:bottom w:val="none" w:sz="0" w:space="0" w:color="auto"/>
        <w:right w:val="none" w:sz="0" w:space="0" w:color="auto"/>
      </w:divBdr>
      <w:divsChild>
        <w:div w:id="1096636158">
          <w:marLeft w:val="0"/>
          <w:marRight w:val="0"/>
          <w:marTop w:val="0"/>
          <w:marBottom w:val="0"/>
          <w:divBdr>
            <w:top w:val="single" w:sz="2" w:space="0" w:color="auto"/>
            <w:left w:val="single" w:sz="2" w:space="0" w:color="auto"/>
            <w:bottom w:val="single" w:sz="6" w:space="0" w:color="auto"/>
            <w:right w:val="single" w:sz="2" w:space="0" w:color="auto"/>
          </w:divBdr>
          <w:divsChild>
            <w:div w:id="1160148672">
              <w:marLeft w:val="0"/>
              <w:marRight w:val="0"/>
              <w:marTop w:val="100"/>
              <w:marBottom w:val="100"/>
              <w:divBdr>
                <w:top w:val="single" w:sz="2" w:space="0" w:color="D9D9E3"/>
                <w:left w:val="single" w:sz="2" w:space="0" w:color="D9D9E3"/>
                <w:bottom w:val="single" w:sz="2" w:space="0" w:color="D9D9E3"/>
                <w:right w:val="single" w:sz="2" w:space="0" w:color="D9D9E3"/>
              </w:divBdr>
              <w:divsChild>
                <w:div w:id="467281137">
                  <w:marLeft w:val="0"/>
                  <w:marRight w:val="0"/>
                  <w:marTop w:val="0"/>
                  <w:marBottom w:val="0"/>
                  <w:divBdr>
                    <w:top w:val="single" w:sz="2" w:space="0" w:color="D9D9E3"/>
                    <w:left w:val="single" w:sz="2" w:space="0" w:color="D9D9E3"/>
                    <w:bottom w:val="single" w:sz="2" w:space="0" w:color="D9D9E3"/>
                    <w:right w:val="single" w:sz="2" w:space="0" w:color="D9D9E3"/>
                  </w:divBdr>
                  <w:divsChild>
                    <w:div w:id="1289244298">
                      <w:marLeft w:val="0"/>
                      <w:marRight w:val="0"/>
                      <w:marTop w:val="0"/>
                      <w:marBottom w:val="0"/>
                      <w:divBdr>
                        <w:top w:val="single" w:sz="2" w:space="0" w:color="D9D9E3"/>
                        <w:left w:val="single" w:sz="2" w:space="0" w:color="D9D9E3"/>
                        <w:bottom w:val="single" w:sz="2" w:space="0" w:color="D9D9E3"/>
                        <w:right w:val="single" w:sz="2" w:space="0" w:color="D9D9E3"/>
                      </w:divBdr>
                      <w:divsChild>
                        <w:div w:id="736167578">
                          <w:marLeft w:val="0"/>
                          <w:marRight w:val="0"/>
                          <w:marTop w:val="0"/>
                          <w:marBottom w:val="0"/>
                          <w:divBdr>
                            <w:top w:val="single" w:sz="2" w:space="0" w:color="D9D9E3"/>
                            <w:left w:val="single" w:sz="2" w:space="0" w:color="D9D9E3"/>
                            <w:bottom w:val="single" w:sz="2" w:space="0" w:color="D9D9E3"/>
                            <w:right w:val="single" w:sz="2" w:space="0" w:color="D9D9E3"/>
                          </w:divBdr>
                          <w:divsChild>
                            <w:div w:id="1871870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01733747">
      <w:bodyDiv w:val="1"/>
      <w:marLeft w:val="0"/>
      <w:marRight w:val="0"/>
      <w:marTop w:val="0"/>
      <w:marBottom w:val="0"/>
      <w:divBdr>
        <w:top w:val="none" w:sz="0" w:space="0" w:color="auto"/>
        <w:left w:val="none" w:sz="0" w:space="0" w:color="auto"/>
        <w:bottom w:val="none" w:sz="0" w:space="0" w:color="auto"/>
        <w:right w:val="none" w:sz="0" w:space="0" w:color="auto"/>
      </w:divBdr>
    </w:div>
    <w:div w:id="2002846996">
      <w:bodyDiv w:val="1"/>
      <w:marLeft w:val="0"/>
      <w:marRight w:val="0"/>
      <w:marTop w:val="0"/>
      <w:marBottom w:val="0"/>
      <w:divBdr>
        <w:top w:val="none" w:sz="0" w:space="0" w:color="auto"/>
        <w:left w:val="none" w:sz="0" w:space="0" w:color="auto"/>
        <w:bottom w:val="none" w:sz="0" w:space="0" w:color="auto"/>
        <w:right w:val="none" w:sz="0" w:space="0" w:color="auto"/>
      </w:divBdr>
      <w:divsChild>
        <w:div w:id="1639872470">
          <w:marLeft w:val="0"/>
          <w:marRight w:val="0"/>
          <w:marTop w:val="0"/>
          <w:marBottom w:val="0"/>
          <w:divBdr>
            <w:top w:val="none" w:sz="0" w:space="0" w:color="auto"/>
            <w:left w:val="none" w:sz="0" w:space="0" w:color="auto"/>
            <w:bottom w:val="none" w:sz="0" w:space="0" w:color="auto"/>
            <w:right w:val="none" w:sz="0" w:space="0" w:color="auto"/>
          </w:divBdr>
          <w:divsChild>
            <w:div w:id="76678093">
              <w:marLeft w:val="0"/>
              <w:marRight w:val="0"/>
              <w:marTop w:val="0"/>
              <w:marBottom w:val="0"/>
              <w:divBdr>
                <w:top w:val="none" w:sz="0" w:space="0" w:color="auto"/>
                <w:left w:val="none" w:sz="0" w:space="0" w:color="auto"/>
                <w:bottom w:val="none" w:sz="0" w:space="0" w:color="auto"/>
                <w:right w:val="none" w:sz="0" w:space="0" w:color="auto"/>
              </w:divBdr>
              <w:divsChild>
                <w:div w:id="1442997202">
                  <w:marLeft w:val="0"/>
                  <w:marRight w:val="0"/>
                  <w:marTop w:val="0"/>
                  <w:marBottom w:val="0"/>
                  <w:divBdr>
                    <w:top w:val="none" w:sz="0" w:space="0" w:color="auto"/>
                    <w:left w:val="none" w:sz="0" w:space="0" w:color="auto"/>
                    <w:bottom w:val="none" w:sz="0" w:space="0" w:color="auto"/>
                    <w:right w:val="none" w:sz="0" w:space="0" w:color="auto"/>
                  </w:divBdr>
                  <w:divsChild>
                    <w:div w:id="295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92856">
      <w:bodyDiv w:val="1"/>
      <w:marLeft w:val="0"/>
      <w:marRight w:val="0"/>
      <w:marTop w:val="0"/>
      <w:marBottom w:val="0"/>
      <w:divBdr>
        <w:top w:val="none" w:sz="0" w:space="0" w:color="auto"/>
        <w:left w:val="none" w:sz="0" w:space="0" w:color="auto"/>
        <w:bottom w:val="none" w:sz="0" w:space="0" w:color="auto"/>
        <w:right w:val="none" w:sz="0" w:space="0" w:color="auto"/>
      </w:divBdr>
    </w:div>
    <w:div w:id="2012445426">
      <w:bodyDiv w:val="1"/>
      <w:marLeft w:val="0"/>
      <w:marRight w:val="0"/>
      <w:marTop w:val="0"/>
      <w:marBottom w:val="0"/>
      <w:divBdr>
        <w:top w:val="none" w:sz="0" w:space="0" w:color="auto"/>
        <w:left w:val="none" w:sz="0" w:space="0" w:color="auto"/>
        <w:bottom w:val="none" w:sz="0" w:space="0" w:color="auto"/>
        <w:right w:val="none" w:sz="0" w:space="0" w:color="auto"/>
      </w:divBdr>
    </w:div>
    <w:div w:id="2017879016">
      <w:bodyDiv w:val="1"/>
      <w:marLeft w:val="0"/>
      <w:marRight w:val="0"/>
      <w:marTop w:val="0"/>
      <w:marBottom w:val="0"/>
      <w:divBdr>
        <w:top w:val="none" w:sz="0" w:space="0" w:color="auto"/>
        <w:left w:val="none" w:sz="0" w:space="0" w:color="auto"/>
        <w:bottom w:val="none" w:sz="0" w:space="0" w:color="auto"/>
        <w:right w:val="none" w:sz="0" w:space="0" w:color="auto"/>
      </w:divBdr>
    </w:div>
    <w:div w:id="2021665472">
      <w:bodyDiv w:val="1"/>
      <w:marLeft w:val="0"/>
      <w:marRight w:val="0"/>
      <w:marTop w:val="0"/>
      <w:marBottom w:val="0"/>
      <w:divBdr>
        <w:top w:val="none" w:sz="0" w:space="0" w:color="auto"/>
        <w:left w:val="none" w:sz="0" w:space="0" w:color="auto"/>
        <w:bottom w:val="none" w:sz="0" w:space="0" w:color="auto"/>
        <w:right w:val="none" w:sz="0" w:space="0" w:color="auto"/>
      </w:divBdr>
    </w:div>
    <w:div w:id="2023781686">
      <w:bodyDiv w:val="1"/>
      <w:marLeft w:val="0"/>
      <w:marRight w:val="0"/>
      <w:marTop w:val="0"/>
      <w:marBottom w:val="0"/>
      <w:divBdr>
        <w:top w:val="none" w:sz="0" w:space="0" w:color="auto"/>
        <w:left w:val="none" w:sz="0" w:space="0" w:color="auto"/>
        <w:bottom w:val="none" w:sz="0" w:space="0" w:color="auto"/>
        <w:right w:val="none" w:sz="0" w:space="0" w:color="auto"/>
      </w:divBdr>
      <w:divsChild>
        <w:div w:id="924656515">
          <w:marLeft w:val="0"/>
          <w:marRight w:val="0"/>
          <w:marTop w:val="0"/>
          <w:marBottom w:val="0"/>
          <w:divBdr>
            <w:top w:val="none" w:sz="0" w:space="0" w:color="auto"/>
            <w:left w:val="none" w:sz="0" w:space="0" w:color="auto"/>
            <w:bottom w:val="none" w:sz="0" w:space="0" w:color="auto"/>
            <w:right w:val="none" w:sz="0" w:space="0" w:color="auto"/>
          </w:divBdr>
          <w:divsChild>
            <w:div w:id="97409665">
              <w:marLeft w:val="0"/>
              <w:marRight w:val="0"/>
              <w:marTop w:val="0"/>
              <w:marBottom w:val="0"/>
              <w:divBdr>
                <w:top w:val="none" w:sz="0" w:space="0" w:color="auto"/>
                <w:left w:val="none" w:sz="0" w:space="0" w:color="auto"/>
                <w:bottom w:val="none" w:sz="0" w:space="0" w:color="auto"/>
                <w:right w:val="none" w:sz="0" w:space="0" w:color="auto"/>
              </w:divBdr>
              <w:divsChild>
                <w:div w:id="81028133">
                  <w:marLeft w:val="0"/>
                  <w:marRight w:val="0"/>
                  <w:marTop w:val="0"/>
                  <w:marBottom w:val="0"/>
                  <w:divBdr>
                    <w:top w:val="none" w:sz="0" w:space="0" w:color="auto"/>
                    <w:left w:val="none" w:sz="0" w:space="0" w:color="auto"/>
                    <w:bottom w:val="none" w:sz="0" w:space="0" w:color="auto"/>
                    <w:right w:val="none" w:sz="0" w:space="0" w:color="auto"/>
                  </w:divBdr>
                  <w:divsChild>
                    <w:div w:id="997197604">
                      <w:marLeft w:val="0"/>
                      <w:marRight w:val="0"/>
                      <w:marTop w:val="0"/>
                      <w:marBottom w:val="0"/>
                      <w:divBdr>
                        <w:top w:val="none" w:sz="0" w:space="0" w:color="auto"/>
                        <w:left w:val="none" w:sz="0" w:space="0" w:color="auto"/>
                        <w:bottom w:val="none" w:sz="0" w:space="0" w:color="auto"/>
                        <w:right w:val="none" w:sz="0" w:space="0" w:color="auto"/>
                      </w:divBdr>
                      <w:divsChild>
                        <w:div w:id="1215846304">
                          <w:marLeft w:val="0"/>
                          <w:marRight w:val="0"/>
                          <w:marTop w:val="0"/>
                          <w:marBottom w:val="0"/>
                          <w:divBdr>
                            <w:top w:val="none" w:sz="0" w:space="0" w:color="auto"/>
                            <w:left w:val="none" w:sz="0" w:space="0" w:color="auto"/>
                            <w:bottom w:val="none" w:sz="0" w:space="0" w:color="auto"/>
                            <w:right w:val="none" w:sz="0" w:space="0" w:color="auto"/>
                          </w:divBdr>
                          <w:divsChild>
                            <w:div w:id="1437016542">
                              <w:marLeft w:val="0"/>
                              <w:marRight w:val="0"/>
                              <w:marTop w:val="0"/>
                              <w:marBottom w:val="0"/>
                              <w:divBdr>
                                <w:top w:val="none" w:sz="0" w:space="0" w:color="auto"/>
                                <w:left w:val="none" w:sz="0" w:space="0" w:color="auto"/>
                                <w:bottom w:val="none" w:sz="0" w:space="0" w:color="auto"/>
                                <w:right w:val="none" w:sz="0" w:space="0" w:color="auto"/>
                              </w:divBdr>
                              <w:divsChild>
                                <w:div w:id="1966539365">
                                  <w:marLeft w:val="0"/>
                                  <w:marRight w:val="0"/>
                                  <w:marTop w:val="0"/>
                                  <w:marBottom w:val="0"/>
                                  <w:divBdr>
                                    <w:top w:val="none" w:sz="0" w:space="0" w:color="auto"/>
                                    <w:left w:val="none" w:sz="0" w:space="0" w:color="auto"/>
                                    <w:bottom w:val="none" w:sz="0" w:space="0" w:color="auto"/>
                                    <w:right w:val="none" w:sz="0" w:space="0" w:color="auto"/>
                                  </w:divBdr>
                                  <w:divsChild>
                                    <w:div w:id="1107384960">
                                      <w:marLeft w:val="0"/>
                                      <w:marRight w:val="0"/>
                                      <w:marTop w:val="0"/>
                                      <w:marBottom w:val="0"/>
                                      <w:divBdr>
                                        <w:top w:val="none" w:sz="0" w:space="0" w:color="auto"/>
                                        <w:left w:val="none" w:sz="0" w:space="0" w:color="auto"/>
                                        <w:bottom w:val="none" w:sz="0" w:space="0" w:color="auto"/>
                                        <w:right w:val="none" w:sz="0" w:space="0" w:color="auto"/>
                                      </w:divBdr>
                                      <w:divsChild>
                                        <w:div w:id="2007439687">
                                          <w:marLeft w:val="0"/>
                                          <w:marRight w:val="0"/>
                                          <w:marTop w:val="0"/>
                                          <w:marBottom w:val="0"/>
                                          <w:divBdr>
                                            <w:top w:val="none" w:sz="0" w:space="0" w:color="auto"/>
                                            <w:left w:val="none" w:sz="0" w:space="0" w:color="auto"/>
                                            <w:bottom w:val="none" w:sz="0" w:space="0" w:color="auto"/>
                                            <w:right w:val="none" w:sz="0" w:space="0" w:color="auto"/>
                                          </w:divBdr>
                                          <w:divsChild>
                                            <w:div w:id="1201170439">
                                              <w:marLeft w:val="0"/>
                                              <w:marRight w:val="0"/>
                                              <w:marTop w:val="0"/>
                                              <w:marBottom w:val="0"/>
                                              <w:divBdr>
                                                <w:top w:val="none" w:sz="0" w:space="0" w:color="auto"/>
                                                <w:left w:val="none" w:sz="0" w:space="0" w:color="auto"/>
                                                <w:bottom w:val="none" w:sz="0" w:space="0" w:color="auto"/>
                                                <w:right w:val="none" w:sz="0" w:space="0" w:color="auto"/>
                                              </w:divBdr>
                                              <w:divsChild>
                                                <w:div w:id="927929754">
                                                  <w:marLeft w:val="0"/>
                                                  <w:marRight w:val="0"/>
                                                  <w:marTop w:val="0"/>
                                                  <w:marBottom w:val="0"/>
                                                  <w:divBdr>
                                                    <w:top w:val="none" w:sz="0" w:space="0" w:color="auto"/>
                                                    <w:left w:val="none" w:sz="0" w:space="0" w:color="auto"/>
                                                    <w:bottom w:val="none" w:sz="0" w:space="0" w:color="auto"/>
                                                    <w:right w:val="none" w:sz="0" w:space="0" w:color="auto"/>
                                                  </w:divBdr>
                                                  <w:divsChild>
                                                    <w:div w:id="551425057">
                                                      <w:marLeft w:val="0"/>
                                                      <w:marRight w:val="0"/>
                                                      <w:marTop w:val="0"/>
                                                      <w:marBottom w:val="0"/>
                                                      <w:divBdr>
                                                        <w:top w:val="none" w:sz="0" w:space="0" w:color="auto"/>
                                                        <w:left w:val="none" w:sz="0" w:space="0" w:color="auto"/>
                                                        <w:bottom w:val="none" w:sz="0" w:space="0" w:color="auto"/>
                                                        <w:right w:val="none" w:sz="0" w:space="0" w:color="auto"/>
                                                      </w:divBdr>
                                                      <w:divsChild>
                                                        <w:div w:id="1214343770">
                                                          <w:marLeft w:val="0"/>
                                                          <w:marRight w:val="0"/>
                                                          <w:marTop w:val="0"/>
                                                          <w:marBottom w:val="0"/>
                                                          <w:divBdr>
                                                            <w:top w:val="none" w:sz="0" w:space="0" w:color="auto"/>
                                                            <w:left w:val="none" w:sz="0" w:space="0" w:color="auto"/>
                                                            <w:bottom w:val="none" w:sz="0" w:space="0" w:color="auto"/>
                                                            <w:right w:val="none" w:sz="0" w:space="0" w:color="auto"/>
                                                          </w:divBdr>
                                                          <w:divsChild>
                                                            <w:div w:id="10897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456360">
                                              <w:marLeft w:val="0"/>
                                              <w:marRight w:val="0"/>
                                              <w:marTop w:val="0"/>
                                              <w:marBottom w:val="0"/>
                                              <w:divBdr>
                                                <w:top w:val="none" w:sz="0" w:space="0" w:color="auto"/>
                                                <w:left w:val="none" w:sz="0" w:space="0" w:color="auto"/>
                                                <w:bottom w:val="none" w:sz="0" w:space="0" w:color="auto"/>
                                                <w:right w:val="none" w:sz="0" w:space="0" w:color="auto"/>
                                              </w:divBdr>
                                              <w:divsChild>
                                                <w:div w:id="1823309722">
                                                  <w:marLeft w:val="0"/>
                                                  <w:marRight w:val="0"/>
                                                  <w:marTop w:val="0"/>
                                                  <w:marBottom w:val="0"/>
                                                  <w:divBdr>
                                                    <w:top w:val="none" w:sz="0" w:space="0" w:color="auto"/>
                                                    <w:left w:val="none" w:sz="0" w:space="0" w:color="auto"/>
                                                    <w:bottom w:val="none" w:sz="0" w:space="0" w:color="auto"/>
                                                    <w:right w:val="none" w:sz="0" w:space="0" w:color="auto"/>
                                                  </w:divBdr>
                                                  <w:divsChild>
                                                    <w:div w:id="941767423">
                                                      <w:marLeft w:val="0"/>
                                                      <w:marRight w:val="0"/>
                                                      <w:marTop w:val="0"/>
                                                      <w:marBottom w:val="0"/>
                                                      <w:divBdr>
                                                        <w:top w:val="none" w:sz="0" w:space="0" w:color="auto"/>
                                                        <w:left w:val="none" w:sz="0" w:space="0" w:color="auto"/>
                                                        <w:bottom w:val="none" w:sz="0" w:space="0" w:color="auto"/>
                                                        <w:right w:val="none" w:sz="0" w:space="0" w:color="auto"/>
                                                      </w:divBdr>
                                                      <w:divsChild>
                                                        <w:div w:id="680283960">
                                                          <w:marLeft w:val="0"/>
                                                          <w:marRight w:val="0"/>
                                                          <w:marTop w:val="0"/>
                                                          <w:marBottom w:val="0"/>
                                                          <w:divBdr>
                                                            <w:top w:val="none" w:sz="0" w:space="0" w:color="auto"/>
                                                            <w:left w:val="none" w:sz="0" w:space="0" w:color="auto"/>
                                                            <w:bottom w:val="none" w:sz="0" w:space="0" w:color="auto"/>
                                                            <w:right w:val="none" w:sz="0" w:space="0" w:color="auto"/>
                                                          </w:divBdr>
                                                          <w:divsChild>
                                                            <w:div w:id="12457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763979">
      <w:bodyDiv w:val="1"/>
      <w:marLeft w:val="0"/>
      <w:marRight w:val="0"/>
      <w:marTop w:val="0"/>
      <w:marBottom w:val="0"/>
      <w:divBdr>
        <w:top w:val="none" w:sz="0" w:space="0" w:color="auto"/>
        <w:left w:val="none" w:sz="0" w:space="0" w:color="auto"/>
        <w:bottom w:val="none" w:sz="0" w:space="0" w:color="auto"/>
        <w:right w:val="none" w:sz="0" w:space="0" w:color="auto"/>
      </w:divBdr>
    </w:div>
    <w:div w:id="2037534283">
      <w:bodyDiv w:val="1"/>
      <w:marLeft w:val="0"/>
      <w:marRight w:val="0"/>
      <w:marTop w:val="0"/>
      <w:marBottom w:val="0"/>
      <w:divBdr>
        <w:top w:val="none" w:sz="0" w:space="0" w:color="auto"/>
        <w:left w:val="none" w:sz="0" w:space="0" w:color="auto"/>
        <w:bottom w:val="none" w:sz="0" w:space="0" w:color="auto"/>
        <w:right w:val="none" w:sz="0" w:space="0" w:color="auto"/>
      </w:divBdr>
      <w:divsChild>
        <w:div w:id="1593511737">
          <w:marLeft w:val="0"/>
          <w:marRight w:val="0"/>
          <w:marTop w:val="0"/>
          <w:marBottom w:val="0"/>
          <w:divBdr>
            <w:top w:val="none" w:sz="0" w:space="0" w:color="auto"/>
            <w:left w:val="none" w:sz="0" w:space="0" w:color="auto"/>
            <w:bottom w:val="none" w:sz="0" w:space="0" w:color="auto"/>
            <w:right w:val="none" w:sz="0" w:space="0" w:color="auto"/>
          </w:divBdr>
          <w:divsChild>
            <w:div w:id="1227642825">
              <w:marLeft w:val="0"/>
              <w:marRight w:val="0"/>
              <w:marTop w:val="0"/>
              <w:marBottom w:val="0"/>
              <w:divBdr>
                <w:top w:val="none" w:sz="0" w:space="0" w:color="auto"/>
                <w:left w:val="none" w:sz="0" w:space="0" w:color="auto"/>
                <w:bottom w:val="none" w:sz="0" w:space="0" w:color="auto"/>
                <w:right w:val="none" w:sz="0" w:space="0" w:color="auto"/>
              </w:divBdr>
              <w:divsChild>
                <w:div w:id="14987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35209">
      <w:bodyDiv w:val="1"/>
      <w:marLeft w:val="0"/>
      <w:marRight w:val="0"/>
      <w:marTop w:val="0"/>
      <w:marBottom w:val="0"/>
      <w:divBdr>
        <w:top w:val="none" w:sz="0" w:space="0" w:color="auto"/>
        <w:left w:val="none" w:sz="0" w:space="0" w:color="auto"/>
        <w:bottom w:val="none" w:sz="0" w:space="0" w:color="auto"/>
        <w:right w:val="none" w:sz="0" w:space="0" w:color="auto"/>
      </w:divBdr>
      <w:divsChild>
        <w:div w:id="315189385">
          <w:marLeft w:val="446"/>
          <w:marRight w:val="0"/>
          <w:marTop w:val="0"/>
          <w:marBottom w:val="0"/>
          <w:divBdr>
            <w:top w:val="none" w:sz="0" w:space="0" w:color="auto"/>
            <w:left w:val="none" w:sz="0" w:space="0" w:color="auto"/>
            <w:bottom w:val="none" w:sz="0" w:space="0" w:color="auto"/>
            <w:right w:val="none" w:sz="0" w:space="0" w:color="auto"/>
          </w:divBdr>
        </w:div>
        <w:div w:id="1127315010">
          <w:marLeft w:val="446"/>
          <w:marRight w:val="0"/>
          <w:marTop w:val="0"/>
          <w:marBottom w:val="0"/>
          <w:divBdr>
            <w:top w:val="none" w:sz="0" w:space="0" w:color="auto"/>
            <w:left w:val="none" w:sz="0" w:space="0" w:color="auto"/>
            <w:bottom w:val="none" w:sz="0" w:space="0" w:color="auto"/>
            <w:right w:val="none" w:sz="0" w:space="0" w:color="auto"/>
          </w:divBdr>
        </w:div>
      </w:divsChild>
    </w:div>
    <w:div w:id="2057927462">
      <w:bodyDiv w:val="1"/>
      <w:marLeft w:val="0"/>
      <w:marRight w:val="0"/>
      <w:marTop w:val="0"/>
      <w:marBottom w:val="0"/>
      <w:divBdr>
        <w:top w:val="none" w:sz="0" w:space="0" w:color="auto"/>
        <w:left w:val="none" w:sz="0" w:space="0" w:color="auto"/>
        <w:bottom w:val="none" w:sz="0" w:space="0" w:color="auto"/>
        <w:right w:val="none" w:sz="0" w:space="0" w:color="auto"/>
      </w:divBdr>
      <w:divsChild>
        <w:div w:id="914702397">
          <w:marLeft w:val="360"/>
          <w:marRight w:val="0"/>
          <w:marTop w:val="200"/>
          <w:marBottom w:val="0"/>
          <w:divBdr>
            <w:top w:val="none" w:sz="0" w:space="0" w:color="auto"/>
            <w:left w:val="none" w:sz="0" w:space="0" w:color="auto"/>
            <w:bottom w:val="none" w:sz="0" w:space="0" w:color="auto"/>
            <w:right w:val="none" w:sz="0" w:space="0" w:color="auto"/>
          </w:divBdr>
        </w:div>
      </w:divsChild>
    </w:div>
    <w:div w:id="2060544849">
      <w:bodyDiv w:val="1"/>
      <w:marLeft w:val="0"/>
      <w:marRight w:val="0"/>
      <w:marTop w:val="0"/>
      <w:marBottom w:val="0"/>
      <w:divBdr>
        <w:top w:val="none" w:sz="0" w:space="0" w:color="auto"/>
        <w:left w:val="none" w:sz="0" w:space="0" w:color="auto"/>
        <w:bottom w:val="none" w:sz="0" w:space="0" w:color="auto"/>
        <w:right w:val="none" w:sz="0" w:space="0" w:color="auto"/>
      </w:divBdr>
    </w:div>
    <w:div w:id="2066486578">
      <w:bodyDiv w:val="1"/>
      <w:marLeft w:val="0"/>
      <w:marRight w:val="0"/>
      <w:marTop w:val="0"/>
      <w:marBottom w:val="0"/>
      <w:divBdr>
        <w:top w:val="none" w:sz="0" w:space="0" w:color="auto"/>
        <w:left w:val="none" w:sz="0" w:space="0" w:color="auto"/>
        <w:bottom w:val="none" w:sz="0" w:space="0" w:color="auto"/>
        <w:right w:val="none" w:sz="0" w:space="0" w:color="auto"/>
      </w:divBdr>
    </w:div>
    <w:div w:id="2066680107">
      <w:bodyDiv w:val="1"/>
      <w:marLeft w:val="0"/>
      <w:marRight w:val="0"/>
      <w:marTop w:val="0"/>
      <w:marBottom w:val="0"/>
      <w:divBdr>
        <w:top w:val="none" w:sz="0" w:space="0" w:color="auto"/>
        <w:left w:val="none" w:sz="0" w:space="0" w:color="auto"/>
        <w:bottom w:val="none" w:sz="0" w:space="0" w:color="auto"/>
        <w:right w:val="none" w:sz="0" w:space="0" w:color="auto"/>
      </w:divBdr>
    </w:div>
    <w:div w:id="2067409404">
      <w:bodyDiv w:val="1"/>
      <w:marLeft w:val="0"/>
      <w:marRight w:val="0"/>
      <w:marTop w:val="0"/>
      <w:marBottom w:val="0"/>
      <w:divBdr>
        <w:top w:val="none" w:sz="0" w:space="0" w:color="auto"/>
        <w:left w:val="none" w:sz="0" w:space="0" w:color="auto"/>
        <w:bottom w:val="none" w:sz="0" w:space="0" w:color="auto"/>
        <w:right w:val="none" w:sz="0" w:space="0" w:color="auto"/>
      </w:divBdr>
    </w:div>
    <w:div w:id="2075617155">
      <w:bodyDiv w:val="1"/>
      <w:marLeft w:val="0"/>
      <w:marRight w:val="0"/>
      <w:marTop w:val="0"/>
      <w:marBottom w:val="0"/>
      <w:divBdr>
        <w:top w:val="none" w:sz="0" w:space="0" w:color="auto"/>
        <w:left w:val="none" w:sz="0" w:space="0" w:color="auto"/>
        <w:bottom w:val="none" w:sz="0" w:space="0" w:color="auto"/>
        <w:right w:val="none" w:sz="0" w:space="0" w:color="auto"/>
      </w:divBdr>
    </w:div>
    <w:div w:id="2089840969">
      <w:bodyDiv w:val="1"/>
      <w:marLeft w:val="0"/>
      <w:marRight w:val="0"/>
      <w:marTop w:val="0"/>
      <w:marBottom w:val="0"/>
      <w:divBdr>
        <w:top w:val="none" w:sz="0" w:space="0" w:color="auto"/>
        <w:left w:val="none" w:sz="0" w:space="0" w:color="auto"/>
        <w:bottom w:val="none" w:sz="0" w:space="0" w:color="auto"/>
        <w:right w:val="none" w:sz="0" w:space="0" w:color="auto"/>
      </w:divBdr>
    </w:div>
    <w:div w:id="2095853632">
      <w:bodyDiv w:val="1"/>
      <w:marLeft w:val="0"/>
      <w:marRight w:val="0"/>
      <w:marTop w:val="0"/>
      <w:marBottom w:val="0"/>
      <w:divBdr>
        <w:top w:val="none" w:sz="0" w:space="0" w:color="auto"/>
        <w:left w:val="none" w:sz="0" w:space="0" w:color="auto"/>
        <w:bottom w:val="none" w:sz="0" w:space="0" w:color="auto"/>
        <w:right w:val="none" w:sz="0" w:space="0" w:color="auto"/>
      </w:divBdr>
    </w:div>
    <w:div w:id="2098282408">
      <w:bodyDiv w:val="1"/>
      <w:marLeft w:val="0"/>
      <w:marRight w:val="0"/>
      <w:marTop w:val="0"/>
      <w:marBottom w:val="0"/>
      <w:divBdr>
        <w:top w:val="none" w:sz="0" w:space="0" w:color="auto"/>
        <w:left w:val="none" w:sz="0" w:space="0" w:color="auto"/>
        <w:bottom w:val="none" w:sz="0" w:space="0" w:color="auto"/>
        <w:right w:val="none" w:sz="0" w:space="0" w:color="auto"/>
      </w:divBdr>
    </w:div>
    <w:div w:id="2108960888">
      <w:bodyDiv w:val="1"/>
      <w:marLeft w:val="0"/>
      <w:marRight w:val="0"/>
      <w:marTop w:val="0"/>
      <w:marBottom w:val="0"/>
      <w:divBdr>
        <w:top w:val="none" w:sz="0" w:space="0" w:color="auto"/>
        <w:left w:val="none" w:sz="0" w:space="0" w:color="auto"/>
        <w:bottom w:val="none" w:sz="0" w:space="0" w:color="auto"/>
        <w:right w:val="none" w:sz="0" w:space="0" w:color="auto"/>
      </w:divBdr>
    </w:div>
    <w:div w:id="2116174015">
      <w:bodyDiv w:val="1"/>
      <w:marLeft w:val="0"/>
      <w:marRight w:val="0"/>
      <w:marTop w:val="0"/>
      <w:marBottom w:val="0"/>
      <w:divBdr>
        <w:top w:val="none" w:sz="0" w:space="0" w:color="auto"/>
        <w:left w:val="none" w:sz="0" w:space="0" w:color="auto"/>
        <w:bottom w:val="none" w:sz="0" w:space="0" w:color="auto"/>
        <w:right w:val="none" w:sz="0" w:space="0" w:color="auto"/>
      </w:divBdr>
    </w:div>
    <w:div w:id="2121104429">
      <w:bodyDiv w:val="1"/>
      <w:marLeft w:val="0"/>
      <w:marRight w:val="0"/>
      <w:marTop w:val="0"/>
      <w:marBottom w:val="0"/>
      <w:divBdr>
        <w:top w:val="none" w:sz="0" w:space="0" w:color="auto"/>
        <w:left w:val="none" w:sz="0" w:space="0" w:color="auto"/>
        <w:bottom w:val="none" w:sz="0" w:space="0" w:color="auto"/>
        <w:right w:val="none" w:sz="0" w:space="0" w:color="auto"/>
      </w:divBdr>
    </w:div>
    <w:div w:id="2122214902">
      <w:bodyDiv w:val="1"/>
      <w:marLeft w:val="0"/>
      <w:marRight w:val="0"/>
      <w:marTop w:val="0"/>
      <w:marBottom w:val="0"/>
      <w:divBdr>
        <w:top w:val="none" w:sz="0" w:space="0" w:color="auto"/>
        <w:left w:val="none" w:sz="0" w:space="0" w:color="auto"/>
        <w:bottom w:val="none" w:sz="0" w:space="0" w:color="auto"/>
        <w:right w:val="none" w:sz="0" w:space="0" w:color="auto"/>
      </w:divBdr>
    </w:div>
    <w:div w:id="2123381854">
      <w:bodyDiv w:val="1"/>
      <w:marLeft w:val="0"/>
      <w:marRight w:val="0"/>
      <w:marTop w:val="0"/>
      <w:marBottom w:val="0"/>
      <w:divBdr>
        <w:top w:val="none" w:sz="0" w:space="0" w:color="auto"/>
        <w:left w:val="none" w:sz="0" w:space="0" w:color="auto"/>
        <w:bottom w:val="none" w:sz="0" w:space="0" w:color="auto"/>
        <w:right w:val="none" w:sz="0" w:space="0" w:color="auto"/>
      </w:divBdr>
    </w:div>
    <w:div w:id="2128426863">
      <w:bodyDiv w:val="1"/>
      <w:marLeft w:val="0"/>
      <w:marRight w:val="0"/>
      <w:marTop w:val="0"/>
      <w:marBottom w:val="0"/>
      <w:divBdr>
        <w:top w:val="none" w:sz="0" w:space="0" w:color="auto"/>
        <w:left w:val="none" w:sz="0" w:space="0" w:color="auto"/>
        <w:bottom w:val="none" w:sz="0" w:space="0" w:color="auto"/>
        <w:right w:val="none" w:sz="0" w:space="0" w:color="auto"/>
      </w:divBdr>
    </w:div>
    <w:div w:id="2128810284">
      <w:bodyDiv w:val="1"/>
      <w:marLeft w:val="0"/>
      <w:marRight w:val="0"/>
      <w:marTop w:val="0"/>
      <w:marBottom w:val="0"/>
      <w:divBdr>
        <w:top w:val="none" w:sz="0" w:space="0" w:color="auto"/>
        <w:left w:val="none" w:sz="0" w:space="0" w:color="auto"/>
        <w:bottom w:val="none" w:sz="0" w:space="0" w:color="auto"/>
        <w:right w:val="none" w:sz="0" w:space="0" w:color="auto"/>
      </w:divBdr>
      <w:divsChild>
        <w:div w:id="141124411">
          <w:marLeft w:val="0"/>
          <w:marRight w:val="0"/>
          <w:marTop w:val="0"/>
          <w:marBottom w:val="0"/>
          <w:divBdr>
            <w:top w:val="none" w:sz="0" w:space="0" w:color="auto"/>
            <w:left w:val="none" w:sz="0" w:space="0" w:color="auto"/>
            <w:bottom w:val="none" w:sz="0" w:space="0" w:color="auto"/>
            <w:right w:val="none" w:sz="0" w:space="0" w:color="auto"/>
          </w:divBdr>
          <w:divsChild>
            <w:div w:id="1666515061">
              <w:marLeft w:val="0"/>
              <w:marRight w:val="0"/>
              <w:marTop w:val="0"/>
              <w:marBottom w:val="0"/>
              <w:divBdr>
                <w:top w:val="none" w:sz="0" w:space="0" w:color="auto"/>
                <w:left w:val="none" w:sz="0" w:space="0" w:color="auto"/>
                <w:bottom w:val="none" w:sz="0" w:space="0" w:color="auto"/>
                <w:right w:val="none" w:sz="0" w:space="0" w:color="auto"/>
              </w:divBdr>
              <w:divsChild>
                <w:div w:id="6731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4485">
      <w:bodyDiv w:val="1"/>
      <w:marLeft w:val="0"/>
      <w:marRight w:val="0"/>
      <w:marTop w:val="0"/>
      <w:marBottom w:val="0"/>
      <w:divBdr>
        <w:top w:val="none" w:sz="0" w:space="0" w:color="auto"/>
        <w:left w:val="none" w:sz="0" w:space="0" w:color="auto"/>
        <w:bottom w:val="none" w:sz="0" w:space="0" w:color="auto"/>
        <w:right w:val="none" w:sz="0" w:space="0" w:color="auto"/>
      </w:divBdr>
    </w:div>
    <w:div w:id="2140107403">
      <w:bodyDiv w:val="1"/>
      <w:marLeft w:val="0"/>
      <w:marRight w:val="0"/>
      <w:marTop w:val="0"/>
      <w:marBottom w:val="0"/>
      <w:divBdr>
        <w:top w:val="none" w:sz="0" w:space="0" w:color="auto"/>
        <w:left w:val="none" w:sz="0" w:space="0" w:color="auto"/>
        <w:bottom w:val="none" w:sz="0" w:space="0" w:color="auto"/>
        <w:right w:val="none" w:sz="0" w:space="0" w:color="auto"/>
      </w:divBdr>
    </w:div>
    <w:div w:id="2140370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irs.gov/pub/irs-pdf/p3583.pdf" TargetMode="External"/><Relationship Id="rId18" Type="http://schemas.openxmlformats.org/officeDocument/2006/relationships/hyperlink" Target="https://www.justice.gov/media/1160391/dl?inline" TargetMode="External"/><Relationship Id="rId26" Type="http://schemas.openxmlformats.org/officeDocument/2006/relationships/hyperlink" Target="https://www.sec.gov/edgar" TargetMode="External"/><Relationship Id="rId39" Type="http://schemas.openxmlformats.org/officeDocument/2006/relationships/hyperlink" Target="https://www.sec.gov/spotlight/fcpa/fcpa-recordkeeping.pdf" TargetMode="External"/><Relationship Id="rId21" Type="http://schemas.openxmlformats.org/officeDocument/2006/relationships/hyperlink" Target="https://www.aicpa-cima.com/cpe-learning/course/financial-statement-fraud-and-asset-misappropriation" TargetMode="External"/><Relationship Id="rId34" Type="http://schemas.openxmlformats.org/officeDocument/2006/relationships/hyperlink" Target="https://www.federalregister.gov/documents/2023/10/17/2023-22491/public-company-accounting-oversight-board-notice-of-filing-of-proposed-rules-on-the-auditors-use-of" TargetMode="External"/><Relationship Id="rId42" Type="http://schemas.openxmlformats.org/officeDocument/2006/relationships/hyperlink" Target="https://www.justice.gov/sites/default/files/criminal-fraud/legacy/2010/04/11/houseprt-95-640.pdf" TargetMode="External"/><Relationship Id="rId47" Type="http://schemas.openxmlformats.org/officeDocument/2006/relationships/hyperlink" Target="https://www.justice.gov/criminal/criminal-fraud/enforcement-actions" TargetMode="External"/><Relationship Id="rId50" Type="http://schemas.openxmlformats.org/officeDocument/2006/relationships/hyperlink" Target="https://www.law.cornell.edu/uscode/text/18/3512" TargetMode="External"/><Relationship Id="rId7" Type="http://schemas.openxmlformats.org/officeDocument/2006/relationships/hyperlink" Target="http://www.oas.org/en/sla/dlc/mesicic/docs/mesicic6_us_response_annex.pdf" TargetMode="External"/><Relationship Id="rId2" Type="http://schemas.openxmlformats.org/officeDocument/2006/relationships/hyperlink" Target="https://www.oas.org/es/sla/dlc/mesicic/docs/mesicic3_usa_inf.pdf" TargetMode="External"/><Relationship Id="rId16" Type="http://schemas.openxmlformats.org/officeDocument/2006/relationships/hyperlink" Target="https://www.sec.gov/spotlight/fcpa/fcpa-resource-guide.pdf" TargetMode="External"/><Relationship Id="rId29" Type="http://schemas.openxmlformats.org/officeDocument/2006/relationships/hyperlink" Target="https://www.aicpa-cima.com/topic/technology" TargetMode="External"/><Relationship Id="rId11" Type="http://schemas.openxmlformats.org/officeDocument/2006/relationships/hyperlink" Target="https://www.irs.gov/pub/irs-pdf/p5453.pdf" TargetMode="External"/><Relationship Id="rId24" Type="http://schemas.openxmlformats.org/officeDocument/2006/relationships/hyperlink" Target="https://pcaobus.org/news-events/news-releases/news-release-detail/2023-inspections-to-prioritize-audit-risks-related-to-fraud-the-financial-services-sector-crypto" TargetMode="External"/><Relationship Id="rId32" Type="http://schemas.openxmlformats.org/officeDocument/2006/relationships/hyperlink" Target="https://pcaobus.org/oversight/standards/auditing-standards/details/as-2310-the-auditor-s-use-of-confirmation-(effective-for-fye-on-or-after-6-15-2025" TargetMode="External"/><Relationship Id="rId37" Type="http://schemas.openxmlformats.org/officeDocument/2006/relationships/hyperlink" Target="https://www.sec.gov/litigation/litreleases" TargetMode="External"/><Relationship Id="rId40" Type="http://schemas.openxmlformats.org/officeDocument/2006/relationships/hyperlink" Target="https://www.govinfo.gov/content/pkg/PLAW-107publ204/html/PLAW-107publ204.htm" TargetMode="External"/><Relationship Id="rId45" Type="http://schemas.openxmlformats.org/officeDocument/2006/relationships/hyperlink" Target="https://www.justice.gov/criminal-fraud/file/1568606/download" TargetMode="External"/><Relationship Id="rId53" Type="http://schemas.openxmlformats.org/officeDocument/2006/relationships/hyperlink" Target="https://www.justice.gov/criminal/criminal-oia/resources-foreign-authorities" TargetMode="External"/><Relationship Id="rId5" Type="http://schemas.openxmlformats.org/officeDocument/2006/relationships/hyperlink" Target="http://www.oas.org/es/sla/dlc/mesicic/docs/mesicic4_rules_es.pdf" TargetMode="External"/><Relationship Id="rId10" Type="http://schemas.openxmlformats.org/officeDocument/2006/relationships/hyperlink" Target="https://www.irs.gov/compliance/joint-chiefs-of-global-tax-enforcement" TargetMode="External"/><Relationship Id="rId19" Type="http://schemas.openxmlformats.org/officeDocument/2006/relationships/hyperlink" Target="https://www.aicpa-cima.com/cpe-learning/forensic-services" TargetMode="External"/><Relationship Id="rId31" Type="http://schemas.openxmlformats.org/officeDocument/2006/relationships/hyperlink" Target="https://pcaobus.org/oversight/standards/auditing-standards/details/AS2310" TargetMode="External"/><Relationship Id="rId44" Type="http://schemas.openxmlformats.org/officeDocument/2006/relationships/hyperlink" Target="https://www.justice.gov/criminal/criminal-fraud" TargetMode="External"/><Relationship Id="rId52" Type="http://schemas.openxmlformats.org/officeDocument/2006/relationships/hyperlink" Target="https://www.justice.gov/criminal-oia/file/1498806/download" TargetMode="External"/><Relationship Id="rId4" Type="http://schemas.openxmlformats.org/officeDocument/2006/relationships/hyperlink" Target="http://www.oas.org/juridico/spanish/met_insitu.pdf" TargetMode="External"/><Relationship Id="rId9" Type="http://schemas.openxmlformats.org/officeDocument/2006/relationships/hyperlink" Target="https://www.irs.gov/irm" TargetMode="External"/><Relationship Id="rId14" Type="http://schemas.openxmlformats.org/officeDocument/2006/relationships/hyperlink" Target="https://assets.pcaobus.org/pcaob-dev/docs/default-source/rulemaking/docket-051/pcaob-release-no.-2023-003---noclar.pdf" TargetMode="External"/><Relationship Id="rId22" Type="http://schemas.openxmlformats.org/officeDocument/2006/relationships/hyperlink" Target="https://www.justice.gov/criminal/criminal-fraud/fcpa-opinions" TargetMode="External"/><Relationship Id="rId27" Type="http://schemas.openxmlformats.org/officeDocument/2006/relationships/hyperlink" Target="https://pcaobus.org/oversight/standards/standard-setting-research-projects/noncompliance-with-laws-regulations" TargetMode="External"/><Relationship Id="rId30" Type="http://schemas.openxmlformats.org/officeDocument/2006/relationships/hyperlink" Target="https://www.aicpa-cima.com/resources/article/guide-to-audit-data-analytics-an-overview" TargetMode="External"/><Relationship Id="rId35" Type="http://schemas.openxmlformats.org/officeDocument/2006/relationships/hyperlink" Target="https://assets.pcaobus.org/pcaob-dev/docs/default-source/rulemaking/docket_028/34-99060.pdf" TargetMode="External"/><Relationship Id="rId43" Type="http://schemas.openxmlformats.org/officeDocument/2006/relationships/hyperlink" Target="https://www.oas.org/es/sla/dlc/mesicic/documentos.html" TargetMode="External"/><Relationship Id="rId48" Type="http://schemas.openxmlformats.org/officeDocument/2006/relationships/hyperlink" Target="https://www2.oecd.org/daf/anti-bribery/United-States-Phase-4-Report-ENG.pdf" TargetMode="External"/><Relationship Id="rId8" Type="http://schemas.openxmlformats.org/officeDocument/2006/relationships/hyperlink" Target="https://www.law.cornell.edu/uscode/text/26/subtitle-A/chapter-1/subchapter-B/part-VI" TargetMode="External"/><Relationship Id="rId51" Type="http://schemas.openxmlformats.org/officeDocument/2006/relationships/hyperlink" Target="https://www.justice.gov/criminal-oia/file/1498811/download" TargetMode="External"/><Relationship Id="rId3" Type="http://schemas.openxmlformats.org/officeDocument/2006/relationships/hyperlink" Target="https://www.oas.org/es/sla/dlc/mesicic/paises-rondas.html?c=Estados%20Unidos&amp;r=6" TargetMode="External"/><Relationship Id="rId12" Type="http://schemas.openxmlformats.org/officeDocument/2006/relationships/hyperlink" Target="https://www.irs.gov/about-irs/modernizing-tax-processing-systems" TargetMode="External"/><Relationship Id="rId17" Type="http://schemas.openxmlformats.org/officeDocument/2006/relationships/hyperlink" Target="https://www.justice.gov/media/1283651/dl?inline" TargetMode="External"/><Relationship Id="rId25" Type="http://schemas.openxmlformats.org/officeDocument/2006/relationships/hyperlink" Target="https://us.aicpa.org/research/standards/peerreview/peer-review-summary" TargetMode="External"/><Relationship Id="rId33" Type="http://schemas.openxmlformats.org/officeDocument/2006/relationships/hyperlink" Target="https://us.aicpa.org/content/dam/aicpa/research/standards/auditattest/downloadabledocuments/au-c-00330.pdf" TargetMode="External"/><Relationship Id="rId38" Type="http://schemas.openxmlformats.org/officeDocument/2006/relationships/hyperlink" Target="http://www.oas.org/en/sla/dlc/mesicic/paises-rondas.html?c=United%20States&amp;r=6" TargetMode="External"/><Relationship Id="rId46" Type="http://schemas.openxmlformats.org/officeDocument/2006/relationships/hyperlink" Target="https://www.justice.gov/criminal/criminal-fraud/foreign-corrupt-practices-act" TargetMode="External"/><Relationship Id="rId20" Type="http://schemas.openxmlformats.org/officeDocument/2006/relationships/hyperlink" Target="https://www.aicpa-cima.com/cpe-learning/course/financial-statement-fraud-corruption-and-asset-misappropriation-part-1-and-part-2" TargetMode="External"/><Relationship Id="rId41" Type="http://schemas.openxmlformats.org/officeDocument/2006/relationships/hyperlink" Target="https://ustr.gov/trade-agreements/free-trade-agreements/united-states-mexico-canada-agreement/agreement-between" TargetMode="External"/><Relationship Id="rId54" Type="http://schemas.openxmlformats.org/officeDocument/2006/relationships/hyperlink" Target="https://www.oas.org/juridico/spanish/firmas/a-55.html" TargetMode="External"/><Relationship Id="rId1" Type="http://schemas.openxmlformats.org/officeDocument/2006/relationships/hyperlink" Target="http://www.oas.org/es/sla/dlc/mesicic/docs/34reunion_acta_esp.pdf" TargetMode="External"/><Relationship Id="rId6" Type="http://schemas.openxmlformats.org/officeDocument/2006/relationships/hyperlink" Target="http://www.oas.org/es/sla/dlc/mesicic/docs/mesicic6_metodologia.pdf" TargetMode="External"/><Relationship Id="rId15" Type="http://schemas.openxmlformats.org/officeDocument/2006/relationships/hyperlink" Target="https://us.aicpa.org/content/dam/aicpa/research/standards/codeofconduct/downloadabledocuments/2014december15contentasof2016august31codeofconduct.pdf" TargetMode="External"/><Relationship Id="rId23" Type="http://schemas.openxmlformats.org/officeDocument/2006/relationships/hyperlink" Target="https://www.sec.gov/enforcement/foreign-corrupt-practices-act" TargetMode="External"/><Relationship Id="rId28" Type="http://schemas.openxmlformats.org/officeDocument/2006/relationships/hyperlink" Target="http://www.oas.org/en/sla/dlc/mesicic/paises-rondas.html?c=United%20States&amp;r=6" TargetMode="External"/><Relationship Id="rId36" Type="http://schemas.openxmlformats.org/officeDocument/2006/relationships/hyperlink" Target="https://www.sec.gov/enforce/sec-enforcement-actions-fcpa-cases" TargetMode="External"/><Relationship Id="rId49" Type="http://schemas.openxmlformats.org/officeDocument/2006/relationships/hyperlink" Target="https://www.law.cornell.edu/uscode/text/12/chapter-35"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D0E92-0CA0-4D39-95E6-DAA205EB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20643</Words>
  <Characters>117666</Characters>
  <Application>Microsoft Office Word</Application>
  <DocSecurity>4</DocSecurity>
  <Lines>980</Lines>
  <Paragraphs>276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138033</CharactersWithSpaces>
  <SharedDoc>false</SharedDoc>
  <HLinks>
    <vt:vector size="1014" baseType="variant">
      <vt:variant>
        <vt:i4>2555975</vt:i4>
      </vt:variant>
      <vt:variant>
        <vt:i4>504</vt:i4>
      </vt:variant>
      <vt:variant>
        <vt:i4>0</vt:i4>
      </vt:variant>
      <vt:variant>
        <vt:i4>5</vt:i4>
      </vt:variant>
      <vt:variant>
        <vt:lpwstr>http://www.oas.org/es/sla/dlc/mesicic/docs/mesicic6_slv_res_cuest.pdf</vt:lpwstr>
      </vt:variant>
      <vt:variant>
        <vt:lpwstr/>
      </vt:variant>
      <vt:variant>
        <vt:i4>3014765</vt:i4>
      </vt:variant>
      <vt:variant>
        <vt:i4>501</vt:i4>
      </vt:variant>
      <vt:variant>
        <vt:i4>0</vt:i4>
      </vt:variant>
      <vt:variant>
        <vt:i4>5</vt:i4>
      </vt:variant>
      <vt:variant>
        <vt:lpwstr>http://www.oas.org/es/sla/dlc/mesicic/docs/mesicic6_slv_a58.pdf</vt:lpwstr>
      </vt:variant>
      <vt:variant>
        <vt:lpwstr/>
      </vt:variant>
      <vt:variant>
        <vt:i4>5111901</vt:i4>
      </vt:variant>
      <vt:variant>
        <vt:i4>498</vt:i4>
      </vt:variant>
      <vt:variant>
        <vt:i4>0</vt:i4>
      </vt:variant>
      <vt:variant>
        <vt:i4>5</vt:i4>
      </vt:variant>
      <vt:variant>
        <vt:lpwstr>http://www.oas.org/es/sla/dlc/mesicic/docs/mesicic6_slv_a128.pdf</vt:lpwstr>
      </vt:variant>
      <vt:variant>
        <vt:lpwstr/>
      </vt:variant>
      <vt:variant>
        <vt:i4>2949220</vt:i4>
      </vt:variant>
      <vt:variant>
        <vt:i4>495</vt:i4>
      </vt:variant>
      <vt:variant>
        <vt:i4>0</vt:i4>
      </vt:variant>
      <vt:variant>
        <vt:i4>5</vt:i4>
      </vt:variant>
      <vt:variant>
        <vt:lpwstr>http://www.oas.org/es/sla/dlc/mesicic/docs/mesicic6_slv_a61.pdf</vt:lpwstr>
      </vt:variant>
      <vt:variant>
        <vt:lpwstr/>
      </vt:variant>
      <vt:variant>
        <vt:i4>3014764</vt:i4>
      </vt:variant>
      <vt:variant>
        <vt:i4>492</vt:i4>
      </vt:variant>
      <vt:variant>
        <vt:i4>0</vt:i4>
      </vt:variant>
      <vt:variant>
        <vt:i4>5</vt:i4>
      </vt:variant>
      <vt:variant>
        <vt:lpwstr>http://www.oas.org/es/sla/dlc/mesicic/docs/mesicic6_slv_a59.pdf</vt:lpwstr>
      </vt:variant>
      <vt:variant>
        <vt:lpwstr/>
      </vt:variant>
      <vt:variant>
        <vt:i4>3014764</vt:i4>
      </vt:variant>
      <vt:variant>
        <vt:i4>489</vt:i4>
      </vt:variant>
      <vt:variant>
        <vt:i4>0</vt:i4>
      </vt:variant>
      <vt:variant>
        <vt:i4>5</vt:i4>
      </vt:variant>
      <vt:variant>
        <vt:lpwstr>http://www.oas.org/es/sla/dlc/mesicic/docs/mesicic6_slv_a59.pdf</vt:lpwstr>
      </vt:variant>
      <vt:variant>
        <vt:lpwstr/>
      </vt:variant>
      <vt:variant>
        <vt:i4>3014764</vt:i4>
      </vt:variant>
      <vt:variant>
        <vt:i4>486</vt:i4>
      </vt:variant>
      <vt:variant>
        <vt:i4>0</vt:i4>
      </vt:variant>
      <vt:variant>
        <vt:i4>5</vt:i4>
      </vt:variant>
      <vt:variant>
        <vt:lpwstr>http://www.oas.org/es/sla/dlc/mesicic/docs/mesicic6_slv_a59.pdf</vt:lpwstr>
      </vt:variant>
      <vt:variant>
        <vt:lpwstr/>
      </vt:variant>
      <vt:variant>
        <vt:i4>3014765</vt:i4>
      </vt:variant>
      <vt:variant>
        <vt:i4>483</vt:i4>
      </vt:variant>
      <vt:variant>
        <vt:i4>0</vt:i4>
      </vt:variant>
      <vt:variant>
        <vt:i4>5</vt:i4>
      </vt:variant>
      <vt:variant>
        <vt:lpwstr>http://www.oas.org/es/sla/dlc/mesicic/docs/mesicic6_slv_a58.pdf</vt:lpwstr>
      </vt:variant>
      <vt:variant>
        <vt:lpwstr/>
      </vt:variant>
      <vt:variant>
        <vt:i4>4325470</vt:i4>
      </vt:variant>
      <vt:variant>
        <vt:i4>480</vt:i4>
      </vt:variant>
      <vt:variant>
        <vt:i4>0</vt:i4>
      </vt:variant>
      <vt:variant>
        <vt:i4>5</vt:i4>
      </vt:variant>
      <vt:variant>
        <vt:lpwstr>http://www.oas.org/es/sla/dlc/mesicic/docs/mesicic6_slv_a114.pdf</vt:lpwstr>
      </vt:variant>
      <vt:variant>
        <vt:lpwstr/>
      </vt:variant>
      <vt:variant>
        <vt:i4>5177439</vt:i4>
      </vt:variant>
      <vt:variant>
        <vt:i4>477</vt:i4>
      </vt:variant>
      <vt:variant>
        <vt:i4>0</vt:i4>
      </vt:variant>
      <vt:variant>
        <vt:i4>5</vt:i4>
      </vt:variant>
      <vt:variant>
        <vt:lpwstr>http://www.oas.org/es/sla/dlc/mesicic/docs/mesicic6_slv_a109.pdf</vt:lpwstr>
      </vt:variant>
      <vt:variant>
        <vt:lpwstr/>
      </vt:variant>
      <vt:variant>
        <vt:i4>5177439</vt:i4>
      </vt:variant>
      <vt:variant>
        <vt:i4>474</vt:i4>
      </vt:variant>
      <vt:variant>
        <vt:i4>0</vt:i4>
      </vt:variant>
      <vt:variant>
        <vt:i4>5</vt:i4>
      </vt:variant>
      <vt:variant>
        <vt:lpwstr>http://www.oas.org/es/sla/dlc/mesicic/docs/mesicic6_slv_a109.pdf</vt:lpwstr>
      </vt:variant>
      <vt:variant>
        <vt:lpwstr/>
      </vt:variant>
      <vt:variant>
        <vt:i4>4587614</vt:i4>
      </vt:variant>
      <vt:variant>
        <vt:i4>471</vt:i4>
      </vt:variant>
      <vt:variant>
        <vt:i4>0</vt:i4>
      </vt:variant>
      <vt:variant>
        <vt:i4>5</vt:i4>
      </vt:variant>
      <vt:variant>
        <vt:lpwstr>http://www.oas.org/es/sla/dlc/mesicic/docs/mesicic6_slv_a110.pdf</vt:lpwstr>
      </vt:variant>
      <vt:variant>
        <vt:lpwstr/>
      </vt:variant>
      <vt:variant>
        <vt:i4>4587614</vt:i4>
      </vt:variant>
      <vt:variant>
        <vt:i4>468</vt:i4>
      </vt:variant>
      <vt:variant>
        <vt:i4>0</vt:i4>
      </vt:variant>
      <vt:variant>
        <vt:i4>5</vt:i4>
      </vt:variant>
      <vt:variant>
        <vt:lpwstr>http://www.oas.org/es/sla/dlc/mesicic/docs/mesicic6_slv_a110.pdf</vt:lpwstr>
      </vt:variant>
      <vt:variant>
        <vt:lpwstr/>
      </vt:variant>
      <vt:variant>
        <vt:i4>4587614</vt:i4>
      </vt:variant>
      <vt:variant>
        <vt:i4>465</vt:i4>
      </vt:variant>
      <vt:variant>
        <vt:i4>0</vt:i4>
      </vt:variant>
      <vt:variant>
        <vt:i4>5</vt:i4>
      </vt:variant>
      <vt:variant>
        <vt:lpwstr>http://www.oas.org/es/sla/dlc/mesicic/docs/mesicic6_slv_a110.pdf</vt:lpwstr>
      </vt:variant>
      <vt:variant>
        <vt:lpwstr/>
      </vt:variant>
      <vt:variant>
        <vt:i4>2687084</vt:i4>
      </vt:variant>
      <vt:variant>
        <vt:i4>462</vt:i4>
      </vt:variant>
      <vt:variant>
        <vt:i4>0</vt:i4>
      </vt:variant>
      <vt:variant>
        <vt:i4>5</vt:i4>
      </vt:variant>
      <vt:variant>
        <vt:lpwstr>http://www.oas.org/es/sla/dlc/mesicic/docs/mesicic6_slv_a29.pdf</vt:lpwstr>
      </vt:variant>
      <vt:variant>
        <vt:lpwstr/>
      </vt:variant>
      <vt:variant>
        <vt:i4>4391007</vt:i4>
      </vt:variant>
      <vt:variant>
        <vt:i4>459</vt:i4>
      </vt:variant>
      <vt:variant>
        <vt:i4>0</vt:i4>
      </vt:variant>
      <vt:variant>
        <vt:i4>5</vt:i4>
      </vt:variant>
      <vt:variant>
        <vt:lpwstr>http://www.oas.org/es/sla/dlc/mesicic/docs/mesicic6_slv_a105.pdf</vt:lpwstr>
      </vt:variant>
      <vt:variant>
        <vt:lpwstr/>
      </vt:variant>
      <vt:variant>
        <vt:i4>2555975</vt:i4>
      </vt:variant>
      <vt:variant>
        <vt:i4>456</vt:i4>
      </vt:variant>
      <vt:variant>
        <vt:i4>0</vt:i4>
      </vt:variant>
      <vt:variant>
        <vt:i4>5</vt:i4>
      </vt:variant>
      <vt:variant>
        <vt:lpwstr>http://www.oas.org/es/sla/dlc/mesicic/docs/mesicic6_slv_res_cuest.pdf</vt:lpwstr>
      </vt:variant>
      <vt:variant>
        <vt:lpwstr/>
      </vt:variant>
      <vt:variant>
        <vt:i4>2949222</vt:i4>
      </vt:variant>
      <vt:variant>
        <vt:i4>453</vt:i4>
      </vt:variant>
      <vt:variant>
        <vt:i4>0</vt:i4>
      </vt:variant>
      <vt:variant>
        <vt:i4>5</vt:i4>
      </vt:variant>
      <vt:variant>
        <vt:lpwstr>http://www.oas.org/es/sla/dlc/mesicic/docs/mesicic6_slv_a63.pdf</vt:lpwstr>
      </vt:variant>
      <vt:variant>
        <vt:lpwstr/>
      </vt:variant>
      <vt:variant>
        <vt:i4>2949223</vt:i4>
      </vt:variant>
      <vt:variant>
        <vt:i4>450</vt:i4>
      </vt:variant>
      <vt:variant>
        <vt:i4>0</vt:i4>
      </vt:variant>
      <vt:variant>
        <vt:i4>5</vt:i4>
      </vt:variant>
      <vt:variant>
        <vt:lpwstr>http://www.oas.org/es/sla/dlc/mesicic/docs/mesicic6_slv_a62.pdf</vt:lpwstr>
      </vt:variant>
      <vt:variant>
        <vt:lpwstr/>
      </vt:variant>
      <vt:variant>
        <vt:i4>4391007</vt:i4>
      </vt:variant>
      <vt:variant>
        <vt:i4>447</vt:i4>
      </vt:variant>
      <vt:variant>
        <vt:i4>0</vt:i4>
      </vt:variant>
      <vt:variant>
        <vt:i4>5</vt:i4>
      </vt:variant>
      <vt:variant>
        <vt:lpwstr>http://www.oas.org/es/sla/dlc/mesicic/docs/mesicic6_slv_a105.pdf</vt:lpwstr>
      </vt:variant>
      <vt:variant>
        <vt:lpwstr/>
      </vt:variant>
      <vt:variant>
        <vt:i4>2555975</vt:i4>
      </vt:variant>
      <vt:variant>
        <vt:i4>444</vt:i4>
      </vt:variant>
      <vt:variant>
        <vt:i4>0</vt:i4>
      </vt:variant>
      <vt:variant>
        <vt:i4>5</vt:i4>
      </vt:variant>
      <vt:variant>
        <vt:lpwstr>http://www.oas.org/es/sla/dlc/mesicic/docs/mesicic6_slv_res_cuest.pdf</vt:lpwstr>
      </vt:variant>
      <vt:variant>
        <vt:lpwstr/>
      </vt:variant>
      <vt:variant>
        <vt:i4>4325425</vt:i4>
      </vt:variant>
      <vt:variant>
        <vt:i4>441</vt:i4>
      </vt:variant>
      <vt:variant>
        <vt:i4>0</vt:i4>
      </vt:variant>
      <vt:variant>
        <vt:i4>5</vt:i4>
      </vt:variant>
      <vt:variant>
        <vt:lpwstr>http://www.oas.org/es/sla/dlc/mesicic/docs/mesicic6_slv_soc_civ.pdf</vt:lpwstr>
      </vt:variant>
      <vt:variant>
        <vt:lpwstr/>
      </vt:variant>
      <vt:variant>
        <vt:i4>4391007</vt:i4>
      </vt:variant>
      <vt:variant>
        <vt:i4>438</vt:i4>
      </vt:variant>
      <vt:variant>
        <vt:i4>0</vt:i4>
      </vt:variant>
      <vt:variant>
        <vt:i4>5</vt:i4>
      </vt:variant>
      <vt:variant>
        <vt:lpwstr>http://www.oas.org/es/sla/dlc/mesicic/docs/mesicic6_slv_a105.pdf</vt:lpwstr>
      </vt:variant>
      <vt:variant>
        <vt:lpwstr/>
      </vt:variant>
      <vt:variant>
        <vt:i4>4391007</vt:i4>
      </vt:variant>
      <vt:variant>
        <vt:i4>435</vt:i4>
      </vt:variant>
      <vt:variant>
        <vt:i4>0</vt:i4>
      </vt:variant>
      <vt:variant>
        <vt:i4>5</vt:i4>
      </vt:variant>
      <vt:variant>
        <vt:lpwstr>http://www.oas.org/es/sla/dlc/mesicic/docs/mesicic6_slv_a105.pdf</vt:lpwstr>
      </vt:variant>
      <vt:variant>
        <vt:lpwstr/>
      </vt:variant>
      <vt:variant>
        <vt:i4>2555975</vt:i4>
      </vt:variant>
      <vt:variant>
        <vt:i4>432</vt:i4>
      </vt:variant>
      <vt:variant>
        <vt:i4>0</vt:i4>
      </vt:variant>
      <vt:variant>
        <vt:i4>5</vt:i4>
      </vt:variant>
      <vt:variant>
        <vt:lpwstr>http://www.oas.org/es/sla/dlc/mesicic/docs/mesicic6_slv_res_cuest.pdf</vt:lpwstr>
      </vt:variant>
      <vt:variant>
        <vt:lpwstr/>
      </vt:variant>
      <vt:variant>
        <vt:i4>4391007</vt:i4>
      </vt:variant>
      <vt:variant>
        <vt:i4>429</vt:i4>
      </vt:variant>
      <vt:variant>
        <vt:i4>0</vt:i4>
      </vt:variant>
      <vt:variant>
        <vt:i4>5</vt:i4>
      </vt:variant>
      <vt:variant>
        <vt:lpwstr>http://www.oas.org/es/sla/dlc/mesicic/docs/mesicic6_slv_a105.pdf</vt:lpwstr>
      </vt:variant>
      <vt:variant>
        <vt:lpwstr/>
      </vt:variant>
      <vt:variant>
        <vt:i4>4391007</vt:i4>
      </vt:variant>
      <vt:variant>
        <vt:i4>426</vt:i4>
      </vt:variant>
      <vt:variant>
        <vt:i4>0</vt:i4>
      </vt:variant>
      <vt:variant>
        <vt:i4>5</vt:i4>
      </vt:variant>
      <vt:variant>
        <vt:lpwstr>http://www.oas.org/es/sla/dlc/mesicic/docs/mesicic6_slv_a105.pdf</vt:lpwstr>
      </vt:variant>
      <vt:variant>
        <vt:lpwstr/>
      </vt:variant>
      <vt:variant>
        <vt:i4>2555975</vt:i4>
      </vt:variant>
      <vt:variant>
        <vt:i4>423</vt:i4>
      </vt:variant>
      <vt:variant>
        <vt:i4>0</vt:i4>
      </vt:variant>
      <vt:variant>
        <vt:i4>5</vt:i4>
      </vt:variant>
      <vt:variant>
        <vt:lpwstr>http://www.oas.org/es/sla/dlc/mesicic/docs/mesicic6_slv_res_cuest.pdf</vt:lpwstr>
      </vt:variant>
      <vt:variant>
        <vt:lpwstr/>
      </vt:variant>
      <vt:variant>
        <vt:i4>1179674</vt:i4>
      </vt:variant>
      <vt:variant>
        <vt:i4>420</vt:i4>
      </vt:variant>
      <vt:variant>
        <vt:i4>0</vt:i4>
      </vt:variant>
      <vt:variant>
        <vt:i4>5</vt:i4>
      </vt:variant>
      <vt:variant>
        <vt:lpwstr>http://www.oas.org/juridico/PDFs/mesicic4_slv_en.pdf</vt:lpwstr>
      </vt:variant>
      <vt:variant>
        <vt:lpwstr/>
      </vt:variant>
      <vt:variant>
        <vt:i4>4391007</vt:i4>
      </vt:variant>
      <vt:variant>
        <vt:i4>417</vt:i4>
      </vt:variant>
      <vt:variant>
        <vt:i4>0</vt:i4>
      </vt:variant>
      <vt:variant>
        <vt:i4>5</vt:i4>
      </vt:variant>
      <vt:variant>
        <vt:lpwstr>http://www.oas.org/es/sla/dlc/mesicic/docs/mesicic6_slv_a105.pdf</vt:lpwstr>
      </vt:variant>
      <vt:variant>
        <vt:lpwstr/>
      </vt:variant>
      <vt:variant>
        <vt:i4>4391007</vt:i4>
      </vt:variant>
      <vt:variant>
        <vt:i4>414</vt:i4>
      </vt:variant>
      <vt:variant>
        <vt:i4>0</vt:i4>
      </vt:variant>
      <vt:variant>
        <vt:i4>5</vt:i4>
      </vt:variant>
      <vt:variant>
        <vt:lpwstr>http://www.oas.org/es/sla/dlc/mesicic/docs/mesicic6_slv_a105.pdf</vt:lpwstr>
      </vt:variant>
      <vt:variant>
        <vt:lpwstr/>
      </vt:variant>
      <vt:variant>
        <vt:i4>4391007</vt:i4>
      </vt:variant>
      <vt:variant>
        <vt:i4>411</vt:i4>
      </vt:variant>
      <vt:variant>
        <vt:i4>0</vt:i4>
      </vt:variant>
      <vt:variant>
        <vt:i4>5</vt:i4>
      </vt:variant>
      <vt:variant>
        <vt:lpwstr>http://www.oas.org/es/sla/dlc/mesicic/docs/mesicic6_slv_a105.pdf</vt:lpwstr>
      </vt:variant>
      <vt:variant>
        <vt:lpwstr/>
      </vt:variant>
      <vt:variant>
        <vt:i4>2555975</vt:i4>
      </vt:variant>
      <vt:variant>
        <vt:i4>408</vt:i4>
      </vt:variant>
      <vt:variant>
        <vt:i4>0</vt:i4>
      </vt:variant>
      <vt:variant>
        <vt:i4>5</vt:i4>
      </vt:variant>
      <vt:variant>
        <vt:lpwstr>http://www.oas.org/es/sla/dlc/mesicic/docs/mesicic6_slv_res_cuest.pdf</vt:lpwstr>
      </vt:variant>
      <vt:variant>
        <vt:lpwstr/>
      </vt:variant>
      <vt:variant>
        <vt:i4>2555975</vt:i4>
      </vt:variant>
      <vt:variant>
        <vt:i4>405</vt:i4>
      </vt:variant>
      <vt:variant>
        <vt:i4>0</vt:i4>
      </vt:variant>
      <vt:variant>
        <vt:i4>5</vt:i4>
      </vt:variant>
      <vt:variant>
        <vt:lpwstr>http://www.oas.org/es/sla/dlc/mesicic/docs/mesicic6_slv_res_cuest.pdf</vt:lpwstr>
      </vt:variant>
      <vt:variant>
        <vt:lpwstr/>
      </vt:variant>
      <vt:variant>
        <vt:i4>6750266</vt:i4>
      </vt:variant>
      <vt:variant>
        <vt:i4>402</vt:i4>
      </vt:variant>
      <vt:variant>
        <vt:i4>0</vt:i4>
      </vt:variant>
      <vt:variant>
        <vt:i4>5</vt:i4>
      </vt:variant>
      <vt:variant>
        <vt:lpwstr>https://www.oas.org/es/sla/dlc/mesicic/docs/mesicic4_slv_sp.pdf</vt:lpwstr>
      </vt:variant>
      <vt:variant>
        <vt:lpwstr/>
      </vt:variant>
      <vt:variant>
        <vt:i4>7536751</vt:i4>
      </vt:variant>
      <vt:variant>
        <vt:i4>399</vt:i4>
      </vt:variant>
      <vt:variant>
        <vt:i4>0</vt:i4>
      </vt:variant>
      <vt:variant>
        <vt:i4>5</vt:i4>
      </vt:variant>
      <vt:variant>
        <vt:lpwstr>http://www.oas.org/es/sla/dlc/mesicic/docs/mesicic6_slv_a4.pdf</vt:lpwstr>
      </vt:variant>
      <vt:variant>
        <vt:lpwstr/>
      </vt:variant>
      <vt:variant>
        <vt:i4>7536751</vt:i4>
      </vt:variant>
      <vt:variant>
        <vt:i4>396</vt:i4>
      </vt:variant>
      <vt:variant>
        <vt:i4>0</vt:i4>
      </vt:variant>
      <vt:variant>
        <vt:i4>5</vt:i4>
      </vt:variant>
      <vt:variant>
        <vt:lpwstr>http://www.oas.org/es/sla/dlc/mesicic/docs/mesicic6_slv_a4.pdf</vt:lpwstr>
      </vt:variant>
      <vt:variant>
        <vt:lpwstr/>
      </vt:variant>
      <vt:variant>
        <vt:i4>7536751</vt:i4>
      </vt:variant>
      <vt:variant>
        <vt:i4>393</vt:i4>
      </vt:variant>
      <vt:variant>
        <vt:i4>0</vt:i4>
      </vt:variant>
      <vt:variant>
        <vt:i4>5</vt:i4>
      </vt:variant>
      <vt:variant>
        <vt:lpwstr>http://www.oas.org/es/sla/dlc/mesicic/docs/mesicic6_slv_a4.pdf</vt:lpwstr>
      </vt:variant>
      <vt:variant>
        <vt:lpwstr/>
      </vt:variant>
      <vt:variant>
        <vt:i4>2555975</vt:i4>
      </vt:variant>
      <vt:variant>
        <vt:i4>390</vt:i4>
      </vt:variant>
      <vt:variant>
        <vt:i4>0</vt:i4>
      </vt:variant>
      <vt:variant>
        <vt:i4>5</vt:i4>
      </vt:variant>
      <vt:variant>
        <vt:lpwstr>http://www.oas.org/es/sla/dlc/mesicic/docs/mesicic6_slv_res_cuest.pdf</vt:lpwstr>
      </vt:variant>
      <vt:variant>
        <vt:lpwstr/>
      </vt:variant>
      <vt:variant>
        <vt:i4>4325425</vt:i4>
      </vt:variant>
      <vt:variant>
        <vt:i4>387</vt:i4>
      </vt:variant>
      <vt:variant>
        <vt:i4>0</vt:i4>
      </vt:variant>
      <vt:variant>
        <vt:i4>5</vt:i4>
      </vt:variant>
      <vt:variant>
        <vt:lpwstr>http://www.oas.org/es/sla/dlc/mesicic/docs/mesicic6_slv_soc_civ.pdf</vt:lpwstr>
      </vt:variant>
      <vt:variant>
        <vt:lpwstr/>
      </vt:variant>
      <vt:variant>
        <vt:i4>4194396</vt:i4>
      </vt:variant>
      <vt:variant>
        <vt:i4>384</vt:i4>
      </vt:variant>
      <vt:variant>
        <vt:i4>0</vt:i4>
      </vt:variant>
      <vt:variant>
        <vt:i4>5</vt:i4>
      </vt:variant>
      <vt:variant>
        <vt:lpwstr>http://www.oas.org/es/sla/dlc/mesicic/docs/mesicic6_slv_a136.pdf</vt:lpwstr>
      </vt:variant>
      <vt:variant>
        <vt:lpwstr/>
      </vt:variant>
      <vt:variant>
        <vt:i4>4194396</vt:i4>
      </vt:variant>
      <vt:variant>
        <vt:i4>381</vt:i4>
      </vt:variant>
      <vt:variant>
        <vt:i4>0</vt:i4>
      </vt:variant>
      <vt:variant>
        <vt:i4>5</vt:i4>
      </vt:variant>
      <vt:variant>
        <vt:lpwstr>http://www.oas.org/es/sla/dlc/mesicic/docs/mesicic6_slv_a136.pdf</vt:lpwstr>
      </vt:variant>
      <vt:variant>
        <vt:lpwstr/>
      </vt:variant>
      <vt:variant>
        <vt:i4>4653148</vt:i4>
      </vt:variant>
      <vt:variant>
        <vt:i4>378</vt:i4>
      </vt:variant>
      <vt:variant>
        <vt:i4>0</vt:i4>
      </vt:variant>
      <vt:variant>
        <vt:i4>5</vt:i4>
      </vt:variant>
      <vt:variant>
        <vt:lpwstr>http://www.oas.org/es/sla/dlc/mesicic/docs/mesicic6_slv_a131.pdf</vt:lpwstr>
      </vt:variant>
      <vt:variant>
        <vt:lpwstr/>
      </vt:variant>
      <vt:variant>
        <vt:i4>4194396</vt:i4>
      </vt:variant>
      <vt:variant>
        <vt:i4>375</vt:i4>
      </vt:variant>
      <vt:variant>
        <vt:i4>0</vt:i4>
      </vt:variant>
      <vt:variant>
        <vt:i4>5</vt:i4>
      </vt:variant>
      <vt:variant>
        <vt:lpwstr>http://www.oas.org/es/sla/dlc/mesicic/docs/mesicic6_slv_a136.pdf</vt:lpwstr>
      </vt:variant>
      <vt:variant>
        <vt:lpwstr/>
      </vt:variant>
      <vt:variant>
        <vt:i4>4194396</vt:i4>
      </vt:variant>
      <vt:variant>
        <vt:i4>372</vt:i4>
      </vt:variant>
      <vt:variant>
        <vt:i4>0</vt:i4>
      </vt:variant>
      <vt:variant>
        <vt:i4>5</vt:i4>
      </vt:variant>
      <vt:variant>
        <vt:lpwstr>http://www.oas.org/es/sla/dlc/mesicic/docs/mesicic6_slv_a136.pdf</vt:lpwstr>
      </vt:variant>
      <vt:variant>
        <vt:lpwstr/>
      </vt:variant>
      <vt:variant>
        <vt:i4>2752613</vt:i4>
      </vt:variant>
      <vt:variant>
        <vt:i4>369</vt:i4>
      </vt:variant>
      <vt:variant>
        <vt:i4>0</vt:i4>
      </vt:variant>
      <vt:variant>
        <vt:i4>5</vt:i4>
      </vt:variant>
      <vt:variant>
        <vt:lpwstr>http://www.oas.org/es/sla/dlc/mesicic/docs/mesicic6_slv_a10.pdf</vt:lpwstr>
      </vt:variant>
      <vt:variant>
        <vt:lpwstr/>
      </vt:variant>
      <vt:variant>
        <vt:i4>2752613</vt:i4>
      </vt:variant>
      <vt:variant>
        <vt:i4>366</vt:i4>
      </vt:variant>
      <vt:variant>
        <vt:i4>0</vt:i4>
      </vt:variant>
      <vt:variant>
        <vt:i4>5</vt:i4>
      </vt:variant>
      <vt:variant>
        <vt:lpwstr>http://www.oas.org/es/sla/dlc/mesicic/docs/mesicic6_slv_a10.pdf</vt:lpwstr>
      </vt:variant>
      <vt:variant>
        <vt:lpwstr/>
      </vt:variant>
      <vt:variant>
        <vt:i4>4194396</vt:i4>
      </vt:variant>
      <vt:variant>
        <vt:i4>363</vt:i4>
      </vt:variant>
      <vt:variant>
        <vt:i4>0</vt:i4>
      </vt:variant>
      <vt:variant>
        <vt:i4>5</vt:i4>
      </vt:variant>
      <vt:variant>
        <vt:lpwstr>http://www.oas.org/es/sla/dlc/mesicic/docs/mesicic6_slv_a136.pdf</vt:lpwstr>
      </vt:variant>
      <vt:variant>
        <vt:lpwstr/>
      </vt:variant>
      <vt:variant>
        <vt:i4>4325468</vt:i4>
      </vt:variant>
      <vt:variant>
        <vt:i4>360</vt:i4>
      </vt:variant>
      <vt:variant>
        <vt:i4>0</vt:i4>
      </vt:variant>
      <vt:variant>
        <vt:i4>5</vt:i4>
      </vt:variant>
      <vt:variant>
        <vt:lpwstr>http://www.oas.org/es/sla/dlc/mesicic/docs/mesicic6_slv_a134.pdf</vt:lpwstr>
      </vt:variant>
      <vt:variant>
        <vt:lpwstr/>
      </vt:variant>
      <vt:variant>
        <vt:i4>4391004</vt:i4>
      </vt:variant>
      <vt:variant>
        <vt:i4>357</vt:i4>
      </vt:variant>
      <vt:variant>
        <vt:i4>0</vt:i4>
      </vt:variant>
      <vt:variant>
        <vt:i4>5</vt:i4>
      </vt:variant>
      <vt:variant>
        <vt:lpwstr>http://www.oas.org/es/sla/dlc/mesicic/docs/mesicic6_slv_a135.pdf</vt:lpwstr>
      </vt:variant>
      <vt:variant>
        <vt:lpwstr/>
      </vt:variant>
      <vt:variant>
        <vt:i4>4653148</vt:i4>
      </vt:variant>
      <vt:variant>
        <vt:i4>354</vt:i4>
      </vt:variant>
      <vt:variant>
        <vt:i4>0</vt:i4>
      </vt:variant>
      <vt:variant>
        <vt:i4>5</vt:i4>
      </vt:variant>
      <vt:variant>
        <vt:lpwstr>http://www.oas.org/es/sla/dlc/mesicic/docs/mesicic6_slv_a131.pdf</vt:lpwstr>
      </vt:variant>
      <vt:variant>
        <vt:lpwstr/>
      </vt:variant>
      <vt:variant>
        <vt:i4>7536751</vt:i4>
      </vt:variant>
      <vt:variant>
        <vt:i4>351</vt:i4>
      </vt:variant>
      <vt:variant>
        <vt:i4>0</vt:i4>
      </vt:variant>
      <vt:variant>
        <vt:i4>5</vt:i4>
      </vt:variant>
      <vt:variant>
        <vt:lpwstr>http://www.oas.org/es/sla/dlc/mesicic/docs/mesicic6_slv_a4.pdf</vt:lpwstr>
      </vt:variant>
      <vt:variant>
        <vt:lpwstr/>
      </vt:variant>
      <vt:variant>
        <vt:i4>7536751</vt:i4>
      </vt:variant>
      <vt:variant>
        <vt:i4>348</vt:i4>
      </vt:variant>
      <vt:variant>
        <vt:i4>0</vt:i4>
      </vt:variant>
      <vt:variant>
        <vt:i4>5</vt:i4>
      </vt:variant>
      <vt:variant>
        <vt:lpwstr>http://www.oas.org/es/sla/dlc/mesicic/docs/mesicic6_slv_a4.pdf</vt:lpwstr>
      </vt:variant>
      <vt:variant>
        <vt:lpwstr/>
      </vt:variant>
      <vt:variant>
        <vt:i4>7536751</vt:i4>
      </vt:variant>
      <vt:variant>
        <vt:i4>345</vt:i4>
      </vt:variant>
      <vt:variant>
        <vt:i4>0</vt:i4>
      </vt:variant>
      <vt:variant>
        <vt:i4>5</vt:i4>
      </vt:variant>
      <vt:variant>
        <vt:lpwstr>http://www.oas.org/es/sla/dlc/mesicic/docs/mesicic6_slv_a4.pdf</vt:lpwstr>
      </vt:variant>
      <vt:variant>
        <vt:lpwstr/>
      </vt:variant>
      <vt:variant>
        <vt:i4>7536751</vt:i4>
      </vt:variant>
      <vt:variant>
        <vt:i4>342</vt:i4>
      </vt:variant>
      <vt:variant>
        <vt:i4>0</vt:i4>
      </vt:variant>
      <vt:variant>
        <vt:i4>5</vt:i4>
      </vt:variant>
      <vt:variant>
        <vt:lpwstr>http://www.oas.org/es/sla/dlc/mesicic/docs/mesicic6_slv_a4.pdf</vt:lpwstr>
      </vt:variant>
      <vt:variant>
        <vt:lpwstr/>
      </vt:variant>
      <vt:variant>
        <vt:i4>7536751</vt:i4>
      </vt:variant>
      <vt:variant>
        <vt:i4>339</vt:i4>
      </vt:variant>
      <vt:variant>
        <vt:i4>0</vt:i4>
      </vt:variant>
      <vt:variant>
        <vt:i4>5</vt:i4>
      </vt:variant>
      <vt:variant>
        <vt:lpwstr>http://www.oas.org/es/sla/dlc/mesicic/docs/mesicic6_slv_a4.pdf</vt:lpwstr>
      </vt:variant>
      <vt:variant>
        <vt:lpwstr/>
      </vt:variant>
      <vt:variant>
        <vt:i4>7536751</vt:i4>
      </vt:variant>
      <vt:variant>
        <vt:i4>336</vt:i4>
      </vt:variant>
      <vt:variant>
        <vt:i4>0</vt:i4>
      </vt:variant>
      <vt:variant>
        <vt:i4>5</vt:i4>
      </vt:variant>
      <vt:variant>
        <vt:lpwstr>http://www.oas.org/es/sla/dlc/mesicic/docs/mesicic6_slv_a4.pdf</vt:lpwstr>
      </vt:variant>
      <vt:variant>
        <vt:lpwstr/>
      </vt:variant>
      <vt:variant>
        <vt:i4>4653148</vt:i4>
      </vt:variant>
      <vt:variant>
        <vt:i4>333</vt:i4>
      </vt:variant>
      <vt:variant>
        <vt:i4>0</vt:i4>
      </vt:variant>
      <vt:variant>
        <vt:i4>5</vt:i4>
      </vt:variant>
      <vt:variant>
        <vt:lpwstr>http://www.oas.org/es/sla/dlc/mesicic/docs/mesicic6_slv_a131.pdf</vt:lpwstr>
      </vt:variant>
      <vt:variant>
        <vt:lpwstr/>
      </vt:variant>
      <vt:variant>
        <vt:i4>7536751</vt:i4>
      </vt:variant>
      <vt:variant>
        <vt:i4>330</vt:i4>
      </vt:variant>
      <vt:variant>
        <vt:i4>0</vt:i4>
      </vt:variant>
      <vt:variant>
        <vt:i4>5</vt:i4>
      </vt:variant>
      <vt:variant>
        <vt:lpwstr>http://www.oas.org/es/sla/dlc/mesicic/docs/mesicic6_slv_a4.pdf</vt:lpwstr>
      </vt:variant>
      <vt:variant>
        <vt:lpwstr/>
      </vt:variant>
      <vt:variant>
        <vt:i4>4653148</vt:i4>
      </vt:variant>
      <vt:variant>
        <vt:i4>327</vt:i4>
      </vt:variant>
      <vt:variant>
        <vt:i4>0</vt:i4>
      </vt:variant>
      <vt:variant>
        <vt:i4>5</vt:i4>
      </vt:variant>
      <vt:variant>
        <vt:lpwstr>http://www.oas.org/es/sla/dlc/mesicic/docs/mesicic6_slv_a131.pdf</vt:lpwstr>
      </vt:variant>
      <vt:variant>
        <vt:lpwstr/>
      </vt:variant>
      <vt:variant>
        <vt:i4>2555975</vt:i4>
      </vt:variant>
      <vt:variant>
        <vt:i4>324</vt:i4>
      </vt:variant>
      <vt:variant>
        <vt:i4>0</vt:i4>
      </vt:variant>
      <vt:variant>
        <vt:i4>5</vt:i4>
      </vt:variant>
      <vt:variant>
        <vt:lpwstr>http://www.oas.org/es/sla/dlc/mesicic/docs/mesicic6_slv_res_cuest.pdf</vt:lpwstr>
      </vt:variant>
      <vt:variant>
        <vt:lpwstr/>
      </vt:variant>
      <vt:variant>
        <vt:i4>5177437</vt:i4>
      </vt:variant>
      <vt:variant>
        <vt:i4>321</vt:i4>
      </vt:variant>
      <vt:variant>
        <vt:i4>0</vt:i4>
      </vt:variant>
      <vt:variant>
        <vt:i4>5</vt:i4>
      </vt:variant>
      <vt:variant>
        <vt:lpwstr>http://www.oas.org/es/sla/dlc/mesicic/docs/mesicic6_slv_a129.pdf</vt:lpwstr>
      </vt:variant>
      <vt:variant>
        <vt:lpwstr/>
      </vt:variant>
      <vt:variant>
        <vt:i4>4194397</vt:i4>
      </vt:variant>
      <vt:variant>
        <vt:i4>318</vt:i4>
      </vt:variant>
      <vt:variant>
        <vt:i4>0</vt:i4>
      </vt:variant>
      <vt:variant>
        <vt:i4>5</vt:i4>
      </vt:variant>
      <vt:variant>
        <vt:lpwstr>http://www.oas.org/es/sla/dlc/mesicic/docs/mesicic6_slv_a126.pdf</vt:lpwstr>
      </vt:variant>
      <vt:variant>
        <vt:lpwstr/>
      </vt:variant>
      <vt:variant>
        <vt:i4>2555975</vt:i4>
      </vt:variant>
      <vt:variant>
        <vt:i4>315</vt:i4>
      </vt:variant>
      <vt:variant>
        <vt:i4>0</vt:i4>
      </vt:variant>
      <vt:variant>
        <vt:i4>5</vt:i4>
      </vt:variant>
      <vt:variant>
        <vt:lpwstr>http://www.oas.org/es/sla/dlc/mesicic/docs/mesicic6_slv_res_cuest.pdf</vt:lpwstr>
      </vt:variant>
      <vt:variant>
        <vt:lpwstr/>
      </vt:variant>
      <vt:variant>
        <vt:i4>4063351</vt:i4>
      </vt:variant>
      <vt:variant>
        <vt:i4>312</vt:i4>
      </vt:variant>
      <vt:variant>
        <vt:i4>0</vt:i4>
      </vt:variant>
      <vt:variant>
        <vt:i4>5</vt:i4>
      </vt:variant>
      <vt:variant>
        <vt:lpwstr>https://www.cvpcpa.gob.sv/download/resolucion-327/</vt:lpwstr>
      </vt:variant>
      <vt:variant>
        <vt:lpwstr/>
      </vt:variant>
      <vt:variant>
        <vt:i4>2687085</vt:i4>
      </vt:variant>
      <vt:variant>
        <vt:i4>309</vt:i4>
      </vt:variant>
      <vt:variant>
        <vt:i4>0</vt:i4>
      </vt:variant>
      <vt:variant>
        <vt:i4>5</vt:i4>
      </vt:variant>
      <vt:variant>
        <vt:lpwstr>http://www.oas.org/es/sla/dlc/mesicic/docs/mesicic6_slv_a28.pdf</vt:lpwstr>
      </vt:variant>
      <vt:variant>
        <vt:lpwstr/>
      </vt:variant>
      <vt:variant>
        <vt:i4>2555975</vt:i4>
      </vt:variant>
      <vt:variant>
        <vt:i4>306</vt:i4>
      </vt:variant>
      <vt:variant>
        <vt:i4>0</vt:i4>
      </vt:variant>
      <vt:variant>
        <vt:i4>5</vt:i4>
      </vt:variant>
      <vt:variant>
        <vt:lpwstr>http://www.oas.org/es/sla/dlc/mesicic/docs/mesicic6_slv_res_cuest.pdf</vt:lpwstr>
      </vt:variant>
      <vt:variant>
        <vt:lpwstr/>
      </vt:variant>
      <vt:variant>
        <vt:i4>3735665</vt:i4>
      </vt:variant>
      <vt:variant>
        <vt:i4>303</vt:i4>
      </vt:variant>
      <vt:variant>
        <vt:i4>0</vt:i4>
      </vt:variant>
      <vt:variant>
        <vt:i4>5</vt:i4>
      </vt:variant>
      <vt:variant>
        <vt:lpwstr>https://www.cvpcpa.gob.sv/download/resolucion-456/</vt:lpwstr>
      </vt:variant>
      <vt:variant>
        <vt:lpwstr/>
      </vt:variant>
      <vt:variant>
        <vt:i4>2293868</vt:i4>
      </vt:variant>
      <vt:variant>
        <vt:i4>300</vt:i4>
      </vt:variant>
      <vt:variant>
        <vt:i4>0</vt:i4>
      </vt:variant>
      <vt:variant>
        <vt:i4>5</vt:i4>
      </vt:variant>
      <vt:variant>
        <vt:lpwstr>http://www.oas.org/es/sla/dlc/mesicic/docs/mesicic6_slv_a89.pdf</vt:lpwstr>
      </vt:variant>
      <vt:variant>
        <vt:lpwstr/>
      </vt:variant>
      <vt:variant>
        <vt:i4>2621538</vt:i4>
      </vt:variant>
      <vt:variant>
        <vt:i4>297</vt:i4>
      </vt:variant>
      <vt:variant>
        <vt:i4>0</vt:i4>
      </vt:variant>
      <vt:variant>
        <vt:i4>5</vt:i4>
      </vt:variant>
      <vt:variant>
        <vt:lpwstr>http://www.oas.org/es/sla/dlc/mesicic/docs/mesicic6_slv_a37.pdf</vt:lpwstr>
      </vt:variant>
      <vt:variant>
        <vt:lpwstr/>
      </vt:variant>
      <vt:variant>
        <vt:i4>4259935</vt:i4>
      </vt:variant>
      <vt:variant>
        <vt:i4>294</vt:i4>
      </vt:variant>
      <vt:variant>
        <vt:i4>0</vt:i4>
      </vt:variant>
      <vt:variant>
        <vt:i4>5</vt:i4>
      </vt:variant>
      <vt:variant>
        <vt:lpwstr>http://www.oas.org/es/sla/dlc/mesicic/docs/mesicic6_slv_a107.pdf</vt:lpwstr>
      </vt:variant>
      <vt:variant>
        <vt:lpwstr/>
      </vt:variant>
      <vt:variant>
        <vt:i4>4325425</vt:i4>
      </vt:variant>
      <vt:variant>
        <vt:i4>291</vt:i4>
      </vt:variant>
      <vt:variant>
        <vt:i4>0</vt:i4>
      </vt:variant>
      <vt:variant>
        <vt:i4>5</vt:i4>
      </vt:variant>
      <vt:variant>
        <vt:lpwstr>http://www.oas.org/es/sla/dlc/mesicic/docs/mesicic6_slv_soc_civ.pdf</vt:lpwstr>
      </vt:variant>
      <vt:variant>
        <vt:lpwstr/>
      </vt:variant>
      <vt:variant>
        <vt:i4>2555975</vt:i4>
      </vt:variant>
      <vt:variant>
        <vt:i4>288</vt:i4>
      </vt:variant>
      <vt:variant>
        <vt:i4>0</vt:i4>
      </vt:variant>
      <vt:variant>
        <vt:i4>5</vt:i4>
      </vt:variant>
      <vt:variant>
        <vt:lpwstr>http://www.oas.org/es/sla/dlc/mesicic/docs/mesicic6_slv_res_cuest.pdf</vt:lpwstr>
      </vt:variant>
      <vt:variant>
        <vt:lpwstr/>
      </vt:variant>
      <vt:variant>
        <vt:i4>4194397</vt:i4>
      </vt:variant>
      <vt:variant>
        <vt:i4>285</vt:i4>
      </vt:variant>
      <vt:variant>
        <vt:i4>0</vt:i4>
      </vt:variant>
      <vt:variant>
        <vt:i4>5</vt:i4>
      </vt:variant>
      <vt:variant>
        <vt:lpwstr>http://www.oas.org/es/sla/dlc/mesicic/docs/mesicic6_slv_a126.pdf</vt:lpwstr>
      </vt:variant>
      <vt:variant>
        <vt:lpwstr/>
      </vt:variant>
      <vt:variant>
        <vt:i4>2555975</vt:i4>
      </vt:variant>
      <vt:variant>
        <vt:i4>282</vt:i4>
      </vt:variant>
      <vt:variant>
        <vt:i4>0</vt:i4>
      </vt:variant>
      <vt:variant>
        <vt:i4>5</vt:i4>
      </vt:variant>
      <vt:variant>
        <vt:lpwstr>http://www.oas.org/es/sla/dlc/mesicic/docs/mesicic6_slv_res_cuest.pdf</vt:lpwstr>
      </vt:variant>
      <vt:variant>
        <vt:lpwstr/>
      </vt:variant>
      <vt:variant>
        <vt:i4>4325425</vt:i4>
      </vt:variant>
      <vt:variant>
        <vt:i4>279</vt:i4>
      </vt:variant>
      <vt:variant>
        <vt:i4>0</vt:i4>
      </vt:variant>
      <vt:variant>
        <vt:i4>5</vt:i4>
      </vt:variant>
      <vt:variant>
        <vt:lpwstr>http://www.oas.org/es/sla/dlc/mesicic/docs/mesicic6_slv_soc_civ.pdf</vt:lpwstr>
      </vt:variant>
      <vt:variant>
        <vt:lpwstr/>
      </vt:variant>
      <vt:variant>
        <vt:i4>4194397</vt:i4>
      </vt:variant>
      <vt:variant>
        <vt:i4>276</vt:i4>
      </vt:variant>
      <vt:variant>
        <vt:i4>0</vt:i4>
      </vt:variant>
      <vt:variant>
        <vt:i4>5</vt:i4>
      </vt:variant>
      <vt:variant>
        <vt:lpwstr>http://www.oas.org/es/sla/dlc/mesicic/docs/mesicic6_slv_a126.pdf</vt:lpwstr>
      </vt:variant>
      <vt:variant>
        <vt:lpwstr/>
      </vt:variant>
      <vt:variant>
        <vt:i4>2555975</vt:i4>
      </vt:variant>
      <vt:variant>
        <vt:i4>273</vt:i4>
      </vt:variant>
      <vt:variant>
        <vt:i4>0</vt:i4>
      </vt:variant>
      <vt:variant>
        <vt:i4>5</vt:i4>
      </vt:variant>
      <vt:variant>
        <vt:lpwstr>http://www.oas.org/es/sla/dlc/mesicic/docs/mesicic6_slv_res_cuest.pdf</vt:lpwstr>
      </vt:variant>
      <vt:variant>
        <vt:lpwstr/>
      </vt:variant>
      <vt:variant>
        <vt:i4>2555975</vt:i4>
      </vt:variant>
      <vt:variant>
        <vt:i4>270</vt:i4>
      </vt:variant>
      <vt:variant>
        <vt:i4>0</vt:i4>
      </vt:variant>
      <vt:variant>
        <vt:i4>5</vt:i4>
      </vt:variant>
      <vt:variant>
        <vt:lpwstr>http://www.oas.org/es/sla/dlc/mesicic/docs/mesicic6_slv_res_cuest.pdf</vt:lpwstr>
      </vt:variant>
      <vt:variant>
        <vt:lpwstr/>
      </vt:variant>
      <vt:variant>
        <vt:i4>4259935</vt:i4>
      </vt:variant>
      <vt:variant>
        <vt:i4>267</vt:i4>
      </vt:variant>
      <vt:variant>
        <vt:i4>0</vt:i4>
      </vt:variant>
      <vt:variant>
        <vt:i4>5</vt:i4>
      </vt:variant>
      <vt:variant>
        <vt:lpwstr>http://www.oas.org/es/sla/dlc/mesicic/docs/mesicic6_slv_a107.pdf</vt:lpwstr>
      </vt:variant>
      <vt:variant>
        <vt:lpwstr/>
      </vt:variant>
      <vt:variant>
        <vt:i4>4325425</vt:i4>
      </vt:variant>
      <vt:variant>
        <vt:i4>264</vt:i4>
      </vt:variant>
      <vt:variant>
        <vt:i4>0</vt:i4>
      </vt:variant>
      <vt:variant>
        <vt:i4>5</vt:i4>
      </vt:variant>
      <vt:variant>
        <vt:lpwstr>http://www.oas.org/es/sla/dlc/mesicic/docs/mesicic6_slv_soc_civ.pdf</vt:lpwstr>
      </vt:variant>
      <vt:variant>
        <vt:lpwstr/>
      </vt:variant>
      <vt:variant>
        <vt:i4>5898362</vt:i4>
      </vt:variant>
      <vt:variant>
        <vt:i4>261</vt:i4>
      </vt:variant>
      <vt:variant>
        <vt:i4>0</vt:i4>
      </vt:variant>
      <vt:variant>
        <vt:i4>5</vt:i4>
      </vt:variant>
      <vt:variant>
        <vt:lpwstr>https://www.oas.org/es/sla/dlc/mesicic/docs/Panel-5_slv.pdf</vt:lpwstr>
      </vt:variant>
      <vt:variant>
        <vt:lpwstr/>
      </vt:variant>
      <vt:variant>
        <vt:i4>4325468</vt:i4>
      </vt:variant>
      <vt:variant>
        <vt:i4>258</vt:i4>
      </vt:variant>
      <vt:variant>
        <vt:i4>0</vt:i4>
      </vt:variant>
      <vt:variant>
        <vt:i4>5</vt:i4>
      </vt:variant>
      <vt:variant>
        <vt:lpwstr>http://www.oas.org/es/sla/dlc/mesicic/docs/mesicic6_slv_a134.pdf</vt:lpwstr>
      </vt:variant>
      <vt:variant>
        <vt:lpwstr/>
      </vt:variant>
      <vt:variant>
        <vt:i4>4391004</vt:i4>
      </vt:variant>
      <vt:variant>
        <vt:i4>255</vt:i4>
      </vt:variant>
      <vt:variant>
        <vt:i4>0</vt:i4>
      </vt:variant>
      <vt:variant>
        <vt:i4>5</vt:i4>
      </vt:variant>
      <vt:variant>
        <vt:lpwstr>http://www.oas.org/es/sla/dlc/mesicic/docs/mesicic6_slv_a135.pdf</vt:lpwstr>
      </vt:variant>
      <vt:variant>
        <vt:lpwstr/>
      </vt:variant>
      <vt:variant>
        <vt:i4>5177437</vt:i4>
      </vt:variant>
      <vt:variant>
        <vt:i4>252</vt:i4>
      </vt:variant>
      <vt:variant>
        <vt:i4>0</vt:i4>
      </vt:variant>
      <vt:variant>
        <vt:i4>5</vt:i4>
      </vt:variant>
      <vt:variant>
        <vt:lpwstr>http://www.oas.org/es/sla/dlc/mesicic/docs/mesicic6_slv_a129.pdf</vt:lpwstr>
      </vt:variant>
      <vt:variant>
        <vt:lpwstr/>
      </vt:variant>
      <vt:variant>
        <vt:i4>5177438</vt:i4>
      </vt:variant>
      <vt:variant>
        <vt:i4>249</vt:i4>
      </vt:variant>
      <vt:variant>
        <vt:i4>0</vt:i4>
      </vt:variant>
      <vt:variant>
        <vt:i4>5</vt:i4>
      </vt:variant>
      <vt:variant>
        <vt:lpwstr>http://www.oas.org/es/sla/dlc/mesicic/docs/mesicic6_slv_a119.pdf</vt:lpwstr>
      </vt:variant>
      <vt:variant>
        <vt:lpwstr/>
      </vt:variant>
      <vt:variant>
        <vt:i4>4194397</vt:i4>
      </vt:variant>
      <vt:variant>
        <vt:i4>246</vt:i4>
      </vt:variant>
      <vt:variant>
        <vt:i4>0</vt:i4>
      </vt:variant>
      <vt:variant>
        <vt:i4>5</vt:i4>
      </vt:variant>
      <vt:variant>
        <vt:lpwstr>http://www.oas.org/es/sla/dlc/mesicic/docs/mesicic6_slv_a126.pdf</vt:lpwstr>
      </vt:variant>
      <vt:variant>
        <vt:lpwstr/>
      </vt:variant>
      <vt:variant>
        <vt:i4>2555975</vt:i4>
      </vt:variant>
      <vt:variant>
        <vt:i4>243</vt:i4>
      </vt:variant>
      <vt:variant>
        <vt:i4>0</vt:i4>
      </vt:variant>
      <vt:variant>
        <vt:i4>5</vt:i4>
      </vt:variant>
      <vt:variant>
        <vt:lpwstr>http://www.oas.org/es/sla/dlc/mesicic/docs/mesicic6_slv_res_cuest.pdf</vt:lpwstr>
      </vt:variant>
      <vt:variant>
        <vt:lpwstr/>
      </vt:variant>
      <vt:variant>
        <vt:i4>4259935</vt:i4>
      </vt:variant>
      <vt:variant>
        <vt:i4>240</vt:i4>
      </vt:variant>
      <vt:variant>
        <vt:i4>0</vt:i4>
      </vt:variant>
      <vt:variant>
        <vt:i4>5</vt:i4>
      </vt:variant>
      <vt:variant>
        <vt:lpwstr>http://www.oas.org/es/sla/dlc/mesicic/docs/mesicic6_slv_a107.pdf</vt:lpwstr>
      </vt:variant>
      <vt:variant>
        <vt:lpwstr/>
      </vt:variant>
      <vt:variant>
        <vt:i4>4194397</vt:i4>
      </vt:variant>
      <vt:variant>
        <vt:i4>237</vt:i4>
      </vt:variant>
      <vt:variant>
        <vt:i4>0</vt:i4>
      </vt:variant>
      <vt:variant>
        <vt:i4>5</vt:i4>
      </vt:variant>
      <vt:variant>
        <vt:lpwstr>http://www.oas.org/es/sla/dlc/mesicic/docs/mesicic6_slv_a126.pdf</vt:lpwstr>
      </vt:variant>
      <vt:variant>
        <vt:lpwstr/>
      </vt:variant>
      <vt:variant>
        <vt:i4>2555975</vt:i4>
      </vt:variant>
      <vt:variant>
        <vt:i4>234</vt:i4>
      </vt:variant>
      <vt:variant>
        <vt:i4>0</vt:i4>
      </vt:variant>
      <vt:variant>
        <vt:i4>5</vt:i4>
      </vt:variant>
      <vt:variant>
        <vt:lpwstr>http://www.oas.org/es/sla/dlc/mesicic/docs/mesicic6_slv_res_cuest.pdf</vt:lpwstr>
      </vt:variant>
      <vt:variant>
        <vt:lpwstr/>
      </vt:variant>
      <vt:variant>
        <vt:i4>4259935</vt:i4>
      </vt:variant>
      <vt:variant>
        <vt:i4>231</vt:i4>
      </vt:variant>
      <vt:variant>
        <vt:i4>0</vt:i4>
      </vt:variant>
      <vt:variant>
        <vt:i4>5</vt:i4>
      </vt:variant>
      <vt:variant>
        <vt:lpwstr>http://www.oas.org/es/sla/dlc/mesicic/docs/mesicic6_slv_a107.pdf</vt:lpwstr>
      </vt:variant>
      <vt:variant>
        <vt:lpwstr/>
      </vt:variant>
      <vt:variant>
        <vt:i4>4325425</vt:i4>
      </vt:variant>
      <vt:variant>
        <vt:i4>228</vt:i4>
      </vt:variant>
      <vt:variant>
        <vt:i4>0</vt:i4>
      </vt:variant>
      <vt:variant>
        <vt:i4>5</vt:i4>
      </vt:variant>
      <vt:variant>
        <vt:lpwstr>http://www.oas.org/es/sla/dlc/mesicic/docs/mesicic6_slv_soc_civ.pdf</vt:lpwstr>
      </vt:variant>
      <vt:variant>
        <vt:lpwstr/>
      </vt:variant>
      <vt:variant>
        <vt:i4>4194397</vt:i4>
      </vt:variant>
      <vt:variant>
        <vt:i4>225</vt:i4>
      </vt:variant>
      <vt:variant>
        <vt:i4>0</vt:i4>
      </vt:variant>
      <vt:variant>
        <vt:i4>5</vt:i4>
      </vt:variant>
      <vt:variant>
        <vt:lpwstr>http://www.oas.org/es/sla/dlc/mesicic/docs/mesicic6_slv_a126.pdf</vt:lpwstr>
      </vt:variant>
      <vt:variant>
        <vt:lpwstr/>
      </vt:variant>
      <vt:variant>
        <vt:i4>2555975</vt:i4>
      </vt:variant>
      <vt:variant>
        <vt:i4>222</vt:i4>
      </vt:variant>
      <vt:variant>
        <vt:i4>0</vt:i4>
      </vt:variant>
      <vt:variant>
        <vt:i4>5</vt:i4>
      </vt:variant>
      <vt:variant>
        <vt:lpwstr>http://www.oas.org/es/sla/dlc/mesicic/docs/mesicic6_slv_res_cuest.pdf</vt:lpwstr>
      </vt:variant>
      <vt:variant>
        <vt:lpwstr/>
      </vt:variant>
      <vt:variant>
        <vt:i4>4259935</vt:i4>
      </vt:variant>
      <vt:variant>
        <vt:i4>219</vt:i4>
      </vt:variant>
      <vt:variant>
        <vt:i4>0</vt:i4>
      </vt:variant>
      <vt:variant>
        <vt:i4>5</vt:i4>
      </vt:variant>
      <vt:variant>
        <vt:lpwstr>http://www.oas.org/es/sla/dlc/mesicic/docs/mesicic6_slv_a107.pdf</vt:lpwstr>
      </vt:variant>
      <vt:variant>
        <vt:lpwstr/>
      </vt:variant>
      <vt:variant>
        <vt:i4>4325425</vt:i4>
      </vt:variant>
      <vt:variant>
        <vt:i4>216</vt:i4>
      </vt:variant>
      <vt:variant>
        <vt:i4>0</vt:i4>
      </vt:variant>
      <vt:variant>
        <vt:i4>5</vt:i4>
      </vt:variant>
      <vt:variant>
        <vt:lpwstr>http://www.oas.org/es/sla/dlc/mesicic/docs/mesicic6_slv_soc_civ.pdf</vt:lpwstr>
      </vt:variant>
      <vt:variant>
        <vt:lpwstr/>
      </vt:variant>
      <vt:variant>
        <vt:i4>1048660</vt:i4>
      </vt:variant>
      <vt:variant>
        <vt:i4>213</vt:i4>
      </vt:variant>
      <vt:variant>
        <vt:i4>0</vt:i4>
      </vt:variant>
      <vt:variant>
        <vt:i4>5</vt:i4>
      </vt:variant>
      <vt:variant>
        <vt:lpwstr>https://www.oecd.org/corruption/anti-bribery/The-Detection-of-Foreign-Bribery-ESP.pdf</vt:lpwstr>
      </vt:variant>
      <vt:variant>
        <vt:lpwstr/>
      </vt:variant>
      <vt:variant>
        <vt:i4>5177438</vt:i4>
      </vt:variant>
      <vt:variant>
        <vt:i4>210</vt:i4>
      </vt:variant>
      <vt:variant>
        <vt:i4>0</vt:i4>
      </vt:variant>
      <vt:variant>
        <vt:i4>5</vt:i4>
      </vt:variant>
      <vt:variant>
        <vt:lpwstr>http://www.oas.org/es/sla/dlc/mesicic/docs/mesicic6_slv_a119.pdf</vt:lpwstr>
      </vt:variant>
      <vt:variant>
        <vt:lpwstr/>
      </vt:variant>
      <vt:variant>
        <vt:i4>2687085</vt:i4>
      </vt:variant>
      <vt:variant>
        <vt:i4>207</vt:i4>
      </vt:variant>
      <vt:variant>
        <vt:i4>0</vt:i4>
      </vt:variant>
      <vt:variant>
        <vt:i4>5</vt:i4>
      </vt:variant>
      <vt:variant>
        <vt:lpwstr>http://www.oas.org/es/sla/dlc/mesicic/docs/mesicic6_slv_a28.pdf</vt:lpwstr>
      </vt:variant>
      <vt:variant>
        <vt:lpwstr/>
      </vt:variant>
      <vt:variant>
        <vt:i4>4194397</vt:i4>
      </vt:variant>
      <vt:variant>
        <vt:i4>204</vt:i4>
      </vt:variant>
      <vt:variant>
        <vt:i4>0</vt:i4>
      </vt:variant>
      <vt:variant>
        <vt:i4>5</vt:i4>
      </vt:variant>
      <vt:variant>
        <vt:lpwstr>http://www.oas.org/es/sla/dlc/mesicic/docs/mesicic6_slv_a126.pdf</vt:lpwstr>
      </vt:variant>
      <vt:variant>
        <vt:lpwstr/>
      </vt:variant>
      <vt:variant>
        <vt:i4>2621536</vt:i4>
      </vt:variant>
      <vt:variant>
        <vt:i4>201</vt:i4>
      </vt:variant>
      <vt:variant>
        <vt:i4>0</vt:i4>
      </vt:variant>
      <vt:variant>
        <vt:i4>5</vt:i4>
      </vt:variant>
      <vt:variant>
        <vt:lpwstr>http://www.oas.org/es/sla/dlc/mesicic/docs/mesicic6_slv_a35.pdf</vt:lpwstr>
      </vt:variant>
      <vt:variant>
        <vt:lpwstr/>
      </vt:variant>
      <vt:variant>
        <vt:i4>2555975</vt:i4>
      </vt:variant>
      <vt:variant>
        <vt:i4>198</vt:i4>
      </vt:variant>
      <vt:variant>
        <vt:i4>0</vt:i4>
      </vt:variant>
      <vt:variant>
        <vt:i4>5</vt:i4>
      </vt:variant>
      <vt:variant>
        <vt:lpwstr>http://www.oas.org/es/sla/dlc/mesicic/docs/mesicic6_slv_res_cuest.pdf</vt:lpwstr>
      </vt:variant>
      <vt:variant>
        <vt:lpwstr/>
      </vt:variant>
      <vt:variant>
        <vt:i4>4325425</vt:i4>
      </vt:variant>
      <vt:variant>
        <vt:i4>195</vt:i4>
      </vt:variant>
      <vt:variant>
        <vt:i4>0</vt:i4>
      </vt:variant>
      <vt:variant>
        <vt:i4>5</vt:i4>
      </vt:variant>
      <vt:variant>
        <vt:lpwstr>http://www.oas.org/es/sla/dlc/mesicic/docs/mesicic6_slv_soc_civ.pdf</vt:lpwstr>
      </vt:variant>
      <vt:variant>
        <vt:lpwstr/>
      </vt:variant>
      <vt:variant>
        <vt:i4>2555975</vt:i4>
      </vt:variant>
      <vt:variant>
        <vt:i4>192</vt:i4>
      </vt:variant>
      <vt:variant>
        <vt:i4>0</vt:i4>
      </vt:variant>
      <vt:variant>
        <vt:i4>5</vt:i4>
      </vt:variant>
      <vt:variant>
        <vt:lpwstr>http://www.oas.org/es/sla/dlc/mesicic/docs/mesicic6_slv_res_cuest.pdf</vt:lpwstr>
      </vt:variant>
      <vt:variant>
        <vt:lpwstr/>
      </vt:variant>
      <vt:variant>
        <vt:i4>4325425</vt:i4>
      </vt:variant>
      <vt:variant>
        <vt:i4>189</vt:i4>
      </vt:variant>
      <vt:variant>
        <vt:i4>0</vt:i4>
      </vt:variant>
      <vt:variant>
        <vt:i4>5</vt:i4>
      </vt:variant>
      <vt:variant>
        <vt:lpwstr>http://www.oas.org/es/sla/dlc/mesicic/docs/mesicic6_slv_soc_civ.pdf</vt:lpwstr>
      </vt:variant>
      <vt:variant>
        <vt:lpwstr/>
      </vt:variant>
      <vt:variant>
        <vt:i4>5177438</vt:i4>
      </vt:variant>
      <vt:variant>
        <vt:i4>186</vt:i4>
      </vt:variant>
      <vt:variant>
        <vt:i4>0</vt:i4>
      </vt:variant>
      <vt:variant>
        <vt:i4>5</vt:i4>
      </vt:variant>
      <vt:variant>
        <vt:lpwstr>http://www.oas.org/es/sla/dlc/mesicic/docs/mesicic6_slv_a119.pdf</vt:lpwstr>
      </vt:variant>
      <vt:variant>
        <vt:lpwstr/>
      </vt:variant>
      <vt:variant>
        <vt:i4>2555975</vt:i4>
      </vt:variant>
      <vt:variant>
        <vt:i4>183</vt:i4>
      </vt:variant>
      <vt:variant>
        <vt:i4>0</vt:i4>
      </vt:variant>
      <vt:variant>
        <vt:i4>5</vt:i4>
      </vt:variant>
      <vt:variant>
        <vt:lpwstr>http://www.oas.org/es/sla/dlc/mesicic/docs/mesicic6_slv_res_cuest.pdf</vt:lpwstr>
      </vt:variant>
      <vt:variant>
        <vt:lpwstr/>
      </vt:variant>
      <vt:variant>
        <vt:i4>2555975</vt:i4>
      </vt:variant>
      <vt:variant>
        <vt:i4>180</vt:i4>
      </vt:variant>
      <vt:variant>
        <vt:i4>0</vt:i4>
      </vt:variant>
      <vt:variant>
        <vt:i4>5</vt:i4>
      </vt:variant>
      <vt:variant>
        <vt:lpwstr>http://www.oas.org/es/sla/dlc/mesicic/docs/mesicic6_slv_res_cuest.pdf</vt:lpwstr>
      </vt:variant>
      <vt:variant>
        <vt:lpwstr/>
      </vt:variant>
      <vt:variant>
        <vt:i4>4194397</vt:i4>
      </vt:variant>
      <vt:variant>
        <vt:i4>177</vt:i4>
      </vt:variant>
      <vt:variant>
        <vt:i4>0</vt:i4>
      </vt:variant>
      <vt:variant>
        <vt:i4>5</vt:i4>
      </vt:variant>
      <vt:variant>
        <vt:lpwstr>http://www.oas.org/es/sla/dlc/mesicic/docs/mesicic6_slv_a126.pdf</vt:lpwstr>
      </vt:variant>
      <vt:variant>
        <vt:lpwstr/>
      </vt:variant>
      <vt:variant>
        <vt:i4>2555975</vt:i4>
      </vt:variant>
      <vt:variant>
        <vt:i4>174</vt:i4>
      </vt:variant>
      <vt:variant>
        <vt:i4>0</vt:i4>
      </vt:variant>
      <vt:variant>
        <vt:i4>5</vt:i4>
      </vt:variant>
      <vt:variant>
        <vt:lpwstr>http://www.oas.org/es/sla/dlc/mesicic/docs/mesicic6_slv_res_cuest.pdf</vt:lpwstr>
      </vt:variant>
      <vt:variant>
        <vt:lpwstr/>
      </vt:variant>
      <vt:variant>
        <vt:i4>2752621</vt:i4>
      </vt:variant>
      <vt:variant>
        <vt:i4>171</vt:i4>
      </vt:variant>
      <vt:variant>
        <vt:i4>0</vt:i4>
      </vt:variant>
      <vt:variant>
        <vt:i4>5</vt:i4>
      </vt:variant>
      <vt:variant>
        <vt:lpwstr>http://www.oas.org/es/sla/dlc/mesicic/docs/mesicic6_slv_a18.pdf</vt:lpwstr>
      </vt:variant>
      <vt:variant>
        <vt:lpwstr/>
      </vt:variant>
      <vt:variant>
        <vt:i4>5177438</vt:i4>
      </vt:variant>
      <vt:variant>
        <vt:i4>168</vt:i4>
      </vt:variant>
      <vt:variant>
        <vt:i4>0</vt:i4>
      </vt:variant>
      <vt:variant>
        <vt:i4>5</vt:i4>
      </vt:variant>
      <vt:variant>
        <vt:lpwstr>http://www.oas.org/es/sla/dlc/mesicic/docs/mesicic6_slv_a119.pdf</vt:lpwstr>
      </vt:variant>
      <vt:variant>
        <vt:lpwstr/>
      </vt:variant>
      <vt:variant>
        <vt:i4>4194397</vt:i4>
      </vt:variant>
      <vt:variant>
        <vt:i4>165</vt:i4>
      </vt:variant>
      <vt:variant>
        <vt:i4>0</vt:i4>
      </vt:variant>
      <vt:variant>
        <vt:i4>5</vt:i4>
      </vt:variant>
      <vt:variant>
        <vt:lpwstr>http://www.oas.org/es/sla/dlc/mesicic/docs/mesicic6_slv_a126.pdf</vt:lpwstr>
      </vt:variant>
      <vt:variant>
        <vt:lpwstr/>
      </vt:variant>
      <vt:variant>
        <vt:i4>3014754</vt:i4>
      </vt:variant>
      <vt:variant>
        <vt:i4>162</vt:i4>
      </vt:variant>
      <vt:variant>
        <vt:i4>0</vt:i4>
      </vt:variant>
      <vt:variant>
        <vt:i4>5</vt:i4>
      </vt:variant>
      <vt:variant>
        <vt:lpwstr>http://www.oas.org/es/sla/dlc/mesicic/docs/mesicic6_slv_a57.pdf</vt:lpwstr>
      </vt:variant>
      <vt:variant>
        <vt:lpwstr/>
      </vt:variant>
      <vt:variant>
        <vt:i4>3014755</vt:i4>
      </vt:variant>
      <vt:variant>
        <vt:i4>159</vt:i4>
      </vt:variant>
      <vt:variant>
        <vt:i4>0</vt:i4>
      </vt:variant>
      <vt:variant>
        <vt:i4>5</vt:i4>
      </vt:variant>
      <vt:variant>
        <vt:lpwstr>http://www.oas.org/es/sla/dlc/mesicic/docs/mesicic6_slv_a56.pdf</vt:lpwstr>
      </vt:variant>
      <vt:variant>
        <vt:lpwstr/>
      </vt:variant>
      <vt:variant>
        <vt:i4>4194397</vt:i4>
      </vt:variant>
      <vt:variant>
        <vt:i4>156</vt:i4>
      </vt:variant>
      <vt:variant>
        <vt:i4>0</vt:i4>
      </vt:variant>
      <vt:variant>
        <vt:i4>5</vt:i4>
      </vt:variant>
      <vt:variant>
        <vt:lpwstr>http://www.oas.org/es/sla/dlc/mesicic/docs/mesicic6_slv_a126.pdf</vt:lpwstr>
      </vt:variant>
      <vt:variant>
        <vt:lpwstr/>
      </vt:variant>
      <vt:variant>
        <vt:i4>4194397</vt:i4>
      </vt:variant>
      <vt:variant>
        <vt:i4>153</vt:i4>
      </vt:variant>
      <vt:variant>
        <vt:i4>0</vt:i4>
      </vt:variant>
      <vt:variant>
        <vt:i4>5</vt:i4>
      </vt:variant>
      <vt:variant>
        <vt:lpwstr>http://www.oas.org/es/sla/dlc/mesicic/docs/mesicic6_slv_a126.pdf</vt:lpwstr>
      </vt:variant>
      <vt:variant>
        <vt:lpwstr/>
      </vt:variant>
      <vt:variant>
        <vt:i4>2687085</vt:i4>
      </vt:variant>
      <vt:variant>
        <vt:i4>150</vt:i4>
      </vt:variant>
      <vt:variant>
        <vt:i4>0</vt:i4>
      </vt:variant>
      <vt:variant>
        <vt:i4>5</vt:i4>
      </vt:variant>
      <vt:variant>
        <vt:lpwstr>http://www.oas.org/es/sla/dlc/mesicic/docs/mesicic6_slv_a28.pdf</vt:lpwstr>
      </vt:variant>
      <vt:variant>
        <vt:lpwstr/>
      </vt:variant>
      <vt:variant>
        <vt:i4>3735665</vt:i4>
      </vt:variant>
      <vt:variant>
        <vt:i4>147</vt:i4>
      </vt:variant>
      <vt:variant>
        <vt:i4>0</vt:i4>
      </vt:variant>
      <vt:variant>
        <vt:i4>5</vt:i4>
      </vt:variant>
      <vt:variant>
        <vt:lpwstr>https://www.cvpcpa.gob.sv/download/resolucion-456/</vt:lpwstr>
      </vt:variant>
      <vt:variant>
        <vt:lpwstr/>
      </vt:variant>
      <vt:variant>
        <vt:i4>2555975</vt:i4>
      </vt:variant>
      <vt:variant>
        <vt:i4>144</vt:i4>
      </vt:variant>
      <vt:variant>
        <vt:i4>0</vt:i4>
      </vt:variant>
      <vt:variant>
        <vt:i4>5</vt:i4>
      </vt:variant>
      <vt:variant>
        <vt:lpwstr>http://www.oas.org/es/sla/dlc/mesicic/docs/mesicic6_slv_res_cuest.pdf</vt:lpwstr>
      </vt:variant>
      <vt:variant>
        <vt:lpwstr/>
      </vt:variant>
      <vt:variant>
        <vt:i4>4325425</vt:i4>
      </vt:variant>
      <vt:variant>
        <vt:i4>141</vt:i4>
      </vt:variant>
      <vt:variant>
        <vt:i4>0</vt:i4>
      </vt:variant>
      <vt:variant>
        <vt:i4>5</vt:i4>
      </vt:variant>
      <vt:variant>
        <vt:lpwstr>http://www.oas.org/es/sla/dlc/mesicic/docs/mesicic6_slv_soc_civ.pdf</vt:lpwstr>
      </vt:variant>
      <vt:variant>
        <vt:lpwstr/>
      </vt:variant>
      <vt:variant>
        <vt:i4>5636143</vt:i4>
      </vt:variant>
      <vt:variant>
        <vt:i4>138</vt:i4>
      </vt:variant>
      <vt:variant>
        <vt:i4>0</vt:i4>
      </vt:variant>
      <vt:variant>
        <vt:i4>5</vt:i4>
      </vt:variant>
      <vt:variant>
        <vt:lpwstr>http://www.oas.org/juridico/spanish/mesicic_III_inf_slv.pdf</vt:lpwstr>
      </vt:variant>
      <vt:variant>
        <vt:lpwstr/>
      </vt:variant>
      <vt:variant>
        <vt:i4>2687084</vt:i4>
      </vt:variant>
      <vt:variant>
        <vt:i4>135</vt:i4>
      </vt:variant>
      <vt:variant>
        <vt:i4>0</vt:i4>
      </vt:variant>
      <vt:variant>
        <vt:i4>5</vt:i4>
      </vt:variant>
      <vt:variant>
        <vt:lpwstr>http://www.oas.org/es/sla/dlc/mesicic/docs/mesicic6_slv_a29.pdf</vt:lpwstr>
      </vt:variant>
      <vt:variant>
        <vt:lpwstr/>
      </vt:variant>
      <vt:variant>
        <vt:i4>2687084</vt:i4>
      </vt:variant>
      <vt:variant>
        <vt:i4>132</vt:i4>
      </vt:variant>
      <vt:variant>
        <vt:i4>0</vt:i4>
      </vt:variant>
      <vt:variant>
        <vt:i4>5</vt:i4>
      </vt:variant>
      <vt:variant>
        <vt:lpwstr>http://www.oas.org/es/sla/dlc/mesicic/docs/mesicic6_slv_a29.pdf</vt:lpwstr>
      </vt:variant>
      <vt:variant>
        <vt:lpwstr/>
      </vt:variant>
      <vt:variant>
        <vt:i4>2752610</vt:i4>
      </vt:variant>
      <vt:variant>
        <vt:i4>129</vt:i4>
      </vt:variant>
      <vt:variant>
        <vt:i4>0</vt:i4>
      </vt:variant>
      <vt:variant>
        <vt:i4>5</vt:i4>
      </vt:variant>
      <vt:variant>
        <vt:lpwstr>http://www.oas.org/es/sla/dlc/mesicic/docs/mesicic6_slv_a17.pdf</vt:lpwstr>
      </vt:variant>
      <vt:variant>
        <vt:lpwstr/>
      </vt:variant>
      <vt:variant>
        <vt:i4>5177438</vt:i4>
      </vt:variant>
      <vt:variant>
        <vt:i4>126</vt:i4>
      </vt:variant>
      <vt:variant>
        <vt:i4>0</vt:i4>
      </vt:variant>
      <vt:variant>
        <vt:i4>5</vt:i4>
      </vt:variant>
      <vt:variant>
        <vt:lpwstr>http://www.oas.org/es/sla/dlc/mesicic/docs/mesicic6_slv_a119.pdf</vt:lpwstr>
      </vt:variant>
      <vt:variant>
        <vt:lpwstr/>
      </vt:variant>
      <vt:variant>
        <vt:i4>4194397</vt:i4>
      </vt:variant>
      <vt:variant>
        <vt:i4>123</vt:i4>
      </vt:variant>
      <vt:variant>
        <vt:i4>0</vt:i4>
      </vt:variant>
      <vt:variant>
        <vt:i4>5</vt:i4>
      </vt:variant>
      <vt:variant>
        <vt:lpwstr>http://www.oas.org/es/sla/dlc/mesicic/docs/mesicic6_slv_a126.pdf</vt:lpwstr>
      </vt:variant>
      <vt:variant>
        <vt:lpwstr/>
      </vt:variant>
      <vt:variant>
        <vt:i4>2555975</vt:i4>
      </vt:variant>
      <vt:variant>
        <vt:i4>120</vt:i4>
      </vt:variant>
      <vt:variant>
        <vt:i4>0</vt:i4>
      </vt:variant>
      <vt:variant>
        <vt:i4>5</vt:i4>
      </vt:variant>
      <vt:variant>
        <vt:lpwstr>http://www.oas.org/es/sla/dlc/mesicic/docs/mesicic6_slv_res_cuest.pdf</vt:lpwstr>
      </vt:variant>
      <vt:variant>
        <vt:lpwstr/>
      </vt:variant>
      <vt:variant>
        <vt:i4>4325425</vt:i4>
      </vt:variant>
      <vt:variant>
        <vt:i4>117</vt:i4>
      </vt:variant>
      <vt:variant>
        <vt:i4>0</vt:i4>
      </vt:variant>
      <vt:variant>
        <vt:i4>5</vt:i4>
      </vt:variant>
      <vt:variant>
        <vt:lpwstr>http://www.oas.org/es/sla/dlc/mesicic/docs/mesicic6_slv_soc_civ.pdf</vt:lpwstr>
      </vt:variant>
      <vt:variant>
        <vt:lpwstr/>
      </vt:variant>
      <vt:variant>
        <vt:i4>2687085</vt:i4>
      </vt:variant>
      <vt:variant>
        <vt:i4>114</vt:i4>
      </vt:variant>
      <vt:variant>
        <vt:i4>0</vt:i4>
      </vt:variant>
      <vt:variant>
        <vt:i4>5</vt:i4>
      </vt:variant>
      <vt:variant>
        <vt:lpwstr>http://www.oas.org/es/sla/dlc/mesicic/docs/mesicic6_slv_a28.pdf</vt:lpwstr>
      </vt:variant>
      <vt:variant>
        <vt:lpwstr/>
      </vt:variant>
      <vt:variant>
        <vt:i4>2555975</vt:i4>
      </vt:variant>
      <vt:variant>
        <vt:i4>111</vt:i4>
      </vt:variant>
      <vt:variant>
        <vt:i4>0</vt:i4>
      </vt:variant>
      <vt:variant>
        <vt:i4>5</vt:i4>
      </vt:variant>
      <vt:variant>
        <vt:lpwstr>http://www.oas.org/es/sla/dlc/mesicic/docs/mesicic6_slv_res_cuest.pdf</vt:lpwstr>
      </vt:variant>
      <vt:variant>
        <vt:lpwstr/>
      </vt:variant>
      <vt:variant>
        <vt:i4>2555975</vt:i4>
      </vt:variant>
      <vt:variant>
        <vt:i4>108</vt:i4>
      </vt:variant>
      <vt:variant>
        <vt:i4>0</vt:i4>
      </vt:variant>
      <vt:variant>
        <vt:i4>5</vt:i4>
      </vt:variant>
      <vt:variant>
        <vt:lpwstr>http://www.oas.org/es/sla/dlc/mesicic/docs/mesicic6_slv_res_cuest.pdf</vt:lpwstr>
      </vt:variant>
      <vt:variant>
        <vt:lpwstr/>
      </vt:variant>
      <vt:variant>
        <vt:i4>7602287</vt:i4>
      </vt:variant>
      <vt:variant>
        <vt:i4>105</vt:i4>
      </vt:variant>
      <vt:variant>
        <vt:i4>0</vt:i4>
      </vt:variant>
      <vt:variant>
        <vt:i4>5</vt:i4>
      </vt:variant>
      <vt:variant>
        <vt:lpwstr>http://www.oas.org/es/sla/dlc/mesicic/docs/mesicic6_slv_a3.pdf</vt:lpwstr>
      </vt:variant>
      <vt:variant>
        <vt:lpwstr/>
      </vt:variant>
      <vt:variant>
        <vt:i4>2555975</vt:i4>
      </vt:variant>
      <vt:variant>
        <vt:i4>102</vt:i4>
      </vt:variant>
      <vt:variant>
        <vt:i4>0</vt:i4>
      </vt:variant>
      <vt:variant>
        <vt:i4>5</vt:i4>
      </vt:variant>
      <vt:variant>
        <vt:lpwstr>http://www.oas.org/es/sla/dlc/mesicic/docs/mesicic6_slv_res_cuest.pdf</vt:lpwstr>
      </vt:variant>
      <vt:variant>
        <vt:lpwstr/>
      </vt:variant>
      <vt:variant>
        <vt:i4>2555975</vt:i4>
      </vt:variant>
      <vt:variant>
        <vt:i4>99</vt:i4>
      </vt:variant>
      <vt:variant>
        <vt:i4>0</vt:i4>
      </vt:variant>
      <vt:variant>
        <vt:i4>5</vt:i4>
      </vt:variant>
      <vt:variant>
        <vt:lpwstr>http://www.oas.org/es/sla/dlc/mesicic/docs/mesicic6_slv_res_cuest.pdf</vt:lpwstr>
      </vt:variant>
      <vt:variant>
        <vt:lpwstr/>
      </vt:variant>
      <vt:variant>
        <vt:i4>2949228</vt:i4>
      </vt:variant>
      <vt:variant>
        <vt:i4>96</vt:i4>
      </vt:variant>
      <vt:variant>
        <vt:i4>0</vt:i4>
      </vt:variant>
      <vt:variant>
        <vt:i4>5</vt:i4>
      </vt:variant>
      <vt:variant>
        <vt:lpwstr>http://www.oas.org/es/sla/dlc/mesicic/docs/mesicic6_slv_a69.pdf</vt:lpwstr>
      </vt:variant>
      <vt:variant>
        <vt:lpwstr/>
      </vt:variant>
      <vt:variant>
        <vt:i4>2949228</vt:i4>
      </vt:variant>
      <vt:variant>
        <vt:i4>93</vt:i4>
      </vt:variant>
      <vt:variant>
        <vt:i4>0</vt:i4>
      </vt:variant>
      <vt:variant>
        <vt:i4>5</vt:i4>
      </vt:variant>
      <vt:variant>
        <vt:lpwstr>http://www.oas.org/es/sla/dlc/mesicic/docs/mesicic6_slv_a69.pdf</vt:lpwstr>
      </vt:variant>
      <vt:variant>
        <vt:lpwstr/>
      </vt:variant>
      <vt:variant>
        <vt:i4>2555975</vt:i4>
      </vt:variant>
      <vt:variant>
        <vt:i4>90</vt:i4>
      </vt:variant>
      <vt:variant>
        <vt:i4>0</vt:i4>
      </vt:variant>
      <vt:variant>
        <vt:i4>5</vt:i4>
      </vt:variant>
      <vt:variant>
        <vt:lpwstr>http://www.oas.org/es/sla/dlc/mesicic/docs/mesicic6_slv_res_cuest.pdf</vt:lpwstr>
      </vt:variant>
      <vt:variant>
        <vt:lpwstr/>
      </vt:variant>
      <vt:variant>
        <vt:i4>4522076</vt:i4>
      </vt:variant>
      <vt:variant>
        <vt:i4>87</vt:i4>
      </vt:variant>
      <vt:variant>
        <vt:i4>0</vt:i4>
      </vt:variant>
      <vt:variant>
        <vt:i4>5</vt:i4>
      </vt:variant>
      <vt:variant>
        <vt:lpwstr>http://www.oas.org/es/sla/dlc/mesicic/docs/mesicic6_slv_a133.pdf</vt:lpwstr>
      </vt:variant>
      <vt:variant>
        <vt:lpwstr/>
      </vt:variant>
      <vt:variant>
        <vt:i4>4325468</vt:i4>
      </vt:variant>
      <vt:variant>
        <vt:i4>84</vt:i4>
      </vt:variant>
      <vt:variant>
        <vt:i4>0</vt:i4>
      </vt:variant>
      <vt:variant>
        <vt:i4>5</vt:i4>
      </vt:variant>
      <vt:variant>
        <vt:lpwstr>http://www.oas.org/es/sla/dlc/mesicic/docs/mesicic6_slv_a134.pdf</vt:lpwstr>
      </vt:variant>
      <vt:variant>
        <vt:lpwstr/>
      </vt:variant>
      <vt:variant>
        <vt:i4>4391004</vt:i4>
      </vt:variant>
      <vt:variant>
        <vt:i4>81</vt:i4>
      </vt:variant>
      <vt:variant>
        <vt:i4>0</vt:i4>
      </vt:variant>
      <vt:variant>
        <vt:i4>5</vt:i4>
      </vt:variant>
      <vt:variant>
        <vt:lpwstr>http://www.oas.org/es/sla/dlc/mesicic/docs/mesicic6_slv_a135.pdf</vt:lpwstr>
      </vt:variant>
      <vt:variant>
        <vt:lpwstr/>
      </vt:variant>
      <vt:variant>
        <vt:i4>4587610</vt:i4>
      </vt:variant>
      <vt:variant>
        <vt:i4>78</vt:i4>
      </vt:variant>
      <vt:variant>
        <vt:i4>0</vt:i4>
      </vt:variant>
      <vt:variant>
        <vt:i4>5</vt:i4>
      </vt:variant>
      <vt:variant>
        <vt:lpwstr>http://www.oas.org/es/sla/dlc/mesicic/docs/mesicic6_slv_a150.pdf</vt:lpwstr>
      </vt:variant>
      <vt:variant>
        <vt:lpwstr/>
      </vt:variant>
      <vt:variant>
        <vt:i4>4259931</vt:i4>
      </vt:variant>
      <vt:variant>
        <vt:i4>75</vt:i4>
      </vt:variant>
      <vt:variant>
        <vt:i4>0</vt:i4>
      </vt:variant>
      <vt:variant>
        <vt:i4>5</vt:i4>
      </vt:variant>
      <vt:variant>
        <vt:lpwstr>http://www.oas.org/es/sla/dlc/mesicic/docs/mesicic6_slv_a147.pdf</vt:lpwstr>
      </vt:variant>
      <vt:variant>
        <vt:lpwstr/>
      </vt:variant>
      <vt:variant>
        <vt:i4>2555975</vt:i4>
      </vt:variant>
      <vt:variant>
        <vt:i4>72</vt:i4>
      </vt:variant>
      <vt:variant>
        <vt:i4>0</vt:i4>
      </vt:variant>
      <vt:variant>
        <vt:i4>5</vt:i4>
      </vt:variant>
      <vt:variant>
        <vt:lpwstr>http://www.oas.org/es/sla/dlc/mesicic/docs/mesicic6_slv_res_cuest.pdf</vt:lpwstr>
      </vt:variant>
      <vt:variant>
        <vt:lpwstr/>
      </vt:variant>
      <vt:variant>
        <vt:i4>4522075</vt:i4>
      </vt:variant>
      <vt:variant>
        <vt:i4>69</vt:i4>
      </vt:variant>
      <vt:variant>
        <vt:i4>0</vt:i4>
      </vt:variant>
      <vt:variant>
        <vt:i4>5</vt:i4>
      </vt:variant>
      <vt:variant>
        <vt:lpwstr>http://www.oas.org/es/sla/dlc/mesicic/docs/mesicic6_slv_a143.pdf</vt:lpwstr>
      </vt:variant>
      <vt:variant>
        <vt:lpwstr/>
      </vt:variant>
      <vt:variant>
        <vt:i4>4325467</vt:i4>
      </vt:variant>
      <vt:variant>
        <vt:i4>66</vt:i4>
      </vt:variant>
      <vt:variant>
        <vt:i4>0</vt:i4>
      </vt:variant>
      <vt:variant>
        <vt:i4>5</vt:i4>
      </vt:variant>
      <vt:variant>
        <vt:lpwstr>http://www.oas.org/es/sla/dlc/mesicic/docs/mesicic6_slv_a144.pdf</vt:lpwstr>
      </vt:variant>
      <vt:variant>
        <vt:lpwstr/>
      </vt:variant>
      <vt:variant>
        <vt:i4>4653147</vt:i4>
      </vt:variant>
      <vt:variant>
        <vt:i4>63</vt:i4>
      </vt:variant>
      <vt:variant>
        <vt:i4>0</vt:i4>
      </vt:variant>
      <vt:variant>
        <vt:i4>5</vt:i4>
      </vt:variant>
      <vt:variant>
        <vt:lpwstr>http://www.oas.org/es/sla/dlc/mesicic/docs/mesicic6_slv_a141.pdf</vt:lpwstr>
      </vt:variant>
      <vt:variant>
        <vt:lpwstr/>
      </vt:variant>
      <vt:variant>
        <vt:i4>4587611</vt:i4>
      </vt:variant>
      <vt:variant>
        <vt:i4>60</vt:i4>
      </vt:variant>
      <vt:variant>
        <vt:i4>0</vt:i4>
      </vt:variant>
      <vt:variant>
        <vt:i4>5</vt:i4>
      </vt:variant>
      <vt:variant>
        <vt:lpwstr>http://www.oas.org/es/sla/dlc/mesicic/docs/mesicic6_slv_a140.pdf</vt:lpwstr>
      </vt:variant>
      <vt:variant>
        <vt:lpwstr/>
      </vt:variant>
      <vt:variant>
        <vt:i4>4456539</vt:i4>
      </vt:variant>
      <vt:variant>
        <vt:i4>57</vt:i4>
      </vt:variant>
      <vt:variant>
        <vt:i4>0</vt:i4>
      </vt:variant>
      <vt:variant>
        <vt:i4>5</vt:i4>
      </vt:variant>
      <vt:variant>
        <vt:lpwstr>http://www.oas.org/es/sla/dlc/mesicic/docs/mesicic6_slv_a142.pdf</vt:lpwstr>
      </vt:variant>
      <vt:variant>
        <vt:lpwstr/>
      </vt:variant>
      <vt:variant>
        <vt:i4>2555975</vt:i4>
      </vt:variant>
      <vt:variant>
        <vt:i4>54</vt:i4>
      </vt:variant>
      <vt:variant>
        <vt:i4>0</vt:i4>
      </vt:variant>
      <vt:variant>
        <vt:i4>5</vt:i4>
      </vt:variant>
      <vt:variant>
        <vt:lpwstr>http://www.oas.org/es/sla/dlc/mesicic/docs/mesicic6_slv_res_cuest.pdf</vt:lpwstr>
      </vt:variant>
      <vt:variant>
        <vt:lpwstr/>
      </vt:variant>
      <vt:variant>
        <vt:i4>4325425</vt:i4>
      </vt:variant>
      <vt:variant>
        <vt:i4>51</vt:i4>
      </vt:variant>
      <vt:variant>
        <vt:i4>0</vt:i4>
      </vt:variant>
      <vt:variant>
        <vt:i4>5</vt:i4>
      </vt:variant>
      <vt:variant>
        <vt:lpwstr>http://www.oas.org/es/sla/dlc/mesicic/docs/mesicic6_slv_soc_civ.pdf</vt:lpwstr>
      </vt:variant>
      <vt:variant>
        <vt:lpwstr/>
      </vt:variant>
      <vt:variant>
        <vt:i4>4194395</vt:i4>
      </vt:variant>
      <vt:variant>
        <vt:i4>48</vt:i4>
      </vt:variant>
      <vt:variant>
        <vt:i4>0</vt:i4>
      </vt:variant>
      <vt:variant>
        <vt:i4>5</vt:i4>
      </vt:variant>
      <vt:variant>
        <vt:lpwstr>http://www.oas.org/es/sla/dlc/mesicic/docs/mesicic6_slv_a146.pdf</vt:lpwstr>
      </vt:variant>
      <vt:variant>
        <vt:lpwstr/>
      </vt:variant>
      <vt:variant>
        <vt:i4>2555975</vt:i4>
      </vt:variant>
      <vt:variant>
        <vt:i4>45</vt:i4>
      </vt:variant>
      <vt:variant>
        <vt:i4>0</vt:i4>
      </vt:variant>
      <vt:variant>
        <vt:i4>5</vt:i4>
      </vt:variant>
      <vt:variant>
        <vt:lpwstr>http://www.oas.org/es/sla/dlc/mesicic/docs/mesicic6_slv_res_cuest.pdf</vt:lpwstr>
      </vt:variant>
      <vt:variant>
        <vt:lpwstr/>
      </vt:variant>
      <vt:variant>
        <vt:i4>4325425</vt:i4>
      </vt:variant>
      <vt:variant>
        <vt:i4>42</vt:i4>
      </vt:variant>
      <vt:variant>
        <vt:i4>0</vt:i4>
      </vt:variant>
      <vt:variant>
        <vt:i4>5</vt:i4>
      </vt:variant>
      <vt:variant>
        <vt:lpwstr>http://www.oas.org/es/sla/dlc/mesicic/docs/mesicic6_slv_soc_civ.pdf</vt:lpwstr>
      </vt:variant>
      <vt:variant>
        <vt:lpwstr/>
      </vt:variant>
      <vt:variant>
        <vt:i4>2555975</vt:i4>
      </vt:variant>
      <vt:variant>
        <vt:i4>39</vt:i4>
      </vt:variant>
      <vt:variant>
        <vt:i4>0</vt:i4>
      </vt:variant>
      <vt:variant>
        <vt:i4>5</vt:i4>
      </vt:variant>
      <vt:variant>
        <vt:lpwstr>http://www.oas.org/es/sla/dlc/mesicic/docs/mesicic6_slv_res_cuest.pdf</vt:lpwstr>
      </vt:variant>
      <vt:variant>
        <vt:lpwstr/>
      </vt:variant>
      <vt:variant>
        <vt:i4>4325425</vt:i4>
      </vt:variant>
      <vt:variant>
        <vt:i4>36</vt:i4>
      </vt:variant>
      <vt:variant>
        <vt:i4>0</vt:i4>
      </vt:variant>
      <vt:variant>
        <vt:i4>5</vt:i4>
      </vt:variant>
      <vt:variant>
        <vt:lpwstr>http://www.oas.org/es/sla/dlc/mesicic/docs/mesicic6_slv_soc_civ.pdf</vt:lpwstr>
      </vt:variant>
      <vt:variant>
        <vt:lpwstr/>
      </vt:variant>
      <vt:variant>
        <vt:i4>2555975</vt:i4>
      </vt:variant>
      <vt:variant>
        <vt:i4>33</vt:i4>
      </vt:variant>
      <vt:variant>
        <vt:i4>0</vt:i4>
      </vt:variant>
      <vt:variant>
        <vt:i4>5</vt:i4>
      </vt:variant>
      <vt:variant>
        <vt:lpwstr>http://www.oas.org/es/sla/dlc/mesicic/docs/mesicic6_slv_res_cuest.pdf</vt:lpwstr>
      </vt:variant>
      <vt:variant>
        <vt:lpwstr/>
      </vt:variant>
      <vt:variant>
        <vt:i4>4915217</vt:i4>
      </vt:variant>
      <vt:variant>
        <vt:i4>30</vt:i4>
      </vt:variant>
      <vt:variant>
        <vt:i4>0</vt:i4>
      </vt:variant>
      <vt:variant>
        <vt:i4>5</vt:i4>
      </vt:variant>
      <vt:variant>
        <vt:lpwstr>https://www.oas.org/en/sla/dlc/mesicic/docs/mesicic6_metodologia_ing.pdf</vt:lpwstr>
      </vt:variant>
      <vt:variant>
        <vt:lpwstr/>
      </vt:variant>
      <vt:variant>
        <vt:i4>5636143</vt:i4>
      </vt:variant>
      <vt:variant>
        <vt:i4>27</vt:i4>
      </vt:variant>
      <vt:variant>
        <vt:i4>0</vt:i4>
      </vt:variant>
      <vt:variant>
        <vt:i4>5</vt:i4>
      </vt:variant>
      <vt:variant>
        <vt:lpwstr>http://www.oas.org/juridico/spanish/mesicic_III_inf_slv.pdf</vt:lpwstr>
      </vt:variant>
      <vt:variant>
        <vt:lpwstr/>
      </vt:variant>
      <vt:variant>
        <vt:i4>4390976</vt:i4>
      </vt:variant>
      <vt:variant>
        <vt:i4>24</vt:i4>
      </vt:variant>
      <vt:variant>
        <vt:i4>0</vt:i4>
      </vt:variant>
      <vt:variant>
        <vt:i4>5</vt:i4>
      </vt:variant>
      <vt:variant>
        <vt:lpwstr>http://www.oas.org/es/sla/dlc/mesicic/paises-rondas.html?c=El%20Salvador&amp;r=6</vt:lpwstr>
      </vt:variant>
      <vt:variant>
        <vt:lpwstr/>
      </vt:variant>
      <vt:variant>
        <vt:i4>2031712</vt:i4>
      </vt:variant>
      <vt:variant>
        <vt:i4>21</vt:i4>
      </vt:variant>
      <vt:variant>
        <vt:i4>0</vt:i4>
      </vt:variant>
      <vt:variant>
        <vt:i4>5</vt:i4>
      </vt:variant>
      <vt:variant>
        <vt:lpwstr>http://www.oas.org/juridico/english/met_onsite.pdf</vt:lpwstr>
      </vt:variant>
      <vt:variant>
        <vt:lpwstr/>
      </vt:variant>
      <vt:variant>
        <vt:i4>4915217</vt:i4>
      </vt:variant>
      <vt:variant>
        <vt:i4>18</vt:i4>
      </vt:variant>
      <vt:variant>
        <vt:i4>0</vt:i4>
      </vt:variant>
      <vt:variant>
        <vt:i4>5</vt:i4>
      </vt:variant>
      <vt:variant>
        <vt:lpwstr>https://www.oas.org/en/sla/dlc/mesicic/docs/mesicic6_metodologia_ing.pdf</vt:lpwstr>
      </vt:variant>
      <vt:variant>
        <vt:lpwstr/>
      </vt:variant>
      <vt:variant>
        <vt:i4>3211352</vt:i4>
      </vt:variant>
      <vt:variant>
        <vt:i4>15</vt:i4>
      </vt:variant>
      <vt:variant>
        <vt:i4>0</vt:i4>
      </vt:variant>
      <vt:variant>
        <vt:i4>5</vt:i4>
      </vt:variant>
      <vt:variant>
        <vt:lpwstr>http://www.oas.org/juridico/english/mesicic_rules.pdf</vt:lpwstr>
      </vt:variant>
      <vt:variant>
        <vt:lpwstr/>
      </vt:variant>
      <vt:variant>
        <vt:i4>2031712</vt:i4>
      </vt:variant>
      <vt:variant>
        <vt:i4>12</vt:i4>
      </vt:variant>
      <vt:variant>
        <vt:i4>0</vt:i4>
      </vt:variant>
      <vt:variant>
        <vt:i4>5</vt:i4>
      </vt:variant>
      <vt:variant>
        <vt:lpwstr>http://www.oas.org/juridico/english/met_onsite.pdf</vt:lpwstr>
      </vt:variant>
      <vt:variant>
        <vt:lpwstr/>
      </vt:variant>
      <vt:variant>
        <vt:i4>4391005</vt:i4>
      </vt:variant>
      <vt:variant>
        <vt:i4>9</vt:i4>
      </vt:variant>
      <vt:variant>
        <vt:i4>0</vt:i4>
      </vt:variant>
      <vt:variant>
        <vt:i4>5</vt:i4>
      </vt:variant>
      <vt:variant>
        <vt:lpwstr>http://www.oas.org/en/sla/dlc/mesicic/paises-rondas.html?c=El%20Salvador&amp;r=6</vt:lpwstr>
      </vt:variant>
      <vt:variant>
        <vt:lpwstr/>
      </vt:variant>
      <vt:variant>
        <vt:i4>983101</vt:i4>
      </vt:variant>
      <vt:variant>
        <vt:i4>6</vt:i4>
      </vt:variant>
      <vt:variant>
        <vt:i4>0</vt:i4>
      </vt:variant>
      <vt:variant>
        <vt:i4>5</vt:i4>
      </vt:variant>
      <vt:variant>
        <vt:lpwstr>http://www.oas.org/en/sla/dil/docs/inter_american_treaties_B-58_against_Corruption.pdf</vt:lpwstr>
      </vt:variant>
      <vt:variant>
        <vt:lpwstr/>
      </vt:variant>
      <vt:variant>
        <vt:i4>4259890</vt:i4>
      </vt:variant>
      <vt:variant>
        <vt:i4>3</vt:i4>
      </vt:variant>
      <vt:variant>
        <vt:i4>0</vt:i4>
      </vt:variant>
      <vt:variant>
        <vt:i4>5</vt:i4>
      </vt:variant>
      <vt:variant>
        <vt:lpwstr>http://www.oas.org/juridico/english/mesicic_III_rep_slv.pdf</vt:lpwstr>
      </vt:variant>
      <vt:variant>
        <vt:lpwstr/>
      </vt:variant>
      <vt:variant>
        <vt:i4>8257660</vt:i4>
      </vt:variant>
      <vt:variant>
        <vt:i4>0</vt:i4>
      </vt:variant>
      <vt:variant>
        <vt:i4>0</vt:i4>
      </vt:variant>
      <vt:variant>
        <vt:i4>5</vt:i4>
      </vt:variant>
      <vt:variant>
        <vt:lpwstr>http://www.oas.org/en/sla/dlc/mesicic/docs/34reunion_acta_ing.pdf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 McKenzie</dc:creator>
  <cp:keywords/>
  <dc:description/>
  <cp:lastModifiedBy>Silva, Rodrigo</cp:lastModifiedBy>
  <cp:revision>2</cp:revision>
  <cp:lastPrinted>2023-06-25T06:15:00Z</cp:lastPrinted>
  <dcterms:created xsi:type="dcterms:W3CDTF">2024-03-14T03:12:00Z</dcterms:created>
  <dcterms:modified xsi:type="dcterms:W3CDTF">2024-03-14T03:12:00Z</dcterms:modified>
</cp:coreProperties>
</file>