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730ED" w:rsidRDefault="00D306D1" w:rsidP="00627C9F">
      <w:pPr>
        <w:jc w:val="both"/>
        <w:rPr>
          <w:rFonts w:asciiTheme="majorHAnsi" w:hAnsiTheme="majorHAnsi" w:cs="Univers"/>
          <w:b/>
          <w:bCs/>
          <w:sz w:val="22"/>
          <w:szCs w:val="22"/>
          <w:lang w:val="pt-BR"/>
        </w:rPr>
      </w:pPr>
      <w:bookmarkStart w:id="0" w:name="_GoBack"/>
      <w:bookmarkEnd w:id="0"/>
      <w:r w:rsidRPr="009730E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2B63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9730E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730ED"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9730ED"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9730ED" w:rsidRDefault="005128E4" w:rsidP="00040C3A">
      <w:pPr>
        <w:tabs>
          <w:tab w:val="center" w:pos="5400"/>
        </w:tabs>
        <w:suppressAutoHyphens/>
        <w:rPr>
          <w:rFonts w:asciiTheme="majorHAnsi" w:hAnsiTheme="majorHAnsi"/>
          <w:sz w:val="22"/>
          <w:szCs w:val="22"/>
          <w:lang w:val="pt-BR"/>
        </w:rPr>
      </w:pPr>
    </w:p>
    <w:p w14:paraId="12A36B24" w14:textId="77777777" w:rsidR="005128E4" w:rsidRPr="009730ED" w:rsidRDefault="005128E4" w:rsidP="00040C3A">
      <w:pPr>
        <w:tabs>
          <w:tab w:val="center" w:pos="5400"/>
        </w:tabs>
        <w:suppressAutoHyphens/>
        <w:rPr>
          <w:rFonts w:asciiTheme="majorHAnsi" w:hAnsiTheme="majorHAnsi"/>
          <w:sz w:val="22"/>
          <w:szCs w:val="22"/>
          <w:lang w:val="pt-BR"/>
        </w:rPr>
      </w:pPr>
    </w:p>
    <w:p w14:paraId="2252093D" w14:textId="77777777" w:rsidR="005128E4" w:rsidRPr="009730ED" w:rsidRDefault="005128E4" w:rsidP="00040C3A">
      <w:pPr>
        <w:tabs>
          <w:tab w:val="center" w:pos="5400"/>
        </w:tabs>
        <w:suppressAutoHyphens/>
        <w:rPr>
          <w:rFonts w:asciiTheme="majorHAnsi" w:hAnsiTheme="majorHAnsi"/>
          <w:sz w:val="22"/>
          <w:szCs w:val="22"/>
          <w:lang w:val="pt-BR"/>
        </w:rPr>
      </w:pPr>
    </w:p>
    <w:p w14:paraId="403935BD" w14:textId="77777777" w:rsidR="00040C3A" w:rsidRPr="009730ED"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9730ED"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9730ED"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9730ED"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9730ED"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9730ED" w:rsidRDefault="003D3BC2" w:rsidP="00040C3A">
      <w:pPr>
        <w:tabs>
          <w:tab w:val="center" w:pos="5400"/>
        </w:tabs>
        <w:suppressAutoHyphens/>
        <w:jc w:val="center"/>
        <w:rPr>
          <w:rFonts w:asciiTheme="majorHAnsi" w:hAnsiTheme="majorHAnsi"/>
          <w:sz w:val="22"/>
          <w:szCs w:val="22"/>
          <w:lang w:val="pt-BR"/>
        </w:rPr>
      </w:pPr>
      <w:r w:rsidRPr="009730E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B663135"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F42DE">
                              <w:rPr>
                                <w:rFonts w:asciiTheme="majorHAnsi" w:hAnsiTheme="majorHAnsi" w:cs="Arial"/>
                                <w:b/>
                                <w:bCs/>
                                <w:color w:val="0D0D0D" w:themeColor="text1" w:themeTint="F2"/>
                                <w:sz w:val="36"/>
                                <w:szCs w:val="22"/>
                                <w:lang w:val="pt-BR"/>
                              </w:rPr>
                              <w:t>128</w:t>
                            </w:r>
                            <w:r w:rsidR="007B05C4" w:rsidRPr="007665A8">
                              <w:rPr>
                                <w:rFonts w:asciiTheme="majorHAnsi" w:hAnsiTheme="majorHAnsi" w:cs="Arial"/>
                                <w:b/>
                                <w:bCs/>
                                <w:color w:val="0D0D0D" w:themeColor="text1" w:themeTint="F2"/>
                                <w:sz w:val="36"/>
                                <w:szCs w:val="22"/>
                                <w:lang w:val="pt-BR"/>
                              </w:rPr>
                              <w:t>/1</w:t>
                            </w:r>
                            <w:r w:rsidR="00476CE5">
                              <w:rPr>
                                <w:rFonts w:asciiTheme="majorHAnsi" w:hAnsiTheme="majorHAnsi" w:cs="Arial"/>
                                <w:b/>
                                <w:bCs/>
                                <w:color w:val="0D0D0D" w:themeColor="text1" w:themeTint="F2"/>
                                <w:sz w:val="36"/>
                                <w:szCs w:val="22"/>
                                <w:lang w:val="pt-BR"/>
                              </w:rPr>
                              <w:t>9</w:t>
                            </w:r>
                          </w:p>
                          <w:p w14:paraId="09C54AB3" w14:textId="69EE5D47"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CA7C3E">
                              <w:rPr>
                                <w:rFonts w:asciiTheme="majorHAnsi" w:hAnsiTheme="majorHAnsi" w:cs="Arial"/>
                                <w:b/>
                                <w:color w:val="0D0D0D" w:themeColor="text1" w:themeTint="F2"/>
                                <w:sz w:val="36"/>
                                <w:szCs w:val="22"/>
                                <w:lang w:val="pt-BR"/>
                              </w:rPr>
                              <w:t>1174-09</w:t>
                            </w:r>
                            <w:r w:rsidR="00246D1F" w:rsidRPr="00DA2224">
                              <w:rPr>
                                <w:rFonts w:asciiTheme="majorHAnsi" w:hAnsiTheme="majorHAnsi" w:cs="Arial"/>
                                <w:b/>
                                <w:color w:val="0D0D0D" w:themeColor="text1" w:themeTint="F2"/>
                                <w:sz w:val="36"/>
                                <w:szCs w:val="22"/>
                                <w:lang w:val="pt-BR"/>
                              </w:rPr>
                              <w:t xml:space="preserve"> </w:t>
                            </w:r>
                          </w:p>
                          <w:p w14:paraId="70CF6833" w14:textId="5D01FC17"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61518F0C" w:rsidR="005B52B0" w:rsidRPr="007665A8" w:rsidRDefault="007268D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JOSÉ RAFAEL BREZER</w:t>
                            </w:r>
                            <w:r w:rsidR="00835C8E">
                              <w:rPr>
                                <w:rFonts w:asciiTheme="majorHAnsi" w:hAnsiTheme="majorHAnsi" w:cs="Arial"/>
                                <w:color w:val="0D0D0D" w:themeColor="text1" w:themeTint="F2"/>
                                <w:szCs w:val="22"/>
                                <w:lang w:val="pt-BR"/>
                              </w:rPr>
                              <w:t xml:space="preserve"> E OUTROS</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B663135"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5F42DE">
                        <w:rPr>
                          <w:rFonts w:asciiTheme="majorHAnsi" w:hAnsiTheme="majorHAnsi" w:cs="Arial"/>
                          <w:b/>
                          <w:bCs/>
                          <w:color w:val="0D0D0D" w:themeColor="text1" w:themeTint="F2"/>
                          <w:sz w:val="36"/>
                          <w:szCs w:val="22"/>
                          <w:lang w:val="pt-BR"/>
                        </w:rPr>
                        <w:t>128</w:t>
                      </w:r>
                      <w:r w:rsidR="007B05C4" w:rsidRPr="007665A8">
                        <w:rPr>
                          <w:rFonts w:asciiTheme="majorHAnsi" w:hAnsiTheme="majorHAnsi" w:cs="Arial"/>
                          <w:b/>
                          <w:bCs/>
                          <w:color w:val="0D0D0D" w:themeColor="text1" w:themeTint="F2"/>
                          <w:sz w:val="36"/>
                          <w:szCs w:val="22"/>
                          <w:lang w:val="pt-BR"/>
                        </w:rPr>
                        <w:t>/1</w:t>
                      </w:r>
                      <w:r w:rsidR="00476CE5">
                        <w:rPr>
                          <w:rFonts w:asciiTheme="majorHAnsi" w:hAnsiTheme="majorHAnsi" w:cs="Arial"/>
                          <w:b/>
                          <w:bCs/>
                          <w:color w:val="0D0D0D" w:themeColor="text1" w:themeTint="F2"/>
                          <w:sz w:val="36"/>
                          <w:szCs w:val="22"/>
                          <w:lang w:val="pt-BR"/>
                        </w:rPr>
                        <w:t>9</w:t>
                      </w:r>
                    </w:p>
                    <w:p w14:paraId="09C54AB3" w14:textId="69EE5D47"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CA7C3E">
                        <w:rPr>
                          <w:rFonts w:asciiTheme="majorHAnsi" w:hAnsiTheme="majorHAnsi" w:cs="Arial"/>
                          <w:b/>
                          <w:color w:val="0D0D0D" w:themeColor="text1" w:themeTint="F2"/>
                          <w:sz w:val="36"/>
                          <w:szCs w:val="22"/>
                          <w:lang w:val="pt-BR"/>
                        </w:rPr>
                        <w:t>1174-09</w:t>
                      </w:r>
                      <w:r w:rsidR="00246D1F" w:rsidRPr="00DA2224">
                        <w:rPr>
                          <w:rFonts w:asciiTheme="majorHAnsi" w:hAnsiTheme="majorHAnsi" w:cs="Arial"/>
                          <w:b/>
                          <w:color w:val="0D0D0D" w:themeColor="text1" w:themeTint="F2"/>
                          <w:sz w:val="36"/>
                          <w:szCs w:val="22"/>
                          <w:lang w:val="pt-BR"/>
                        </w:rPr>
                        <w:t xml:space="preserve"> </w:t>
                      </w:r>
                    </w:p>
                    <w:p w14:paraId="70CF6833" w14:textId="5D01FC17"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2" w:name="_ftnref1"/>
                    </w:p>
                    <w:p w14:paraId="4CFA2FBF" w14:textId="61518F0C" w:rsidR="005B52B0" w:rsidRPr="007665A8" w:rsidRDefault="007268D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JOSÉ RAFAEL BREZER</w:t>
                      </w:r>
                      <w:r w:rsidR="00835C8E">
                        <w:rPr>
                          <w:rFonts w:asciiTheme="majorHAnsi" w:hAnsiTheme="majorHAnsi" w:cs="Arial"/>
                          <w:color w:val="0D0D0D" w:themeColor="text1" w:themeTint="F2"/>
                          <w:szCs w:val="22"/>
                          <w:lang w:val="pt-BR"/>
                        </w:rPr>
                        <w:t xml:space="preserve"> E OUTROS</w:t>
                      </w:r>
                    </w:p>
                    <w:bookmarkEnd w:id="2"/>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9730E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49E6DB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22F6126F" w:rsidR="00627C9F" w:rsidRPr="00A75CC3" w:rsidRDefault="005F42DE" w:rsidP="007A5817">
                            <w:pPr>
                              <w:spacing w:line="276" w:lineRule="auto"/>
                              <w:jc w:val="right"/>
                              <w:rPr>
                                <w:rFonts w:asciiTheme="minorHAnsi" w:hAnsiTheme="minorHAnsi"/>
                                <w:sz w:val="22"/>
                                <w:lang w:val="pt-BR"/>
                              </w:rPr>
                            </w:pPr>
                            <w:r>
                              <w:rPr>
                                <w:rFonts w:asciiTheme="minorHAnsi" w:hAnsiTheme="minorHAnsi"/>
                                <w:sz w:val="22"/>
                                <w:lang w:val="pt-BR"/>
                              </w:rPr>
                              <w:t>Doc. 137</w:t>
                            </w:r>
                          </w:p>
                          <w:p w14:paraId="69373ED2" w14:textId="54899DC7" w:rsidR="00627C9F" w:rsidRPr="009C5B89" w:rsidRDefault="005F42DE" w:rsidP="007A5817">
                            <w:pPr>
                              <w:spacing w:line="276" w:lineRule="auto"/>
                              <w:jc w:val="right"/>
                              <w:rPr>
                                <w:rFonts w:asciiTheme="minorHAnsi" w:hAnsiTheme="minorHAnsi"/>
                                <w:sz w:val="22"/>
                                <w:lang w:val="pt-BR"/>
                              </w:rPr>
                            </w:pPr>
                            <w:r>
                              <w:rPr>
                                <w:rFonts w:asciiTheme="minorHAnsi" w:hAnsiTheme="minorHAnsi"/>
                                <w:sz w:val="22"/>
                                <w:lang w:val="pt-BR"/>
                              </w:rPr>
                              <w:t>16 agosto</w:t>
                            </w:r>
                            <w:r w:rsidR="00476CE5">
                              <w:rPr>
                                <w:rFonts w:asciiTheme="minorHAnsi" w:hAnsiTheme="minorHAnsi"/>
                                <w:sz w:val="22"/>
                                <w:lang w:val="pt-BR"/>
                              </w:rPr>
                              <w:t xml:space="preserve"> 2019</w:t>
                            </w:r>
                          </w:p>
                          <w:p w14:paraId="0771DB5B" w14:textId="40CA6718" w:rsidR="00627C9F" w:rsidRPr="009C5B89" w:rsidRDefault="00E0340B" w:rsidP="007A5817">
                            <w:pPr>
                              <w:spacing w:line="276" w:lineRule="auto"/>
                              <w:jc w:val="right"/>
                              <w:rPr>
                                <w:rFonts w:asciiTheme="minorHAnsi" w:hAnsiTheme="minorHAnsi"/>
                                <w:sz w:val="22"/>
                                <w:lang w:val="pt-BR"/>
                              </w:rPr>
                            </w:pPr>
                            <w:r w:rsidRPr="009C5B89">
                              <w:rPr>
                                <w:rFonts w:asciiTheme="minorHAnsi" w:hAnsiTheme="minorHAnsi"/>
                                <w:sz w:val="22"/>
                                <w:lang w:val="pt-BR"/>
                              </w:rPr>
                              <w:t xml:space="preserve">Original: </w:t>
                            </w:r>
                            <w:r w:rsidR="00DA2224" w:rsidRPr="009C5B89">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49E6DB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22F6126F" w:rsidR="00627C9F" w:rsidRPr="00A75CC3" w:rsidRDefault="005F42DE" w:rsidP="007A5817">
                      <w:pPr>
                        <w:spacing w:line="276" w:lineRule="auto"/>
                        <w:jc w:val="right"/>
                        <w:rPr>
                          <w:rFonts w:asciiTheme="minorHAnsi" w:hAnsiTheme="minorHAnsi"/>
                          <w:sz w:val="22"/>
                          <w:lang w:val="pt-BR"/>
                        </w:rPr>
                      </w:pPr>
                      <w:r>
                        <w:rPr>
                          <w:rFonts w:asciiTheme="minorHAnsi" w:hAnsiTheme="minorHAnsi"/>
                          <w:sz w:val="22"/>
                          <w:lang w:val="pt-BR"/>
                        </w:rPr>
                        <w:t>Doc. 137</w:t>
                      </w:r>
                    </w:p>
                    <w:p w14:paraId="69373ED2" w14:textId="54899DC7" w:rsidR="00627C9F" w:rsidRPr="009C5B89" w:rsidRDefault="005F42DE" w:rsidP="007A5817">
                      <w:pPr>
                        <w:spacing w:line="276" w:lineRule="auto"/>
                        <w:jc w:val="right"/>
                        <w:rPr>
                          <w:rFonts w:asciiTheme="minorHAnsi" w:hAnsiTheme="minorHAnsi"/>
                          <w:sz w:val="22"/>
                          <w:lang w:val="pt-BR"/>
                        </w:rPr>
                      </w:pPr>
                      <w:r>
                        <w:rPr>
                          <w:rFonts w:asciiTheme="minorHAnsi" w:hAnsiTheme="minorHAnsi"/>
                          <w:sz w:val="22"/>
                          <w:lang w:val="pt-BR"/>
                        </w:rPr>
                        <w:t>16 agosto</w:t>
                      </w:r>
                      <w:r w:rsidR="00476CE5">
                        <w:rPr>
                          <w:rFonts w:asciiTheme="minorHAnsi" w:hAnsiTheme="minorHAnsi"/>
                          <w:sz w:val="22"/>
                          <w:lang w:val="pt-BR"/>
                        </w:rPr>
                        <w:t xml:space="preserve"> 2019</w:t>
                      </w:r>
                    </w:p>
                    <w:p w14:paraId="0771DB5B" w14:textId="40CA6718" w:rsidR="00627C9F" w:rsidRPr="009C5B89" w:rsidRDefault="00E0340B" w:rsidP="007A5817">
                      <w:pPr>
                        <w:spacing w:line="276" w:lineRule="auto"/>
                        <w:jc w:val="right"/>
                        <w:rPr>
                          <w:rFonts w:asciiTheme="minorHAnsi" w:hAnsiTheme="minorHAnsi"/>
                          <w:sz w:val="22"/>
                          <w:lang w:val="pt-BR"/>
                        </w:rPr>
                      </w:pPr>
                      <w:r w:rsidRPr="009C5B89">
                        <w:rPr>
                          <w:rFonts w:asciiTheme="minorHAnsi" w:hAnsiTheme="minorHAnsi"/>
                          <w:sz w:val="22"/>
                          <w:lang w:val="pt-BR"/>
                        </w:rPr>
                        <w:t xml:space="preserve">Original: </w:t>
                      </w:r>
                      <w:r w:rsidR="00DA2224" w:rsidRPr="009C5B89">
                        <w:rPr>
                          <w:rFonts w:asciiTheme="minorHAnsi" w:hAnsiTheme="minorHAnsi"/>
                          <w:sz w:val="22"/>
                          <w:lang w:val="pt-BR"/>
                        </w:rPr>
                        <w:t>português</w:t>
                      </w:r>
                    </w:p>
                  </w:txbxContent>
                </v:textbox>
              </v:shape>
            </w:pict>
          </mc:Fallback>
        </mc:AlternateContent>
      </w:r>
    </w:p>
    <w:p w14:paraId="155B0536"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9730ED"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9730ED"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9730ED"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9730ED"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9730ED"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9730ED"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9730ED" w:rsidRDefault="0090270B" w:rsidP="00040C3A">
      <w:pPr>
        <w:tabs>
          <w:tab w:val="center" w:pos="5400"/>
        </w:tabs>
        <w:suppressAutoHyphens/>
        <w:jc w:val="center"/>
        <w:rPr>
          <w:rFonts w:asciiTheme="majorHAnsi" w:hAnsiTheme="majorHAnsi"/>
          <w:sz w:val="18"/>
          <w:szCs w:val="22"/>
          <w:lang w:val="pt-BR"/>
        </w:rPr>
      </w:pPr>
      <w:r w:rsidRPr="009730E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7031F36"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5F42DE">
                              <w:rPr>
                                <w:rFonts w:asciiTheme="majorHAnsi" w:hAnsiTheme="majorHAnsi"/>
                                <w:color w:val="0D0D0D" w:themeColor="text1" w:themeTint="F2"/>
                                <w:sz w:val="18"/>
                                <w:szCs w:val="22"/>
                                <w:lang w:val="pt-BR"/>
                              </w:rPr>
                              <w:t>16</w:t>
                            </w:r>
                            <w:r w:rsidR="00DD3D86"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 xml:space="preserve">de </w:t>
                            </w:r>
                            <w:r w:rsidR="005F42DE">
                              <w:rPr>
                                <w:rFonts w:asciiTheme="majorHAnsi" w:hAnsiTheme="majorHAnsi"/>
                                <w:color w:val="0D0D0D" w:themeColor="text1" w:themeTint="F2"/>
                                <w:sz w:val="18"/>
                                <w:szCs w:val="22"/>
                                <w:lang w:val="pt-BR"/>
                              </w:rPr>
                              <w:t>agosto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476CE5">
                              <w:rPr>
                                <w:rFonts w:asciiTheme="majorHAnsi" w:hAnsiTheme="majorHAnsi"/>
                                <w:color w:val="0D0D0D" w:themeColor="text1" w:themeTint="F2"/>
                                <w:sz w:val="18"/>
                                <w:szCs w:val="22"/>
                                <w:lang w:val="pt-BR"/>
                              </w:rPr>
                              <w:t>9</w:t>
                            </w:r>
                            <w:r w:rsidR="00BC4209">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7031F36"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5F42DE">
                        <w:rPr>
                          <w:rFonts w:asciiTheme="majorHAnsi" w:hAnsiTheme="majorHAnsi"/>
                          <w:color w:val="0D0D0D" w:themeColor="text1" w:themeTint="F2"/>
                          <w:sz w:val="18"/>
                          <w:szCs w:val="22"/>
                          <w:lang w:val="pt-BR"/>
                        </w:rPr>
                        <w:t>16</w:t>
                      </w:r>
                      <w:r w:rsidR="00DD3D86"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 xml:space="preserve">de </w:t>
                      </w:r>
                      <w:r w:rsidR="005F42DE">
                        <w:rPr>
                          <w:rFonts w:asciiTheme="majorHAnsi" w:hAnsiTheme="majorHAnsi"/>
                          <w:color w:val="0D0D0D" w:themeColor="text1" w:themeTint="F2"/>
                          <w:sz w:val="18"/>
                          <w:szCs w:val="22"/>
                          <w:lang w:val="pt-BR"/>
                        </w:rPr>
                        <w:t>agosto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476CE5">
                        <w:rPr>
                          <w:rFonts w:asciiTheme="majorHAnsi" w:hAnsiTheme="majorHAnsi"/>
                          <w:color w:val="0D0D0D" w:themeColor="text1" w:themeTint="F2"/>
                          <w:sz w:val="18"/>
                          <w:szCs w:val="22"/>
                          <w:lang w:val="pt-BR"/>
                        </w:rPr>
                        <w:t>9</w:t>
                      </w:r>
                      <w:r w:rsidR="00BC4209">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9730ED" w:rsidRDefault="0090270B" w:rsidP="00040C3A">
      <w:pPr>
        <w:tabs>
          <w:tab w:val="center" w:pos="5400"/>
        </w:tabs>
        <w:suppressAutoHyphens/>
        <w:jc w:val="center"/>
        <w:rPr>
          <w:rFonts w:asciiTheme="majorHAnsi" w:hAnsiTheme="majorHAnsi"/>
          <w:sz w:val="18"/>
          <w:szCs w:val="22"/>
          <w:lang w:val="pt-BR"/>
        </w:rPr>
      </w:pPr>
      <w:r w:rsidRPr="009730E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1C7C581"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5F42DE">
                              <w:rPr>
                                <w:rFonts w:asciiTheme="majorHAnsi" w:hAnsiTheme="majorHAnsi"/>
                                <w:color w:val="595959" w:themeColor="text1" w:themeTint="A6"/>
                                <w:sz w:val="18"/>
                                <w:szCs w:val="18"/>
                                <w:lang w:val="pt-BR"/>
                              </w:rPr>
                              <w:t>128</w:t>
                            </w:r>
                            <w:r w:rsidR="0038709A" w:rsidRPr="0038709A">
                              <w:rPr>
                                <w:rFonts w:asciiTheme="majorHAnsi" w:hAnsiTheme="majorHAnsi"/>
                                <w:color w:val="595959" w:themeColor="text1" w:themeTint="A6"/>
                                <w:sz w:val="18"/>
                                <w:szCs w:val="18"/>
                                <w:lang w:val="pt-BR"/>
                              </w:rPr>
                              <w:t>/</w:t>
                            </w:r>
                            <w:r w:rsidR="00476CE5">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CA7C3E">
                              <w:rPr>
                                <w:rFonts w:asciiTheme="majorHAnsi" w:hAnsiTheme="majorHAnsi"/>
                                <w:color w:val="595959" w:themeColor="text1" w:themeTint="A6"/>
                                <w:sz w:val="18"/>
                                <w:szCs w:val="18"/>
                                <w:lang w:val="pt-BR"/>
                              </w:rPr>
                              <w:t>1174-09</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CA7C3E">
                              <w:rPr>
                                <w:rFonts w:asciiTheme="majorHAnsi" w:hAnsiTheme="majorHAnsi"/>
                                <w:color w:val="595959" w:themeColor="text1" w:themeTint="A6"/>
                                <w:sz w:val="18"/>
                                <w:szCs w:val="18"/>
                                <w:lang w:val="pt-BR"/>
                              </w:rPr>
                              <w:t>.</w:t>
                            </w:r>
                            <w:r w:rsidR="00595CC8">
                              <w:rPr>
                                <w:rFonts w:asciiTheme="majorHAnsi" w:hAnsiTheme="majorHAnsi"/>
                                <w:color w:val="595959" w:themeColor="text1" w:themeTint="A6"/>
                                <w:sz w:val="18"/>
                                <w:szCs w:val="18"/>
                                <w:lang w:val="pt-BR"/>
                              </w:rPr>
                              <w:t xml:space="preserve"> J</w:t>
                            </w:r>
                            <w:r w:rsidR="007268DC">
                              <w:rPr>
                                <w:rFonts w:asciiTheme="majorHAnsi" w:hAnsiTheme="majorHAnsi"/>
                                <w:color w:val="595959" w:themeColor="text1" w:themeTint="A6"/>
                                <w:sz w:val="18"/>
                                <w:szCs w:val="18"/>
                                <w:lang w:val="pt-BR"/>
                              </w:rPr>
                              <w:t>osé Rafael Brezer</w:t>
                            </w:r>
                            <w:r w:rsidR="00835C8E">
                              <w:rPr>
                                <w:rFonts w:asciiTheme="majorHAnsi" w:hAnsiTheme="majorHAnsi"/>
                                <w:color w:val="595959" w:themeColor="text1" w:themeTint="A6"/>
                                <w:sz w:val="18"/>
                                <w:szCs w:val="18"/>
                                <w:lang w:val="pt-BR"/>
                              </w:rPr>
                              <w:t xml:space="preserve"> e outros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5F42DE">
                              <w:rPr>
                                <w:rFonts w:asciiTheme="majorHAnsi" w:hAnsiTheme="majorHAnsi"/>
                                <w:color w:val="595959" w:themeColor="text1" w:themeTint="A6"/>
                                <w:sz w:val="18"/>
                                <w:szCs w:val="18"/>
                                <w:lang w:val="pt-BR"/>
                              </w:rPr>
                              <w:t>16 de agosto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1C7C581"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5F42DE">
                        <w:rPr>
                          <w:rFonts w:asciiTheme="majorHAnsi" w:hAnsiTheme="majorHAnsi"/>
                          <w:color w:val="595959" w:themeColor="text1" w:themeTint="A6"/>
                          <w:sz w:val="18"/>
                          <w:szCs w:val="18"/>
                          <w:lang w:val="pt-BR"/>
                        </w:rPr>
                        <w:t>128</w:t>
                      </w:r>
                      <w:r w:rsidR="0038709A" w:rsidRPr="0038709A">
                        <w:rPr>
                          <w:rFonts w:asciiTheme="majorHAnsi" w:hAnsiTheme="majorHAnsi"/>
                          <w:color w:val="595959" w:themeColor="text1" w:themeTint="A6"/>
                          <w:sz w:val="18"/>
                          <w:szCs w:val="18"/>
                          <w:lang w:val="pt-BR"/>
                        </w:rPr>
                        <w:t>/</w:t>
                      </w:r>
                      <w:r w:rsidR="00476CE5">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CA7C3E">
                        <w:rPr>
                          <w:rFonts w:asciiTheme="majorHAnsi" w:hAnsiTheme="majorHAnsi"/>
                          <w:color w:val="595959" w:themeColor="text1" w:themeTint="A6"/>
                          <w:sz w:val="18"/>
                          <w:szCs w:val="18"/>
                          <w:lang w:val="pt-BR"/>
                        </w:rPr>
                        <w:t>1174-09</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CA7C3E">
                        <w:rPr>
                          <w:rFonts w:asciiTheme="majorHAnsi" w:hAnsiTheme="majorHAnsi"/>
                          <w:color w:val="595959" w:themeColor="text1" w:themeTint="A6"/>
                          <w:sz w:val="18"/>
                          <w:szCs w:val="18"/>
                          <w:lang w:val="pt-BR"/>
                        </w:rPr>
                        <w:t>.</w:t>
                      </w:r>
                      <w:r w:rsidR="00595CC8">
                        <w:rPr>
                          <w:rFonts w:asciiTheme="majorHAnsi" w:hAnsiTheme="majorHAnsi"/>
                          <w:color w:val="595959" w:themeColor="text1" w:themeTint="A6"/>
                          <w:sz w:val="18"/>
                          <w:szCs w:val="18"/>
                          <w:lang w:val="pt-BR"/>
                        </w:rPr>
                        <w:t xml:space="preserve"> J</w:t>
                      </w:r>
                      <w:r w:rsidR="007268DC">
                        <w:rPr>
                          <w:rFonts w:asciiTheme="majorHAnsi" w:hAnsiTheme="majorHAnsi"/>
                          <w:color w:val="595959" w:themeColor="text1" w:themeTint="A6"/>
                          <w:sz w:val="18"/>
                          <w:szCs w:val="18"/>
                          <w:lang w:val="pt-BR"/>
                        </w:rPr>
                        <w:t>osé Rafael Brezer</w:t>
                      </w:r>
                      <w:r w:rsidR="00835C8E">
                        <w:rPr>
                          <w:rFonts w:asciiTheme="majorHAnsi" w:hAnsiTheme="majorHAnsi"/>
                          <w:color w:val="595959" w:themeColor="text1" w:themeTint="A6"/>
                          <w:sz w:val="18"/>
                          <w:szCs w:val="18"/>
                          <w:lang w:val="pt-BR"/>
                        </w:rPr>
                        <w:t xml:space="preserve"> e outros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5F42DE">
                        <w:rPr>
                          <w:rFonts w:asciiTheme="majorHAnsi" w:hAnsiTheme="majorHAnsi"/>
                          <w:color w:val="595959" w:themeColor="text1" w:themeTint="A6"/>
                          <w:sz w:val="18"/>
                          <w:szCs w:val="18"/>
                          <w:lang w:val="pt-BR"/>
                        </w:rPr>
                        <w:t>16 de agosto de 2019</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9730ED"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9730ED" w:rsidRDefault="00D306D1" w:rsidP="005516A1">
      <w:pPr>
        <w:tabs>
          <w:tab w:val="center" w:pos="5400"/>
        </w:tabs>
        <w:suppressAutoHyphens/>
        <w:jc w:val="center"/>
        <w:rPr>
          <w:rFonts w:asciiTheme="majorHAnsi" w:hAnsiTheme="majorHAnsi"/>
          <w:b/>
          <w:sz w:val="20"/>
          <w:lang w:val="pt-BR"/>
        </w:rPr>
      </w:pPr>
      <w:r w:rsidRPr="009730E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2007FE9" w:rsidR="00D72DC6" w:rsidRPr="00D72DC6" w:rsidRDefault="00C32F1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837C0C0" wp14:editId="5DEA3494">
                                  <wp:extent cx="1897391" cy="5193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6230" cy="5217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2007FE9" w:rsidR="00D72DC6" w:rsidRPr="00D72DC6" w:rsidRDefault="00C32F1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837C0C0" wp14:editId="5DEA3494">
                            <wp:extent cx="1897391" cy="5193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06230" cy="521766"/>
                                    </a:xfrm>
                                    <a:prstGeom prst="rect">
                                      <a:avLst/>
                                    </a:prstGeom>
                                    <a:noFill/>
                                    <a:ln>
                                      <a:noFill/>
                                    </a:ln>
                                  </pic:spPr>
                                </pic:pic>
                              </a:graphicData>
                            </a:graphic>
                          </wp:inline>
                        </w:drawing>
                      </w:r>
                    </w:p>
                  </w:txbxContent>
                </v:textbox>
              </v:shape>
            </w:pict>
          </mc:Fallback>
        </mc:AlternateContent>
      </w:r>
      <w:r w:rsidRPr="009730E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9730ED" w:rsidRDefault="004A6A54" w:rsidP="005516A1">
      <w:pPr>
        <w:tabs>
          <w:tab w:val="center" w:pos="5400"/>
        </w:tabs>
        <w:suppressAutoHyphens/>
        <w:jc w:val="center"/>
        <w:rPr>
          <w:rFonts w:asciiTheme="majorHAnsi" w:hAnsiTheme="majorHAnsi"/>
          <w:b/>
          <w:sz w:val="20"/>
          <w:lang w:val="pt-BR"/>
        </w:rPr>
        <w:sectPr w:rsidR="0070697F" w:rsidRPr="009730E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730ED">
        <w:rPr>
          <w:rFonts w:asciiTheme="majorHAnsi" w:hAnsiTheme="majorHAnsi"/>
          <w:b/>
          <w:sz w:val="20"/>
          <w:lang w:val="pt-BR"/>
        </w:rPr>
        <w:tab/>
      </w:r>
    </w:p>
    <w:p w14:paraId="376DDC8B" w14:textId="1B8154B1" w:rsidR="003239B8" w:rsidRPr="00726341" w:rsidRDefault="00A37F2E" w:rsidP="00726341">
      <w:pPr>
        <w:spacing w:after="120"/>
        <w:ind w:firstLine="720"/>
        <w:jc w:val="both"/>
        <w:rPr>
          <w:rFonts w:asciiTheme="majorHAnsi" w:hAnsiTheme="majorHAnsi"/>
          <w:b/>
          <w:bCs/>
          <w:sz w:val="20"/>
          <w:szCs w:val="20"/>
          <w:lang w:val="pt-BR"/>
        </w:rPr>
      </w:pPr>
      <w:r w:rsidRPr="00726341">
        <w:rPr>
          <w:rFonts w:asciiTheme="majorHAnsi" w:hAnsiTheme="majorHAnsi"/>
          <w:b/>
          <w:bCs/>
          <w:sz w:val="20"/>
          <w:szCs w:val="20"/>
          <w:lang w:val="pt-BR"/>
        </w:rPr>
        <w:lastRenderedPageBreak/>
        <w:t>I.</w:t>
      </w:r>
      <w:r w:rsidRPr="00726341">
        <w:rPr>
          <w:rFonts w:asciiTheme="majorHAnsi" w:hAnsiTheme="majorHAnsi"/>
          <w:b/>
          <w:bCs/>
          <w:sz w:val="20"/>
          <w:szCs w:val="20"/>
          <w:lang w:val="pt-BR"/>
        </w:rPr>
        <w:tab/>
        <w:t>DAD</w:t>
      </w:r>
      <w:r w:rsidR="003239B8" w:rsidRPr="00726341">
        <w:rPr>
          <w:rFonts w:asciiTheme="majorHAnsi" w:hAnsiTheme="majorHAnsi"/>
          <w:b/>
          <w:bCs/>
          <w:sz w:val="20"/>
          <w:szCs w:val="20"/>
          <w:lang w:val="pt-BR"/>
        </w:rPr>
        <w:t xml:space="preserve">OS </w:t>
      </w:r>
      <w:r w:rsidRPr="00726341">
        <w:rPr>
          <w:rFonts w:asciiTheme="majorHAnsi" w:hAnsiTheme="majorHAnsi"/>
          <w:b/>
          <w:bCs/>
          <w:sz w:val="20"/>
          <w:szCs w:val="20"/>
          <w:lang w:val="pt-BR"/>
        </w:rPr>
        <w:t>DA PETIÇÃO</w:t>
      </w:r>
      <w:r w:rsidR="003239B8" w:rsidRPr="00726341">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610"/>
        <w:gridCol w:w="6750"/>
      </w:tblGrid>
      <w:tr w:rsidR="00C32F15" w:rsidRPr="001F7A2A" w14:paraId="5A79D1F7" w14:textId="77777777" w:rsidTr="00C32F15">
        <w:tc>
          <w:tcPr>
            <w:tcW w:w="2610" w:type="dxa"/>
            <w:tcBorders>
              <w:top w:val="single" w:sz="4" w:space="0" w:color="auto"/>
              <w:bottom w:val="single" w:sz="6" w:space="0" w:color="auto"/>
            </w:tcBorders>
            <w:shd w:val="clear" w:color="auto" w:fill="FFC000"/>
            <w:vAlign w:val="center"/>
          </w:tcPr>
          <w:p w14:paraId="5D89626C" w14:textId="3D8C0A28"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Parte peticionária</w:t>
            </w:r>
          </w:p>
        </w:tc>
        <w:tc>
          <w:tcPr>
            <w:tcW w:w="6750" w:type="dxa"/>
            <w:vAlign w:val="center"/>
          </w:tcPr>
          <w:p w14:paraId="3C5315D8" w14:textId="44B503E8"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Fundação Interamericana de Defesa dos Direitos Humanos (FidDH) e Associação dos Cristãos para Abolição da Tortura (ACAT)</w:t>
            </w:r>
          </w:p>
        </w:tc>
      </w:tr>
      <w:tr w:rsidR="00C32F15" w:rsidRPr="001F7A2A" w14:paraId="593A7E45" w14:textId="77777777" w:rsidTr="00C32F15">
        <w:tc>
          <w:tcPr>
            <w:tcW w:w="2610" w:type="dxa"/>
            <w:tcBorders>
              <w:top w:val="single" w:sz="6" w:space="0" w:color="auto"/>
              <w:bottom w:val="single" w:sz="6" w:space="0" w:color="auto"/>
            </w:tcBorders>
            <w:shd w:val="clear" w:color="auto" w:fill="FFC000"/>
            <w:vAlign w:val="center"/>
          </w:tcPr>
          <w:p w14:paraId="4476D00B" w14:textId="406E762D"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Suposta vítima</w:t>
            </w:r>
          </w:p>
        </w:tc>
        <w:tc>
          <w:tcPr>
            <w:tcW w:w="6750" w:type="dxa"/>
            <w:vAlign w:val="center"/>
          </w:tcPr>
          <w:p w14:paraId="4AEBF59E" w14:textId="0C34F06B"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José Rafael Brezer e outros</w:t>
            </w:r>
            <w:r w:rsidRPr="00C32F15">
              <w:rPr>
                <w:rStyle w:val="FootnoteReference"/>
                <w:rFonts w:asciiTheme="majorHAnsi" w:hAnsiTheme="majorHAnsi"/>
                <w:bCs/>
                <w:sz w:val="19"/>
                <w:szCs w:val="19"/>
                <w:lang w:val="pt-BR"/>
              </w:rPr>
              <w:footnoteReference w:id="2"/>
            </w:r>
          </w:p>
        </w:tc>
      </w:tr>
      <w:tr w:rsidR="00C32F15" w:rsidRPr="00C32F15" w14:paraId="3E62E1D3" w14:textId="77777777" w:rsidTr="00C32F15">
        <w:tc>
          <w:tcPr>
            <w:tcW w:w="2610" w:type="dxa"/>
            <w:tcBorders>
              <w:top w:val="single" w:sz="6" w:space="0" w:color="auto"/>
              <w:bottom w:val="single" w:sz="6" w:space="0" w:color="auto"/>
            </w:tcBorders>
            <w:shd w:val="clear" w:color="auto" w:fill="FFC000"/>
            <w:vAlign w:val="center"/>
          </w:tcPr>
          <w:p w14:paraId="3E442080" w14:textId="68B8676C"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Estado denunciado</w:t>
            </w:r>
          </w:p>
        </w:tc>
        <w:tc>
          <w:tcPr>
            <w:tcW w:w="6750" w:type="dxa"/>
            <w:vAlign w:val="center"/>
          </w:tcPr>
          <w:p w14:paraId="274C8A50" w14:textId="0B30EFC8"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Brasil</w:t>
            </w:r>
            <w:r w:rsidRPr="00C32F15">
              <w:rPr>
                <w:rStyle w:val="FootnoteReference"/>
                <w:rFonts w:asciiTheme="majorHAnsi" w:hAnsiTheme="majorHAnsi"/>
                <w:bCs/>
                <w:sz w:val="19"/>
                <w:szCs w:val="19"/>
                <w:lang w:val="pt-BR"/>
              </w:rPr>
              <w:footnoteReference w:id="3"/>
            </w:r>
          </w:p>
        </w:tc>
      </w:tr>
      <w:tr w:rsidR="00C32F15" w:rsidRPr="001F7A2A" w14:paraId="632511BC" w14:textId="77777777" w:rsidTr="00C32F15">
        <w:tc>
          <w:tcPr>
            <w:tcW w:w="2610" w:type="dxa"/>
            <w:tcBorders>
              <w:top w:val="single" w:sz="6" w:space="0" w:color="auto"/>
              <w:bottom w:val="single" w:sz="6" w:space="0" w:color="auto"/>
            </w:tcBorders>
            <w:shd w:val="clear" w:color="auto" w:fill="FFC000"/>
            <w:vAlign w:val="center"/>
          </w:tcPr>
          <w:p w14:paraId="48264AF7" w14:textId="05649A97"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Direitos alegados</w:t>
            </w:r>
          </w:p>
        </w:tc>
        <w:tc>
          <w:tcPr>
            <w:tcW w:w="6750" w:type="dxa"/>
            <w:vAlign w:val="center"/>
          </w:tcPr>
          <w:p w14:paraId="6DEE1EEB" w14:textId="78C08201"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Artigos 5 (integridade pessoal), 7 (liberdade pessoal), 8 (garantias judiciais), 19 (proteção da infância), 24 (igualdade perante a lei) e 25 (proteção judicial), todos concomitantes aos artigos 1.1 (obrigação de respeitar os direitos) e 2 (dever de adotar disposições de direito interno) da Convenção Americana de Direitos Humanos</w:t>
            </w:r>
            <w:r w:rsidRPr="00C32F15">
              <w:rPr>
                <w:rStyle w:val="FootnoteReference"/>
                <w:rFonts w:asciiTheme="majorHAnsi" w:hAnsiTheme="majorHAnsi"/>
                <w:bCs/>
                <w:sz w:val="19"/>
                <w:szCs w:val="19"/>
                <w:lang w:val="pt-BR"/>
              </w:rPr>
              <w:footnoteReference w:id="4"/>
            </w:r>
            <w:r w:rsidRPr="00C32F15">
              <w:rPr>
                <w:rFonts w:asciiTheme="majorHAnsi" w:hAnsiTheme="majorHAnsi"/>
                <w:bCs/>
                <w:sz w:val="19"/>
                <w:szCs w:val="19"/>
                <w:lang w:val="pt-BR"/>
              </w:rPr>
              <w:t>; e artigos 1, 6, 7, 8 e 9 da Convenção Interamericana para Prevenir e Sancionar a Tortura</w:t>
            </w:r>
          </w:p>
        </w:tc>
      </w:tr>
    </w:tbl>
    <w:p w14:paraId="20263696" w14:textId="4CE349DB" w:rsidR="003239B8" w:rsidRPr="00726341" w:rsidRDefault="00A37F2E" w:rsidP="00726341">
      <w:pPr>
        <w:spacing w:before="120" w:after="120"/>
        <w:ind w:firstLine="720"/>
        <w:jc w:val="both"/>
        <w:rPr>
          <w:rFonts w:asciiTheme="majorHAnsi" w:hAnsiTheme="majorHAnsi"/>
          <w:b/>
          <w:bCs/>
          <w:sz w:val="20"/>
          <w:szCs w:val="20"/>
          <w:lang w:val="pt-BR"/>
        </w:rPr>
      </w:pPr>
      <w:r w:rsidRPr="00726341">
        <w:rPr>
          <w:rFonts w:asciiTheme="majorHAnsi" w:hAnsiTheme="majorHAnsi"/>
          <w:b/>
          <w:bCs/>
          <w:sz w:val="20"/>
          <w:szCs w:val="20"/>
          <w:lang w:val="pt-BR"/>
        </w:rPr>
        <w:t>II.</w:t>
      </w:r>
      <w:r w:rsidRPr="00726341">
        <w:rPr>
          <w:rFonts w:asciiTheme="majorHAnsi" w:hAnsiTheme="majorHAnsi"/>
          <w:b/>
          <w:bCs/>
          <w:sz w:val="20"/>
          <w:szCs w:val="20"/>
          <w:lang w:val="pt-BR"/>
        </w:rPr>
        <w:tab/>
        <w:t>TRÂMITE ANTE A</w:t>
      </w:r>
      <w:r w:rsidR="003239B8" w:rsidRPr="00726341">
        <w:rPr>
          <w:rFonts w:asciiTheme="majorHAnsi" w:hAnsiTheme="majorHAnsi"/>
          <w:b/>
          <w:bCs/>
          <w:sz w:val="20"/>
          <w:szCs w:val="20"/>
          <w:lang w:val="pt-BR"/>
        </w:rPr>
        <w:t xml:space="preserve"> CIDH</w:t>
      </w:r>
      <w:r w:rsidR="008E3BFE" w:rsidRPr="00726341">
        <w:rPr>
          <w:rStyle w:val="FootnoteReference"/>
          <w:rFonts w:asciiTheme="majorHAnsi" w:hAnsiTheme="majorHAnsi"/>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610"/>
        <w:gridCol w:w="6750"/>
      </w:tblGrid>
      <w:tr w:rsidR="00C32F15" w:rsidRPr="00C32F15" w14:paraId="306EFCB0" w14:textId="77777777" w:rsidTr="00C32F15">
        <w:tc>
          <w:tcPr>
            <w:tcW w:w="2610" w:type="dxa"/>
            <w:tcBorders>
              <w:top w:val="single" w:sz="6" w:space="0" w:color="auto"/>
              <w:bottom w:val="single" w:sz="6" w:space="0" w:color="auto"/>
            </w:tcBorders>
            <w:shd w:val="clear" w:color="auto" w:fill="FFC000"/>
            <w:vAlign w:val="center"/>
          </w:tcPr>
          <w:p w14:paraId="7508D16F" w14:textId="27876CF6"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Recebimento da petição</w:t>
            </w:r>
          </w:p>
        </w:tc>
        <w:tc>
          <w:tcPr>
            <w:tcW w:w="6750" w:type="dxa"/>
            <w:vAlign w:val="center"/>
          </w:tcPr>
          <w:p w14:paraId="6E579153" w14:textId="2EE74CB2"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17 de setembro de 2009</w:t>
            </w:r>
          </w:p>
        </w:tc>
      </w:tr>
      <w:tr w:rsidR="00C32F15" w:rsidRPr="00C32F15" w14:paraId="1BDCD5C6" w14:textId="77777777" w:rsidTr="00C32F15">
        <w:tc>
          <w:tcPr>
            <w:tcW w:w="2610" w:type="dxa"/>
            <w:tcBorders>
              <w:top w:val="single" w:sz="6" w:space="0" w:color="auto"/>
              <w:bottom w:val="single" w:sz="6" w:space="0" w:color="auto"/>
            </w:tcBorders>
            <w:shd w:val="clear" w:color="auto" w:fill="FFC000"/>
            <w:vAlign w:val="center"/>
          </w:tcPr>
          <w:p w14:paraId="7A18664F" w14:textId="754CCAB3" w:rsidR="00C32F15" w:rsidRPr="00C32F15" w:rsidRDefault="00C32F15" w:rsidP="00C32F15">
            <w:pPr>
              <w:jc w:val="center"/>
              <w:rPr>
                <w:rFonts w:asciiTheme="majorHAnsi" w:hAnsiTheme="majorHAnsi"/>
                <w:b/>
                <w:sz w:val="19"/>
                <w:szCs w:val="19"/>
                <w:lang w:val="pt-BR"/>
              </w:rPr>
            </w:pPr>
            <w:r w:rsidRPr="00C32F15">
              <w:rPr>
                <w:rFonts w:asciiTheme="majorHAnsi" w:hAnsiTheme="majorHAnsi"/>
                <w:sz w:val="19"/>
                <w:szCs w:val="19"/>
                <w:lang w:val="pt-BR"/>
              </w:rPr>
              <w:t>Notificação da petição</w:t>
            </w:r>
          </w:p>
        </w:tc>
        <w:tc>
          <w:tcPr>
            <w:tcW w:w="6750" w:type="dxa"/>
            <w:vAlign w:val="center"/>
          </w:tcPr>
          <w:p w14:paraId="1519DA6A" w14:textId="49F254AE"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2 de julho de 2014</w:t>
            </w:r>
          </w:p>
        </w:tc>
      </w:tr>
      <w:tr w:rsidR="00C32F15" w:rsidRPr="00C32F15" w14:paraId="6147A8D5" w14:textId="77777777" w:rsidTr="00C32F15">
        <w:tc>
          <w:tcPr>
            <w:tcW w:w="2610" w:type="dxa"/>
            <w:tcBorders>
              <w:top w:val="single" w:sz="6" w:space="0" w:color="auto"/>
              <w:bottom w:val="single" w:sz="6" w:space="0" w:color="auto"/>
            </w:tcBorders>
            <w:shd w:val="clear" w:color="auto" w:fill="FFC000"/>
            <w:vAlign w:val="center"/>
          </w:tcPr>
          <w:p w14:paraId="0201C86D" w14:textId="602F827E"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sz w:val="19"/>
                <w:szCs w:val="19"/>
                <w:lang w:val="pt-BR"/>
              </w:rPr>
              <w:t>Primeira resposta do Estado</w:t>
            </w:r>
          </w:p>
        </w:tc>
        <w:tc>
          <w:tcPr>
            <w:tcW w:w="6750" w:type="dxa"/>
            <w:vAlign w:val="center"/>
          </w:tcPr>
          <w:p w14:paraId="1972B99E" w14:textId="70A77AF0"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3 de outubro de 2014</w:t>
            </w:r>
          </w:p>
        </w:tc>
      </w:tr>
      <w:tr w:rsidR="00C32F15" w:rsidRPr="00C32F15" w14:paraId="322668B6" w14:textId="77777777" w:rsidTr="00C32F15">
        <w:tc>
          <w:tcPr>
            <w:tcW w:w="2610" w:type="dxa"/>
            <w:tcBorders>
              <w:top w:val="single" w:sz="6" w:space="0" w:color="auto"/>
              <w:bottom w:val="single" w:sz="6" w:space="0" w:color="auto"/>
            </w:tcBorders>
            <w:shd w:val="clear" w:color="auto" w:fill="FFC000"/>
            <w:vAlign w:val="center"/>
          </w:tcPr>
          <w:p w14:paraId="1524DA55" w14:textId="43CDE186"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Observações adicionais da parte peticionária</w:t>
            </w:r>
          </w:p>
        </w:tc>
        <w:tc>
          <w:tcPr>
            <w:tcW w:w="6750" w:type="dxa"/>
            <w:vAlign w:val="center"/>
          </w:tcPr>
          <w:p w14:paraId="41D8B862" w14:textId="4292E205"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8 de maio de 2015</w:t>
            </w:r>
          </w:p>
        </w:tc>
      </w:tr>
      <w:tr w:rsidR="00C32F15" w:rsidRPr="00C32F15" w14:paraId="291ACE7A" w14:textId="77777777" w:rsidTr="00C32F15">
        <w:tc>
          <w:tcPr>
            <w:tcW w:w="2610" w:type="dxa"/>
            <w:tcBorders>
              <w:top w:val="single" w:sz="6" w:space="0" w:color="auto"/>
              <w:bottom w:val="single" w:sz="6" w:space="0" w:color="auto"/>
            </w:tcBorders>
            <w:shd w:val="clear" w:color="auto" w:fill="FFC000"/>
            <w:vAlign w:val="center"/>
          </w:tcPr>
          <w:p w14:paraId="068BD12F" w14:textId="739B4595"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Observações adicionais do Estado</w:t>
            </w:r>
          </w:p>
        </w:tc>
        <w:tc>
          <w:tcPr>
            <w:tcW w:w="6750" w:type="dxa"/>
            <w:vAlign w:val="center"/>
          </w:tcPr>
          <w:p w14:paraId="3CE49AFE" w14:textId="17F5A9B1"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9 de setembro de 2015</w:t>
            </w:r>
          </w:p>
        </w:tc>
      </w:tr>
      <w:tr w:rsidR="001E49E7" w:rsidRPr="00C32F15" w14:paraId="0F502B44" w14:textId="77777777" w:rsidTr="00C32F15">
        <w:tc>
          <w:tcPr>
            <w:tcW w:w="2610" w:type="dxa"/>
            <w:tcBorders>
              <w:top w:val="single" w:sz="6" w:space="0" w:color="auto"/>
              <w:bottom w:val="single" w:sz="6" w:space="0" w:color="auto"/>
            </w:tcBorders>
            <w:shd w:val="clear" w:color="auto" w:fill="FFC000"/>
            <w:vAlign w:val="center"/>
          </w:tcPr>
          <w:p w14:paraId="046FEDC0" w14:textId="62F8AF98" w:rsidR="001E49E7" w:rsidRPr="00C32F15" w:rsidRDefault="004A6A54" w:rsidP="00C32F15">
            <w:pPr>
              <w:jc w:val="center"/>
              <w:rPr>
                <w:rFonts w:asciiTheme="majorHAnsi" w:hAnsiTheme="majorHAnsi"/>
                <w:bCs/>
                <w:sz w:val="19"/>
                <w:szCs w:val="19"/>
                <w:lang w:val="pt-BR"/>
              </w:rPr>
            </w:pPr>
            <w:r w:rsidRPr="00C32F15">
              <w:rPr>
                <w:rFonts w:asciiTheme="majorHAnsi" w:hAnsiTheme="majorHAnsi"/>
                <w:bCs/>
                <w:sz w:val="19"/>
                <w:szCs w:val="19"/>
                <w:lang w:val="pt-BR"/>
              </w:rPr>
              <w:t>A</w:t>
            </w:r>
            <w:r w:rsidR="00A37F2E" w:rsidRPr="00C32F15">
              <w:rPr>
                <w:rFonts w:asciiTheme="majorHAnsi" w:hAnsiTheme="majorHAnsi"/>
                <w:bCs/>
                <w:sz w:val="19"/>
                <w:szCs w:val="19"/>
                <w:lang w:val="pt-BR"/>
              </w:rPr>
              <w:t>dvertê</w:t>
            </w:r>
            <w:r w:rsidR="001E49E7" w:rsidRPr="00C32F15">
              <w:rPr>
                <w:rFonts w:asciiTheme="majorHAnsi" w:hAnsiTheme="majorHAnsi"/>
                <w:bCs/>
                <w:sz w:val="19"/>
                <w:szCs w:val="19"/>
                <w:lang w:val="pt-BR"/>
              </w:rPr>
              <w:t xml:space="preserve">ncia </w:t>
            </w:r>
            <w:r w:rsidR="00C32F15" w:rsidRPr="00C32F15">
              <w:rPr>
                <w:rFonts w:asciiTheme="majorHAnsi" w:hAnsiTheme="majorHAnsi"/>
                <w:bCs/>
                <w:sz w:val="19"/>
                <w:szCs w:val="19"/>
                <w:lang w:val="pt-BR"/>
              </w:rPr>
              <w:t>de</w:t>
            </w:r>
            <w:r w:rsidR="00A37F2E" w:rsidRPr="00C32F15">
              <w:rPr>
                <w:rFonts w:asciiTheme="majorHAnsi" w:hAnsiTheme="majorHAnsi"/>
                <w:bCs/>
                <w:sz w:val="19"/>
                <w:szCs w:val="19"/>
                <w:lang w:val="pt-BR"/>
              </w:rPr>
              <w:t xml:space="preserve"> arqu</w:t>
            </w:r>
            <w:r w:rsidR="00C32F15" w:rsidRPr="00C32F15">
              <w:rPr>
                <w:rFonts w:asciiTheme="majorHAnsi" w:hAnsiTheme="majorHAnsi"/>
                <w:bCs/>
                <w:sz w:val="19"/>
                <w:szCs w:val="19"/>
                <w:lang w:val="pt-BR"/>
              </w:rPr>
              <w:t>ivo</w:t>
            </w:r>
          </w:p>
        </w:tc>
        <w:tc>
          <w:tcPr>
            <w:tcW w:w="6750" w:type="dxa"/>
            <w:vAlign w:val="center"/>
          </w:tcPr>
          <w:p w14:paraId="5500808B" w14:textId="467BB6E7" w:rsidR="001E49E7" w:rsidRPr="00C32F15" w:rsidRDefault="003413C5" w:rsidP="002625EA">
            <w:pPr>
              <w:jc w:val="both"/>
              <w:rPr>
                <w:rFonts w:asciiTheme="majorHAnsi" w:hAnsiTheme="majorHAnsi"/>
                <w:bCs/>
                <w:sz w:val="19"/>
                <w:szCs w:val="19"/>
                <w:lang w:val="pt-BR"/>
              </w:rPr>
            </w:pPr>
            <w:r w:rsidRPr="00C32F15">
              <w:rPr>
                <w:rFonts w:asciiTheme="majorHAnsi" w:hAnsiTheme="majorHAnsi"/>
                <w:bCs/>
                <w:sz w:val="19"/>
                <w:szCs w:val="19"/>
                <w:lang w:val="pt-BR"/>
              </w:rPr>
              <w:t>21 de setembro de 2018</w:t>
            </w:r>
          </w:p>
        </w:tc>
      </w:tr>
      <w:tr w:rsidR="001E49E7" w:rsidRPr="00C32F15" w14:paraId="789A7AF7" w14:textId="77777777" w:rsidTr="00C32F15">
        <w:tc>
          <w:tcPr>
            <w:tcW w:w="2610" w:type="dxa"/>
            <w:tcBorders>
              <w:top w:val="single" w:sz="6" w:space="0" w:color="auto"/>
              <w:bottom w:val="single" w:sz="6" w:space="0" w:color="auto"/>
            </w:tcBorders>
            <w:shd w:val="clear" w:color="auto" w:fill="FFC000"/>
            <w:vAlign w:val="center"/>
          </w:tcPr>
          <w:p w14:paraId="11989038" w14:textId="6A36BA34" w:rsidR="001E49E7" w:rsidRPr="00C32F15" w:rsidRDefault="004A6A54" w:rsidP="00C32F15">
            <w:pPr>
              <w:jc w:val="center"/>
              <w:rPr>
                <w:rFonts w:asciiTheme="majorHAnsi" w:hAnsiTheme="majorHAnsi"/>
                <w:bCs/>
                <w:sz w:val="19"/>
                <w:szCs w:val="19"/>
                <w:lang w:val="pt-BR"/>
              </w:rPr>
            </w:pPr>
            <w:r w:rsidRPr="00C32F15">
              <w:rPr>
                <w:rFonts w:asciiTheme="majorHAnsi" w:hAnsiTheme="majorHAnsi"/>
                <w:bCs/>
                <w:sz w:val="19"/>
                <w:szCs w:val="19"/>
                <w:lang w:val="pt-BR"/>
              </w:rPr>
              <w:t>R</w:t>
            </w:r>
            <w:r w:rsidR="00126384" w:rsidRPr="00C32F15">
              <w:rPr>
                <w:rFonts w:asciiTheme="majorHAnsi" w:hAnsiTheme="majorHAnsi"/>
                <w:bCs/>
                <w:sz w:val="19"/>
                <w:szCs w:val="19"/>
                <w:lang w:val="pt-BR"/>
              </w:rPr>
              <w:t>espo</w:t>
            </w:r>
            <w:r w:rsidR="001E49E7" w:rsidRPr="00C32F15">
              <w:rPr>
                <w:rFonts w:asciiTheme="majorHAnsi" w:hAnsiTheme="majorHAnsi"/>
                <w:bCs/>
                <w:sz w:val="19"/>
                <w:szCs w:val="19"/>
                <w:lang w:val="pt-BR"/>
              </w:rPr>
              <w:t xml:space="preserve">sta </w:t>
            </w:r>
            <w:r w:rsidR="00C32F15" w:rsidRPr="00C32F15">
              <w:rPr>
                <w:rFonts w:asciiTheme="majorHAnsi" w:hAnsiTheme="majorHAnsi"/>
                <w:bCs/>
                <w:sz w:val="19"/>
                <w:szCs w:val="19"/>
                <w:lang w:val="pt-BR"/>
              </w:rPr>
              <w:t>à advertência de arquivo</w:t>
            </w:r>
          </w:p>
        </w:tc>
        <w:tc>
          <w:tcPr>
            <w:tcW w:w="6750" w:type="dxa"/>
            <w:vAlign w:val="center"/>
          </w:tcPr>
          <w:p w14:paraId="24E176E2" w14:textId="1324A053" w:rsidR="001E49E7" w:rsidRPr="00C32F15" w:rsidRDefault="003413C5" w:rsidP="002625EA">
            <w:pPr>
              <w:jc w:val="both"/>
              <w:rPr>
                <w:rFonts w:asciiTheme="majorHAnsi" w:hAnsiTheme="majorHAnsi"/>
                <w:bCs/>
                <w:sz w:val="19"/>
                <w:szCs w:val="19"/>
                <w:lang w:val="pt-BR"/>
              </w:rPr>
            </w:pPr>
            <w:r w:rsidRPr="00C32F15">
              <w:rPr>
                <w:rFonts w:asciiTheme="majorHAnsi" w:hAnsiTheme="majorHAnsi"/>
                <w:bCs/>
                <w:sz w:val="19"/>
                <w:szCs w:val="19"/>
                <w:lang w:val="pt-BR"/>
              </w:rPr>
              <w:t>5 de novembro de 2018</w:t>
            </w:r>
          </w:p>
        </w:tc>
      </w:tr>
    </w:tbl>
    <w:p w14:paraId="21DAA666" w14:textId="3B44E0DA" w:rsidR="003239B8" w:rsidRPr="00726341" w:rsidRDefault="00D358AF" w:rsidP="00726341">
      <w:pPr>
        <w:spacing w:before="120" w:after="120"/>
        <w:ind w:firstLine="720"/>
        <w:jc w:val="both"/>
        <w:rPr>
          <w:rFonts w:asciiTheme="majorHAnsi" w:hAnsiTheme="majorHAnsi"/>
          <w:b/>
          <w:bCs/>
          <w:sz w:val="20"/>
          <w:szCs w:val="20"/>
          <w:lang w:val="pt-BR"/>
        </w:rPr>
      </w:pPr>
      <w:r w:rsidRPr="00726341">
        <w:rPr>
          <w:rFonts w:asciiTheme="majorHAnsi" w:hAnsiTheme="majorHAnsi"/>
          <w:b/>
          <w:bCs/>
          <w:sz w:val="20"/>
          <w:szCs w:val="20"/>
          <w:lang w:val="pt-BR"/>
        </w:rPr>
        <w:t xml:space="preserve">III. </w:t>
      </w:r>
      <w:r w:rsidRPr="00726341">
        <w:rPr>
          <w:rFonts w:asciiTheme="majorHAnsi" w:hAnsiTheme="majorHAnsi"/>
          <w:b/>
          <w:bCs/>
          <w:sz w:val="20"/>
          <w:szCs w:val="20"/>
          <w:lang w:val="pt-BR"/>
        </w:rPr>
        <w:tab/>
        <w:t>COMPETÊ</w:t>
      </w:r>
      <w:r w:rsidR="003239B8" w:rsidRPr="00726341">
        <w:rPr>
          <w:rFonts w:asciiTheme="majorHAnsi" w:hAnsiTheme="majorHAnsi"/>
          <w:b/>
          <w:bCs/>
          <w:sz w:val="20"/>
          <w:szCs w:val="20"/>
          <w:lang w:val="pt-BR"/>
        </w:rPr>
        <w:t>NCIA</w:t>
      </w:r>
      <w:r w:rsidR="00EE00E9" w:rsidRPr="00726341">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610"/>
        <w:gridCol w:w="6750"/>
      </w:tblGrid>
      <w:tr w:rsidR="00C32F15" w:rsidRPr="00C32F15" w14:paraId="072532AD" w14:textId="77777777" w:rsidTr="00C32F15">
        <w:trPr>
          <w:cantSplit/>
        </w:trPr>
        <w:tc>
          <w:tcPr>
            <w:tcW w:w="2610" w:type="dxa"/>
            <w:tcBorders>
              <w:top w:val="single" w:sz="4" w:space="0" w:color="auto"/>
              <w:bottom w:val="single" w:sz="6" w:space="0" w:color="auto"/>
            </w:tcBorders>
            <w:shd w:val="clear" w:color="auto" w:fill="FFC000"/>
            <w:vAlign w:val="center"/>
          </w:tcPr>
          <w:p w14:paraId="356FB8D8" w14:textId="2C85C305"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i/>
                <w:sz w:val="19"/>
                <w:szCs w:val="19"/>
                <w:lang w:val="pt-BR"/>
              </w:rPr>
              <w:t>Ratione personae</w:t>
            </w:r>
          </w:p>
        </w:tc>
        <w:tc>
          <w:tcPr>
            <w:tcW w:w="6750" w:type="dxa"/>
            <w:vAlign w:val="center"/>
          </w:tcPr>
          <w:p w14:paraId="7707F3E9" w14:textId="7F2752E9" w:rsidR="00C32F15" w:rsidRPr="00C32F15" w:rsidRDefault="00C32F15" w:rsidP="00C32F15">
            <w:pPr>
              <w:rPr>
                <w:rFonts w:asciiTheme="majorHAnsi" w:hAnsiTheme="majorHAnsi"/>
                <w:bCs/>
                <w:sz w:val="19"/>
                <w:szCs w:val="19"/>
                <w:lang w:val="pt-BR"/>
              </w:rPr>
            </w:pPr>
            <w:r w:rsidRPr="00C32F15">
              <w:rPr>
                <w:rFonts w:asciiTheme="majorHAnsi" w:hAnsiTheme="majorHAnsi"/>
                <w:bCs/>
                <w:sz w:val="19"/>
                <w:szCs w:val="19"/>
                <w:lang w:val="pt-BR"/>
              </w:rPr>
              <w:t>Sim</w:t>
            </w:r>
          </w:p>
        </w:tc>
      </w:tr>
      <w:tr w:rsidR="00C32F15" w:rsidRPr="00C32F15" w14:paraId="4B8802DA" w14:textId="77777777" w:rsidTr="00C32F15">
        <w:trPr>
          <w:cantSplit/>
        </w:trPr>
        <w:tc>
          <w:tcPr>
            <w:tcW w:w="2610" w:type="dxa"/>
            <w:tcBorders>
              <w:top w:val="single" w:sz="6" w:space="0" w:color="auto"/>
              <w:bottom w:val="single" w:sz="6" w:space="0" w:color="auto"/>
            </w:tcBorders>
            <w:shd w:val="clear" w:color="auto" w:fill="FFC000"/>
            <w:vAlign w:val="center"/>
          </w:tcPr>
          <w:p w14:paraId="657CF9DD" w14:textId="22975994"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i/>
                <w:sz w:val="19"/>
                <w:szCs w:val="19"/>
                <w:lang w:val="pt-BR"/>
              </w:rPr>
              <w:t>Ratione loci</w:t>
            </w:r>
          </w:p>
        </w:tc>
        <w:tc>
          <w:tcPr>
            <w:tcW w:w="6750" w:type="dxa"/>
            <w:vAlign w:val="center"/>
          </w:tcPr>
          <w:p w14:paraId="12C931CB" w14:textId="22A4AEC8" w:rsidR="00C32F15" w:rsidRPr="00C32F15" w:rsidRDefault="00C32F15" w:rsidP="00C32F15">
            <w:pPr>
              <w:rPr>
                <w:rFonts w:asciiTheme="majorHAnsi" w:hAnsiTheme="majorHAnsi"/>
                <w:bCs/>
                <w:sz w:val="19"/>
                <w:szCs w:val="19"/>
                <w:lang w:val="pt-BR"/>
              </w:rPr>
            </w:pPr>
            <w:r w:rsidRPr="00C32F15">
              <w:rPr>
                <w:rFonts w:asciiTheme="majorHAnsi" w:hAnsiTheme="majorHAnsi"/>
                <w:bCs/>
                <w:sz w:val="19"/>
                <w:szCs w:val="19"/>
                <w:lang w:val="pt-BR"/>
              </w:rPr>
              <w:t>Sim</w:t>
            </w:r>
          </w:p>
        </w:tc>
      </w:tr>
      <w:tr w:rsidR="00C32F15" w:rsidRPr="00C32F15" w14:paraId="4362FDF3" w14:textId="77777777" w:rsidTr="00C32F15">
        <w:trPr>
          <w:cantSplit/>
        </w:trPr>
        <w:tc>
          <w:tcPr>
            <w:tcW w:w="2610" w:type="dxa"/>
            <w:tcBorders>
              <w:top w:val="single" w:sz="6" w:space="0" w:color="auto"/>
              <w:bottom w:val="single" w:sz="6" w:space="0" w:color="auto"/>
            </w:tcBorders>
            <w:shd w:val="clear" w:color="auto" w:fill="FFC000"/>
            <w:vAlign w:val="center"/>
          </w:tcPr>
          <w:p w14:paraId="0C3220A1" w14:textId="2354568A"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i/>
                <w:sz w:val="19"/>
                <w:szCs w:val="19"/>
                <w:lang w:val="pt-BR"/>
              </w:rPr>
              <w:t>Ratione temporis</w:t>
            </w:r>
          </w:p>
        </w:tc>
        <w:tc>
          <w:tcPr>
            <w:tcW w:w="6750" w:type="dxa"/>
            <w:vAlign w:val="center"/>
          </w:tcPr>
          <w:p w14:paraId="6F8B059B" w14:textId="22D1E4FB" w:rsidR="00C32F15" w:rsidRPr="00C32F15" w:rsidRDefault="00C32F15" w:rsidP="00C32F15">
            <w:pPr>
              <w:rPr>
                <w:rFonts w:asciiTheme="majorHAnsi" w:hAnsiTheme="majorHAnsi"/>
                <w:bCs/>
                <w:sz w:val="19"/>
                <w:szCs w:val="19"/>
                <w:lang w:val="pt-BR"/>
              </w:rPr>
            </w:pPr>
            <w:r w:rsidRPr="00C32F15">
              <w:rPr>
                <w:rFonts w:asciiTheme="majorHAnsi" w:hAnsiTheme="majorHAnsi"/>
                <w:bCs/>
                <w:sz w:val="19"/>
                <w:szCs w:val="19"/>
                <w:lang w:val="pt-BR"/>
              </w:rPr>
              <w:t>Sim</w:t>
            </w:r>
          </w:p>
        </w:tc>
      </w:tr>
      <w:tr w:rsidR="00C32F15" w:rsidRPr="001F7A2A" w14:paraId="30ABEC3E" w14:textId="77777777" w:rsidTr="00C32F15">
        <w:trPr>
          <w:cantSplit/>
        </w:trPr>
        <w:tc>
          <w:tcPr>
            <w:tcW w:w="2610" w:type="dxa"/>
            <w:tcBorders>
              <w:top w:val="single" w:sz="6" w:space="0" w:color="auto"/>
              <w:bottom w:val="single" w:sz="6" w:space="0" w:color="auto"/>
            </w:tcBorders>
            <w:shd w:val="clear" w:color="auto" w:fill="FFC000"/>
            <w:vAlign w:val="center"/>
          </w:tcPr>
          <w:p w14:paraId="6638615F" w14:textId="7588A274"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i/>
                <w:sz w:val="19"/>
                <w:szCs w:val="19"/>
                <w:lang w:val="pt-BR"/>
              </w:rPr>
              <w:t>Ratione materiae</w:t>
            </w:r>
          </w:p>
        </w:tc>
        <w:tc>
          <w:tcPr>
            <w:tcW w:w="6750" w:type="dxa"/>
            <w:vAlign w:val="center"/>
          </w:tcPr>
          <w:p w14:paraId="0C122F44" w14:textId="42A70A1D"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Sim, Convenção Americana (instrumento adotado no dia 25 de setembro de 1992) e Convenção Interamericana para Prevenir e Sancionar a Tortura (instrumento depositado no dia 20 de julho de 1989)</w:t>
            </w:r>
          </w:p>
        </w:tc>
      </w:tr>
    </w:tbl>
    <w:p w14:paraId="4E92C444" w14:textId="70996620" w:rsidR="003239B8" w:rsidRPr="00726341" w:rsidRDefault="003239B8" w:rsidP="00726341">
      <w:pPr>
        <w:spacing w:before="120" w:after="120"/>
        <w:ind w:firstLine="720"/>
        <w:jc w:val="both"/>
        <w:rPr>
          <w:rFonts w:asciiTheme="majorHAnsi" w:hAnsiTheme="majorHAnsi"/>
          <w:b/>
          <w:bCs/>
          <w:sz w:val="20"/>
          <w:szCs w:val="20"/>
          <w:lang w:val="pt-BR"/>
        </w:rPr>
      </w:pPr>
      <w:r w:rsidRPr="00726341">
        <w:rPr>
          <w:rFonts w:asciiTheme="majorHAnsi" w:hAnsiTheme="majorHAnsi"/>
          <w:b/>
          <w:bCs/>
          <w:sz w:val="20"/>
          <w:szCs w:val="20"/>
          <w:lang w:val="pt-BR"/>
        </w:rPr>
        <w:t xml:space="preserve">IV. </w:t>
      </w:r>
      <w:r w:rsidRPr="00726341">
        <w:rPr>
          <w:rFonts w:asciiTheme="majorHAnsi" w:hAnsiTheme="majorHAnsi"/>
          <w:b/>
          <w:bCs/>
          <w:sz w:val="20"/>
          <w:szCs w:val="20"/>
          <w:lang w:val="pt-BR"/>
        </w:rPr>
        <w:tab/>
      </w:r>
      <w:r w:rsidR="00D21316" w:rsidRPr="00726341">
        <w:rPr>
          <w:rFonts w:asciiTheme="majorHAnsi" w:hAnsiTheme="majorHAnsi"/>
          <w:b/>
          <w:bCs/>
          <w:sz w:val="20"/>
          <w:szCs w:val="20"/>
          <w:lang w:val="pt-BR"/>
        </w:rPr>
        <w:t>DUPLICAÇÃO</w:t>
      </w:r>
      <w:r w:rsidR="00EE00E9" w:rsidRPr="00726341">
        <w:rPr>
          <w:rFonts w:asciiTheme="majorHAnsi" w:hAnsiTheme="majorHAnsi"/>
          <w:b/>
          <w:bCs/>
          <w:color w:val="FFFFFF" w:themeColor="background1"/>
          <w:sz w:val="20"/>
          <w:szCs w:val="20"/>
          <w:lang w:val="pt-BR"/>
        </w:rPr>
        <w:t xml:space="preserve"> </w:t>
      </w:r>
      <w:r w:rsidR="00D21316" w:rsidRPr="00726341">
        <w:rPr>
          <w:rFonts w:asciiTheme="majorHAnsi" w:hAnsiTheme="majorHAnsi"/>
          <w:b/>
          <w:bCs/>
          <w:sz w:val="20"/>
          <w:szCs w:val="20"/>
          <w:lang w:val="pt-BR"/>
        </w:rPr>
        <w:t>DE PROCEDIMENTOS E</w:t>
      </w:r>
      <w:r w:rsidR="00EE00E9" w:rsidRPr="00726341">
        <w:rPr>
          <w:rFonts w:asciiTheme="majorHAnsi" w:hAnsiTheme="majorHAnsi"/>
          <w:b/>
          <w:bCs/>
          <w:sz w:val="20"/>
          <w:szCs w:val="20"/>
          <w:lang w:val="pt-BR"/>
        </w:rPr>
        <w:t xml:space="preserve"> CO</w:t>
      </w:r>
      <w:r w:rsidR="00D21316" w:rsidRPr="00726341">
        <w:rPr>
          <w:rFonts w:asciiTheme="majorHAnsi" w:hAnsiTheme="majorHAnsi"/>
          <w:b/>
          <w:bCs/>
          <w:sz w:val="20"/>
          <w:szCs w:val="20"/>
          <w:lang w:val="pt-BR"/>
        </w:rPr>
        <w:t>ISA JUL</w:t>
      </w:r>
      <w:r w:rsidR="00EE00E9" w:rsidRPr="00726341">
        <w:rPr>
          <w:rFonts w:asciiTheme="majorHAnsi" w:hAnsiTheme="majorHAnsi"/>
          <w:b/>
          <w:bCs/>
          <w:sz w:val="20"/>
          <w:szCs w:val="20"/>
          <w:lang w:val="pt-BR"/>
        </w:rPr>
        <w:t>GADA</w:t>
      </w:r>
      <w:r w:rsidR="00EE00E9" w:rsidRPr="00726341">
        <w:rPr>
          <w:rFonts w:asciiTheme="majorHAnsi" w:hAnsiTheme="majorHAnsi"/>
          <w:b/>
          <w:bCs/>
          <w:i/>
          <w:sz w:val="20"/>
          <w:szCs w:val="20"/>
          <w:lang w:val="pt-BR"/>
        </w:rPr>
        <w:t xml:space="preserve"> </w:t>
      </w:r>
      <w:r w:rsidR="00277508" w:rsidRPr="00726341">
        <w:rPr>
          <w:rFonts w:asciiTheme="majorHAnsi" w:hAnsiTheme="majorHAnsi"/>
          <w:b/>
          <w:bCs/>
          <w:sz w:val="20"/>
          <w:szCs w:val="20"/>
          <w:lang w:val="pt-BR"/>
        </w:rPr>
        <w:t>INTERNACIONAL, CARACTERIZAÇÃO</w:t>
      </w:r>
      <w:r w:rsidRPr="00726341">
        <w:rPr>
          <w:rFonts w:asciiTheme="majorHAnsi" w:hAnsiTheme="majorHAnsi"/>
          <w:b/>
          <w:bCs/>
          <w:sz w:val="20"/>
          <w:szCs w:val="20"/>
          <w:lang w:val="pt-BR"/>
        </w:rPr>
        <w:t xml:space="preserve">, </w:t>
      </w:r>
      <w:r w:rsidR="00D21316" w:rsidRPr="00726341">
        <w:rPr>
          <w:rFonts w:asciiTheme="majorHAnsi" w:hAnsiTheme="majorHAnsi"/>
          <w:b/>
          <w:sz w:val="20"/>
          <w:szCs w:val="20"/>
          <w:lang w:val="pt-BR"/>
        </w:rPr>
        <w:t>ESGOTAM</w:t>
      </w:r>
      <w:r w:rsidRPr="00726341">
        <w:rPr>
          <w:rFonts w:asciiTheme="majorHAnsi" w:hAnsiTheme="majorHAnsi"/>
          <w:b/>
          <w:sz w:val="20"/>
          <w:szCs w:val="20"/>
          <w:lang w:val="pt-BR"/>
        </w:rPr>
        <w:t>ENTO D</w:t>
      </w:r>
      <w:r w:rsidR="00D21316" w:rsidRPr="00726341">
        <w:rPr>
          <w:rFonts w:asciiTheme="majorHAnsi" w:hAnsiTheme="majorHAnsi"/>
          <w:b/>
          <w:sz w:val="20"/>
          <w:szCs w:val="20"/>
          <w:lang w:val="pt-BR"/>
        </w:rPr>
        <w:t>OS RECURSOS INTERNOS E PR</w:t>
      </w:r>
      <w:r w:rsidRPr="00726341">
        <w:rPr>
          <w:rFonts w:asciiTheme="majorHAnsi" w:hAnsiTheme="majorHAnsi"/>
          <w:b/>
          <w:sz w:val="20"/>
          <w:szCs w:val="20"/>
          <w:lang w:val="pt-BR"/>
        </w:rPr>
        <w:t xml:space="preserve">AZO DE </w:t>
      </w:r>
      <w:r w:rsidR="00D21316" w:rsidRPr="00726341">
        <w:rPr>
          <w:rFonts w:asciiTheme="majorHAnsi" w:hAnsiTheme="majorHAnsi"/>
          <w:b/>
          <w:sz w:val="20"/>
          <w:szCs w:val="20"/>
          <w:lang w:val="pt-BR"/>
        </w:rPr>
        <w:t>APRESENTAÇÃO</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610"/>
        <w:gridCol w:w="6750"/>
      </w:tblGrid>
      <w:tr w:rsidR="00C32F15" w:rsidRPr="00C32F15" w14:paraId="1231C988" w14:textId="77777777" w:rsidTr="00C32F15">
        <w:trPr>
          <w:cantSplit/>
        </w:trPr>
        <w:tc>
          <w:tcPr>
            <w:tcW w:w="2610" w:type="dxa"/>
            <w:tcBorders>
              <w:top w:val="single" w:sz="4" w:space="0" w:color="auto"/>
              <w:bottom w:val="single" w:sz="6" w:space="0" w:color="auto"/>
            </w:tcBorders>
            <w:shd w:val="clear" w:color="auto" w:fill="FFC000"/>
            <w:vAlign w:val="center"/>
          </w:tcPr>
          <w:p w14:paraId="0D6EAF70" w14:textId="596CFBAC"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Duplicação de coisa julgada internacional</w:t>
            </w:r>
          </w:p>
        </w:tc>
        <w:tc>
          <w:tcPr>
            <w:tcW w:w="6750" w:type="dxa"/>
            <w:vAlign w:val="center"/>
          </w:tcPr>
          <w:p w14:paraId="240941E6" w14:textId="19862D1D"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Não</w:t>
            </w:r>
          </w:p>
        </w:tc>
      </w:tr>
      <w:tr w:rsidR="00C32F15" w:rsidRPr="001F7A2A" w14:paraId="15FAA7D1" w14:textId="77777777" w:rsidTr="00C32F15">
        <w:trPr>
          <w:cantSplit/>
        </w:trPr>
        <w:tc>
          <w:tcPr>
            <w:tcW w:w="2610" w:type="dxa"/>
            <w:tcBorders>
              <w:top w:val="single" w:sz="4" w:space="0" w:color="auto"/>
              <w:bottom w:val="single" w:sz="6" w:space="0" w:color="auto"/>
            </w:tcBorders>
            <w:shd w:val="clear" w:color="auto" w:fill="FFC000"/>
            <w:vAlign w:val="center"/>
          </w:tcPr>
          <w:p w14:paraId="28D000FE" w14:textId="44FFDE75"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Direitos admitidos</w:t>
            </w:r>
          </w:p>
        </w:tc>
        <w:tc>
          <w:tcPr>
            <w:tcW w:w="6750" w:type="dxa"/>
            <w:vAlign w:val="center"/>
          </w:tcPr>
          <w:p w14:paraId="6310C8F7" w14:textId="44F42AF9" w:rsidR="00C32F15" w:rsidRPr="00C32F15" w:rsidRDefault="00C32F15" w:rsidP="00C32F15">
            <w:pPr>
              <w:jc w:val="both"/>
              <w:rPr>
                <w:rFonts w:asciiTheme="majorHAnsi" w:hAnsiTheme="majorHAnsi"/>
                <w:bCs/>
                <w:sz w:val="19"/>
                <w:szCs w:val="19"/>
                <w:lang w:val="pt-BR"/>
              </w:rPr>
            </w:pPr>
            <w:r w:rsidRPr="00C32F15">
              <w:rPr>
                <w:rFonts w:asciiTheme="majorHAnsi" w:hAnsiTheme="majorHAnsi"/>
                <w:bCs/>
                <w:sz w:val="19"/>
                <w:szCs w:val="19"/>
                <w:lang w:val="pt-BR"/>
              </w:rPr>
              <w:t>Artigos 5 (integridade pessoal), 7 (liberdade pessoal), 8 (garantias judiciais), 19 (proteção da infância), 22 (circulação e residência), 24 (igualdade perante a lei) e 25 (proteção judicial), todos concomitantes aos artigos 1.1 (obrigação de respeitar os direitos) e 2 (dever de adotar disposições de direito interno) da Convenção Americana e artigos 1, 6, 8 da Convenção Interamericana para Prevenir e Sancionar a Tortura</w:t>
            </w:r>
          </w:p>
        </w:tc>
      </w:tr>
      <w:tr w:rsidR="00C32F15" w:rsidRPr="00C32F15" w14:paraId="4EFD141E" w14:textId="77777777" w:rsidTr="00C32F15">
        <w:trPr>
          <w:cantSplit/>
        </w:trPr>
        <w:tc>
          <w:tcPr>
            <w:tcW w:w="2610" w:type="dxa"/>
            <w:tcBorders>
              <w:top w:val="single" w:sz="6" w:space="0" w:color="auto"/>
              <w:bottom w:val="single" w:sz="6" w:space="0" w:color="auto"/>
            </w:tcBorders>
            <w:shd w:val="clear" w:color="auto" w:fill="FFC000"/>
            <w:vAlign w:val="center"/>
          </w:tcPr>
          <w:p w14:paraId="268DCCDB" w14:textId="27061AB4"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Esgotamento de recursos ou procedência de uma exceção</w:t>
            </w:r>
          </w:p>
        </w:tc>
        <w:tc>
          <w:tcPr>
            <w:tcW w:w="6750" w:type="dxa"/>
            <w:vAlign w:val="center"/>
          </w:tcPr>
          <w:p w14:paraId="69C53E8A" w14:textId="5ED13F1C" w:rsidR="00C32F15" w:rsidRPr="00C32F15" w:rsidRDefault="00C32F15" w:rsidP="00C32F15">
            <w:pPr>
              <w:rPr>
                <w:rFonts w:asciiTheme="majorHAnsi" w:hAnsiTheme="majorHAnsi"/>
                <w:bCs/>
                <w:sz w:val="19"/>
                <w:szCs w:val="19"/>
                <w:lang w:val="pt-BR"/>
              </w:rPr>
            </w:pPr>
            <w:r w:rsidRPr="00C32F15">
              <w:rPr>
                <w:rFonts w:asciiTheme="majorHAnsi" w:hAnsiTheme="majorHAnsi"/>
                <w:bCs/>
                <w:sz w:val="19"/>
                <w:szCs w:val="19"/>
                <w:lang w:val="pt-BR"/>
              </w:rPr>
              <w:t>Sim</w:t>
            </w:r>
          </w:p>
        </w:tc>
      </w:tr>
      <w:tr w:rsidR="00C32F15" w:rsidRPr="00C32F15" w14:paraId="52B5BA17" w14:textId="77777777" w:rsidTr="00C32F15">
        <w:trPr>
          <w:cantSplit/>
        </w:trPr>
        <w:tc>
          <w:tcPr>
            <w:tcW w:w="2610" w:type="dxa"/>
            <w:tcBorders>
              <w:top w:val="single" w:sz="6" w:space="0" w:color="auto"/>
              <w:bottom w:val="single" w:sz="6" w:space="0" w:color="auto"/>
            </w:tcBorders>
            <w:shd w:val="clear" w:color="auto" w:fill="FFC000"/>
            <w:vAlign w:val="center"/>
          </w:tcPr>
          <w:p w14:paraId="684BE527" w14:textId="303B29F5" w:rsidR="00C32F15" w:rsidRPr="00C32F15" w:rsidRDefault="00C32F15" w:rsidP="00C32F15">
            <w:pPr>
              <w:jc w:val="center"/>
              <w:rPr>
                <w:rFonts w:asciiTheme="majorHAnsi" w:hAnsiTheme="majorHAnsi"/>
                <w:b/>
                <w:bCs/>
                <w:sz w:val="19"/>
                <w:szCs w:val="19"/>
                <w:lang w:val="pt-BR"/>
              </w:rPr>
            </w:pPr>
            <w:r w:rsidRPr="00C32F15">
              <w:rPr>
                <w:rFonts w:asciiTheme="majorHAnsi" w:hAnsiTheme="majorHAnsi"/>
                <w:bCs/>
                <w:sz w:val="19"/>
                <w:szCs w:val="19"/>
                <w:lang w:val="pt-BR"/>
              </w:rPr>
              <w:t>Apresentação dentro do prazo</w:t>
            </w:r>
          </w:p>
        </w:tc>
        <w:tc>
          <w:tcPr>
            <w:tcW w:w="6750" w:type="dxa"/>
            <w:vAlign w:val="center"/>
          </w:tcPr>
          <w:p w14:paraId="4A2A4569" w14:textId="1C6F09D6" w:rsidR="00C32F15" w:rsidRPr="00C32F15" w:rsidRDefault="00C32F15" w:rsidP="00C32F15">
            <w:pPr>
              <w:rPr>
                <w:rFonts w:asciiTheme="majorHAnsi" w:hAnsiTheme="majorHAnsi"/>
                <w:bCs/>
                <w:sz w:val="19"/>
                <w:szCs w:val="19"/>
                <w:lang w:val="pt-BR"/>
              </w:rPr>
            </w:pPr>
            <w:r w:rsidRPr="00C32F15">
              <w:rPr>
                <w:rFonts w:asciiTheme="majorHAnsi" w:hAnsiTheme="majorHAnsi"/>
                <w:sz w:val="19"/>
                <w:szCs w:val="19"/>
                <w:lang w:val="pt-BR"/>
              </w:rPr>
              <w:t>Sim, 18 de março de 2009</w:t>
            </w:r>
          </w:p>
        </w:tc>
      </w:tr>
    </w:tbl>
    <w:p w14:paraId="0EA6E368" w14:textId="77777777" w:rsidR="00C32F15" w:rsidRDefault="00C32F15" w:rsidP="00726341">
      <w:pPr>
        <w:spacing w:before="120" w:after="120"/>
        <w:ind w:firstLine="720"/>
        <w:jc w:val="both"/>
        <w:rPr>
          <w:rFonts w:asciiTheme="majorHAnsi" w:hAnsiTheme="majorHAnsi"/>
          <w:b/>
          <w:sz w:val="20"/>
          <w:szCs w:val="20"/>
          <w:lang w:val="pt-BR"/>
        </w:rPr>
      </w:pPr>
    </w:p>
    <w:p w14:paraId="18E6423B" w14:textId="016EB1C7" w:rsidR="003239B8" w:rsidRPr="00726341" w:rsidRDefault="00223A29" w:rsidP="00726341">
      <w:pPr>
        <w:spacing w:before="120" w:after="120"/>
        <w:ind w:firstLine="720"/>
        <w:jc w:val="both"/>
        <w:rPr>
          <w:rFonts w:asciiTheme="majorHAnsi" w:hAnsiTheme="majorHAnsi"/>
          <w:b/>
          <w:sz w:val="20"/>
          <w:szCs w:val="20"/>
          <w:lang w:val="pt-BR"/>
        </w:rPr>
      </w:pPr>
      <w:r w:rsidRPr="00726341">
        <w:rPr>
          <w:rFonts w:asciiTheme="majorHAnsi" w:hAnsiTheme="majorHAnsi"/>
          <w:b/>
          <w:sz w:val="20"/>
          <w:szCs w:val="20"/>
          <w:lang w:val="pt-BR"/>
        </w:rPr>
        <w:lastRenderedPageBreak/>
        <w:t xml:space="preserve">V. </w:t>
      </w:r>
      <w:r w:rsidRPr="00726341">
        <w:rPr>
          <w:rFonts w:asciiTheme="majorHAnsi" w:hAnsiTheme="majorHAnsi"/>
          <w:b/>
          <w:sz w:val="20"/>
          <w:szCs w:val="20"/>
          <w:lang w:val="pt-BR"/>
        </w:rPr>
        <w:tab/>
      </w:r>
      <w:r w:rsidR="00C32F15" w:rsidRPr="003B1F09">
        <w:rPr>
          <w:rFonts w:asciiTheme="majorHAnsi" w:hAnsiTheme="majorHAnsi"/>
          <w:b/>
          <w:sz w:val="19"/>
          <w:szCs w:val="19"/>
          <w:lang w:val="pt-BR"/>
        </w:rPr>
        <w:t>RESUMO DOS FATOS ALEGADOS</w:t>
      </w:r>
    </w:p>
    <w:p w14:paraId="54878D86" w14:textId="1F9C32FD" w:rsidR="00A11E44" w:rsidRPr="00726341" w:rsidRDefault="00595CC8" w:rsidP="00595C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bCs/>
          <w:sz w:val="20"/>
          <w:szCs w:val="20"/>
          <w:lang w:val="pt-BR"/>
        </w:rPr>
        <w:t>A parte peticionária alega</w:t>
      </w:r>
      <w:r w:rsidR="00C532B9" w:rsidRPr="00726341">
        <w:rPr>
          <w:rFonts w:asciiTheme="majorHAnsi" w:hAnsiTheme="majorHAnsi"/>
          <w:bCs/>
          <w:sz w:val="20"/>
          <w:szCs w:val="20"/>
          <w:lang w:val="pt-BR"/>
        </w:rPr>
        <w:t xml:space="preserve"> </w:t>
      </w:r>
      <w:r w:rsidR="00A8408D" w:rsidRPr="00726341">
        <w:rPr>
          <w:rFonts w:asciiTheme="majorHAnsi" w:hAnsiTheme="majorHAnsi"/>
          <w:bCs/>
          <w:sz w:val="20"/>
          <w:szCs w:val="20"/>
          <w:lang w:val="pt-BR"/>
        </w:rPr>
        <w:t xml:space="preserve">que o adolescente </w:t>
      </w:r>
      <w:r w:rsidR="007268DC">
        <w:rPr>
          <w:rFonts w:asciiTheme="majorHAnsi" w:hAnsiTheme="majorHAnsi"/>
          <w:bCs/>
          <w:sz w:val="20"/>
          <w:szCs w:val="20"/>
          <w:lang w:val="pt-BR"/>
        </w:rPr>
        <w:t>Jos</w:t>
      </w:r>
      <w:r w:rsidR="001049EE">
        <w:rPr>
          <w:rFonts w:asciiTheme="majorHAnsi" w:hAnsiTheme="majorHAnsi"/>
          <w:bCs/>
          <w:sz w:val="20"/>
          <w:szCs w:val="20"/>
          <w:lang w:val="pt-BR"/>
        </w:rPr>
        <w:t>é Rafael Bre</w:t>
      </w:r>
      <w:r w:rsidR="007268DC">
        <w:rPr>
          <w:rFonts w:asciiTheme="majorHAnsi" w:hAnsiTheme="majorHAnsi"/>
          <w:bCs/>
          <w:sz w:val="20"/>
          <w:szCs w:val="20"/>
          <w:lang w:val="pt-BR"/>
        </w:rPr>
        <w:t>zer</w:t>
      </w:r>
      <w:r w:rsidR="007268DC" w:rsidRPr="00726341">
        <w:rPr>
          <w:rFonts w:asciiTheme="majorHAnsi" w:hAnsiTheme="majorHAnsi"/>
          <w:bCs/>
          <w:sz w:val="20"/>
          <w:szCs w:val="20"/>
          <w:lang w:val="pt-BR"/>
        </w:rPr>
        <w:t xml:space="preserve"> </w:t>
      </w:r>
      <w:r w:rsidR="00C513EA" w:rsidRPr="00726341">
        <w:rPr>
          <w:rFonts w:asciiTheme="majorHAnsi" w:hAnsiTheme="majorHAnsi"/>
          <w:bCs/>
          <w:sz w:val="20"/>
          <w:szCs w:val="20"/>
          <w:lang w:val="pt-BR"/>
        </w:rPr>
        <w:t>(adiante “suposta vítima”)</w:t>
      </w:r>
      <w:r w:rsidR="00B53CCC" w:rsidRPr="00726341">
        <w:rPr>
          <w:rFonts w:asciiTheme="majorHAnsi" w:hAnsiTheme="majorHAnsi"/>
          <w:bCs/>
          <w:sz w:val="20"/>
          <w:szCs w:val="20"/>
          <w:lang w:val="pt-BR"/>
        </w:rPr>
        <w:t xml:space="preserve">, </w:t>
      </w:r>
      <w:r w:rsidR="008C02D4" w:rsidRPr="00726341">
        <w:rPr>
          <w:rFonts w:asciiTheme="majorHAnsi" w:hAnsiTheme="majorHAnsi"/>
          <w:bCs/>
          <w:sz w:val="20"/>
          <w:szCs w:val="20"/>
          <w:lang w:val="pt-BR"/>
        </w:rPr>
        <w:t>com 15 anos</w:t>
      </w:r>
      <w:r w:rsidR="00B53CCC" w:rsidRPr="00726341">
        <w:rPr>
          <w:rFonts w:asciiTheme="majorHAnsi" w:hAnsiTheme="majorHAnsi"/>
          <w:bCs/>
          <w:sz w:val="20"/>
          <w:szCs w:val="20"/>
          <w:lang w:val="pt-BR"/>
        </w:rPr>
        <w:t xml:space="preserve"> à época dos fatos,</w:t>
      </w:r>
      <w:r w:rsidR="00A8408D" w:rsidRPr="00726341">
        <w:rPr>
          <w:rFonts w:asciiTheme="majorHAnsi" w:hAnsiTheme="majorHAnsi"/>
          <w:bCs/>
          <w:sz w:val="20"/>
          <w:szCs w:val="20"/>
          <w:lang w:val="pt-BR"/>
        </w:rPr>
        <w:t xml:space="preserve"> </w:t>
      </w:r>
      <w:r w:rsidR="00D66CD4" w:rsidRPr="00726341">
        <w:rPr>
          <w:rFonts w:asciiTheme="majorHAnsi" w:hAnsiTheme="majorHAnsi"/>
          <w:bCs/>
          <w:sz w:val="20"/>
          <w:szCs w:val="20"/>
          <w:lang w:val="pt-BR"/>
        </w:rPr>
        <w:t>foi falsamente acusado</w:t>
      </w:r>
      <w:r w:rsidR="00EC1559" w:rsidRPr="00726341">
        <w:rPr>
          <w:rFonts w:asciiTheme="majorHAnsi" w:hAnsiTheme="majorHAnsi"/>
          <w:bCs/>
          <w:sz w:val="20"/>
          <w:szCs w:val="20"/>
          <w:lang w:val="pt-BR"/>
        </w:rPr>
        <w:t xml:space="preserve">, </w:t>
      </w:r>
      <w:r w:rsidR="00D66CD4" w:rsidRPr="00726341">
        <w:rPr>
          <w:rFonts w:asciiTheme="majorHAnsi" w:hAnsiTheme="majorHAnsi"/>
          <w:bCs/>
          <w:sz w:val="20"/>
          <w:szCs w:val="20"/>
          <w:lang w:val="pt-BR"/>
        </w:rPr>
        <w:t xml:space="preserve">sequestrado e torturado </w:t>
      </w:r>
      <w:r w:rsidRPr="00726341">
        <w:rPr>
          <w:rFonts w:asciiTheme="majorHAnsi" w:hAnsiTheme="majorHAnsi"/>
          <w:bCs/>
          <w:sz w:val="20"/>
          <w:szCs w:val="20"/>
          <w:lang w:val="pt-BR"/>
        </w:rPr>
        <w:t>por particulares e agentes de segurança pública do Estado de São Paulo.</w:t>
      </w:r>
      <w:r w:rsidRPr="00726341">
        <w:rPr>
          <w:rFonts w:asciiTheme="majorHAnsi" w:hAnsiTheme="majorHAnsi"/>
          <w:sz w:val="20"/>
          <w:szCs w:val="20"/>
          <w:lang w:val="pt-BR"/>
        </w:rPr>
        <w:t xml:space="preserve"> </w:t>
      </w:r>
      <w:r w:rsidR="005F0223" w:rsidRPr="00726341">
        <w:rPr>
          <w:rFonts w:asciiTheme="majorHAnsi" w:hAnsiTheme="majorHAnsi"/>
          <w:bCs/>
          <w:sz w:val="20"/>
          <w:szCs w:val="20"/>
          <w:lang w:val="pt-BR"/>
        </w:rPr>
        <w:t>To</w:t>
      </w:r>
      <w:r w:rsidR="006D4495" w:rsidRPr="00726341">
        <w:rPr>
          <w:rFonts w:asciiTheme="majorHAnsi" w:hAnsiTheme="majorHAnsi"/>
          <w:bCs/>
          <w:sz w:val="20"/>
          <w:szCs w:val="20"/>
          <w:lang w:val="pt-BR"/>
        </w:rPr>
        <w:t>dos</w:t>
      </w:r>
      <w:r w:rsidR="005F0223" w:rsidRPr="00726341">
        <w:rPr>
          <w:rFonts w:asciiTheme="majorHAnsi" w:hAnsiTheme="majorHAnsi"/>
          <w:bCs/>
          <w:sz w:val="20"/>
          <w:szCs w:val="20"/>
          <w:lang w:val="pt-BR"/>
        </w:rPr>
        <w:t xml:space="preserve"> os envolvidos nos fatos teriam sido</w:t>
      </w:r>
      <w:r w:rsidR="006D4495" w:rsidRPr="00726341">
        <w:rPr>
          <w:rFonts w:asciiTheme="majorHAnsi" w:hAnsiTheme="majorHAnsi"/>
          <w:bCs/>
          <w:sz w:val="20"/>
          <w:szCs w:val="20"/>
          <w:lang w:val="pt-BR"/>
        </w:rPr>
        <w:t xml:space="preserve"> absolvidos </w:t>
      </w:r>
      <w:r w:rsidR="00B53CCC" w:rsidRPr="00726341">
        <w:rPr>
          <w:rFonts w:asciiTheme="majorHAnsi" w:hAnsiTheme="majorHAnsi"/>
          <w:bCs/>
          <w:sz w:val="20"/>
          <w:szCs w:val="20"/>
          <w:lang w:val="pt-BR"/>
        </w:rPr>
        <w:t>em processos alegadamente parciais</w:t>
      </w:r>
      <w:r w:rsidR="00D2206F" w:rsidRPr="00726341">
        <w:rPr>
          <w:rFonts w:asciiTheme="majorHAnsi" w:hAnsiTheme="majorHAnsi"/>
          <w:bCs/>
          <w:sz w:val="20"/>
          <w:szCs w:val="20"/>
          <w:lang w:val="pt-BR"/>
        </w:rPr>
        <w:t xml:space="preserve">, </w:t>
      </w:r>
      <w:r w:rsidR="00B53CCC" w:rsidRPr="00726341">
        <w:rPr>
          <w:rFonts w:asciiTheme="majorHAnsi" w:hAnsiTheme="majorHAnsi"/>
          <w:bCs/>
          <w:sz w:val="20"/>
          <w:szCs w:val="20"/>
          <w:lang w:val="pt-BR"/>
        </w:rPr>
        <w:t>que geraram</w:t>
      </w:r>
      <w:r w:rsidR="006D4495" w:rsidRPr="00726341">
        <w:rPr>
          <w:rFonts w:asciiTheme="majorHAnsi" w:hAnsiTheme="majorHAnsi"/>
          <w:bCs/>
          <w:sz w:val="20"/>
          <w:szCs w:val="20"/>
          <w:lang w:val="pt-BR"/>
        </w:rPr>
        <w:t xml:space="preserve"> impunidade e graves sequelas à suposta vítima e sua família.</w:t>
      </w:r>
    </w:p>
    <w:p w14:paraId="02A26FBB" w14:textId="575EC36C" w:rsidR="00A8408D" w:rsidRPr="00726341" w:rsidRDefault="00D52212" w:rsidP="00757F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bCs/>
          <w:sz w:val="20"/>
          <w:szCs w:val="20"/>
          <w:lang w:val="pt-BR"/>
        </w:rPr>
        <w:t>A</w:t>
      </w:r>
      <w:r w:rsidR="00757FAB" w:rsidRPr="00726341">
        <w:rPr>
          <w:rFonts w:asciiTheme="majorHAnsi" w:hAnsiTheme="majorHAnsi"/>
          <w:bCs/>
          <w:sz w:val="20"/>
          <w:szCs w:val="20"/>
          <w:lang w:val="pt-BR"/>
        </w:rPr>
        <w:t>s peticionári</w:t>
      </w:r>
      <w:r w:rsidRPr="00726341">
        <w:rPr>
          <w:rFonts w:asciiTheme="majorHAnsi" w:hAnsiTheme="majorHAnsi"/>
          <w:bCs/>
          <w:sz w:val="20"/>
          <w:szCs w:val="20"/>
          <w:lang w:val="pt-BR"/>
        </w:rPr>
        <w:t>a</w:t>
      </w:r>
      <w:r w:rsidR="00757FAB" w:rsidRPr="00726341">
        <w:rPr>
          <w:rFonts w:asciiTheme="majorHAnsi" w:hAnsiTheme="majorHAnsi"/>
          <w:bCs/>
          <w:sz w:val="20"/>
          <w:szCs w:val="20"/>
          <w:lang w:val="pt-BR"/>
        </w:rPr>
        <w:t>s afirmam</w:t>
      </w:r>
      <w:r w:rsidR="00A8408D" w:rsidRPr="00726341">
        <w:rPr>
          <w:rFonts w:asciiTheme="majorHAnsi" w:hAnsiTheme="majorHAnsi"/>
          <w:bCs/>
          <w:sz w:val="20"/>
          <w:szCs w:val="20"/>
          <w:lang w:val="pt-BR"/>
        </w:rPr>
        <w:t xml:space="preserve"> que no dia 12 de julho de 1997, </w:t>
      </w:r>
      <w:r w:rsidR="000D3A9D" w:rsidRPr="00726341">
        <w:rPr>
          <w:rFonts w:asciiTheme="majorHAnsi" w:hAnsiTheme="majorHAnsi"/>
          <w:bCs/>
          <w:sz w:val="20"/>
          <w:szCs w:val="20"/>
          <w:lang w:val="pt-BR"/>
        </w:rPr>
        <w:t>a suposta vítima foi falsamente acusada de receptar joias da fam</w:t>
      </w:r>
      <w:r w:rsidR="00E467A2" w:rsidRPr="00726341">
        <w:rPr>
          <w:rFonts w:asciiTheme="majorHAnsi" w:hAnsiTheme="majorHAnsi"/>
          <w:bCs/>
          <w:sz w:val="20"/>
          <w:szCs w:val="20"/>
          <w:lang w:val="pt-BR"/>
        </w:rPr>
        <w:t>ília do advogado</w:t>
      </w:r>
      <w:r w:rsidR="000D3A9D" w:rsidRPr="00726341">
        <w:rPr>
          <w:rFonts w:asciiTheme="majorHAnsi" w:hAnsiTheme="majorHAnsi"/>
          <w:bCs/>
          <w:sz w:val="20"/>
          <w:szCs w:val="20"/>
          <w:lang w:val="pt-BR"/>
        </w:rPr>
        <w:t xml:space="preserve"> José Rubens do Amaral Lincoln</w:t>
      </w:r>
      <w:r w:rsidR="00E467A2" w:rsidRPr="00726341">
        <w:rPr>
          <w:rFonts w:asciiTheme="majorHAnsi" w:hAnsiTheme="majorHAnsi"/>
          <w:bCs/>
          <w:sz w:val="20"/>
          <w:szCs w:val="20"/>
          <w:lang w:val="pt-BR"/>
        </w:rPr>
        <w:t xml:space="preserve"> (adiante “Sr. Lincoln</w:t>
      </w:r>
      <w:r w:rsidR="00E92452" w:rsidRPr="00726341">
        <w:rPr>
          <w:rFonts w:asciiTheme="majorHAnsi" w:hAnsiTheme="majorHAnsi"/>
          <w:bCs/>
          <w:sz w:val="20"/>
          <w:szCs w:val="20"/>
          <w:lang w:val="pt-BR"/>
        </w:rPr>
        <w:t>”)</w:t>
      </w:r>
      <w:r w:rsidR="00757FAB" w:rsidRPr="00726341">
        <w:rPr>
          <w:rFonts w:asciiTheme="majorHAnsi" w:hAnsiTheme="majorHAnsi"/>
          <w:bCs/>
          <w:sz w:val="20"/>
          <w:szCs w:val="20"/>
          <w:lang w:val="pt-BR"/>
        </w:rPr>
        <w:t xml:space="preserve">. Em razão dessa acusação, </w:t>
      </w:r>
      <w:r w:rsidR="007268DC">
        <w:rPr>
          <w:rFonts w:asciiTheme="majorHAnsi" w:hAnsiTheme="majorHAnsi"/>
          <w:bCs/>
          <w:sz w:val="20"/>
          <w:szCs w:val="20"/>
          <w:lang w:val="pt-BR"/>
        </w:rPr>
        <w:t>Jos</w:t>
      </w:r>
      <w:r w:rsidR="001049EE">
        <w:rPr>
          <w:rFonts w:asciiTheme="majorHAnsi" w:hAnsiTheme="majorHAnsi"/>
          <w:bCs/>
          <w:sz w:val="20"/>
          <w:szCs w:val="20"/>
          <w:lang w:val="pt-BR"/>
        </w:rPr>
        <w:t>é Rafael Bre</w:t>
      </w:r>
      <w:r w:rsidR="007268DC">
        <w:rPr>
          <w:rFonts w:asciiTheme="majorHAnsi" w:hAnsiTheme="majorHAnsi"/>
          <w:bCs/>
          <w:sz w:val="20"/>
          <w:szCs w:val="20"/>
          <w:lang w:val="pt-BR"/>
        </w:rPr>
        <w:t>zer</w:t>
      </w:r>
      <w:r w:rsidR="00527FCF" w:rsidRPr="00726341">
        <w:rPr>
          <w:rFonts w:asciiTheme="majorHAnsi" w:hAnsiTheme="majorHAnsi"/>
          <w:bCs/>
          <w:sz w:val="20"/>
          <w:szCs w:val="20"/>
          <w:lang w:val="pt-BR"/>
        </w:rPr>
        <w:t xml:space="preserve"> </w:t>
      </w:r>
      <w:r w:rsidR="00757FAB" w:rsidRPr="00726341">
        <w:rPr>
          <w:rFonts w:asciiTheme="majorHAnsi" w:hAnsiTheme="majorHAnsi"/>
          <w:bCs/>
          <w:sz w:val="20"/>
          <w:szCs w:val="20"/>
          <w:lang w:val="pt-BR"/>
        </w:rPr>
        <w:t xml:space="preserve">foi sequestrado, </w:t>
      </w:r>
      <w:r w:rsidR="00D2206F" w:rsidRPr="00726341">
        <w:rPr>
          <w:rFonts w:asciiTheme="majorHAnsi" w:hAnsiTheme="majorHAnsi"/>
          <w:bCs/>
          <w:sz w:val="20"/>
          <w:szCs w:val="20"/>
          <w:lang w:val="pt-BR"/>
        </w:rPr>
        <w:t xml:space="preserve">mantido </w:t>
      </w:r>
      <w:r w:rsidR="00757FAB" w:rsidRPr="00726341">
        <w:rPr>
          <w:rFonts w:asciiTheme="majorHAnsi" w:hAnsiTheme="majorHAnsi"/>
          <w:bCs/>
          <w:sz w:val="20"/>
          <w:szCs w:val="20"/>
          <w:lang w:val="pt-BR"/>
        </w:rPr>
        <w:t>arbitrariamente</w:t>
      </w:r>
      <w:r w:rsidR="00D2206F" w:rsidRPr="00726341">
        <w:rPr>
          <w:rFonts w:asciiTheme="majorHAnsi" w:hAnsiTheme="majorHAnsi"/>
          <w:bCs/>
          <w:sz w:val="20"/>
          <w:szCs w:val="20"/>
          <w:lang w:val="pt-BR"/>
        </w:rPr>
        <w:t xml:space="preserve"> preso</w:t>
      </w:r>
      <w:r w:rsidR="00757FAB" w:rsidRPr="00726341">
        <w:rPr>
          <w:rFonts w:asciiTheme="majorHAnsi" w:hAnsiTheme="majorHAnsi"/>
          <w:bCs/>
          <w:sz w:val="20"/>
          <w:szCs w:val="20"/>
          <w:lang w:val="pt-BR"/>
        </w:rPr>
        <w:t xml:space="preserve"> em uma chácara, algemado, ameaçado </w:t>
      </w:r>
      <w:r w:rsidR="000E3B66" w:rsidRPr="00726341">
        <w:rPr>
          <w:rFonts w:asciiTheme="majorHAnsi" w:hAnsiTheme="majorHAnsi"/>
          <w:bCs/>
          <w:sz w:val="20"/>
          <w:szCs w:val="20"/>
          <w:lang w:val="pt-BR"/>
        </w:rPr>
        <w:t xml:space="preserve">de morte </w:t>
      </w:r>
      <w:r w:rsidR="00757FAB" w:rsidRPr="00726341">
        <w:rPr>
          <w:rFonts w:asciiTheme="majorHAnsi" w:hAnsiTheme="majorHAnsi"/>
          <w:bCs/>
          <w:sz w:val="20"/>
          <w:szCs w:val="20"/>
          <w:lang w:val="pt-BR"/>
        </w:rPr>
        <w:t>com</w:t>
      </w:r>
      <w:r w:rsidR="000E3B66" w:rsidRPr="00726341">
        <w:rPr>
          <w:rFonts w:asciiTheme="majorHAnsi" w:hAnsiTheme="majorHAnsi"/>
          <w:bCs/>
          <w:sz w:val="20"/>
          <w:szCs w:val="20"/>
          <w:lang w:val="pt-BR"/>
        </w:rPr>
        <w:t xml:space="preserve"> uma</w:t>
      </w:r>
      <w:r w:rsidR="00757FAB" w:rsidRPr="00726341">
        <w:rPr>
          <w:rFonts w:asciiTheme="majorHAnsi" w:hAnsiTheme="majorHAnsi"/>
          <w:bCs/>
          <w:sz w:val="20"/>
          <w:szCs w:val="20"/>
          <w:lang w:val="pt-BR"/>
        </w:rPr>
        <w:t xml:space="preserve"> arma de fogo e violentado fisicamente pelo Sr. Lincoln, </w:t>
      </w:r>
      <w:r w:rsidR="003F6717">
        <w:rPr>
          <w:rFonts w:asciiTheme="majorHAnsi" w:hAnsiTheme="majorHAnsi"/>
          <w:bCs/>
          <w:sz w:val="20"/>
          <w:szCs w:val="20"/>
          <w:lang w:val="pt-BR"/>
        </w:rPr>
        <w:t>pel</w:t>
      </w:r>
      <w:r w:rsidR="00757FAB" w:rsidRPr="00726341">
        <w:rPr>
          <w:rFonts w:asciiTheme="majorHAnsi" w:hAnsiTheme="majorHAnsi"/>
          <w:bCs/>
          <w:sz w:val="20"/>
          <w:szCs w:val="20"/>
          <w:lang w:val="pt-BR"/>
        </w:rPr>
        <w:t>a investigadora de polícia Maria da Graça Lincoln Rezende (</w:t>
      </w:r>
      <w:r w:rsidR="00D2206F" w:rsidRPr="00726341">
        <w:rPr>
          <w:rFonts w:asciiTheme="majorHAnsi" w:hAnsiTheme="majorHAnsi"/>
          <w:bCs/>
          <w:sz w:val="20"/>
          <w:szCs w:val="20"/>
          <w:lang w:val="pt-BR"/>
        </w:rPr>
        <w:t>sua irmã</w:t>
      </w:r>
      <w:r w:rsidR="003F6717">
        <w:rPr>
          <w:rFonts w:asciiTheme="majorHAnsi" w:hAnsiTheme="majorHAnsi"/>
          <w:bCs/>
          <w:sz w:val="20"/>
          <w:szCs w:val="20"/>
          <w:lang w:val="pt-BR"/>
        </w:rPr>
        <w:t>) e pelo</w:t>
      </w:r>
      <w:r w:rsidR="00757FAB" w:rsidRPr="00726341">
        <w:rPr>
          <w:rFonts w:asciiTheme="majorHAnsi" w:hAnsiTheme="majorHAnsi"/>
          <w:bCs/>
          <w:sz w:val="20"/>
          <w:szCs w:val="20"/>
          <w:lang w:val="pt-BR"/>
        </w:rPr>
        <w:t xml:space="preserve"> </w:t>
      </w:r>
      <w:r w:rsidR="005F0223" w:rsidRPr="00726341">
        <w:rPr>
          <w:rFonts w:asciiTheme="majorHAnsi" w:hAnsiTheme="majorHAnsi"/>
          <w:bCs/>
          <w:sz w:val="20"/>
          <w:szCs w:val="20"/>
          <w:lang w:val="pt-BR"/>
        </w:rPr>
        <w:t xml:space="preserve">também </w:t>
      </w:r>
      <w:r w:rsidR="00757FAB" w:rsidRPr="00726341">
        <w:rPr>
          <w:rFonts w:asciiTheme="majorHAnsi" w:hAnsiTheme="majorHAnsi"/>
          <w:bCs/>
          <w:sz w:val="20"/>
          <w:szCs w:val="20"/>
          <w:lang w:val="pt-BR"/>
        </w:rPr>
        <w:t>investigador de polícia Oséias Rosa.</w:t>
      </w:r>
      <w:r w:rsidR="00D758A3" w:rsidRPr="00726341">
        <w:rPr>
          <w:rFonts w:asciiTheme="majorHAnsi" w:hAnsiTheme="majorHAnsi"/>
          <w:bCs/>
          <w:sz w:val="20"/>
          <w:szCs w:val="20"/>
          <w:lang w:val="pt-BR"/>
        </w:rPr>
        <w:t xml:space="preserve"> R</w:t>
      </w:r>
      <w:r w:rsidR="00E1032E" w:rsidRPr="00726341">
        <w:rPr>
          <w:rFonts w:asciiTheme="majorHAnsi" w:hAnsiTheme="majorHAnsi"/>
          <w:bCs/>
          <w:sz w:val="20"/>
          <w:szCs w:val="20"/>
          <w:lang w:val="pt-BR"/>
        </w:rPr>
        <w:t>essaltam que a detenção f</w:t>
      </w:r>
      <w:r w:rsidR="00B64B94">
        <w:rPr>
          <w:rFonts w:asciiTheme="majorHAnsi" w:hAnsiTheme="majorHAnsi"/>
          <w:bCs/>
          <w:sz w:val="20"/>
          <w:szCs w:val="20"/>
          <w:lang w:val="pt-BR"/>
        </w:rPr>
        <w:t>oi realizada sem ordem judicial e que</w:t>
      </w:r>
      <w:r w:rsidR="00D2206F" w:rsidRPr="00726341">
        <w:rPr>
          <w:rFonts w:asciiTheme="majorHAnsi" w:hAnsiTheme="majorHAnsi"/>
          <w:bCs/>
          <w:sz w:val="20"/>
          <w:szCs w:val="20"/>
          <w:lang w:val="pt-BR"/>
        </w:rPr>
        <w:t xml:space="preserve"> o</w:t>
      </w:r>
      <w:r w:rsidR="00757FAB" w:rsidRPr="00726341">
        <w:rPr>
          <w:rFonts w:asciiTheme="majorHAnsi" w:hAnsiTheme="majorHAnsi"/>
          <w:bCs/>
          <w:sz w:val="20"/>
          <w:szCs w:val="20"/>
          <w:lang w:val="pt-BR"/>
        </w:rPr>
        <w:t xml:space="preserve"> </w:t>
      </w:r>
      <w:r w:rsidR="000D3A9D" w:rsidRPr="00726341">
        <w:rPr>
          <w:rFonts w:asciiTheme="majorHAnsi" w:hAnsiTheme="majorHAnsi"/>
          <w:bCs/>
          <w:sz w:val="20"/>
          <w:szCs w:val="20"/>
          <w:lang w:val="pt-BR"/>
        </w:rPr>
        <w:t>objetivo era obter a localização das joias</w:t>
      </w:r>
      <w:r w:rsidR="004E78C9" w:rsidRPr="00726341">
        <w:rPr>
          <w:rFonts w:asciiTheme="majorHAnsi" w:hAnsiTheme="majorHAnsi"/>
          <w:bCs/>
          <w:sz w:val="20"/>
          <w:szCs w:val="20"/>
          <w:lang w:val="pt-BR"/>
        </w:rPr>
        <w:t xml:space="preserve"> vendidas </w:t>
      </w:r>
      <w:r w:rsidR="00D758A3" w:rsidRPr="00726341">
        <w:rPr>
          <w:rFonts w:asciiTheme="majorHAnsi" w:hAnsiTheme="majorHAnsi"/>
          <w:bCs/>
          <w:sz w:val="20"/>
          <w:szCs w:val="20"/>
          <w:lang w:val="pt-BR"/>
        </w:rPr>
        <w:t>à suposta vítima</w:t>
      </w:r>
      <w:r w:rsidR="004E78C9" w:rsidRPr="00726341">
        <w:rPr>
          <w:rFonts w:asciiTheme="majorHAnsi" w:hAnsiTheme="majorHAnsi"/>
          <w:bCs/>
          <w:sz w:val="20"/>
          <w:szCs w:val="20"/>
          <w:lang w:val="pt-BR"/>
        </w:rPr>
        <w:t xml:space="preserve"> </w:t>
      </w:r>
      <w:r w:rsidR="001C151D" w:rsidRPr="00726341">
        <w:rPr>
          <w:rFonts w:asciiTheme="majorHAnsi" w:hAnsiTheme="majorHAnsi"/>
          <w:bCs/>
          <w:sz w:val="20"/>
          <w:szCs w:val="20"/>
          <w:lang w:val="pt-BR"/>
        </w:rPr>
        <w:t>pelo filho d</w:t>
      </w:r>
      <w:r w:rsidR="004E78C9" w:rsidRPr="00726341">
        <w:rPr>
          <w:rFonts w:asciiTheme="majorHAnsi" w:hAnsiTheme="majorHAnsi"/>
          <w:bCs/>
          <w:sz w:val="20"/>
          <w:szCs w:val="20"/>
          <w:lang w:val="pt-BR"/>
        </w:rPr>
        <w:t>e José Rubens do Amaral Lincoln</w:t>
      </w:r>
      <w:r w:rsidR="001C151D" w:rsidRPr="00726341">
        <w:rPr>
          <w:rFonts w:asciiTheme="majorHAnsi" w:hAnsiTheme="majorHAnsi"/>
          <w:bCs/>
          <w:sz w:val="20"/>
          <w:szCs w:val="20"/>
          <w:lang w:val="pt-BR"/>
        </w:rPr>
        <w:t xml:space="preserve">. O </w:t>
      </w:r>
      <w:r w:rsidR="00E92452" w:rsidRPr="00726341">
        <w:rPr>
          <w:rFonts w:asciiTheme="majorHAnsi" w:hAnsiTheme="majorHAnsi"/>
          <w:bCs/>
          <w:sz w:val="20"/>
          <w:szCs w:val="20"/>
          <w:lang w:val="pt-BR"/>
        </w:rPr>
        <w:t xml:space="preserve">grupo </w:t>
      </w:r>
      <w:r w:rsidR="001C151D" w:rsidRPr="00726341">
        <w:rPr>
          <w:rFonts w:asciiTheme="majorHAnsi" w:hAnsiTheme="majorHAnsi"/>
          <w:bCs/>
          <w:sz w:val="20"/>
          <w:szCs w:val="20"/>
          <w:lang w:val="pt-BR"/>
        </w:rPr>
        <w:t>teria utilizado</w:t>
      </w:r>
      <w:r w:rsidR="00E92452" w:rsidRPr="00726341">
        <w:rPr>
          <w:rFonts w:asciiTheme="majorHAnsi" w:hAnsiTheme="majorHAnsi"/>
          <w:bCs/>
          <w:sz w:val="20"/>
          <w:szCs w:val="20"/>
          <w:lang w:val="pt-BR"/>
        </w:rPr>
        <w:t xml:space="preserve"> um carro de propriedade do Sr. Lincoln, sem placa de identificaç</w:t>
      </w:r>
      <w:r w:rsidR="00417BF2" w:rsidRPr="00726341">
        <w:rPr>
          <w:rFonts w:asciiTheme="majorHAnsi" w:hAnsiTheme="majorHAnsi"/>
          <w:bCs/>
          <w:sz w:val="20"/>
          <w:szCs w:val="20"/>
          <w:lang w:val="pt-BR"/>
        </w:rPr>
        <w:t>ão</w:t>
      </w:r>
      <w:r w:rsidR="009C5B89" w:rsidRPr="00726341">
        <w:rPr>
          <w:rFonts w:asciiTheme="majorHAnsi" w:hAnsiTheme="majorHAnsi"/>
          <w:bCs/>
          <w:sz w:val="20"/>
          <w:szCs w:val="20"/>
          <w:lang w:val="pt-BR"/>
        </w:rPr>
        <w:t>, para cometer os delitos</w:t>
      </w:r>
      <w:r w:rsidR="00417BF2" w:rsidRPr="00726341">
        <w:rPr>
          <w:rFonts w:asciiTheme="majorHAnsi" w:hAnsiTheme="majorHAnsi"/>
          <w:bCs/>
          <w:sz w:val="20"/>
          <w:szCs w:val="20"/>
          <w:lang w:val="pt-BR"/>
        </w:rPr>
        <w:t xml:space="preserve">. </w:t>
      </w:r>
      <w:r w:rsidR="00691FB2" w:rsidRPr="00726341">
        <w:rPr>
          <w:rFonts w:asciiTheme="majorHAnsi" w:hAnsiTheme="majorHAnsi"/>
          <w:bCs/>
          <w:sz w:val="20"/>
          <w:szCs w:val="20"/>
          <w:lang w:val="pt-BR"/>
        </w:rPr>
        <w:t xml:space="preserve">Após aproximadamente uma hora, </w:t>
      </w:r>
      <w:r w:rsidR="001C151D" w:rsidRPr="00726341">
        <w:rPr>
          <w:rFonts w:asciiTheme="majorHAnsi" w:hAnsiTheme="majorHAnsi"/>
          <w:bCs/>
          <w:sz w:val="20"/>
          <w:szCs w:val="20"/>
          <w:lang w:val="pt-BR"/>
        </w:rPr>
        <w:t>a suposta vítima foi levada à Delegacia de Polícia</w:t>
      </w:r>
      <w:r w:rsidR="00691FB2" w:rsidRPr="00726341">
        <w:rPr>
          <w:rFonts w:asciiTheme="majorHAnsi" w:hAnsiTheme="majorHAnsi"/>
          <w:bCs/>
          <w:sz w:val="20"/>
          <w:szCs w:val="20"/>
          <w:lang w:val="pt-BR"/>
        </w:rPr>
        <w:t xml:space="preserve"> </w:t>
      </w:r>
      <w:r w:rsidR="003F6717">
        <w:rPr>
          <w:rFonts w:asciiTheme="majorHAnsi" w:hAnsiTheme="majorHAnsi"/>
          <w:bCs/>
          <w:sz w:val="20"/>
          <w:szCs w:val="20"/>
          <w:lang w:val="pt-BR"/>
        </w:rPr>
        <w:t>posteriormente a uma</w:t>
      </w:r>
      <w:r w:rsidR="00691FB2" w:rsidRPr="00726341">
        <w:rPr>
          <w:rFonts w:asciiTheme="majorHAnsi" w:hAnsiTheme="majorHAnsi"/>
          <w:bCs/>
          <w:sz w:val="20"/>
          <w:szCs w:val="20"/>
          <w:lang w:val="pt-BR"/>
        </w:rPr>
        <w:t xml:space="preserve"> comunicação </w:t>
      </w:r>
      <w:r w:rsidR="006F51C3" w:rsidRPr="00726341">
        <w:rPr>
          <w:rFonts w:asciiTheme="majorHAnsi" w:hAnsiTheme="majorHAnsi"/>
          <w:bCs/>
          <w:sz w:val="20"/>
          <w:szCs w:val="20"/>
          <w:lang w:val="pt-BR"/>
        </w:rPr>
        <w:t xml:space="preserve">telefônica </w:t>
      </w:r>
      <w:r w:rsidR="00691FB2" w:rsidRPr="00726341">
        <w:rPr>
          <w:rFonts w:asciiTheme="majorHAnsi" w:hAnsiTheme="majorHAnsi"/>
          <w:bCs/>
          <w:sz w:val="20"/>
          <w:szCs w:val="20"/>
          <w:lang w:val="pt-BR"/>
        </w:rPr>
        <w:t xml:space="preserve">do Sr. Lincoln com o delegado responsável, José Rubens Carneiro. </w:t>
      </w:r>
      <w:r w:rsidR="009C5B89" w:rsidRPr="00726341">
        <w:rPr>
          <w:rFonts w:asciiTheme="majorHAnsi" w:hAnsiTheme="majorHAnsi"/>
          <w:bCs/>
          <w:sz w:val="20"/>
          <w:szCs w:val="20"/>
          <w:lang w:val="pt-BR"/>
        </w:rPr>
        <w:t>O</w:t>
      </w:r>
      <w:r w:rsidR="00691FB2" w:rsidRPr="00726341">
        <w:rPr>
          <w:rFonts w:asciiTheme="majorHAnsi" w:hAnsiTheme="majorHAnsi"/>
          <w:bCs/>
          <w:sz w:val="20"/>
          <w:szCs w:val="20"/>
          <w:lang w:val="pt-BR"/>
        </w:rPr>
        <w:t xml:space="preserve"> delegado orientou que os pais de cada adolescente resolvesse</w:t>
      </w:r>
      <w:r w:rsidR="00D2206F" w:rsidRPr="00726341">
        <w:rPr>
          <w:rFonts w:asciiTheme="majorHAnsi" w:hAnsiTheme="majorHAnsi"/>
          <w:bCs/>
          <w:sz w:val="20"/>
          <w:szCs w:val="20"/>
          <w:lang w:val="pt-BR"/>
        </w:rPr>
        <w:t>m</w:t>
      </w:r>
      <w:r w:rsidR="00691FB2" w:rsidRPr="00726341">
        <w:rPr>
          <w:rFonts w:asciiTheme="majorHAnsi" w:hAnsiTheme="majorHAnsi"/>
          <w:bCs/>
          <w:sz w:val="20"/>
          <w:szCs w:val="20"/>
          <w:lang w:val="pt-BR"/>
        </w:rPr>
        <w:t xml:space="preserve"> a questão dom</w:t>
      </w:r>
      <w:r w:rsidR="002643AA" w:rsidRPr="00726341">
        <w:rPr>
          <w:rFonts w:asciiTheme="majorHAnsi" w:hAnsiTheme="majorHAnsi"/>
          <w:bCs/>
          <w:sz w:val="20"/>
          <w:szCs w:val="20"/>
          <w:lang w:val="pt-BR"/>
        </w:rPr>
        <w:t xml:space="preserve">esticamente, o que foi aceito </w:t>
      </w:r>
      <w:r w:rsidR="00B64B94">
        <w:rPr>
          <w:rFonts w:asciiTheme="majorHAnsi" w:hAnsiTheme="majorHAnsi"/>
          <w:bCs/>
          <w:sz w:val="20"/>
          <w:szCs w:val="20"/>
          <w:lang w:val="pt-BR"/>
        </w:rPr>
        <w:t>por ambas as</w:t>
      </w:r>
      <w:r w:rsidR="002643AA" w:rsidRPr="00726341">
        <w:rPr>
          <w:rFonts w:asciiTheme="majorHAnsi" w:hAnsiTheme="majorHAnsi"/>
          <w:bCs/>
          <w:sz w:val="20"/>
          <w:szCs w:val="20"/>
          <w:lang w:val="pt-BR"/>
        </w:rPr>
        <w:t xml:space="preserve"> famílias sem que nenhuma ocorrência fosse registrada no dia.</w:t>
      </w:r>
      <w:r w:rsidR="0041502B" w:rsidRPr="00726341">
        <w:rPr>
          <w:rFonts w:asciiTheme="majorHAnsi" w:hAnsiTheme="majorHAnsi"/>
          <w:bCs/>
          <w:sz w:val="20"/>
          <w:szCs w:val="20"/>
          <w:lang w:val="pt-BR"/>
        </w:rPr>
        <w:t xml:space="preserve"> </w:t>
      </w:r>
      <w:r w:rsidRPr="00726341">
        <w:rPr>
          <w:rFonts w:asciiTheme="majorHAnsi" w:hAnsiTheme="majorHAnsi"/>
          <w:bCs/>
          <w:sz w:val="20"/>
          <w:szCs w:val="20"/>
          <w:lang w:val="pt-BR"/>
        </w:rPr>
        <w:t>A</w:t>
      </w:r>
      <w:r w:rsidR="001C151D" w:rsidRPr="00726341">
        <w:rPr>
          <w:rFonts w:asciiTheme="majorHAnsi" w:hAnsiTheme="majorHAnsi"/>
          <w:bCs/>
          <w:sz w:val="20"/>
          <w:szCs w:val="20"/>
          <w:lang w:val="pt-BR"/>
        </w:rPr>
        <w:t>s peticionári</w:t>
      </w:r>
      <w:r w:rsidRPr="00726341">
        <w:rPr>
          <w:rFonts w:asciiTheme="majorHAnsi" w:hAnsiTheme="majorHAnsi"/>
          <w:bCs/>
          <w:sz w:val="20"/>
          <w:szCs w:val="20"/>
          <w:lang w:val="pt-BR"/>
        </w:rPr>
        <w:t>a</w:t>
      </w:r>
      <w:r w:rsidR="001C151D" w:rsidRPr="00726341">
        <w:rPr>
          <w:rFonts w:asciiTheme="majorHAnsi" w:hAnsiTheme="majorHAnsi"/>
          <w:bCs/>
          <w:sz w:val="20"/>
          <w:szCs w:val="20"/>
          <w:lang w:val="pt-BR"/>
        </w:rPr>
        <w:t>s afirmam que a</w:t>
      </w:r>
      <w:r w:rsidR="0041502B" w:rsidRPr="00726341">
        <w:rPr>
          <w:rFonts w:asciiTheme="majorHAnsi" w:hAnsiTheme="majorHAnsi"/>
          <w:bCs/>
          <w:sz w:val="20"/>
          <w:szCs w:val="20"/>
          <w:lang w:val="pt-BR"/>
        </w:rPr>
        <w:t xml:space="preserve"> suposta vítima não denunciou </w:t>
      </w:r>
      <w:r w:rsidR="001C151D" w:rsidRPr="00726341">
        <w:rPr>
          <w:rFonts w:asciiTheme="majorHAnsi" w:hAnsiTheme="majorHAnsi"/>
          <w:bCs/>
          <w:sz w:val="20"/>
          <w:szCs w:val="20"/>
          <w:lang w:val="pt-BR"/>
        </w:rPr>
        <w:t xml:space="preserve">os fatos no momento por temor </w:t>
      </w:r>
      <w:r w:rsidR="00152D93" w:rsidRPr="00726341">
        <w:rPr>
          <w:rFonts w:asciiTheme="majorHAnsi" w:hAnsiTheme="majorHAnsi"/>
          <w:bCs/>
          <w:sz w:val="20"/>
          <w:szCs w:val="20"/>
          <w:lang w:val="pt-BR"/>
        </w:rPr>
        <w:t>a</w:t>
      </w:r>
      <w:r w:rsidR="001C151D" w:rsidRPr="00726341">
        <w:rPr>
          <w:rFonts w:asciiTheme="majorHAnsi" w:hAnsiTheme="majorHAnsi"/>
          <w:bCs/>
          <w:sz w:val="20"/>
          <w:szCs w:val="20"/>
          <w:lang w:val="pt-BR"/>
        </w:rPr>
        <w:t xml:space="preserve"> </w:t>
      </w:r>
      <w:r w:rsidR="009C5B89" w:rsidRPr="00726341">
        <w:rPr>
          <w:rFonts w:asciiTheme="majorHAnsi" w:hAnsiTheme="majorHAnsi"/>
          <w:bCs/>
          <w:sz w:val="20"/>
          <w:szCs w:val="20"/>
          <w:lang w:val="pt-BR"/>
        </w:rPr>
        <w:t>represálias</w:t>
      </w:r>
      <w:r w:rsidR="00377707" w:rsidRPr="00726341">
        <w:rPr>
          <w:rFonts w:asciiTheme="majorHAnsi" w:hAnsiTheme="majorHAnsi"/>
          <w:bCs/>
          <w:sz w:val="20"/>
          <w:szCs w:val="20"/>
          <w:lang w:val="pt-BR"/>
        </w:rPr>
        <w:t>.</w:t>
      </w:r>
    </w:p>
    <w:p w14:paraId="05450F7D" w14:textId="1A01BD3D" w:rsidR="006C08C2" w:rsidRPr="00726341" w:rsidRDefault="00587AC2" w:rsidP="00E924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 xml:space="preserve">Ao tomar conhecimento </w:t>
      </w:r>
      <w:r w:rsidR="00152D93" w:rsidRPr="00726341">
        <w:rPr>
          <w:rFonts w:asciiTheme="majorHAnsi" w:hAnsiTheme="majorHAnsi"/>
          <w:sz w:val="20"/>
          <w:szCs w:val="20"/>
          <w:lang w:val="pt-BR"/>
        </w:rPr>
        <w:t>de todos os detalhes</w:t>
      </w:r>
      <w:r w:rsidRPr="00726341">
        <w:rPr>
          <w:rFonts w:asciiTheme="majorHAnsi" w:hAnsiTheme="majorHAnsi"/>
          <w:sz w:val="20"/>
          <w:szCs w:val="20"/>
          <w:lang w:val="pt-BR"/>
        </w:rPr>
        <w:t xml:space="preserve">, </w:t>
      </w:r>
      <w:r w:rsidR="006F51C3" w:rsidRPr="00726341">
        <w:rPr>
          <w:rFonts w:asciiTheme="majorHAnsi" w:hAnsiTheme="majorHAnsi"/>
          <w:sz w:val="20"/>
          <w:szCs w:val="20"/>
          <w:lang w:val="pt-BR"/>
        </w:rPr>
        <w:t xml:space="preserve">a mãe da suposta vítima, </w:t>
      </w:r>
      <w:r w:rsidR="00D2206F" w:rsidRPr="00726341">
        <w:rPr>
          <w:rFonts w:asciiTheme="majorHAnsi" w:hAnsiTheme="majorHAnsi"/>
          <w:sz w:val="20"/>
          <w:szCs w:val="20"/>
          <w:lang w:val="pt-BR"/>
        </w:rPr>
        <w:t>Maria Aparecida Uterkircher Brezer</w:t>
      </w:r>
      <w:r w:rsidR="006F51C3" w:rsidRPr="00726341">
        <w:rPr>
          <w:rFonts w:asciiTheme="majorHAnsi" w:hAnsiTheme="majorHAnsi"/>
          <w:sz w:val="20"/>
          <w:szCs w:val="20"/>
          <w:lang w:val="pt-BR"/>
        </w:rPr>
        <w:t xml:space="preserve"> (adiante “Sra. Brezer”)</w:t>
      </w:r>
      <w:r w:rsidR="00E83C1F" w:rsidRPr="00726341">
        <w:rPr>
          <w:rFonts w:asciiTheme="majorHAnsi" w:hAnsiTheme="majorHAnsi"/>
          <w:sz w:val="20"/>
          <w:szCs w:val="20"/>
          <w:lang w:val="pt-BR"/>
        </w:rPr>
        <w:t xml:space="preserve">, </w:t>
      </w:r>
      <w:r w:rsidR="00993902">
        <w:rPr>
          <w:rFonts w:asciiTheme="majorHAnsi" w:hAnsiTheme="majorHAnsi"/>
          <w:sz w:val="20"/>
          <w:szCs w:val="20"/>
          <w:lang w:val="pt-BR"/>
        </w:rPr>
        <w:t>apresentou denúncia</w:t>
      </w:r>
      <w:r w:rsidR="00152D93" w:rsidRPr="00726341">
        <w:rPr>
          <w:rFonts w:asciiTheme="majorHAnsi" w:hAnsiTheme="majorHAnsi"/>
          <w:sz w:val="20"/>
          <w:szCs w:val="20"/>
          <w:lang w:val="pt-BR"/>
        </w:rPr>
        <w:t xml:space="preserve"> </w:t>
      </w:r>
      <w:r w:rsidR="001C151D" w:rsidRPr="00726341">
        <w:rPr>
          <w:rFonts w:asciiTheme="majorHAnsi" w:hAnsiTheme="majorHAnsi"/>
          <w:sz w:val="20"/>
          <w:szCs w:val="20"/>
          <w:lang w:val="pt-BR"/>
        </w:rPr>
        <w:t xml:space="preserve">à polícia </w:t>
      </w:r>
      <w:r w:rsidR="007E4639" w:rsidRPr="00726341">
        <w:rPr>
          <w:rFonts w:asciiTheme="majorHAnsi" w:hAnsiTheme="majorHAnsi"/>
          <w:sz w:val="20"/>
          <w:szCs w:val="20"/>
          <w:lang w:val="pt-BR"/>
        </w:rPr>
        <w:t>na companhia de uma testemunha ocular</w:t>
      </w:r>
      <w:r w:rsidR="00993902">
        <w:rPr>
          <w:rFonts w:asciiTheme="majorHAnsi" w:hAnsiTheme="majorHAnsi"/>
          <w:sz w:val="20"/>
          <w:szCs w:val="20"/>
          <w:lang w:val="pt-BR"/>
        </w:rPr>
        <w:t xml:space="preserve"> dos fatos</w:t>
      </w:r>
      <w:r w:rsidR="007E4639" w:rsidRPr="00726341">
        <w:rPr>
          <w:rFonts w:asciiTheme="majorHAnsi" w:hAnsiTheme="majorHAnsi"/>
          <w:sz w:val="20"/>
          <w:szCs w:val="20"/>
          <w:lang w:val="pt-BR"/>
        </w:rPr>
        <w:t>, Deusa Aparecida Leme. Contudo,</w:t>
      </w:r>
      <w:r w:rsidR="0036492E">
        <w:rPr>
          <w:rFonts w:asciiTheme="majorHAnsi" w:hAnsiTheme="majorHAnsi"/>
          <w:sz w:val="20"/>
          <w:szCs w:val="20"/>
          <w:lang w:val="pt-BR"/>
        </w:rPr>
        <w:t xml:space="preserve"> ambas</w:t>
      </w:r>
      <w:r w:rsidR="007E4639" w:rsidRPr="00726341">
        <w:rPr>
          <w:rFonts w:asciiTheme="majorHAnsi" w:hAnsiTheme="majorHAnsi"/>
          <w:sz w:val="20"/>
          <w:szCs w:val="20"/>
          <w:lang w:val="pt-BR"/>
        </w:rPr>
        <w:t xml:space="preserve"> alegam que apesar de indicarem os nomes </w:t>
      </w:r>
      <w:r w:rsidR="00152D93" w:rsidRPr="00726341">
        <w:rPr>
          <w:rFonts w:asciiTheme="majorHAnsi" w:hAnsiTheme="majorHAnsi"/>
          <w:sz w:val="20"/>
          <w:szCs w:val="20"/>
          <w:lang w:val="pt-BR"/>
        </w:rPr>
        <w:t>completos de todos os envolvidos</w:t>
      </w:r>
      <w:r w:rsidR="007E4639" w:rsidRPr="00726341">
        <w:rPr>
          <w:rFonts w:asciiTheme="majorHAnsi" w:hAnsiTheme="majorHAnsi"/>
          <w:sz w:val="20"/>
          <w:szCs w:val="20"/>
          <w:lang w:val="pt-BR"/>
        </w:rPr>
        <w:t xml:space="preserve">, o policial que registrou o boletim de ocorrência </w:t>
      </w:r>
      <w:r w:rsidR="00152D93" w:rsidRPr="00726341">
        <w:rPr>
          <w:rFonts w:asciiTheme="majorHAnsi" w:hAnsiTheme="majorHAnsi"/>
          <w:sz w:val="20"/>
          <w:szCs w:val="20"/>
          <w:lang w:val="pt-BR"/>
        </w:rPr>
        <w:t>apenas inseriu os primeiros nomes</w:t>
      </w:r>
      <w:r w:rsidR="001E17B1" w:rsidRPr="00726341">
        <w:rPr>
          <w:rFonts w:asciiTheme="majorHAnsi" w:hAnsiTheme="majorHAnsi"/>
          <w:sz w:val="20"/>
          <w:szCs w:val="20"/>
          <w:lang w:val="pt-BR"/>
        </w:rPr>
        <w:t xml:space="preserve"> dos denunciados</w:t>
      </w:r>
      <w:r w:rsidR="00035BA5" w:rsidRPr="00726341">
        <w:rPr>
          <w:rFonts w:asciiTheme="majorHAnsi" w:hAnsiTheme="majorHAnsi"/>
          <w:sz w:val="20"/>
          <w:szCs w:val="20"/>
          <w:lang w:val="pt-BR"/>
        </w:rPr>
        <w:t xml:space="preserve"> no documento. </w:t>
      </w:r>
      <w:r w:rsidR="00D83A79" w:rsidRPr="00726341">
        <w:rPr>
          <w:rFonts w:asciiTheme="majorHAnsi" w:hAnsiTheme="majorHAnsi"/>
          <w:sz w:val="20"/>
          <w:szCs w:val="20"/>
          <w:lang w:val="pt-BR"/>
        </w:rPr>
        <w:t>Es</w:t>
      </w:r>
      <w:r w:rsidR="00B25ACD" w:rsidRPr="00726341">
        <w:rPr>
          <w:rFonts w:asciiTheme="majorHAnsi" w:hAnsiTheme="majorHAnsi"/>
          <w:sz w:val="20"/>
          <w:szCs w:val="20"/>
          <w:lang w:val="pt-BR"/>
        </w:rPr>
        <w:t xml:space="preserve">sa informação foi confirmada pelo Ministério Público </w:t>
      </w:r>
      <w:r w:rsidR="006F4D43" w:rsidRPr="00726341">
        <w:rPr>
          <w:rFonts w:asciiTheme="majorHAnsi" w:hAnsiTheme="majorHAnsi"/>
          <w:sz w:val="20"/>
          <w:szCs w:val="20"/>
          <w:lang w:val="pt-BR"/>
        </w:rPr>
        <w:t xml:space="preserve">(adiante “MP”) </w:t>
      </w:r>
      <w:r w:rsidR="00AD45B9" w:rsidRPr="00726341">
        <w:rPr>
          <w:rFonts w:asciiTheme="majorHAnsi" w:hAnsiTheme="majorHAnsi"/>
          <w:sz w:val="20"/>
          <w:szCs w:val="20"/>
          <w:lang w:val="pt-BR"/>
        </w:rPr>
        <w:t xml:space="preserve">que também teria constatado </w:t>
      </w:r>
      <w:r w:rsidR="00B25ACD" w:rsidRPr="00726341">
        <w:rPr>
          <w:rFonts w:asciiTheme="majorHAnsi" w:hAnsiTheme="majorHAnsi"/>
          <w:sz w:val="20"/>
          <w:szCs w:val="20"/>
          <w:lang w:val="pt-BR"/>
        </w:rPr>
        <w:t xml:space="preserve">que o delegado avalizou a conduta do Sr. Lincoln e dos </w:t>
      </w:r>
      <w:r w:rsidR="001E17B1" w:rsidRPr="00726341">
        <w:rPr>
          <w:rFonts w:asciiTheme="majorHAnsi" w:hAnsiTheme="majorHAnsi"/>
          <w:sz w:val="20"/>
          <w:szCs w:val="20"/>
          <w:lang w:val="pt-BR"/>
        </w:rPr>
        <w:t>investigadores</w:t>
      </w:r>
      <w:r w:rsidR="00B25ACD" w:rsidRPr="00726341">
        <w:rPr>
          <w:rFonts w:asciiTheme="majorHAnsi" w:hAnsiTheme="majorHAnsi"/>
          <w:sz w:val="20"/>
          <w:szCs w:val="20"/>
          <w:lang w:val="pt-BR"/>
        </w:rPr>
        <w:t xml:space="preserve"> d</w:t>
      </w:r>
      <w:r w:rsidR="001E17B1" w:rsidRPr="00726341">
        <w:rPr>
          <w:rFonts w:asciiTheme="majorHAnsi" w:hAnsiTheme="majorHAnsi"/>
          <w:sz w:val="20"/>
          <w:szCs w:val="20"/>
          <w:lang w:val="pt-BR"/>
        </w:rPr>
        <w:t>e</w:t>
      </w:r>
      <w:r w:rsidR="00B25ACD" w:rsidRPr="00726341">
        <w:rPr>
          <w:rFonts w:asciiTheme="majorHAnsi" w:hAnsiTheme="majorHAnsi"/>
          <w:sz w:val="20"/>
          <w:szCs w:val="20"/>
          <w:lang w:val="pt-BR"/>
        </w:rPr>
        <w:t xml:space="preserve"> polícia. Apenas </w:t>
      </w:r>
      <w:r w:rsidR="00993902">
        <w:rPr>
          <w:rFonts w:asciiTheme="majorHAnsi" w:hAnsiTheme="majorHAnsi"/>
          <w:sz w:val="20"/>
          <w:szCs w:val="20"/>
          <w:lang w:val="pt-BR"/>
        </w:rPr>
        <w:t>em</w:t>
      </w:r>
      <w:r w:rsidR="00B25ACD" w:rsidRPr="00726341">
        <w:rPr>
          <w:rFonts w:asciiTheme="majorHAnsi" w:hAnsiTheme="majorHAnsi"/>
          <w:sz w:val="20"/>
          <w:szCs w:val="20"/>
          <w:lang w:val="pt-BR"/>
        </w:rPr>
        <w:t xml:space="preserve"> 15 de julho de 1997, o Sr. Lincoln registrou a ocorrência </w:t>
      </w:r>
      <w:r w:rsidR="000D682E" w:rsidRPr="00726341">
        <w:rPr>
          <w:rFonts w:asciiTheme="majorHAnsi" w:hAnsiTheme="majorHAnsi"/>
          <w:sz w:val="20"/>
          <w:szCs w:val="20"/>
          <w:lang w:val="pt-BR"/>
        </w:rPr>
        <w:t>envolvendo as joias e,</w:t>
      </w:r>
      <w:r w:rsidR="00377707" w:rsidRPr="00726341">
        <w:rPr>
          <w:rFonts w:asciiTheme="majorHAnsi" w:hAnsiTheme="majorHAnsi"/>
          <w:sz w:val="20"/>
          <w:szCs w:val="20"/>
          <w:lang w:val="pt-BR"/>
        </w:rPr>
        <w:t xml:space="preserve"> </w:t>
      </w:r>
      <w:r w:rsidR="000D682E" w:rsidRPr="00726341">
        <w:rPr>
          <w:rFonts w:asciiTheme="majorHAnsi" w:hAnsiTheme="majorHAnsi"/>
          <w:sz w:val="20"/>
          <w:szCs w:val="20"/>
          <w:lang w:val="pt-BR"/>
        </w:rPr>
        <w:t>n</w:t>
      </w:r>
      <w:r w:rsidR="00377707" w:rsidRPr="00726341">
        <w:rPr>
          <w:rFonts w:asciiTheme="majorHAnsi" w:hAnsiTheme="majorHAnsi"/>
          <w:sz w:val="20"/>
          <w:szCs w:val="20"/>
          <w:lang w:val="pt-BR"/>
        </w:rPr>
        <w:t xml:space="preserve">esse dia, a suposta vítima </w:t>
      </w:r>
      <w:r w:rsidR="00377707" w:rsidRPr="00726341">
        <w:rPr>
          <w:rFonts w:asciiTheme="majorHAnsi" w:hAnsiTheme="majorHAnsi"/>
          <w:bCs/>
          <w:sz w:val="20"/>
          <w:szCs w:val="20"/>
          <w:lang w:val="pt-BR"/>
        </w:rPr>
        <w:t xml:space="preserve">foi submetida a uma perícia médica que constatou diversas lesões </w:t>
      </w:r>
      <w:r w:rsidR="0036492E">
        <w:rPr>
          <w:rFonts w:asciiTheme="majorHAnsi" w:hAnsiTheme="majorHAnsi"/>
          <w:bCs/>
          <w:sz w:val="20"/>
          <w:szCs w:val="20"/>
          <w:lang w:val="pt-BR"/>
        </w:rPr>
        <w:t>e marcas de algemas nos pulsos.</w:t>
      </w:r>
    </w:p>
    <w:p w14:paraId="1C80F4A2" w14:textId="2E6E59F4" w:rsidR="00720A45" w:rsidRPr="00726341" w:rsidRDefault="0036748E" w:rsidP="00807A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bCs/>
          <w:sz w:val="20"/>
          <w:szCs w:val="20"/>
          <w:lang w:val="pt-BR"/>
        </w:rPr>
        <w:t>E</w:t>
      </w:r>
      <w:r w:rsidR="006C08C2" w:rsidRPr="00726341">
        <w:rPr>
          <w:rFonts w:asciiTheme="majorHAnsi" w:hAnsiTheme="majorHAnsi"/>
          <w:bCs/>
          <w:sz w:val="20"/>
          <w:szCs w:val="20"/>
          <w:lang w:val="pt-BR"/>
        </w:rPr>
        <w:t>m 17 de julho de 199</w:t>
      </w:r>
      <w:r w:rsidR="00EA515A" w:rsidRPr="00726341">
        <w:rPr>
          <w:rFonts w:asciiTheme="majorHAnsi" w:hAnsiTheme="majorHAnsi"/>
          <w:bCs/>
          <w:sz w:val="20"/>
          <w:szCs w:val="20"/>
          <w:lang w:val="pt-BR"/>
        </w:rPr>
        <w:t>7</w:t>
      </w:r>
      <w:r w:rsidR="006C08C2" w:rsidRPr="00726341">
        <w:rPr>
          <w:rFonts w:asciiTheme="majorHAnsi" w:hAnsiTheme="majorHAnsi"/>
          <w:bCs/>
          <w:sz w:val="20"/>
          <w:szCs w:val="20"/>
          <w:lang w:val="pt-BR"/>
        </w:rPr>
        <w:t>,</w:t>
      </w:r>
      <w:r w:rsidR="00EA515A" w:rsidRPr="00726341">
        <w:rPr>
          <w:rFonts w:asciiTheme="majorHAnsi" w:hAnsiTheme="majorHAnsi"/>
          <w:bCs/>
          <w:sz w:val="20"/>
          <w:szCs w:val="20"/>
          <w:lang w:val="pt-BR"/>
        </w:rPr>
        <w:t xml:space="preserve"> os fatos foram relatados ao </w:t>
      </w:r>
      <w:r w:rsidR="006F4D43" w:rsidRPr="00726341">
        <w:rPr>
          <w:rFonts w:asciiTheme="majorHAnsi" w:hAnsiTheme="majorHAnsi"/>
          <w:bCs/>
          <w:sz w:val="20"/>
          <w:szCs w:val="20"/>
          <w:lang w:val="pt-BR"/>
        </w:rPr>
        <w:t>MP</w:t>
      </w:r>
      <w:r w:rsidR="00C8218F">
        <w:rPr>
          <w:rFonts w:asciiTheme="majorHAnsi" w:hAnsiTheme="majorHAnsi"/>
          <w:bCs/>
          <w:sz w:val="20"/>
          <w:szCs w:val="20"/>
          <w:lang w:val="pt-BR"/>
        </w:rPr>
        <w:t>,</w:t>
      </w:r>
      <w:r w:rsidR="00EA515A" w:rsidRPr="00726341">
        <w:rPr>
          <w:rFonts w:asciiTheme="majorHAnsi" w:hAnsiTheme="majorHAnsi"/>
          <w:bCs/>
          <w:sz w:val="20"/>
          <w:szCs w:val="20"/>
          <w:lang w:val="pt-BR"/>
        </w:rPr>
        <w:t xml:space="preserve"> que solicitou a</w:t>
      </w:r>
      <w:r w:rsidR="00C8218F">
        <w:rPr>
          <w:rFonts w:asciiTheme="majorHAnsi" w:hAnsiTheme="majorHAnsi"/>
          <w:bCs/>
          <w:sz w:val="20"/>
          <w:szCs w:val="20"/>
          <w:lang w:val="pt-BR"/>
        </w:rPr>
        <w:t xml:space="preserve"> </w:t>
      </w:r>
      <w:r w:rsidR="001622BE">
        <w:rPr>
          <w:rFonts w:asciiTheme="majorHAnsi" w:hAnsiTheme="majorHAnsi"/>
          <w:bCs/>
          <w:sz w:val="20"/>
          <w:szCs w:val="20"/>
          <w:lang w:val="pt-BR"/>
        </w:rPr>
        <w:t>abertura de inquérito policial, sendo</w:t>
      </w:r>
      <w:r w:rsidR="00EA515A" w:rsidRPr="00726341">
        <w:rPr>
          <w:rFonts w:asciiTheme="majorHAnsi" w:hAnsiTheme="majorHAnsi"/>
          <w:bCs/>
          <w:sz w:val="20"/>
          <w:szCs w:val="20"/>
          <w:lang w:val="pt-BR"/>
        </w:rPr>
        <w:t xml:space="preserve"> concluído em 18 de junho de 1998. Em 17 de julho de 1998, o </w:t>
      </w:r>
      <w:r w:rsidR="006F4D43" w:rsidRPr="00726341">
        <w:rPr>
          <w:rFonts w:asciiTheme="majorHAnsi" w:hAnsiTheme="majorHAnsi"/>
          <w:bCs/>
          <w:sz w:val="20"/>
          <w:szCs w:val="20"/>
          <w:lang w:val="pt-BR"/>
        </w:rPr>
        <w:t>MP</w:t>
      </w:r>
      <w:r w:rsidR="00EA515A" w:rsidRPr="00726341">
        <w:rPr>
          <w:rFonts w:asciiTheme="majorHAnsi" w:hAnsiTheme="majorHAnsi"/>
          <w:bCs/>
          <w:sz w:val="20"/>
          <w:szCs w:val="20"/>
          <w:lang w:val="pt-BR"/>
        </w:rPr>
        <w:t xml:space="preserve"> apresentou denúncia </w:t>
      </w:r>
      <w:r w:rsidR="006C08C2" w:rsidRPr="00726341">
        <w:rPr>
          <w:rFonts w:asciiTheme="majorHAnsi" w:hAnsiTheme="majorHAnsi"/>
          <w:bCs/>
          <w:sz w:val="20"/>
          <w:szCs w:val="20"/>
          <w:lang w:val="pt-BR"/>
        </w:rPr>
        <w:t xml:space="preserve">contra </w:t>
      </w:r>
      <w:r w:rsidR="006C08C2" w:rsidRPr="00726341">
        <w:rPr>
          <w:rFonts w:asciiTheme="majorHAnsi" w:hAnsiTheme="majorHAnsi"/>
          <w:sz w:val="20"/>
          <w:szCs w:val="20"/>
          <w:lang w:val="pt-BR"/>
        </w:rPr>
        <w:t xml:space="preserve">o Sr. Lincoln e os </w:t>
      </w:r>
      <w:r w:rsidR="00A564E6" w:rsidRPr="00726341">
        <w:rPr>
          <w:rFonts w:asciiTheme="majorHAnsi" w:hAnsiTheme="majorHAnsi"/>
          <w:sz w:val="20"/>
          <w:szCs w:val="20"/>
          <w:lang w:val="pt-BR"/>
        </w:rPr>
        <w:t>investigadores</w:t>
      </w:r>
      <w:r w:rsidR="006C08C2" w:rsidRPr="00726341">
        <w:rPr>
          <w:rFonts w:asciiTheme="majorHAnsi" w:hAnsiTheme="majorHAnsi"/>
          <w:sz w:val="20"/>
          <w:szCs w:val="20"/>
          <w:lang w:val="pt-BR"/>
        </w:rPr>
        <w:t xml:space="preserve"> de polícia com base na Lei Brasileira Anti-Tortura (Lei nº 9.455/97)</w:t>
      </w:r>
      <w:r w:rsidRPr="00726341">
        <w:rPr>
          <w:rFonts w:asciiTheme="majorHAnsi" w:hAnsiTheme="majorHAnsi"/>
          <w:sz w:val="20"/>
          <w:szCs w:val="20"/>
          <w:lang w:val="pt-BR"/>
        </w:rPr>
        <w:t>. Também foi denunciado</w:t>
      </w:r>
      <w:r w:rsidR="00C8218F" w:rsidRPr="00726341">
        <w:rPr>
          <w:rFonts w:asciiTheme="majorHAnsi" w:hAnsiTheme="majorHAnsi"/>
          <w:sz w:val="20"/>
          <w:szCs w:val="20"/>
          <w:lang w:val="pt-BR"/>
        </w:rPr>
        <w:t>, com base na mesma lei,</w:t>
      </w:r>
      <w:r w:rsidRPr="00726341">
        <w:rPr>
          <w:rFonts w:asciiTheme="majorHAnsi" w:hAnsiTheme="majorHAnsi"/>
          <w:sz w:val="20"/>
          <w:szCs w:val="20"/>
          <w:lang w:val="pt-BR"/>
        </w:rPr>
        <w:t xml:space="preserve"> </w:t>
      </w:r>
      <w:r w:rsidR="006C08C2" w:rsidRPr="00726341">
        <w:rPr>
          <w:rFonts w:asciiTheme="majorHAnsi" w:hAnsiTheme="majorHAnsi"/>
          <w:sz w:val="20"/>
          <w:szCs w:val="20"/>
          <w:lang w:val="pt-BR"/>
        </w:rPr>
        <w:t xml:space="preserve">o delegado </w:t>
      </w:r>
      <w:r w:rsidR="00A564E6" w:rsidRPr="00726341">
        <w:rPr>
          <w:rFonts w:asciiTheme="majorHAnsi" w:hAnsiTheme="majorHAnsi"/>
          <w:sz w:val="20"/>
          <w:szCs w:val="20"/>
          <w:lang w:val="pt-BR"/>
        </w:rPr>
        <w:t>encarregado no dia dos fatos</w:t>
      </w:r>
      <w:r w:rsidR="006C08C2" w:rsidRPr="00726341">
        <w:rPr>
          <w:rFonts w:asciiTheme="majorHAnsi" w:hAnsiTheme="majorHAnsi"/>
          <w:sz w:val="20"/>
          <w:szCs w:val="20"/>
          <w:lang w:val="pt-BR"/>
        </w:rPr>
        <w:t xml:space="preserve"> por omissão no combate à tortura e sua </w:t>
      </w:r>
      <w:r w:rsidR="00A564E6" w:rsidRPr="00726341">
        <w:rPr>
          <w:rFonts w:asciiTheme="majorHAnsi" w:hAnsiTheme="majorHAnsi"/>
          <w:sz w:val="20"/>
          <w:szCs w:val="20"/>
          <w:lang w:val="pt-BR"/>
        </w:rPr>
        <w:t xml:space="preserve">efetiva </w:t>
      </w:r>
      <w:r w:rsidR="006C08C2" w:rsidRPr="00726341">
        <w:rPr>
          <w:rFonts w:asciiTheme="majorHAnsi" w:hAnsiTheme="majorHAnsi"/>
          <w:sz w:val="20"/>
          <w:szCs w:val="20"/>
          <w:lang w:val="pt-BR"/>
        </w:rPr>
        <w:t>investigação.</w:t>
      </w:r>
      <w:r w:rsidR="0020632B" w:rsidRPr="00726341">
        <w:rPr>
          <w:rFonts w:asciiTheme="majorHAnsi" w:hAnsiTheme="majorHAnsi"/>
          <w:sz w:val="20"/>
          <w:szCs w:val="20"/>
          <w:lang w:val="pt-BR"/>
        </w:rPr>
        <w:t xml:space="preserve"> </w:t>
      </w:r>
      <w:r w:rsidR="001622BE">
        <w:rPr>
          <w:rFonts w:asciiTheme="majorHAnsi" w:hAnsiTheme="majorHAnsi"/>
          <w:sz w:val="20"/>
          <w:szCs w:val="20"/>
          <w:lang w:val="pt-BR"/>
        </w:rPr>
        <w:t>As peticionárias a</w:t>
      </w:r>
      <w:r w:rsidR="0037267A" w:rsidRPr="00726341">
        <w:rPr>
          <w:rFonts w:asciiTheme="majorHAnsi" w:hAnsiTheme="majorHAnsi"/>
          <w:sz w:val="20"/>
          <w:szCs w:val="20"/>
          <w:lang w:val="pt-BR"/>
        </w:rPr>
        <w:t xml:space="preserve">legam que a ação penal seguiu apenas em relação aos primeiros, já que em relação ao delegado ela foi arquivada com base na alegação de falta de justa causa. </w:t>
      </w:r>
      <w:r w:rsidR="00720A45" w:rsidRPr="00726341">
        <w:rPr>
          <w:rFonts w:asciiTheme="majorHAnsi" w:hAnsiTheme="majorHAnsi"/>
          <w:sz w:val="20"/>
          <w:szCs w:val="20"/>
          <w:lang w:val="pt-BR"/>
        </w:rPr>
        <w:t>Em sentença proferida no dia 1 de setembro de 2000</w:t>
      </w:r>
      <w:r w:rsidR="0037267A" w:rsidRPr="00726341">
        <w:rPr>
          <w:rFonts w:asciiTheme="majorHAnsi" w:hAnsiTheme="majorHAnsi"/>
          <w:sz w:val="20"/>
          <w:szCs w:val="20"/>
          <w:lang w:val="pt-BR"/>
        </w:rPr>
        <w:t xml:space="preserve">, </w:t>
      </w:r>
      <w:r w:rsidR="00720A45" w:rsidRPr="00726341">
        <w:rPr>
          <w:rFonts w:asciiTheme="majorHAnsi" w:hAnsiTheme="majorHAnsi"/>
          <w:sz w:val="20"/>
          <w:szCs w:val="20"/>
          <w:lang w:val="pt-BR"/>
        </w:rPr>
        <w:t>os acusados</w:t>
      </w:r>
      <w:r w:rsidR="0037267A" w:rsidRPr="00726341">
        <w:rPr>
          <w:rFonts w:asciiTheme="majorHAnsi" w:hAnsiTheme="majorHAnsi"/>
          <w:sz w:val="20"/>
          <w:szCs w:val="20"/>
          <w:lang w:val="pt-BR"/>
        </w:rPr>
        <w:t xml:space="preserve"> foram absolvidos em primeira instância </w:t>
      </w:r>
      <w:r w:rsidR="00527FCF" w:rsidRPr="00726341">
        <w:rPr>
          <w:rFonts w:asciiTheme="majorHAnsi" w:hAnsiTheme="majorHAnsi"/>
          <w:sz w:val="20"/>
          <w:szCs w:val="20"/>
          <w:lang w:val="pt-BR"/>
        </w:rPr>
        <w:t>em razão de a</w:t>
      </w:r>
      <w:r w:rsidR="00720A45" w:rsidRPr="00726341">
        <w:rPr>
          <w:rFonts w:asciiTheme="majorHAnsi" w:hAnsiTheme="majorHAnsi"/>
          <w:sz w:val="20"/>
          <w:szCs w:val="20"/>
          <w:lang w:val="pt-BR"/>
        </w:rPr>
        <w:t xml:space="preserve"> juíza entender </w:t>
      </w:r>
      <w:r w:rsidR="0037267A" w:rsidRPr="00726341">
        <w:rPr>
          <w:rFonts w:asciiTheme="majorHAnsi" w:hAnsiTheme="majorHAnsi"/>
          <w:sz w:val="20"/>
          <w:szCs w:val="20"/>
          <w:lang w:val="pt-BR"/>
        </w:rPr>
        <w:t>que as acusações teriam sido motivadas por questões políticas</w:t>
      </w:r>
      <w:r w:rsidR="008E0932" w:rsidRPr="00726341">
        <w:rPr>
          <w:rFonts w:asciiTheme="majorHAnsi" w:hAnsiTheme="majorHAnsi"/>
          <w:sz w:val="20"/>
          <w:szCs w:val="20"/>
          <w:lang w:val="pt-BR"/>
        </w:rPr>
        <w:t xml:space="preserve"> e que não existiriam provas suficientes para caracterizar o crime</w:t>
      </w:r>
      <w:r w:rsidR="0037267A" w:rsidRPr="00726341">
        <w:rPr>
          <w:rFonts w:asciiTheme="majorHAnsi" w:hAnsiTheme="majorHAnsi"/>
          <w:sz w:val="20"/>
          <w:szCs w:val="20"/>
          <w:lang w:val="pt-BR"/>
        </w:rPr>
        <w:t xml:space="preserve">. O </w:t>
      </w:r>
      <w:r w:rsidR="00C8218F">
        <w:rPr>
          <w:rFonts w:asciiTheme="majorHAnsi" w:hAnsiTheme="majorHAnsi"/>
          <w:sz w:val="20"/>
          <w:szCs w:val="20"/>
          <w:lang w:val="pt-BR"/>
        </w:rPr>
        <w:t>MP</w:t>
      </w:r>
      <w:r w:rsidR="0037267A" w:rsidRPr="00726341">
        <w:rPr>
          <w:rFonts w:asciiTheme="majorHAnsi" w:hAnsiTheme="majorHAnsi"/>
          <w:sz w:val="20"/>
          <w:szCs w:val="20"/>
          <w:lang w:val="pt-BR"/>
        </w:rPr>
        <w:t xml:space="preserve"> </w:t>
      </w:r>
      <w:r w:rsidR="00720A45" w:rsidRPr="00726341">
        <w:rPr>
          <w:rFonts w:asciiTheme="majorHAnsi" w:hAnsiTheme="majorHAnsi"/>
          <w:sz w:val="20"/>
          <w:szCs w:val="20"/>
          <w:lang w:val="pt-BR"/>
        </w:rPr>
        <w:t>apelou</w:t>
      </w:r>
      <w:r w:rsidR="0037267A" w:rsidRPr="00726341">
        <w:rPr>
          <w:rFonts w:asciiTheme="majorHAnsi" w:hAnsiTheme="majorHAnsi"/>
          <w:sz w:val="20"/>
          <w:szCs w:val="20"/>
          <w:lang w:val="pt-BR"/>
        </w:rPr>
        <w:t xml:space="preserve"> da sentença </w:t>
      </w:r>
      <w:r w:rsidR="00720A45" w:rsidRPr="00726341">
        <w:rPr>
          <w:rFonts w:asciiTheme="majorHAnsi" w:hAnsiTheme="majorHAnsi"/>
          <w:sz w:val="20"/>
          <w:szCs w:val="20"/>
          <w:lang w:val="pt-BR"/>
        </w:rPr>
        <w:t>e em 2006</w:t>
      </w:r>
      <w:r w:rsidR="00C8218F">
        <w:rPr>
          <w:rFonts w:asciiTheme="majorHAnsi" w:hAnsiTheme="majorHAnsi"/>
          <w:sz w:val="20"/>
          <w:szCs w:val="20"/>
          <w:lang w:val="pt-BR"/>
        </w:rPr>
        <w:t>,</w:t>
      </w:r>
      <w:r w:rsidR="00720A45" w:rsidRPr="00726341">
        <w:rPr>
          <w:rFonts w:asciiTheme="majorHAnsi" w:hAnsiTheme="majorHAnsi"/>
          <w:sz w:val="20"/>
          <w:szCs w:val="20"/>
          <w:lang w:val="pt-BR"/>
        </w:rPr>
        <w:t xml:space="preserve"> o recurso foi negado pelo Tribunal de Justiça do Estado de São Paulo (adiante “TJSP”) por entender que </w:t>
      </w:r>
      <w:r w:rsidR="00095234" w:rsidRPr="00726341">
        <w:rPr>
          <w:rFonts w:asciiTheme="majorHAnsi" w:hAnsiTheme="majorHAnsi"/>
          <w:sz w:val="20"/>
          <w:szCs w:val="20"/>
          <w:lang w:val="pt-BR"/>
        </w:rPr>
        <w:t>não estavam presentes os elementos típicos do crime de tortura</w:t>
      </w:r>
      <w:r w:rsidR="00720A45" w:rsidRPr="00726341">
        <w:rPr>
          <w:rFonts w:asciiTheme="majorHAnsi" w:hAnsiTheme="majorHAnsi"/>
          <w:sz w:val="20"/>
          <w:szCs w:val="20"/>
          <w:lang w:val="pt-BR"/>
        </w:rPr>
        <w:t>. A suposta vítima, como assistente de acusação, opôs Embargos de Declaração</w:t>
      </w:r>
      <w:r w:rsidR="00095234" w:rsidRPr="00726341">
        <w:rPr>
          <w:rFonts w:asciiTheme="majorHAnsi" w:hAnsiTheme="majorHAnsi"/>
          <w:sz w:val="20"/>
          <w:szCs w:val="20"/>
          <w:lang w:val="pt-BR"/>
        </w:rPr>
        <w:t xml:space="preserve"> em 5 de abril de 2006</w:t>
      </w:r>
      <w:r w:rsidR="00720A45" w:rsidRPr="00726341">
        <w:rPr>
          <w:rFonts w:asciiTheme="majorHAnsi" w:hAnsiTheme="majorHAnsi"/>
          <w:sz w:val="20"/>
          <w:szCs w:val="20"/>
          <w:lang w:val="pt-BR"/>
        </w:rPr>
        <w:t xml:space="preserve">, rejeitados em 3 de agosto </w:t>
      </w:r>
      <w:r w:rsidR="00095234" w:rsidRPr="00726341">
        <w:rPr>
          <w:rFonts w:asciiTheme="majorHAnsi" w:hAnsiTheme="majorHAnsi"/>
          <w:sz w:val="20"/>
          <w:szCs w:val="20"/>
          <w:lang w:val="pt-BR"/>
        </w:rPr>
        <w:t>do mesmo ano</w:t>
      </w:r>
      <w:r w:rsidR="00720A45" w:rsidRPr="00726341">
        <w:rPr>
          <w:rFonts w:asciiTheme="majorHAnsi" w:hAnsiTheme="majorHAnsi"/>
          <w:sz w:val="20"/>
          <w:szCs w:val="20"/>
          <w:lang w:val="pt-BR"/>
        </w:rPr>
        <w:t>. Em 15 de setembro de 2006, a defesa apresentou Recurso Extraordinário e Recurso Especial, inadmitidos pelo TJSP</w:t>
      </w:r>
      <w:r w:rsidR="00095234" w:rsidRPr="00726341">
        <w:rPr>
          <w:rFonts w:asciiTheme="majorHAnsi" w:hAnsiTheme="majorHAnsi"/>
          <w:sz w:val="20"/>
          <w:szCs w:val="20"/>
          <w:lang w:val="pt-BR"/>
        </w:rPr>
        <w:t xml:space="preserve"> por entender que a pretensão era apenas reexame de provas</w:t>
      </w:r>
      <w:r w:rsidR="00720A45" w:rsidRPr="00726341">
        <w:rPr>
          <w:rFonts w:asciiTheme="majorHAnsi" w:hAnsiTheme="majorHAnsi"/>
          <w:sz w:val="20"/>
          <w:szCs w:val="20"/>
          <w:lang w:val="pt-BR"/>
        </w:rPr>
        <w:t xml:space="preserve">. Contra tal decisão, </w:t>
      </w:r>
      <w:r w:rsidR="00807A69" w:rsidRPr="00726341">
        <w:rPr>
          <w:rFonts w:asciiTheme="majorHAnsi" w:hAnsiTheme="majorHAnsi"/>
          <w:sz w:val="20"/>
          <w:szCs w:val="20"/>
          <w:lang w:val="pt-BR"/>
        </w:rPr>
        <w:t>foram</w:t>
      </w:r>
      <w:r w:rsidR="00720A45" w:rsidRPr="00726341">
        <w:rPr>
          <w:rFonts w:asciiTheme="majorHAnsi" w:hAnsiTheme="majorHAnsi"/>
          <w:sz w:val="20"/>
          <w:szCs w:val="20"/>
          <w:lang w:val="pt-BR"/>
        </w:rPr>
        <w:t xml:space="preserve"> apresentado</w:t>
      </w:r>
      <w:r w:rsidR="00807A69" w:rsidRPr="00726341">
        <w:rPr>
          <w:rFonts w:asciiTheme="majorHAnsi" w:hAnsiTheme="majorHAnsi"/>
          <w:sz w:val="20"/>
          <w:szCs w:val="20"/>
          <w:lang w:val="pt-BR"/>
        </w:rPr>
        <w:t>s</w:t>
      </w:r>
      <w:r w:rsidR="00720A45" w:rsidRPr="00726341">
        <w:rPr>
          <w:rFonts w:asciiTheme="majorHAnsi" w:hAnsiTheme="majorHAnsi"/>
          <w:sz w:val="20"/>
          <w:szCs w:val="20"/>
          <w:lang w:val="pt-BR"/>
        </w:rPr>
        <w:t xml:space="preserve"> Agravo</w:t>
      </w:r>
      <w:r w:rsidR="00807A69" w:rsidRPr="00726341">
        <w:rPr>
          <w:rFonts w:asciiTheme="majorHAnsi" w:hAnsiTheme="majorHAnsi"/>
          <w:sz w:val="20"/>
          <w:szCs w:val="20"/>
          <w:lang w:val="pt-BR"/>
        </w:rPr>
        <w:t>s</w:t>
      </w:r>
      <w:r w:rsidR="00720A45" w:rsidRPr="00726341">
        <w:rPr>
          <w:rFonts w:asciiTheme="majorHAnsi" w:hAnsiTheme="majorHAnsi"/>
          <w:sz w:val="20"/>
          <w:szCs w:val="20"/>
          <w:lang w:val="pt-BR"/>
        </w:rPr>
        <w:t xml:space="preserve"> de Instrumento ante os tribunais superiores</w:t>
      </w:r>
      <w:r w:rsidR="00D54C0B" w:rsidRPr="00726341">
        <w:rPr>
          <w:rFonts w:asciiTheme="majorHAnsi" w:hAnsiTheme="majorHAnsi"/>
          <w:sz w:val="20"/>
          <w:szCs w:val="20"/>
          <w:lang w:val="pt-BR"/>
        </w:rPr>
        <w:t xml:space="preserve">. </w:t>
      </w:r>
      <w:r w:rsidR="00C8218F">
        <w:rPr>
          <w:rFonts w:asciiTheme="majorHAnsi" w:hAnsiTheme="majorHAnsi"/>
          <w:sz w:val="20"/>
          <w:szCs w:val="20"/>
          <w:lang w:val="pt-BR"/>
        </w:rPr>
        <w:t xml:space="preserve">O Supremo Tribunal Federal </w:t>
      </w:r>
      <w:r w:rsidR="00807A69" w:rsidRPr="00726341">
        <w:rPr>
          <w:rFonts w:asciiTheme="majorHAnsi" w:hAnsiTheme="majorHAnsi"/>
          <w:sz w:val="20"/>
          <w:szCs w:val="20"/>
          <w:lang w:val="pt-BR"/>
        </w:rPr>
        <w:t xml:space="preserve">inadmitiu </w:t>
      </w:r>
      <w:r w:rsidR="00C8218F">
        <w:rPr>
          <w:rFonts w:asciiTheme="majorHAnsi" w:hAnsiTheme="majorHAnsi"/>
          <w:sz w:val="20"/>
          <w:szCs w:val="20"/>
          <w:lang w:val="pt-BR"/>
        </w:rPr>
        <w:t xml:space="preserve">o agravo </w:t>
      </w:r>
      <w:r w:rsidR="00807A69" w:rsidRPr="00726341">
        <w:rPr>
          <w:rFonts w:asciiTheme="majorHAnsi" w:hAnsiTheme="majorHAnsi"/>
          <w:sz w:val="20"/>
          <w:szCs w:val="20"/>
          <w:lang w:val="pt-BR"/>
        </w:rPr>
        <w:t xml:space="preserve">em 17 de março de 2008, transitando em julgado em 28 de abril do mesmo ano. Já o Superior Tribunal de Justiça o fez em 18 de fevereiro de 2009, transitando em julgado </w:t>
      </w:r>
      <w:r w:rsidR="00720A45" w:rsidRPr="00726341">
        <w:rPr>
          <w:rFonts w:asciiTheme="majorHAnsi" w:hAnsiTheme="majorHAnsi"/>
          <w:sz w:val="20"/>
          <w:szCs w:val="20"/>
          <w:lang w:val="pt-BR"/>
        </w:rPr>
        <w:t>no dia 18 de março do mesmo ano.</w:t>
      </w:r>
    </w:p>
    <w:p w14:paraId="7461C20E" w14:textId="4A7A290C" w:rsidR="003D5CA7" w:rsidRPr="00726341" w:rsidRDefault="001622BE" w:rsidP="000658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Paralelamente, o</w:t>
      </w:r>
      <w:r w:rsidR="001910F6" w:rsidRPr="00726341">
        <w:rPr>
          <w:rFonts w:asciiTheme="majorHAnsi" w:hAnsiTheme="majorHAnsi"/>
          <w:sz w:val="20"/>
          <w:szCs w:val="20"/>
          <w:lang w:val="pt-BR"/>
        </w:rPr>
        <w:t xml:space="preserve"> Sr. Lincoln foi processado disciplinarmente ante o Tribunal de Ética e Disciplina da Ordem dos Advogados do Brasil</w:t>
      </w:r>
      <w:r w:rsidR="00E20549">
        <w:rPr>
          <w:rFonts w:asciiTheme="majorHAnsi" w:hAnsiTheme="majorHAnsi"/>
          <w:sz w:val="20"/>
          <w:szCs w:val="20"/>
          <w:lang w:val="pt-BR"/>
        </w:rPr>
        <w:t xml:space="preserve"> (adiante “OAB”), Seção de São Paulo, </w:t>
      </w:r>
      <w:r w:rsidR="001910F6" w:rsidRPr="00726341">
        <w:rPr>
          <w:rFonts w:asciiTheme="majorHAnsi" w:hAnsiTheme="majorHAnsi"/>
          <w:sz w:val="20"/>
          <w:szCs w:val="20"/>
          <w:lang w:val="pt-BR"/>
        </w:rPr>
        <w:t xml:space="preserve">por </w:t>
      </w:r>
      <w:r w:rsidR="00023F53" w:rsidRPr="00726341">
        <w:rPr>
          <w:rFonts w:asciiTheme="majorHAnsi" w:hAnsiTheme="majorHAnsi"/>
          <w:sz w:val="20"/>
          <w:szCs w:val="20"/>
          <w:lang w:val="pt-BR"/>
        </w:rPr>
        <w:t>representação apresentada</w:t>
      </w:r>
      <w:r w:rsidR="005A5BBF" w:rsidRPr="00726341">
        <w:rPr>
          <w:rFonts w:asciiTheme="majorHAnsi" w:hAnsiTheme="majorHAnsi"/>
          <w:sz w:val="20"/>
          <w:szCs w:val="20"/>
          <w:lang w:val="pt-BR"/>
        </w:rPr>
        <w:t xml:space="preserve"> pela</w:t>
      </w:r>
      <w:r w:rsidR="001910F6" w:rsidRPr="00726341">
        <w:rPr>
          <w:rFonts w:asciiTheme="majorHAnsi" w:hAnsiTheme="majorHAnsi"/>
          <w:sz w:val="20"/>
          <w:szCs w:val="20"/>
          <w:lang w:val="pt-BR"/>
        </w:rPr>
        <w:t xml:space="preserve"> Sra. Brezer. Em agosto de 2004, o </w:t>
      </w:r>
      <w:r>
        <w:rPr>
          <w:rFonts w:asciiTheme="majorHAnsi" w:hAnsiTheme="majorHAnsi"/>
          <w:sz w:val="20"/>
          <w:szCs w:val="20"/>
          <w:lang w:val="pt-BR"/>
        </w:rPr>
        <w:t>mencionado T</w:t>
      </w:r>
      <w:r w:rsidR="001910F6" w:rsidRPr="00726341">
        <w:rPr>
          <w:rFonts w:asciiTheme="majorHAnsi" w:hAnsiTheme="majorHAnsi"/>
          <w:sz w:val="20"/>
          <w:szCs w:val="20"/>
          <w:lang w:val="pt-BR"/>
        </w:rPr>
        <w:t xml:space="preserve">ribunal </w:t>
      </w:r>
      <w:r w:rsidR="003D5CA7" w:rsidRPr="00726341">
        <w:rPr>
          <w:rFonts w:asciiTheme="majorHAnsi" w:hAnsiTheme="majorHAnsi"/>
          <w:sz w:val="20"/>
          <w:szCs w:val="20"/>
          <w:lang w:val="pt-BR"/>
        </w:rPr>
        <w:t xml:space="preserve">decidiu pela sua não responsabilização, decisão confirmada em segunda instância. Em sede de recurso posterior, o Conselho Federal da OAB anulou o processo </w:t>
      </w:r>
      <w:r>
        <w:rPr>
          <w:rFonts w:asciiTheme="majorHAnsi" w:hAnsiTheme="majorHAnsi"/>
          <w:sz w:val="20"/>
          <w:szCs w:val="20"/>
          <w:lang w:val="pt-BR"/>
        </w:rPr>
        <w:t>em razão da</w:t>
      </w:r>
      <w:r w:rsidR="003D5CA7" w:rsidRPr="00726341">
        <w:rPr>
          <w:rFonts w:asciiTheme="majorHAnsi" w:hAnsiTheme="majorHAnsi"/>
          <w:sz w:val="20"/>
          <w:szCs w:val="20"/>
          <w:lang w:val="pt-BR"/>
        </w:rPr>
        <w:t xml:space="preserve"> forma e a OAB/SP recorreu em 30 de janeiro de 2008. </w:t>
      </w:r>
      <w:r w:rsidR="00D52212" w:rsidRPr="00726341">
        <w:rPr>
          <w:rFonts w:asciiTheme="majorHAnsi" w:hAnsiTheme="majorHAnsi"/>
          <w:sz w:val="20"/>
          <w:szCs w:val="20"/>
          <w:lang w:val="pt-BR"/>
        </w:rPr>
        <w:t>A</w:t>
      </w:r>
      <w:r w:rsidR="003D5CA7" w:rsidRPr="00726341">
        <w:rPr>
          <w:rFonts w:asciiTheme="majorHAnsi" w:hAnsiTheme="majorHAnsi"/>
          <w:sz w:val="20"/>
          <w:szCs w:val="20"/>
          <w:lang w:val="pt-BR"/>
        </w:rPr>
        <w:t>s peticionári</w:t>
      </w:r>
      <w:r w:rsidR="00D52212" w:rsidRPr="00726341">
        <w:rPr>
          <w:rFonts w:asciiTheme="majorHAnsi" w:hAnsiTheme="majorHAnsi"/>
          <w:sz w:val="20"/>
          <w:szCs w:val="20"/>
          <w:lang w:val="pt-BR"/>
        </w:rPr>
        <w:t>a</w:t>
      </w:r>
      <w:r w:rsidR="003D5CA7" w:rsidRPr="00726341">
        <w:rPr>
          <w:rFonts w:asciiTheme="majorHAnsi" w:hAnsiTheme="majorHAnsi"/>
          <w:sz w:val="20"/>
          <w:szCs w:val="20"/>
          <w:lang w:val="pt-BR"/>
        </w:rPr>
        <w:t xml:space="preserve">s não informam o resultado desse processo. Em sentido similar, os investigadores de polícia </w:t>
      </w:r>
      <w:r w:rsidR="00023F53" w:rsidRPr="00726341">
        <w:rPr>
          <w:rFonts w:asciiTheme="majorHAnsi" w:hAnsiTheme="majorHAnsi"/>
          <w:sz w:val="20"/>
          <w:szCs w:val="20"/>
          <w:lang w:val="pt-BR"/>
        </w:rPr>
        <w:t xml:space="preserve">e o </w:t>
      </w:r>
      <w:r w:rsidR="00023F53" w:rsidRPr="00726341">
        <w:rPr>
          <w:rFonts w:asciiTheme="majorHAnsi" w:hAnsiTheme="majorHAnsi"/>
          <w:sz w:val="20"/>
          <w:szCs w:val="20"/>
          <w:lang w:val="pt-BR"/>
        </w:rPr>
        <w:lastRenderedPageBreak/>
        <w:t xml:space="preserve">delegado </w:t>
      </w:r>
      <w:r w:rsidR="003D5CA7" w:rsidRPr="00726341">
        <w:rPr>
          <w:rFonts w:asciiTheme="majorHAnsi" w:hAnsiTheme="majorHAnsi"/>
          <w:sz w:val="20"/>
          <w:szCs w:val="20"/>
          <w:lang w:val="pt-BR"/>
        </w:rPr>
        <w:t>enfrentaram processo administrativo instaurado no âmbito da Polícia Civil do Estado de São Paulo. Em decisão de 19 de abril de 2000, o Conselho da Polícia Civil não identificou irregularidades na atuação dos agentes envolvidos. Em 8 de maio de 2000, os autos foram enviados à Secretaria de Segurança Pública de São Paulo.</w:t>
      </w:r>
    </w:p>
    <w:p w14:paraId="56E9D0D1" w14:textId="7BCDB37D" w:rsidR="00AE621D" w:rsidRPr="00726341" w:rsidRDefault="00AE621D" w:rsidP="00832E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 xml:space="preserve">Após a apresentação da denúncia, </w:t>
      </w:r>
      <w:r w:rsidRPr="00726341">
        <w:rPr>
          <w:rFonts w:asciiTheme="majorHAnsi" w:hAnsiTheme="majorHAnsi"/>
          <w:bCs/>
          <w:sz w:val="20"/>
          <w:szCs w:val="20"/>
          <w:lang w:val="pt-BR"/>
        </w:rPr>
        <w:t>a suposta vítima e sua família passaram a sofrer ameaças e foram forçados a deixar a cidade onde viviam em fevereiro de 2000</w:t>
      </w:r>
      <w:r w:rsidR="006429C9">
        <w:rPr>
          <w:rFonts w:asciiTheme="majorHAnsi" w:hAnsiTheme="majorHAnsi"/>
          <w:bCs/>
          <w:sz w:val="20"/>
          <w:szCs w:val="20"/>
          <w:lang w:val="pt-BR"/>
        </w:rPr>
        <w:t>,</w:t>
      </w:r>
      <w:r w:rsidRPr="00726341">
        <w:rPr>
          <w:rFonts w:asciiTheme="majorHAnsi" w:hAnsiTheme="majorHAnsi"/>
          <w:bCs/>
          <w:sz w:val="20"/>
          <w:szCs w:val="20"/>
          <w:lang w:val="pt-BR"/>
        </w:rPr>
        <w:t xml:space="preserve"> rumo </w:t>
      </w:r>
      <w:r w:rsidR="00527FCF" w:rsidRPr="00726341">
        <w:rPr>
          <w:rFonts w:asciiTheme="majorHAnsi" w:hAnsiTheme="majorHAnsi"/>
          <w:bCs/>
          <w:sz w:val="20"/>
          <w:szCs w:val="20"/>
          <w:lang w:val="pt-BR"/>
        </w:rPr>
        <w:t>a</w:t>
      </w:r>
      <w:r w:rsidRPr="00726341">
        <w:rPr>
          <w:rFonts w:asciiTheme="majorHAnsi" w:hAnsiTheme="majorHAnsi"/>
          <w:bCs/>
          <w:sz w:val="20"/>
          <w:szCs w:val="20"/>
          <w:lang w:val="pt-BR"/>
        </w:rPr>
        <w:t xml:space="preserve"> uma zona rural. Além disso, indicam que as autoridades que tomaram medidas para seguir com as investigações e a ação penal foram transferidas da cidade. Como consequência das ameaças e da impunidade, afirmam que toda a família ficou fragilizada e sofreu impactos em suas vidas. </w:t>
      </w:r>
      <w:r w:rsidR="002F696F" w:rsidRPr="00726341">
        <w:rPr>
          <w:rFonts w:asciiTheme="majorHAnsi" w:hAnsiTheme="majorHAnsi"/>
          <w:sz w:val="20"/>
          <w:szCs w:val="20"/>
          <w:lang w:val="pt-BR"/>
        </w:rPr>
        <w:t>Ainda,</w:t>
      </w:r>
      <w:r w:rsidR="00E86C11" w:rsidRPr="00726341">
        <w:rPr>
          <w:rFonts w:asciiTheme="majorHAnsi" w:hAnsiTheme="majorHAnsi"/>
          <w:sz w:val="20"/>
          <w:szCs w:val="20"/>
          <w:lang w:val="pt-BR"/>
        </w:rPr>
        <w:t xml:space="preserve"> alegam que </w:t>
      </w:r>
      <w:r w:rsidR="005734F1" w:rsidRPr="00726341">
        <w:rPr>
          <w:rFonts w:asciiTheme="majorHAnsi" w:hAnsiTheme="majorHAnsi"/>
          <w:sz w:val="20"/>
          <w:szCs w:val="20"/>
          <w:lang w:val="pt-BR"/>
        </w:rPr>
        <w:t xml:space="preserve">a testemunha Deusa Aparecida Leme foi ameaçada </w:t>
      </w:r>
      <w:r w:rsidR="00832E15" w:rsidRPr="00726341">
        <w:rPr>
          <w:rFonts w:asciiTheme="majorHAnsi" w:hAnsiTheme="majorHAnsi"/>
          <w:sz w:val="20"/>
          <w:szCs w:val="20"/>
          <w:lang w:val="pt-BR"/>
        </w:rPr>
        <w:t xml:space="preserve">durante o curso da ação penal para que não </w:t>
      </w:r>
      <w:r w:rsidR="00326E14" w:rsidRPr="00726341">
        <w:rPr>
          <w:rFonts w:asciiTheme="majorHAnsi" w:hAnsiTheme="majorHAnsi"/>
          <w:sz w:val="20"/>
          <w:szCs w:val="20"/>
          <w:lang w:val="pt-BR"/>
        </w:rPr>
        <w:t>relatasse</w:t>
      </w:r>
      <w:r w:rsidR="00832E15" w:rsidRPr="00726341">
        <w:rPr>
          <w:rFonts w:asciiTheme="majorHAnsi" w:hAnsiTheme="majorHAnsi"/>
          <w:sz w:val="20"/>
          <w:szCs w:val="20"/>
          <w:lang w:val="pt-BR"/>
        </w:rPr>
        <w:t xml:space="preserve"> a verdade. A ameaça teria sido feita por duas pessoas, </w:t>
      </w:r>
      <w:r w:rsidR="005734F1" w:rsidRPr="00726341">
        <w:rPr>
          <w:rFonts w:asciiTheme="majorHAnsi" w:hAnsiTheme="majorHAnsi"/>
          <w:sz w:val="20"/>
          <w:szCs w:val="20"/>
          <w:lang w:val="pt-BR"/>
        </w:rPr>
        <w:t>sendo uma delas um guarda municipal</w:t>
      </w:r>
      <w:r w:rsidR="00832E15" w:rsidRPr="00726341">
        <w:rPr>
          <w:rFonts w:asciiTheme="majorHAnsi" w:hAnsiTheme="majorHAnsi"/>
          <w:sz w:val="20"/>
          <w:szCs w:val="20"/>
          <w:lang w:val="pt-BR"/>
        </w:rPr>
        <w:t xml:space="preserve">. </w:t>
      </w:r>
      <w:r w:rsidR="00E1032E" w:rsidRPr="00726341">
        <w:rPr>
          <w:rFonts w:asciiTheme="majorHAnsi" w:hAnsiTheme="majorHAnsi"/>
          <w:sz w:val="20"/>
          <w:szCs w:val="20"/>
          <w:lang w:val="pt-BR"/>
        </w:rPr>
        <w:t>A partir de</w:t>
      </w:r>
      <w:r w:rsidR="001622BE">
        <w:rPr>
          <w:rFonts w:asciiTheme="majorHAnsi" w:hAnsiTheme="majorHAnsi"/>
          <w:sz w:val="20"/>
          <w:szCs w:val="20"/>
          <w:lang w:val="pt-BR"/>
        </w:rPr>
        <w:t xml:space="preserve"> uma</w:t>
      </w:r>
      <w:r w:rsidR="00E1032E" w:rsidRPr="00726341">
        <w:rPr>
          <w:rFonts w:asciiTheme="majorHAnsi" w:hAnsiTheme="majorHAnsi"/>
          <w:sz w:val="20"/>
          <w:szCs w:val="20"/>
          <w:lang w:val="pt-BR"/>
        </w:rPr>
        <w:t xml:space="preserve"> representação</w:t>
      </w:r>
      <w:r w:rsidR="001622BE">
        <w:rPr>
          <w:rFonts w:asciiTheme="majorHAnsi" w:hAnsiTheme="majorHAnsi"/>
          <w:sz w:val="20"/>
          <w:szCs w:val="20"/>
          <w:lang w:val="pt-BR"/>
        </w:rPr>
        <w:t xml:space="preserve"> apresentada</w:t>
      </w:r>
      <w:r w:rsidR="00E1032E" w:rsidRPr="00726341">
        <w:rPr>
          <w:rFonts w:asciiTheme="majorHAnsi" w:hAnsiTheme="majorHAnsi"/>
          <w:sz w:val="20"/>
          <w:szCs w:val="20"/>
          <w:lang w:val="pt-BR"/>
        </w:rPr>
        <w:t>, u</w:t>
      </w:r>
      <w:r w:rsidR="00832E15" w:rsidRPr="00726341">
        <w:rPr>
          <w:rFonts w:asciiTheme="majorHAnsi" w:hAnsiTheme="majorHAnsi"/>
          <w:sz w:val="20"/>
          <w:szCs w:val="20"/>
          <w:lang w:val="pt-BR"/>
        </w:rPr>
        <w:t xml:space="preserve">ma ação penal foi iniciada para verificar a coação sofrida, resultando em absolvição por sentença </w:t>
      </w:r>
      <w:r w:rsidR="00326E14" w:rsidRPr="00726341">
        <w:rPr>
          <w:rFonts w:asciiTheme="majorHAnsi" w:hAnsiTheme="majorHAnsi"/>
          <w:sz w:val="20"/>
          <w:szCs w:val="20"/>
          <w:lang w:val="pt-BR"/>
        </w:rPr>
        <w:t xml:space="preserve">proferida em </w:t>
      </w:r>
      <w:r w:rsidR="001910F6" w:rsidRPr="00726341">
        <w:rPr>
          <w:rFonts w:asciiTheme="majorHAnsi" w:hAnsiTheme="majorHAnsi"/>
          <w:sz w:val="20"/>
          <w:szCs w:val="20"/>
          <w:lang w:val="pt-BR"/>
        </w:rPr>
        <w:t>13 de novembro de 2000, o que foi confirmado em segunda instância por decisão do TJSP do ano de 2005.</w:t>
      </w:r>
      <w:r w:rsidR="002F696F" w:rsidRPr="00726341">
        <w:rPr>
          <w:rFonts w:asciiTheme="majorHAnsi" w:hAnsiTheme="majorHAnsi"/>
          <w:sz w:val="20"/>
          <w:szCs w:val="20"/>
          <w:lang w:val="pt-BR"/>
        </w:rPr>
        <w:t xml:space="preserve"> </w:t>
      </w:r>
    </w:p>
    <w:p w14:paraId="769FEF65" w14:textId="360AE83D" w:rsidR="00832E15" w:rsidRPr="00726341" w:rsidRDefault="00DD0FE0" w:rsidP="00832E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Contextualmente, as peticionárias afirmam que a clara desigualdade econômica e de poder entre as partes, bem como os padrões socioculturais discriminatórios</w:t>
      </w:r>
      <w:r w:rsidR="002F696F" w:rsidRPr="00726341">
        <w:rPr>
          <w:rFonts w:asciiTheme="majorHAnsi" w:hAnsiTheme="majorHAnsi"/>
          <w:sz w:val="20"/>
          <w:szCs w:val="20"/>
          <w:lang w:val="pt-BR"/>
        </w:rPr>
        <w:t>,</w:t>
      </w:r>
      <w:r w:rsidRPr="00726341">
        <w:rPr>
          <w:rFonts w:asciiTheme="majorHAnsi" w:hAnsiTheme="majorHAnsi"/>
          <w:sz w:val="20"/>
          <w:szCs w:val="20"/>
          <w:lang w:val="pt-BR"/>
        </w:rPr>
        <w:t xml:space="preserve"> influíram negativamente na atuação das instituições jurídicas, especialmente nos proce</w:t>
      </w:r>
      <w:r w:rsidR="008945CD" w:rsidRPr="00726341">
        <w:rPr>
          <w:rFonts w:asciiTheme="majorHAnsi" w:hAnsiTheme="majorHAnsi"/>
          <w:sz w:val="20"/>
          <w:szCs w:val="20"/>
          <w:lang w:val="pt-BR"/>
        </w:rPr>
        <w:t>ssos penais e disciplinares instaurado</w:t>
      </w:r>
      <w:r w:rsidR="00BF318B" w:rsidRPr="00726341">
        <w:rPr>
          <w:rFonts w:asciiTheme="majorHAnsi" w:hAnsiTheme="majorHAnsi"/>
          <w:sz w:val="20"/>
          <w:szCs w:val="20"/>
          <w:lang w:val="pt-BR"/>
        </w:rPr>
        <w:t>s</w:t>
      </w:r>
      <w:r w:rsidR="008945CD" w:rsidRPr="00726341">
        <w:rPr>
          <w:rFonts w:asciiTheme="majorHAnsi" w:hAnsiTheme="majorHAnsi"/>
          <w:sz w:val="20"/>
          <w:szCs w:val="20"/>
          <w:lang w:val="pt-BR"/>
        </w:rPr>
        <w:t xml:space="preserve"> contra os acusados. Por fim, alegam que o Estado falhou em prover assistência jurídica gratuita às supostas vítimas, salientando a ausência da Defensoria Pública na cidade de Tatuí, </w:t>
      </w:r>
      <w:r w:rsidR="006429C9">
        <w:rPr>
          <w:rFonts w:asciiTheme="majorHAnsi" w:hAnsiTheme="majorHAnsi"/>
          <w:sz w:val="20"/>
          <w:szCs w:val="20"/>
          <w:lang w:val="pt-BR"/>
        </w:rPr>
        <w:t>local</w:t>
      </w:r>
      <w:r w:rsidR="008945CD" w:rsidRPr="00726341">
        <w:rPr>
          <w:rFonts w:asciiTheme="majorHAnsi" w:hAnsiTheme="majorHAnsi"/>
          <w:sz w:val="20"/>
          <w:szCs w:val="20"/>
          <w:lang w:val="pt-BR"/>
        </w:rPr>
        <w:t xml:space="preserve"> </w:t>
      </w:r>
      <w:r w:rsidR="00D4762A">
        <w:rPr>
          <w:rFonts w:asciiTheme="majorHAnsi" w:hAnsiTheme="majorHAnsi"/>
          <w:sz w:val="20"/>
          <w:szCs w:val="20"/>
          <w:lang w:val="pt-BR"/>
        </w:rPr>
        <w:t>dos fatos, situada</w:t>
      </w:r>
      <w:r w:rsidR="008945CD" w:rsidRPr="00726341">
        <w:rPr>
          <w:rFonts w:asciiTheme="majorHAnsi" w:hAnsiTheme="majorHAnsi"/>
          <w:sz w:val="20"/>
          <w:szCs w:val="20"/>
          <w:lang w:val="pt-BR"/>
        </w:rPr>
        <w:t xml:space="preserve"> a 131 quilômetros da capital estadual.</w:t>
      </w:r>
    </w:p>
    <w:p w14:paraId="761366F0" w14:textId="7515217E" w:rsidR="008945CD" w:rsidRPr="00726341" w:rsidRDefault="009C6A06" w:rsidP="00846C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O Estado, em contrapartida, afirma que</w:t>
      </w:r>
      <w:r w:rsidR="00846C60" w:rsidRPr="00726341">
        <w:rPr>
          <w:rFonts w:asciiTheme="majorHAnsi" w:hAnsiTheme="majorHAnsi"/>
          <w:sz w:val="20"/>
          <w:szCs w:val="20"/>
          <w:lang w:val="pt-BR"/>
        </w:rPr>
        <w:t xml:space="preserve"> as autoridades atuaram com diligência na condução dos processos e que todas as instâncias puderam ser acionadas pelas supostas vítimas. </w:t>
      </w:r>
      <w:r w:rsidR="006429C9">
        <w:rPr>
          <w:rFonts w:asciiTheme="majorHAnsi" w:hAnsiTheme="majorHAnsi"/>
          <w:sz w:val="20"/>
          <w:szCs w:val="20"/>
          <w:lang w:val="pt-BR"/>
        </w:rPr>
        <w:t xml:space="preserve">Quanto à atuação </w:t>
      </w:r>
      <w:r w:rsidR="001049EE">
        <w:rPr>
          <w:rFonts w:asciiTheme="majorHAnsi" w:hAnsiTheme="majorHAnsi"/>
          <w:sz w:val="20"/>
          <w:szCs w:val="20"/>
          <w:lang w:val="pt-BR"/>
        </w:rPr>
        <w:t>da suposta vítima</w:t>
      </w:r>
      <w:r w:rsidR="006429C9">
        <w:rPr>
          <w:rFonts w:asciiTheme="majorHAnsi" w:hAnsiTheme="majorHAnsi"/>
          <w:sz w:val="20"/>
          <w:szCs w:val="20"/>
          <w:lang w:val="pt-BR"/>
        </w:rPr>
        <w:t xml:space="preserve"> </w:t>
      </w:r>
      <w:r w:rsidR="008945CD" w:rsidRPr="00726341">
        <w:rPr>
          <w:rFonts w:asciiTheme="majorHAnsi" w:hAnsiTheme="majorHAnsi"/>
          <w:sz w:val="20"/>
          <w:szCs w:val="20"/>
          <w:lang w:val="pt-BR"/>
        </w:rPr>
        <w:t>como assistente de acusação, afirma que nu</w:t>
      </w:r>
      <w:r w:rsidR="008D0065">
        <w:rPr>
          <w:rFonts w:asciiTheme="majorHAnsi" w:hAnsiTheme="majorHAnsi"/>
          <w:sz w:val="20"/>
          <w:szCs w:val="20"/>
          <w:lang w:val="pt-BR"/>
        </w:rPr>
        <w:t>nca se cogitou colocar sobre ela</w:t>
      </w:r>
      <w:r w:rsidR="008945CD" w:rsidRPr="00726341">
        <w:rPr>
          <w:rFonts w:asciiTheme="majorHAnsi" w:hAnsiTheme="majorHAnsi"/>
          <w:sz w:val="20"/>
          <w:szCs w:val="20"/>
          <w:lang w:val="pt-BR"/>
        </w:rPr>
        <w:t xml:space="preserve"> a responsabilidade de conduzir a ação penal. A existência dessa figura processual possibilita que a Defensoria Pública atue e, em sua ausência, o Estado provê alternativas legais para os estados federados que não haviam constituído seus órgãos de defesa, como a designação de advogados </w:t>
      </w:r>
      <w:r w:rsidR="008945CD" w:rsidRPr="00726341">
        <w:rPr>
          <w:rFonts w:asciiTheme="majorHAnsi" w:hAnsiTheme="majorHAnsi"/>
          <w:i/>
          <w:sz w:val="20"/>
          <w:szCs w:val="20"/>
          <w:lang w:val="pt-BR"/>
        </w:rPr>
        <w:t>ad hoc</w:t>
      </w:r>
      <w:r w:rsidR="008945CD" w:rsidRPr="00726341">
        <w:rPr>
          <w:rFonts w:asciiTheme="majorHAnsi" w:hAnsiTheme="majorHAnsi"/>
          <w:sz w:val="20"/>
          <w:szCs w:val="20"/>
          <w:lang w:val="pt-BR"/>
        </w:rPr>
        <w:t xml:space="preserve">. </w:t>
      </w:r>
      <w:r w:rsidR="006429C9">
        <w:rPr>
          <w:rFonts w:asciiTheme="majorHAnsi" w:hAnsiTheme="majorHAnsi"/>
          <w:sz w:val="20"/>
          <w:szCs w:val="20"/>
          <w:lang w:val="pt-BR"/>
        </w:rPr>
        <w:t>Alega</w:t>
      </w:r>
      <w:r w:rsidR="008945CD" w:rsidRPr="00726341">
        <w:rPr>
          <w:rFonts w:asciiTheme="majorHAnsi" w:hAnsiTheme="majorHAnsi"/>
          <w:sz w:val="20"/>
          <w:szCs w:val="20"/>
          <w:lang w:val="pt-BR"/>
        </w:rPr>
        <w:t>, ainda, que não houve prejuízo no curso d</w:t>
      </w:r>
      <w:r w:rsidR="00D13538" w:rsidRPr="00726341">
        <w:rPr>
          <w:rFonts w:asciiTheme="majorHAnsi" w:hAnsiTheme="majorHAnsi"/>
          <w:sz w:val="20"/>
          <w:szCs w:val="20"/>
          <w:lang w:val="pt-BR"/>
        </w:rPr>
        <w:t>os processos em razão de qualquer discriminação e que apresentar tal argumento à Comissão seria violar a soberania da jurisdição estatal.</w:t>
      </w:r>
    </w:p>
    <w:p w14:paraId="6F4D4171" w14:textId="11CE5D6B" w:rsidR="003239B8" w:rsidRPr="00726341" w:rsidRDefault="003239B8" w:rsidP="007263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sz w:val="20"/>
          <w:szCs w:val="20"/>
          <w:lang w:val="pt-BR"/>
        </w:rPr>
      </w:pPr>
      <w:r w:rsidRPr="00726341">
        <w:rPr>
          <w:rFonts w:asciiTheme="majorHAnsi" w:eastAsia="Cambria" w:hAnsiTheme="majorHAnsi" w:cs="Cambria"/>
          <w:b/>
          <w:bCs/>
          <w:color w:val="000000"/>
          <w:sz w:val="20"/>
          <w:szCs w:val="20"/>
          <w:u w:color="000000"/>
          <w:lang w:val="pt-BR" w:eastAsia="es-ES"/>
        </w:rPr>
        <w:t>VI.</w:t>
      </w:r>
      <w:r w:rsidRPr="00726341">
        <w:rPr>
          <w:rFonts w:asciiTheme="majorHAnsi" w:eastAsia="Cambria" w:hAnsiTheme="majorHAnsi" w:cs="Cambria"/>
          <w:b/>
          <w:bCs/>
          <w:color w:val="000000"/>
          <w:sz w:val="20"/>
          <w:szCs w:val="20"/>
          <w:u w:color="000000"/>
          <w:lang w:val="pt-BR" w:eastAsia="es-ES"/>
        </w:rPr>
        <w:tab/>
      </w:r>
      <w:r w:rsidR="00D21316" w:rsidRPr="00726341">
        <w:rPr>
          <w:rFonts w:asciiTheme="majorHAnsi" w:hAnsiTheme="majorHAnsi"/>
          <w:b/>
          <w:bCs/>
          <w:sz w:val="20"/>
          <w:szCs w:val="20"/>
          <w:lang w:val="pt-BR"/>
        </w:rPr>
        <w:t>ANÁLISE</w:t>
      </w:r>
      <w:r w:rsidR="004A6A54" w:rsidRPr="00726341">
        <w:rPr>
          <w:rFonts w:asciiTheme="majorHAnsi" w:hAnsiTheme="majorHAnsi"/>
          <w:b/>
          <w:bCs/>
          <w:sz w:val="20"/>
          <w:szCs w:val="20"/>
          <w:lang w:val="pt-BR"/>
        </w:rPr>
        <w:t xml:space="preserve"> DE </w:t>
      </w:r>
      <w:r w:rsidR="00D21316" w:rsidRPr="00726341">
        <w:rPr>
          <w:rFonts w:asciiTheme="majorHAnsi" w:hAnsiTheme="majorHAnsi"/>
          <w:b/>
          <w:sz w:val="20"/>
          <w:szCs w:val="20"/>
          <w:lang w:val="pt-BR"/>
        </w:rPr>
        <w:t>ESGOTAM</w:t>
      </w:r>
      <w:r w:rsidR="00C21FEF" w:rsidRPr="00726341">
        <w:rPr>
          <w:rFonts w:asciiTheme="majorHAnsi" w:hAnsiTheme="majorHAnsi"/>
          <w:b/>
          <w:sz w:val="20"/>
          <w:szCs w:val="20"/>
          <w:lang w:val="pt-BR"/>
        </w:rPr>
        <w:t xml:space="preserve">ENTO </w:t>
      </w:r>
      <w:r w:rsidR="00D21316" w:rsidRPr="00726341">
        <w:rPr>
          <w:rFonts w:asciiTheme="majorHAnsi" w:hAnsiTheme="majorHAnsi"/>
          <w:b/>
          <w:sz w:val="20"/>
          <w:szCs w:val="20"/>
          <w:lang w:val="pt-BR"/>
        </w:rPr>
        <w:t>DOS</w:t>
      </w:r>
      <w:r w:rsidR="00C21FEF" w:rsidRPr="00726341">
        <w:rPr>
          <w:rFonts w:asciiTheme="majorHAnsi" w:hAnsiTheme="majorHAnsi"/>
          <w:b/>
          <w:sz w:val="20"/>
          <w:szCs w:val="20"/>
          <w:lang w:val="pt-BR"/>
        </w:rPr>
        <w:t xml:space="preserve"> RECURSOS INTERNOS</w:t>
      </w:r>
      <w:r w:rsidR="00D21316" w:rsidRPr="00726341">
        <w:rPr>
          <w:rFonts w:asciiTheme="majorHAnsi" w:hAnsiTheme="majorHAnsi"/>
          <w:b/>
          <w:sz w:val="20"/>
          <w:szCs w:val="20"/>
          <w:lang w:val="pt-BR"/>
        </w:rPr>
        <w:t xml:space="preserve"> E PR</w:t>
      </w:r>
      <w:r w:rsidR="00C21FEF" w:rsidRPr="00726341">
        <w:rPr>
          <w:rFonts w:asciiTheme="majorHAnsi" w:hAnsiTheme="majorHAnsi"/>
          <w:b/>
          <w:sz w:val="20"/>
          <w:szCs w:val="20"/>
          <w:lang w:val="pt-BR"/>
        </w:rPr>
        <w:t xml:space="preserve">AZO DE </w:t>
      </w:r>
      <w:r w:rsidR="00D21316" w:rsidRPr="00726341">
        <w:rPr>
          <w:rFonts w:asciiTheme="majorHAnsi" w:hAnsiTheme="majorHAnsi"/>
          <w:b/>
          <w:sz w:val="20"/>
          <w:szCs w:val="20"/>
          <w:lang w:val="pt-BR"/>
        </w:rPr>
        <w:t>APRESENTAÇÃO</w:t>
      </w:r>
      <w:r w:rsidR="00C21FEF" w:rsidRPr="00726341">
        <w:rPr>
          <w:rFonts w:asciiTheme="majorHAnsi" w:eastAsia="Cambria" w:hAnsiTheme="majorHAnsi" w:cs="Cambria"/>
          <w:b/>
          <w:bCs/>
          <w:color w:val="000000"/>
          <w:sz w:val="20"/>
          <w:szCs w:val="20"/>
          <w:u w:color="000000"/>
          <w:lang w:val="pt-BR" w:eastAsia="es-ES"/>
        </w:rPr>
        <w:t xml:space="preserve"> </w:t>
      </w:r>
    </w:p>
    <w:p w14:paraId="7A4A1773" w14:textId="5E0E9294" w:rsidR="00526397" w:rsidRPr="002D0125" w:rsidRDefault="001C42D8" w:rsidP="002D01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As peticionárias afirmam que os recursos internos foram esgotados em 18 de março de 2009, com a decisão do Superior Tribunal de Justiça que negou o provimento do Agravo de Instrumento</w:t>
      </w:r>
      <w:r w:rsidR="00EA379A" w:rsidRPr="00726341">
        <w:rPr>
          <w:rFonts w:asciiTheme="majorHAnsi" w:hAnsiTheme="majorHAnsi"/>
          <w:sz w:val="20"/>
          <w:szCs w:val="20"/>
          <w:lang w:val="pt-BR"/>
        </w:rPr>
        <w:t xml:space="preserve">, </w:t>
      </w:r>
      <w:r w:rsidR="00DD70A0">
        <w:rPr>
          <w:rFonts w:asciiTheme="majorHAnsi" w:hAnsiTheme="majorHAnsi"/>
          <w:sz w:val="20"/>
          <w:szCs w:val="20"/>
          <w:lang w:val="pt-BR"/>
        </w:rPr>
        <w:t>isto é</w:t>
      </w:r>
      <w:r w:rsidR="00EA379A" w:rsidRPr="00726341">
        <w:rPr>
          <w:rFonts w:asciiTheme="majorHAnsi" w:hAnsiTheme="majorHAnsi"/>
          <w:sz w:val="20"/>
          <w:szCs w:val="20"/>
          <w:lang w:val="pt-BR"/>
        </w:rPr>
        <w:t>, 12 anos após</w:t>
      </w:r>
      <w:r w:rsidR="00DD0FE0" w:rsidRPr="00726341">
        <w:rPr>
          <w:rFonts w:asciiTheme="majorHAnsi" w:hAnsiTheme="majorHAnsi"/>
          <w:sz w:val="20"/>
          <w:szCs w:val="20"/>
          <w:lang w:val="pt-BR"/>
        </w:rPr>
        <w:t xml:space="preserve"> a ocorrência dos fatos. </w:t>
      </w:r>
      <w:r w:rsidR="00DD0FE0" w:rsidRPr="002D0125">
        <w:rPr>
          <w:rFonts w:asciiTheme="majorHAnsi" w:hAnsiTheme="majorHAnsi"/>
          <w:sz w:val="20"/>
          <w:szCs w:val="20"/>
          <w:lang w:val="pt-BR"/>
        </w:rPr>
        <w:t xml:space="preserve">Ressaltam, ainda, que o crime de tortura é objeto de ação penal pública </w:t>
      </w:r>
      <w:r w:rsidR="003C66E3" w:rsidRPr="002D0125">
        <w:rPr>
          <w:rFonts w:asciiTheme="majorHAnsi" w:hAnsiTheme="majorHAnsi"/>
          <w:sz w:val="20"/>
          <w:szCs w:val="20"/>
          <w:lang w:val="pt-BR"/>
        </w:rPr>
        <w:t>in</w:t>
      </w:r>
      <w:r w:rsidR="00DD70A0">
        <w:rPr>
          <w:rFonts w:asciiTheme="majorHAnsi" w:hAnsiTheme="majorHAnsi"/>
          <w:sz w:val="20"/>
          <w:szCs w:val="20"/>
          <w:lang w:val="pt-BR"/>
        </w:rPr>
        <w:t xml:space="preserve">condicionada e que, por isso, </w:t>
      </w:r>
      <w:r w:rsidR="00DD0FE0" w:rsidRPr="002D0125">
        <w:rPr>
          <w:rFonts w:asciiTheme="majorHAnsi" w:hAnsiTheme="majorHAnsi"/>
          <w:sz w:val="20"/>
          <w:szCs w:val="20"/>
          <w:lang w:val="pt-BR"/>
        </w:rPr>
        <w:t>deve ser interposta e conduzida pelo Ministério Público. No entanto, no presente caso</w:t>
      </w:r>
      <w:r w:rsidR="000218DB" w:rsidRPr="002D0125">
        <w:rPr>
          <w:rFonts w:asciiTheme="majorHAnsi" w:hAnsiTheme="majorHAnsi"/>
          <w:sz w:val="20"/>
          <w:szCs w:val="20"/>
          <w:lang w:val="pt-BR"/>
        </w:rPr>
        <w:t>,</w:t>
      </w:r>
      <w:r w:rsidR="00DD0FE0" w:rsidRPr="002D0125">
        <w:rPr>
          <w:rFonts w:asciiTheme="majorHAnsi" w:hAnsiTheme="majorHAnsi"/>
          <w:sz w:val="20"/>
          <w:szCs w:val="20"/>
          <w:lang w:val="pt-BR"/>
        </w:rPr>
        <w:t xml:space="preserve"> o </w:t>
      </w:r>
      <w:r w:rsidR="00410F6A" w:rsidRPr="002D0125">
        <w:rPr>
          <w:rFonts w:asciiTheme="majorHAnsi" w:hAnsiTheme="majorHAnsi"/>
          <w:sz w:val="20"/>
          <w:szCs w:val="20"/>
          <w:lang w:val="pt-BR"/>
        </w:rPr>
        <w:t>MP</w:t>
      </w:r>
      <w:r w:rsidR="00DD0FE0" w:rsidRPr="002D0125">
        <w:rPr>
          <w:rFonts w:asciiTheme="majorHAnsi" w:hAnsiTheme="majorHAnsi"/>
          <w:sz w:val="20"/>
          <w:szCs w:val="20"/>
          <w:lang w:val="pt-BR"/>
        </w:rPr>
        <w:t xml:space="preserve"> deixou de apresentar recursos após a decisão em segunda instância, transferindo tal responsabilidade à suposta vítima. </w:t>
      </w:r>
      <w:r w:rsidR="008945CD" w:rsidRPr="002D0125">
        <w:rPr>
          <w:rFonts w:asciiTheme="majorHAnsi" w:hAnsiTheme="majorHAnsi"/>
          <w:sz w:val="20"/>
          <w:szCs w:val="20"/>
          <w:lang w:val="pt-BR"/>
        </w:rPr>
        <w:t>Alegam, ademais, que ainda que os recursos internos não tivessem sido esgotados, poderia ser aplicada a exceção prevista no artigo 46.2.c da Convenção em razão da demora injustificada</w:t>
      </w:r>
      <w:r w:rsidR="00DD70A0">
        <w:rPr>
          <w:rFonts w:asciiTheme="majorHAnsi" w:hAnsiTheme="majorHAnsi"/>
          <w:sz w:val="20"/>
          <w:szCs w:val="20"/>
          <w:lang w:val="pt-BR"/>
        </w:rPr>
        <w:t xml:space="preserve"> na resolução da lide</w:t>
      </w:r>
      <w:r w:rsidR="008945CD" w:rsidRPr="002D0125">
        <w:rPr>
          <w:rFonts w:asciiTheme="majorHAnsi" w:hAnsiTheme="majorHAnsi"/>
          <w:sz w:val="20"/>
          <w:szCs w:val="20"/>
          <w:lang w:val="pt-BR"/>
        </w:rPr>
        <w:t xml:space="preserve">. Por fim, afirmam que também poderia ser aplicada a exceção prevista no artigo 46.2.b da Convenção, tendo em vista que não foi </w:t>
      </w:r>
      <w:r w:rsidR="00527FCF" w:rsidRPr="002D0125">
        <w:rPr>
          <w:rFonts w:asciiTheme="majorHAnsi" w:hAnsiTheme="majorHAnsi"/>
          <w:sz w:val="20"/>
          <w:szCs w:val="20"/>
          <w:lang w:val="pt-BR"/>
        </w:rPr>
        <w:t>garantida</w:t>
      </w:r>
      <w:r w:rsidR="008945CD" w:rsidRPr="002D0125">
        <w:rPr>
          <w:rFonts w:asciiTheme="majorHAnsi" w:hAnsiTheme="majorHAnsi"/>
          <w:sz w:val="20"/>
          <w:szCs w:val="20"/>
          <w:lang w:val="pt-BR"/>
        </w:rPr>
        <w:t xml:space="preserve"> às supostas vítimas</w:t>
      </w:r>
      <w:r w:rsidR="00410F6A" w:rsidRPr="002D0125">
        <w:rPr>
          <w:rFonts w:asciiTheme="majorHAnsi" w:hAnsiTheme="majorHAnsi"/>
          <w:sz w:val="20"/>
          <w:szCs w:val="20"/>
          <w:lang w:val="pt-BR"/>
        </w:rPr>
        <w:t xml:space="preserve"> a assessoria judicial gratuita.</w:t>
      </w:r>
    </w:p>
    <w:p w14:paraId="5521B4F6" w14:textId="13C07F52" w:rsidR="00526397" w:rsidRPr="00726341" w:rsidRDefault="001C42D8" w:rsidP="00FD07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 xml:space="preserve">O Estado, por sua vez, afirma que os recursos internos não foram esgotados tendo em vista que a decisão proferida </w:t>
      </w:r>
      <w:r w:rsidR="008945CD" w:rsidRPr="00726341">
        <w:rPr>
          <w:rFonts w:asciiTheme="majorHAnsi" w:hAnsiTheme="majorHAnsi"/>
          <w:sz w:val="20"/>
          <w:szCs w:val="20"/>
          <w:lang w:val="pt-BR"/>
        </w:rPr>
        <w:t>em 18 de fevereiro de 2009</w:t>
      </w:r>
      <w:r w:rsidRPr="00726341">
        <w:rPr>
          <w:rFonts w:asciiTheme="majorHAnsi" w:hAnsiTheme="majorHAnsi"/>
          <w:sz w:val="20"/>
          <w:szCs w:val="20"/>
          <w:lang w:val="pt-BR"/>
        </w:rPr>
        <w:t xml:space="preserve"> </w:t>
      </w:r>
      <w:r w:rsidR="00EC0DF9" w:rsidRPr="00726341">
        <w:rPr>
          <w:rFonts w:asciiTheme="majorHAnsi" w:hAnsiTheme="majorHAnsi"/>
          <w:sz w:val="20"/>
          <w:szCs w:val="20"/>
          <w:lang w:val="pt-BR"/>
        </w:rPr>
        <w:t>se trata</w:t>
      </w:r>
      <w:r w:rsidRPr="00726341">
        <w:rPr>
          <w:rFonts w:asciiTheme="majorHAnsi" w:hAnsiTheme="majorHAnsi"/>
          <w:sz w:val="20"/>
          <w:szCs w:val="20"/>
          <w:lang w:val="pt-BR"/>
        </w:rPr>
        <w:t xml:space="preserve"> de decisão monocrática e que dessa decisão cabia</w:t>
      </w:r>
      <w:r w:rsidR="00410F6A" w:rsidRPr="00726341">
        <w:rPr>
          <w:rFonts w:asciiTheme="majorHAnsi" w:hAnsiTheme="majorHAnsi"/>
          <w:sz w:val="20"/>
          <w:szCs w:val="20"/>
          <w:lang w:val="pt-BR"/>
        </w:rPr>
        <w:t xml:space="preserve"> Agravo Regimental ao pleno do T</w:t>
      </w:r>
      <w:r w:rsidRPr="00726341">
        <w:rPr>
          <w:rFonts w:asciiTheme="majorHAnsi" w:hAnsiTheme="majorHAnsi"/>
          <w:sz w:val="20"/>
          <w:szCs w:val="20"/>
          <w:lang w:val="pt-BR"/>
        </w:rPr>
        <w:t>ribunal</w:t>
      </w:r>
      <w:r w:rsidR="009A2167">
        <w:rPr>
          <w:rFonts w:asciiTheme="majorHAnsi" w:hAnsiTheme="majorHAnsi"/>
          <w:sz w:val="20"/>
          <w:szCs w:val="20"/>
          <w:lang w:val="pt-BR"/>
        </w:rPr>
        <w:t xml:space="preserve"> de Justiça</w:t>
      </w:r>
      <w:r w:rsidRPr="00726341">
        <w:rPr>
          <w:rFonts w:asciiTheme="majorHAnsi" w:hAnsiTheme="majorHAnsi"/>
          <w:sz w:val="20"/>
          <w:szCs w:val="20"/>
          <w:lang w:val="pt-BR"/>
        </w:rPr>
        <w:t xml:space="preserve"> no prazo de cinco dias, o que não foi feito pela </w:t>
      </w:r>
      <w:r w:rsidR="00EC0DF9" w:rsidRPr="00726341">
        <w:rPr>
          <w:rFonts w:asciiTheme="majorHAnsi" w:hAnsiTheme="majorHAnsi"/>
          <w:sz w:val="20"/>
          <w:szCs w:val="20"/>
          <w:lang w:val="pt-BR"/>
        </w:rPr>
        <w:t xml:space="preserve">defesa de </w:t>
      </w:r>
      <w:r w:rsidR="007268DC">
        <w:rPr>
          <w:rFonts w:asciiTheme="majorHAnsi" w:hAnsiTheme="majorHAnsi"/>
          <w:bCs/>
          <w:sz w:val="20"/>
          <w:szCs w:val="20"/>
          <w:lang w:val="pt-BR"/>
        </w:rPr>
        <w:t>José Rafael Brazer</w:t>
      </w:r>
      <w:r w:rsidR="00EC0DF9" w:rsidRPr="00726341">
        <w:rPr>
          <w:rFonts w:asciiTheme="majorHAnsi" w:hAnsiTheme="majorHAnsi"/>
          <w:sz w:val="20"/>
          <w:szCs w:val="20"/>
          <w:lang w:val="pt-BR"/>
        </w:rPr>
        <w:t xml:space="preserve">. </w:t>
      </w:r>
      <w:r w:rsidR="001448C3" w:rsidRPr="00726341">
        <w:rPr>
          <w:rFonts w:asciiTheme="majorHAnsi" w:hAnsiTheme="majorHAnsi"/>
          <w:sz w:val="20"/>
          <w:szCs w:val="20"/>
          <w:lang w:val="pt-BR"/>
        </w:rPr>
        <w:t>Também ressalta</w:t>
      </w:r>
      <w:r w:rsidR="00EC0DF9" w:rsidRPr="00726341">
        <w:rPr>
          <w:rFonts w:asciiTheme="majorHAnsi" w:hAnsiTheme="majorHAnsi"/>
          <w:sz w:val="20"/>
          <w:szCs w:val="20"/>
          <w:lang w:val="pt-BR"/>
        </w:rPr>
        <w:t xml:space="preserve"> que não houve esgotamento dos recursos internos no âmbito da ação penal por coação contra a testemunha</w:t>
      </w:r>
      <w:r w:rsidR="001448C3" w:rsidRPr="00726341">
        <w:rPr>
          <w:rFonts w:asciiTheme="majorHAnsi" w:hAnsiTheme="majorHAnsi"/>
          <w:sz w:val="20"/>
          <w:szCs w:val="20"/>
          <w:lang w:val="pt-BR"/>
        </w:rPr>
        <w:t xml:space="preserve"> Deusa Aparecida Leme</w:t>
      </w:r>
      <w:r w:rsidR="00EC0DF9" w:rsidRPr="00726341">
        <w:rPr>
          <w:rFonts w:asciiTheme="majorHAnsi" w:hAnsiTheme="majorHAnsi"/>
          <w:sz w:val="20"/>
          <w:szCs w:val="20"/>
          <w:lang w:val="pt-BR"/>
        </w:rPr>
        <w:t>, tendo em vista que poderiam ter sido apresentados recursos aos tribunais superiores.</w:t>
      </w:r>
      <w:r w:rsidR="00526397" w:rsidRPr="00726341">
        <w:rPr>
          <w:rFonts w:asciiTheme="majorHAnsi" w:hAnsiTheme="majorHAnsi"/>
          <w:sz w:val="20"/>
          <w:szCs w:val="20"/>
          <w:lang w:val="pt-BR"/>
        </w:rPr>
        <w:t xml:space="preserve"> Por fim, alega que as supostas vítimas não acionaram a via </w:t>
      </w:r>
      <w:r w:rsidR="009F5389">
        <w:rPr>
          <w:rFonts w:asciiTheme="majorHAnsi" w:hAnsiTheme="majorHAnsi"/>
          <w:sz w:val="20"/>
          <w:szCs w:val="20"/>
          <w:lang w:val="pt-BR"/>
        </w:rPr>
        <w:t>civil</w:t>
      </w:r>
      <w:r w:rsidR="00526397" w:rsidRPr="00726341">
        <w:rPr>
          <w:rFonts w:asciiTheme="majorHAnsi" w:hAnsiTheme="majorHAnsi"/>
          <w:sz w:val="20"/>
          <w:szCs w:val="20"/>
          <w:lang w:val="pt-BR"/>
        </w:rPr>
        <w:t xml:space="preserve"> adequada para postular indenização </w:t>
      </w:r>
      <w:r w:rsidR="001448C3" w:rsidRPr="00726341">
        <w:rPr>
          <w:rFonts w:asciiTheme="majorHAnsi" w:hAnsiTheme="majorHAnsi"/>
          <w:sz w:val="20"/>
          <w:szCs w:val="20"/>
          <w:lang w:val="pt-BR"/>
        </w:rPr>
        <w:t xml:space="preserve">no âmbito interno e, </w:t>
      </w:r>
      <w:r w:rsidR="00EE14D2">
        <w:rPr>
          <w:rFonts w:asciiTheme="majorHAnsi" w:hAnsiTheme="majorHAnsi"/>
          <w:sz w:val="20"/>
          <w:szCs w:val="20"/>
          <w:lang w:val="pt-BR"/>
        </w:rPr>
        <w:t>diante disso</w:t>
      </w:r>
      <w:r w:rsidR="001448C3" w:rsidRPr="00726341">
        <w:rPr>
          <w:rFonts w:asciiTheme="majorHAnsi" w:hAnsiTheme="majorHAnsi"/>
          <w:sz w:val="20"/>
          <w:szCs w:val="20"/>
          <w:lang w:val="pt-BR"/>
        </w:rPr>
        <w:t>, tampouco esgotaram os recursos internos.</w:t>
      </w:r>
    </w:p>
    <w:p w14:paraId="1BB72CBE" w14:textId="0EFB0A48" w:rsidR="00773E81" w:rsidRPr="00CD0EB4" w:rsidRDefault="001448C3" w:rsidP="00CD0E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 xml:space="preserve">A Comissão </w:t>
      </w:r>
      <w:r w:rsidR="00773E81" w:rsidRPr="00726341">
        <w:rPr>
          <w:rFonts w:asciiTheme="majorHAnsi" w:hAnsiTheme="majorHAnsi"/>
          <w:sz w:val="20"/>
          <w:szCs w:val="20"/>
          <w:lang w:val="pt-BR"/>
        </w:rPr>
        <w:t>entende que em se tratando de casos que envolvem possíveis</w:t>
      </w:r>
      <w:r w:rsidR="00410F6A" w:rsidRPr="00726341">
        <w:rPr>
          <w:rFonts w:asciiTheme="majorHAnsi" w:hAnsiTheme="majorHAnsi"/>
          <w:sz w:val="20"/>
          <w:szCs w:val="20"/>
          <w:lang w:val="pt-BR"/>
        </w:rPr>
        <w:t xml:space="preserve"> violações de direitos humanos</w:t>
      </w:r>
      <w:r w:rsidR="00B176E1" w:rsidRPr="00726341">
        <w:rPr>
          <w:rFonts w:asciiTheme="majorHAnsi" w:hAnsiTheme="majorHAnsi"/>
          <w:sz w:val="20"/>
          <w:szCs w:val="20"/>
          <w:lang w:val="pt-BR"/>
        </w:rPr>
        <w:t xml:space="preserve"> perseguíveis</w:t>
      </w:r>
      <w:r w:rsidR="00773E81" w:rsidRPr="00726341">
        <w:rPr>
          <w:rFonts w:asciiTheme="majorHAnsi" w:hAnsiTheme="majorHAnsi"/>
          <w:sz w:val="20"/>
          <w:szCs w:val="20"/>
          <w:lang w:val="pt-BR"/>
        </w:rPr>
        <w:t xml:space="preserve"> de ofício pelo Ministério Público</w:t>
      </w:r>
      <w:r w:rsidR="00410F6A" w:rsidRPr="00726341">
        <w:rPr>
          <w:rFonts w:asciiTheme="majorHAnsi" w:hAnsiTheme="majorHAnsi"/>
          <w:sz w:val="20"/>
          <w:szCs w:val="20"/>
          <w:lang w:val="pt-BR"/>
        </w:rPr>
        <w:t xml:space="preserve"> </w:t>
      </w:r>
      <w:r w:rsidR="00773E81" w:rsidRPr="00726341">
        <w:rPr>
          <w:rFonts w:asciiTheme="majorHAnsi" w:hAnsiTheme="majorHAnsi"/>
          <w:sz w:val="20"/>
          <w:szCs w:val="20"/>
          <w:lang w:val="pt-BR"/>
        </w:rPr>
        <w:t>e</w:t>
      </w:r>
      <w:r w:rsidR="00B176E1" w:rsidRPr="00726341">
        <w:rPr>
          <w:rFonts w:asciiTheme="majorHAnsi" w:hAnsiTheme="majorHAnsi"/>
          <w:sz w:val="20"/>
          <w:szCs w:val="20"/>
          <w:lang w:val="pt-BR"/>
        </w:rPr>
        <w:t>, principalmente,</w:t>
      </w:r>
      <w:r w:rsidR="00773E81" w:rsidRPr="00726341">
        <w:rPr>
          <w:rFonts w:asciiTheme="majorHAnsi" w:hAnsiTheme="majorHAnsi"/>
          <w:sz w:val="20"/>
          <w:szCs w:val="20"/>
          <w:lang w:val="pt-BR"/>
        </w:rPr>
        <w:t xml:space="preserve"> quando agentes </w:t>
      </w:r>
      <w:r w:rsidR="00B176E1" w:rsidRPr="00726341">
        <w:rPr>
          <w:rFonts w:asciiTheme="majorHAnsi" w:hAnsiTheme="majorHAnsi"/>
          <w:sz w:val="20"/>
          <w:szCs w:val="20"/>
          <w:lang w:val="pt-BR"/>
        </w:rPr>
        <w:t>estatais</w:t>
      </w:r>
      <w:r w:rsidR="00773E81" w:rsidRPr="00726341">
        <w:rPr>
          <w:rFonts w:asciiTheme="majorHAnsi" w:hAnsiTheme="majorHAnsi"/>
          <w:sz w:val="20"/>
          <w:szCs w:val="20"/>
          <w:lang w:val="pt-BR"/>
        </w:rPr>
        <w:t xml:space="preserve"> </w:t>
      </w:r>
      <w:r w:rsidR="00773E81" w:rsidRPr="00726341">
        <w:rPr>
          <w:rFonts w:asciiTheme="majorHAnsi" w:hAnsiTheme="majorHAnsi"/>
          <w:sz w:val="20"/>
          <w:szCs w:val="20"/>
          <w:lang w:val="pt-BR"/>
        </w:rPr>
        <w:lastRenderedPageBreak/>
        <w:t xml:space="preserve">estariam </w:t>
      </w:r>
      <w:r w:rsidR="000218DB" w:rsidRPr="00726341">
        <w:rPr>
          <w:rFonts w:asciiTheme="majorHAnsi" w:hAnsiTheme="majorHAnsi"/>
          <w:sz w:val="20"/>
          <w:szCs w:val="20"/>
          <w:lang w:val="pt-BR"/>
        </w:rPr>
        <w:t>envolvidos</w:t>
      </w:r>
      <w:r w:rsidR="00773E81" w:rsidRPr="00726341">
        <w:rPr>
          <w:rFonts w:asciiTheme="majorHAnsi" w:hAnsiTheme="majorHAnsi"/>
          <w:sz w:val="20"/>
          <w:szCs w:val="20"/>
          <w:lang w:val="pt-BR"/>
        </w:rPr>
        <w:t xml:space="preserve"> nos fatos, o Estado tem a obrigação de </w:t>
      </w:r>
      <w:r w:rsidR="00410F6A" w:rsidRPr="00726341">
        <w:rPr>
          <w:rFonts w:asciiTheme="majorHAnsi" w:hAnsiTheme="majorHAnsi"/>
          <w:sz w:val="20"/>
          <w:szCs w:val="20"/>
          <w:lang w:val="pt-BR"/>
        </w:rPr>
        <w:t>investigar</w:t>
      </w:r>
      <w:r w:rsidR="00B176E1" w:rsidRPr="00726341">
        <w:rPr>
          <w:rFonts w:asciiTheme="majorHAnsi" w:hAnsiTheme="majorHAnsi"/>
          <w:sz w:val="20"/>
          <w:szCs w:val="20"/>
          <w:lang w:val="pt-BR"/>
        </w:rPr>
        <w:t xml:space="preserve"> diligentemente</w:t>
      </w:r>
      <w:r w:rsidR="00773E81" w:rsidRPr="00726341">
        <w:rPr>
          <w:rFonts w:asciiTheme="majorHAnsi" w:hAnsiTheme="majorHAnsi"/>
          <w:sz w:val="20"/>
          <w:szCs w:val="20"/>
          <w:lang w:val="pt-BR"/>
        </w:rPr>
        <w:t xml:space="preserve">. </w:t>
      </w:r>
      <w:r w:rsidR="000218DB" w:rsidRPr="00726341">
        <w:rPr>
          <w:rFonts w:asciiTheme="majorHAnsi" w:hAnsiTheme="majorHAnsi"/>
          <w:sz w:val="20"/>
          <w:szCs w:val="20"/>
          <w:lang w:val="pt-BR"/>
        </w:rPr>
        <w:t>Essa carga deve ser assumida pelo Estado como um deve</w:t>
      </w:r>
      <w:r w:rsidR="00CD0EB4">
        <w:rPr>
          <w:rFonts w:asciiTheme="majorHAnsi" w:hAnsiTheme="majorHAnsi"/>
          <w:sz w:val="20"/>
          <w:szCs w:val="20"/>
          <w:lang w:val="pt-BR"/>
        </w:rPr>
        <w:t>r</w:t>
      </w:r>
      <w:r w:rsidR="000218DB" w:rsidRPr="00726341">
        <w:rPr>
          <w:rFonts w:asciiTheme="majorHAnsi" w:hAnsiTheme="majorHAnsi"/>
          <w:sz w:val="20"/>
          <w:szCs w:val="20"/>
          <w:lang w:val="pt-BR"/>
        </w:rPr>
        <w:t xml:space="preserve"> jurídico próprio e não como uma gestão de interesses particulares ou que dependa da iniciativa ou aporte de provas por parte das supostas vítimas</w:t>
      </w:r>
      <w:r w:rsidR="000218DB" w:rsidRPr="00726341">
        <w:rPr>
          <w:rStyle w:val="FootnoteReference"/>
          <w:rFonts w:asciiTheme="majorHAnsi" w:hAnsiTheme="majorHAnsi"/>
          <w:sz w:val="20"/>
          <w:szCs w:val="20"/>
          <w:lang w:val="pt-BR"/>
        </w:rPr>
        <w:footnoteReference w:id="6"/>
      </w:r>
      <w:r w:rsidR="000218DB" w:rsidRPr="00726341">
        <w:rPr>
          <w:rFonts w:asciiTheme="majorHAnsi" w:hAnsiTheme="majorHAnsi"/>
          <w:sz w:val="20"/>
          <w:szCs w:val="20"/>
          <w:lang w:val="pt-BR"/>
        </w:rPr>
        <w:t>.</w:t>
      </w:r>
      <w:r w:rsidR="00410F6A" w:rsidRPr="00726341">
        <w:rPr>
          <w:rFonts w:asciiTheme="majorHAnsi" w:hAnsiTheme="majorHAnsi"/>
          <w:sz w:val="20"/>
          <w:szCs w:val="20"/>
          <w:lang w:val="pt-BR"/>
        </w:rPr>
        <w:t xml:space="preserve"> No presente caso, a Comissão considera que a suposta vítima interpôs e esgotou todos os recursos ao se</w:t>
      </w:r>
      <w:r w:rsidR="00EE14D2">
        <w:rPr>
          <w:rFonts w:asciiTheme="majorHAnsi" w:hAnsiTheme="majorHAnsi"/>
          <w:sz w:val="20"/>
          <w:szCs w:val="20"/>
          <w:lang w:val="pt-BR"/>
        </w:rPr>
        <w:t xml:space="preserve">u alcance para responsabilizar </w:t>
      </w:r>
      <w:r w:rsidR="00410F6A" w:rsidRPr="00726341">
        <w:rPr>
          <w:rFonts w:asciiTheme="majorHAnsi" w:hAnsiTheme="majorHAnsi"/>
          <w:sz w:val="20"/>
          <w:szCs w:val="20"/>
          <w:lang w:val="pt-BR"/>
        </w:rPr>
        <w:t>os acusados.</w:t>
      </w:r>
      <w:r w:rsidR="00B176E1" w:rsidRPr="00726341">
        <w:rPr>
          <w:rFonts w:asciiTheme="majorHAnsi" w:hAnsiTheme="majorHAnsi"/>
          <w:sz w:val="20"/>
          <w:szCs w:val="20"/>
          <w:lang w:val="pt-BR"/>
        </w:rPr>
        <w:t xml:space="preserve"> Ademais, s</w:t>
      </w:r>
      <w:r w:rsidR="003B37A5" w:rsidRPr="00726341">
        <w:rPr>
          <w:rFonts w:asciiTheme="majorHAnsi" w:hAnsiTheme="majorHAnsi"/>
          <w:sz w:val="20"/>
          <w:szCs w:val="20"/>
          <w:lang w:val="pt-BR"/>
        </w:rPr>
        <w:t xml:space="preserve">obre </w:t>
      </w:r>
      <w:r w:rsidR="00773E81" w:rsidRPr="00726341">
        <w:rPr>
          <w:rFonts w:asciiTheme="majorHAnsi" w:hAnsiTheme="majorHAnsi"/>
          <w:sz w:val="20"/>
          <w:szCs w:val="20"/>
          <w:lang w:val="pt-BR"/>
        </w:rPr>
        <w:t>a necessidade de esgotar os recursos internos em relação à reparação civil</w:t>
      </w:r>
      <w:r w:rsidR="00CD0EB4">
        <w:rPr>
          <w:rFonts w:asciiTheme="majorHAnsi" w:hAnsiTheme="majorHAnsi"/>
          <w:sz w:val="20"/>
          <w:szCs w:val="20"/>
          <w:lang w:val="pt-BR"/>
        </w:rPr>
        <w:t>, a Comissão entende que</w:t>
      </w:r>
      <w:r w:rsidR="00773E81" w:rsidRPr="00CD0EB4">
        <w:rPr>
          <w:rFonts w:asciiTheme="majorHAnsi" w:hAnsiTheme="majorHAnsi"/>
          <w:sz w:val="20"/>
          <w:szCs w:val="20"/>
          <w:lang w:val="pt-BR"/>
        </w:rPr>
        <w:t xml:space="preserve"> em casos de graves violações de direitos humanos</w:t>
      </w:r>
      <w:r w:rsidR="00B176E1" w:rsidRPr="00CD0EB4">
        <w:rPr>
          <w:rFonts w:asciiTheme="majorHAnsi" w:hAnsiTheme="majorHAnsi"/>
          <w:sz w:val="20"/>
          <w:szCs w:val="20"/>
          <w:lang w:val="pt-BR"/>
        </w:rPr>
        <w:t xml:space="preserve"> como </w:t>
      </w:r>
      <w:r w:rsidR="00773E81" w:rsidRPr="00CD0EB4">
        <w:rPr>
          <w:rFonts w:asciiTheme="majorHAnsi" w:hAnsiTheme="majorHAnsi"/>
          <w:sz w:val="20"/>
          <w:szCs w:val="20"/>
          <w:lang w:val="pt-BR"/>
        </w:rPr>
        <w:t xml:space="preserve">detenção ilegal e tortura, as supostas vítimas não necessitam acudir à esfera </w:t>
      </w:r>
      <w:r w:rsidR="00EE14D2" w:rsidRPr="00CD0EB4">
        <w:rPr>
          <w:rFonts w:asciiTheme="majorHAnsi" w:hAnsiTheme="majorHAnsi"/>
          <w:sz w:val="20"/>
          <w:szCs w:val="20"/>
          <w:lang w:val="pt-BR"/>
        </w:rPr>
        <w:t>civil</w:t>
      </w:r>
      <w:r w:rsidR="00773E81" w:rsidRPr="00CD0EB4">
        <w:rPr>
          <w:rFonts w:asciiTheme="majorHAnsi" w:hAnsiTheme="majorHAnsi"/>
          <w:sz w:val="20"/>
          <w:szCs w:val="20"/>
          <w:lang w:val="pt-BR"/>
        </w:rPr>
        <w:t xml:space="preserve"> em busca de reparação antes de </w:t>
      </w:r>
      <w:r w:rsidR="000C665A" w:rsidRPr="00CD0EB4">
        <w:rPr>
          <w:rFonts w:asciiTheme="majorHAnsi" w:hAnsiTheme="majorHAnsi"/>
          <w:sz w:val="20"/>
          <w:szCs w:val="20"/>
          <w:lang w:val="pt-BR"/>
        </w:rPr>
        <w:t xml:space="preserve">acessar o </w:t>
      </w:r>
      <w:r w:rsidR="00EE14D2" w:rsidRPr="00CD0EB4">
        <w:rPr>
          <w:rFonts w:asciiTheme="majorHAnsi" w:hAnsiTheme="majorHAnsi"/>
          <w:sz w:val="20"/>
          <w:szCs w:val="20"/>
          <w:lang w:val="pt-BR"/>
        </w:rPr>
        <w:t>Sistema I</w:t>
      </w:r>
      <w:r w:rsidR="00773E81" w:rsidRPr="00CD0EB4">
        <w:rPr>
          <w:rFonts w:asciiTheme="majorHAnsi" w:hAnsiTheme="majorHAnsi"/>
          <w:sz w:val="20"/>
          <w:szCs w:val="20"/>
          <w:lang w:val="pt-BR"/>
        </w:rPr>
        <w:t>nteramericano, tendo em vista que esse tipo de remédio não responderia ao pedido principal da petição</w:t>
      </w:r>
      <w:r w:rsidR="00773E81" w:rsidRPr="00726341">
        <w:rPr>
          <w:rStyle w:val="FootnoteReference"/>
          <w:rFonts w:asciiTheme="majorHAnsi" w:hAnsiTheme="majorHAnsi"/>
          <w:sz w:val="20"/>
          <w:szCs w:val="20"/>
          <w:lang w:val="pt-BR"/>
        </w:rPr>
        <w:footnoteReference w:id="7"/>
      </w:r>
      <w:r w:rsidR="00773E81" w:rsidRPr="00CD0EB4">
        <w:rPr>
          <w:rFonts w:asciiTheme="majorHAnsi" w:hAnsiTheme="majorHAnsi"/>
          <w:sz w:val="20"/>
          <w:szCs w:val="20"/>
          <w:lang w:val="pt-BR"/>
        </w:rPr>
        <w:t>.</w:t>
      </w:r>
    </w:p>
    <w:p w14:paraId="7DFD4760" w14:textId="0772637B" w:rsidR="000C665A" w:rsidRPr="00726341" w:rsidRDefault="00B176E1" w:rsidP="009730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Diante do exposto, a Comissão considera que os recursos internos f</w:t>
      </w:r>
      <w:r w:rsidR="007268DC">
        <w:rPr>
          <w:rFonts w:asciiTheme="majorHAnsi" w:hAnsiTheme="majorHAnsi"/>
          <w:sz w:val="20"/>
          <w:szCs w:val="20"/>
          <w:lang w:val="pt-BR"/>
        </w:rPr>
        <w:t xml:space="preserve">oram devidamente esgotados </w:t>
      </w:r>
      <w:r w:rsidR="001049EE">
        <w:rPr>
          <w:rFonts w:asciiTheme="majorHAnsi" w:hAnsiTheme="majorHAnsi"/>
          <w:sz w:val="20"/>
          <w:szCs w:val="20"/>
          <w:lang w:val="pt-BR"/>
        </w:rPr>
        <w:t>pela suposta vítima</w:t>
      </w:r>
      <w:r w:rsidR="007268DC" w:rsidRPr="00726341">
        <w:rPr>
          <w:rFonts w:asciiTheme="majorHAnsi" w:hAnsiTheme="majorHAnsi"/>
          <w:bCs/>
          <w:sz w:val="20"/>
          <w:szCs w:val="20"/>
          <w:lang w:val="pt-BR"/>
        </w:rPr>
        <w:t xml:space="preserve"> </w:t>
      </w:r>
      <w:r w:rsidR="009730ED" w:rsidRPr="00726341">
        <w:rPr>
          <w:rFonts w:asciiTheme="majorHAnsi" w:hAnsiTheme="majorHAnsi"/>
          <w:sz w:val="20"/>
          <w:szCs w:val="20"/>
          <w:lang w:val="pt-BR"/>
        </w:rPr>
        <w:t xml:space="preserve">com a decisão do Superior Tribunal de Justiça transitada em julgado em 18 de março de 2009, cumprindo também com os demais requisitos previstos no artigo 46.1 da Convenção Americana. No que se refere ao processo penal por coação em que figura como suposta vítima Deusa Aparecida Leme, contudo, </w:t>
      </w:r>
      <w:r w:rsidR="000C665A" w:rsidRPr="00726341">
        <w:rPr>
          <w:rFonts w:asciiTheme="majorHAnsi" w:hAnsiTheme="majorHAnsi"/>
          <w:sz w:val="20"/>
          <w:szCs w:val="20"/>
          <w:lang w:val="pt-BR"/>
        </w:rPr>
        <w:t xml:space="preserve">a Comissão observa que o prazo de seis meses não foi </w:t>
      </w:r>
      <w:r w:rsidR="00AD1F2A" w:rsidRPr="00726341">
        <w:rPr>
          <w:rFonts w:asciiTheme="majorHAnsi" w:hAnsiTheme="majorHAnsi"/>
          <w:sz w:val="20"/>
          <w:szCs w:val="20"/>
          <w:lang w:val="pt-BR"/>
        </w:rPr>
        <w:t>observado pelas peticionárias</w:t>
      </w:r>
      <w:r w:rsidR="000C665A" w:rsidRPr="00726341">
        <w:rPr>
          <w:rFonts w:asciiTheme="majorHAnsi" w:hAnsiTheme="majorHAnsi"/>
          <w:sz w:val="20"/>
          <w:szCs w:val="20"/>
          <w:lang w:val="pt-BR"/>
        </w:rPr>
        <w:t xml:space="preserve"> uma vez que a última decisão adotada </w:t>
      </w:r>
      <w:r w:rsidR="009730ED" w:rsidRPr="00726341">
        <w:rPr>
          <w:rFonts w:asciiTheme="majorHAnsi" w:hAnsiTheme="majorHAnsi"/>
          <w:sz w:val="20"/>
          <w:szCs w:val="20"/>
          <w:lang w:val="pt-BR"/>
        </w:rPr>
        <w:t>no processo foi</w:t>
      </w:r>
      <w:r w:rsidR="00AD1F2A" w:rsidRPr="00726341">
        <w:rPr>
          <w:rFonts w:asciiTheme="majorHAnsi" w:hAnsiTheme="majorHAnsi"/>
          <w:sz w:val="20"/>
          <w:szCs w:val="20"/>
          <w:lang w:val="pt-BR"/>
        </w:rPr>
        <w:t xml:space="preserve"> em 2005.</w:t>
      </w:r>
    </w:p>
    <w:p w14:paraId="4FFBE378" w14:textId="494D2BD9" w:rsidR="003239B8" w:rsidRPr="00726341" w:rsidRDefault="003239B8" w:rsidP="00C32F15">
      <w:pPr>
        <w:pStyle w:val="ListParagraph"/>
        <w:spacing w:before="120" w:after="120"/>
        <w:jc w:val="both"/>
        <w:rPr>
          <w:rFonts w:asciiTheme="majorHAnsi" w:hAnsiTheme="majorHAnsi"/>
          <w:b/>
          <w:sz w:val="20"/>
          <w:szCs w:val="20"/>
          <w:lang w:val="pt-BR"/>
        </w:rPr>
      </w:pPr>
      <w:r w:rsidRPr="00726341">
        <w:rPr>
          <w:rFonts w:asciiTheme="majorHAnsi" w:hAnsiTheme="majorHAnsi"/>
          <w:b/>
          <w:bCs/>
          <w:sz w:val="20"/>
          <w:szCs w:val="20"/>
          <w:lang w:val="pt-BR"/>
        </w:rPr>
        <w:t>VII.</w:t>
      </w:r>
      <w:r w:rsidRPr="00726341">
        <w:rPr>
          <w:rFonts w:asciiTheme="majorHAnsi" w:hAnsiTheme="majorHAnsi"/>
          <w:b/>
          <w:bCs/>
          <w:sz w:val="20"/>
          <w:szCs w:val="20"/>
          <w:lang w:val="pt-BR"/>
        </w:rPr>
        <w:tab/>
      </w:r>
      <w:r w:rsidR="00C21FEF" w:rsidRPr="00726341">
        <w:rPr>
          <w:rFonts w:asciiTheme="majorHAnsi" w:hAnsiTheme="majorHAnsi"/>
          <w:b/>
          <w:bCs/>
          <w:sz w:val="20"/>
          <w:szCs w:val="20"/>
          <w:lang w:val="pt-BR"/>
        </w:rPr>
        <w:t>CARACTERIZA</w:t>
      </w:r>
      <w:r w:rsidR="00A53003" w:rsidRPr="00726341">
        <w:rPr>
          <w:rFonts w:asciiTheme="majorHAnsi" w:hAnsiTheme="majorHAnsi"/>
          <w:b/>
          <w:bCs/>
          <w:sz w:val="20"/>
          <w:szCs w:val="20"/>
          <w:lang w:val="pt-BR"/>
        </w:rPr>
        <w:t>ÇÃO</w:t>
      </w:r>
    </w:p>
    <w:p w14:paraId="75D313DA" w14:textId="44133AB6" w:rsidR="00EE1542" w:rsidRPr="00726341" w:rsidRDefault="00EE1542" w:rsidP="00EE15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Pr>
          <w:rFonts w:asciiTheme="majorHAnsi" w:hAnsiTheme="majorHAnsi"/>
          <w:sz w:val="20"/>
          <w:szCs w:val="20"/>
          <w:lang w:val="pt-BR"/>
        </w:rPr>
        <w:t xml:space="preserve">Tendo em vista </w:t>
      </w:r>
      <w:r w:rsidRPr="00726341">
        <w:rPr>
          <w:rFonts w:asciiTheme="majorHAnsi" w:hAnsiTheme="majorHAnsi"/>
          <w:sz w:val="20"/>
          <w:szCs w:val="20"/>
          <w:lang w:val="pt-BR"/>
        </w:rPr>
        <w:t xml:space="preserve">os elementos de fato e de direito expostos pelas partes e a natureza do assunto apresentado, a Comissão considera que, se provados, os fatos narrados poderiam caracterizar possíveis violações dos artigos </w:t>
      </w:r>
      <w:r w:rsidRPr="00726341">
        <w:rPr>
          <w:rFonts w:asciiTheme="majorHAnsi" w:hAnsiTheme="majorHAnsi"/>
          <w:bCs/>
          <w:sz w:val="20"/>
          <w:szCs w:val="20"/>
          <w:lang w:val="pt-BR"/>
        </w:rPr>
        <w:t>5 (integridade pessoal), 7 (liberdade pessoal), 8 (garantias judiciais), 19 (proteção da infância), 22 (circulação e residência), 24 (igualdade perante a lei) e 25 (proteção judicial),</w:t>
      </w:r>
      <w:r w:rsidRPr="00726341">
        <w:rPr>
          <w:rFonts w:asciiTheme="majorHAnsi" w:hAnsiTheme="majorHAnsi"/>
          <w:sz w:val="20"/>
          <w:szCs w:val="20"/>
          <w:lang w:val="pt-BR"/>
        </w:rPr>
        <w:t xml:space="preserve">, todos em relação ao artigo 1.1 (obrigação de respeitar os direitos) e 2 (dever de adotar disposições de direito interno) </w:t>
      </w:r>
      <w:r>
        <w:rPr>
          <w:rFonts w:asciiTheme="majorHAnsi" w:hAnsiTheme="majorHAnsi"/>
          <w:sz w:val="20"/>
          <w:szCs w:val="20"/>
          <w:lang w:val="pt-BR"/>
        </w:rPr>
        <w:t>da Convenção Americana, bem como</w:t>
      </w:r>
      <w:r w:rsidRPr="00726341">
        <w:rPr>
          <w:rFonts w:asciiTheme="majorHAnsi" w:hAnsiTheme="majorHAnsi"/>
          <w:sz w:val="20"/>
          <w:szCs w:val="20"/>
          <w:lang w:val="pt-BR"/>
        </w:rPr>
        <w:t xml:space="preserve"> dos artigos 1, 6 e 8 da </w:t>
      </w:r>
      <w:r w:rsidRPr="00726341">
        <w:rPr>
          <w:rFonts w:asciiTheme="majorHAnsi" w:hAnsiTheme="majorHAnsi"/>
          <w:bCs/>
          <w:sz w:val="20"/>
          <w:szCs w:val="20"/>
          <w:lang w:val="pt-BR"/>
        </w:rPr>
        <w:t>Convenção Interamericana para</w:t>
      </w:r>
      <w:r>
        <w:rPr>
          <w:rFonts w:asciiTheme="majorHAnsi" w:hAnsiTheme="majorHAnsi"/>
          <w:bCs/>
          <w:sz w:val="20"/>
          <w:szCs w:val="20"/>
          <w:lang w:val="pt-BR"/>
        </w:rPr>
        <w:t xml:space="preserve"> Prevenir e Sancionar a Tortura, devido à alegada falta de investigação dos fatos.</w:t>
      </w:r>
    </w:p>
    <w:p w14:paraId="29BB41F5" w14:textId="3DC9F7BC" w:rsidR="003239B8" w:rsidRPr="00726341" w:rsidRDefault="003239B8" w:rsidP="00726341">
      <w:pPr>
        <w:pStyle w:val="ListParagraph"/>
        <w:spacing w:before="120" w:after="120"/>
        <w:jc w:val="both"/>
        <w:rPr>
          <w:rFonts w:asciiTheme="majorHAnsi" w:hAnsiTheme="majorHAnsi"/>
          <w:b/>
          <w:bCs/>
          <w:sz w:val="20"/>
          <w:szCs w:val="20"/>
          <w:lang w:val="pt-BR"/>
        </w:rPr>
      </w:pPr>
      <w:r w:rsidRPr="00726341">
        <w:rPr>
          <w:rFonts w:asciiTheme="majorHAnsi" w:hAnsiTheme="majorHAnsi"/>
          <w:b/>
          <w:bCs/>
          <w:sz w:val="20"/>
          <w:szCs w:val="20"/>
          <w:lang w:val="pt-BR"/>
        </w:rPr>
        <w:t xml:space="preserve">VIII. </w:t>
      </w:r>
      <w:r w:rsidRPr="00726341">
        <w:rPr>
          <w:rFonts w:asciiTheme="majorHAnsi" w:hAnsiTheme="majorHAnsi"/>
          <w:b/>
          <w:bCs/>
          <w:sz w:val="20"/>
          <w:szCs w:val="20"/>
          <w:lang w:val="pt-BR"/>
        </w:rPr>
        <w:tab/>
      </w:r>
      <w:r w:rsidR="00A53003" w:rsidRPr="00726341">
        <w:rPr>
          <w:rFonts w:asciiTheme="majorHAnsi" w:hAnsiTheme="majorHAnsi"/>
          <w:b/>
          <w:bCs/>
          <w:sz w:val="20"/>
          <w:szCs w:val="20"/>
          <w:lang w:val="pt-BR"/>
        </w:rPr>
        <w:t>DECISÃO</w:t>
      </w:r>
    </w:p>
    <w:p w14:paraId="41AA5BF6" w14:textId="19B9D4B4" w:rsidR="000419AD" w:rsidRPr="00726341"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 xml:space="preserve">Declarar </w:t>
      </w:r>
      <w:r w:rsidR="00A53003" w:rsidRPr="00726341">
        <w:rPr>
          <w:rFonts w:asciiTheme="majorHAnsi" w:hAnsiTheme="majorHAnsi"/>
          <w:sz w:val="20"/>
          <w:szCs w:val="20"/>
          <w:lang w:val="pt-BR"/>
        </w:rPr>
        <w:t>admitida</w:t>
      </w:r>
      <w:r w:rsidRPr="00726341">
        <w:rPr>
          <w:rFonts w:asciiTheme="majorHAnsi" w:hAnsiTheme="majorHAnsi"/>
          <w:sz w:val="20"/>
          <w:szCs w:val="20"/>
          <w:lang w:val="pt-BR"/>
        </w:rPr>
        <w:t xml:space="preserve"> a presente </w:t>
      </w:r>
      <w:r w:rsidR="00A53003" w:rsidRPr="00726341">
        <w:rPr>
          <w:rFonts w:asciiTheme="majorHAnsi" w:hAnsiTheme="majorHAnsi"/>
          <w:sz w:val="20"/>
          <w:szCs w:val="20"/>
          <w:lang w:val="pt-BR"/>
        </w:rPr>
        <w:t>petição</w:t>
      </w:r>
      <w:r w:rsidRPr="00726341">
        <w:rPr>
          <w:rFonts w:asciiTheme="majorHAnsi" w:hAnsiTheme="majorHAnsi"/>
          <w:sz w:val="20"/>
          <w:szCs w:val="20"/>
          <w:lang w:val="pt-BR"/>
        </w:rPr>
        <w:t xml:space="preserve"> e</w:t>
      </w:r>
      <w:r w:rsidR="00A53003" w:rsidRPr="00726341">
        <w:rPr>
          <w:rFonts w:asciiTheme="majorHAnsi" w:hAnsiTheme="majorHAnsi"/>
          <w:sz w:val="20"/>
          <w:szCs w:val="20"/>
          <w:lang w:val="pt-BR"/>
        </w:rPr>
        <w:t>m</w:t>
      </w:r>
      <w:r w:rsidRPr="00726341">
        <w:rPr>
          <w:rFonts w:asciiTheme="majorHAnsi" w:hAnsiTheme="majorHAnsi"/>
          <w:sz w:val="20"/>
          <w:szCs w:val="20"/>
          <w:lang w:val="pt-BR"/>
        </w:rPr>
        <w:t xml:space="preserve"> </w:t>
      </w:r>
      <w:r w:rsidR="00A53003" w:rsidRPr="00726341">
        <w:rPr>
          <w:rFonts w:asciiTheme="majorHAnsi" w:hAnsiTheme="majorHAnsi"/>
          <w:sz w:val="20"/>
          <w:szCs w:val="20"/>
          <w:lang w:val="pt-BR"/>
        </w:rPr>
        <w:t>relação a</w:t>
      </w:r>
      <w:r w:rsidR="006D0EF6" w:rsidRPr="00726341">
        <w:rPr>
          <w:rFonts w:asciiTheme="majorHAnsi" w:hAnsiTheme="majorHAnsi"/>
          <w:sz w:val="20"/>
          <w:szCs w:val="20"/>
          <w:lang w:val="pt-BR"/>
        </w:rPr>
        <w:t xml:space="preserve">os artigos 5, 7, 8, 19, </w:t>
      </w:r>
      <w:r w:rsidR="000A5532" w:rsidRPr="00726341">
        <w:rPr>
          <w:rFonts w:asciiTheme="majorHAnsi" w:hAnsiTheme="majorHAnsi"/>
          <w:sz w:val="20"/>
          <w:szCs w:val="20"/>
          <w:lang w:val="pt-BR"/>
        </w:rPr>
        <w:t xml:space="preserve">22, </w:t>
      </w:r>
      <w:r w:rsidR="006D0EF6" w:rsidRPr="00726341">
        <w:rPr>
          <w:rFonts w:asciiTheme="majorHAnsi" w:hAnsiTheme="majorHAnsi"/>
          <w:sz w:val="20"/>
          <w:szCs w:val="20"/>
          <w:lang w:val="pt-BR"/>
        </w:rPr>
        <w:t xml:space="preserve">24 e 25 da Convenção Americana; e artigos 1, 6 e 8 da </w:t>
      </w:r>
      <w:r w:rsidR="006D0EF6" w:rsidRPr="00726341">
        <w:rPr>
          <w:rFonts w:asciiTheme="majorHAnsi" w:hAnsiTheme="majorHAnsi"/>
          <w:bCs/>
          <w:sz w:val="20"/>
          <w:szCs w:val="20"/>
          <w:lang w:val="pt-BR"/>
        </w:rPr>
        <w:t>Convenção Interamericana para Prevenir e Sancionar a Tortura.</w:t>
      </w:r>
    </w:p>
    <w:p w14:paraId="6AC80CA6" w14:textId="10D31F6B"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726341">
        <w:rPr>
          <w:rFonts w:asciiTheme="majorHAnsi" w:hAnsiTheme="majorHAnsi"/>
          <w:sz w:val="20"/>
          <w:szCs w:val="20"/>
          <w:lang w:val="pt-BR"/>
        </w:rPr>
        <w:t xml:space="preserve">Notificar </w:t>
      </w:r>
      <w:r w:rsidR="0022736D" w:rsidRPr="00726341">
        <w:rPr>
          <w:rFonts w:asciiTheme="majorHAnsi" w:hAnsiTheme="majorHAnsi"/>
          <w:sz w:val="20"/>
          <w:szCs w:val="20"/>
          <w:lang w:val="pt-BR"/>
        </w:rPr>
        <w:t>a</w:t>
      </w:r>
      <w:r w:rsidR="004A6A54" w:rsidRPr="00726341">
        <w:rPr>
          <w:rFonts w:asciiTheme="majorHAnsi" w:hAnsiTheme="majorHAnsi"/>
          <w:sz w:val="20"/>
          <w:szCs w:val="20"/>
          <w:lang w:val="pt-BR"/>
        </w:rPr>
        <w:t xml:space="preserve">s partes </w:t>
      </w:r>
      <w:r w:rsidR="0022736D" w:rsidRPr="00726341">
        <w:rPr>
          <w:rFonts w:asciiTheme="majorHAnsi" w:hAnsiTheme="majorHAnsi"/>
          <w:sz w:val="20"/>
          <w:szCs w:val="20"/>
          <w:lang w:val="pt-BR"/>
        </w:rPr>
        <w:t xml:space="preserve">sobre </w:t>
      </w:r>
      <w:r w:rsidRPr="00726341">
        <w:rPr>
          <w:rFonts w:asciiTheme="majorHAnsi" w:hAnsiTheme="majorHAnsi"/>
          <w:sz w:val="20"/>
          <w:szCs w:val="20"/>
          <w:lang w:val="pt-BR"/>
        </w:rPr>
        <w:t>a presente decisão; continuar com a análise de mérito</w:t>
      </w:r>
      <w:r w:rsidR="004A6A54" w:rsidRPr="00726341">
        <w:rPr>
          <w:rFonts w:asciiTheme="majorHAnsi" w:hAnsiTheme="majorHAnsi"/>
          <w:sz w:val="20"/>
          <w:szCs w:val="20"/>
          <w:lang w:val="pt-BR"/>
        </w:rPr>
        <w:t xml:space="preserve"> </w:t>
      </w:r>
      <w:r w:rsidRPr="00726341">
        <w:rPr>
          <w:rFonts w:asciiTheme="majorHAnsi" w:hAnsiTheme="majorHAnsi"/>
          <w:sz w:val="20"/>
          <w:szCs w:val="20"/>
          <w:lang w:val="pt-BR"/>
        </w:rPr>
        <w:t>d</w:t>
      </w:r>
      <w:r w:rsidR="004A6A54" w:rsidRPr="00726341">
        <w:rPr>
          <w:rFonts w:asciiTheme="majorHAnsi" w:hAnsiTheme="majorHAnsi"/>
          <w:sz w:val="20"/>
          <w:szCs w:val="20"/>
          <w:lang w:val="pt-BR"/>
        </w:rPr>
        <w:t xml:space="preserve">a </w:t>
      </w:r>
      <w:r w:rsidRPr="00726341">
        <w:rPr>
          <w:rFonts w:asciiTheme="majorHAnsi" w:hAnsiTheme="majorHAnsi"/>
          <w:sz w:val="20"/>
          <w:szCs w:val="20"/>
          <w:lang w:val="pt-BR"/>
        </w:rPr>
        <w:t>questão; e</w:t>
      </w:r>
      <w:r w:rsidR="004A6A54" w:rsidRPr="00726341">
        <w:rPr>
          <w:rFonts w:asciiTheme="majorHAnsi" w:hAnsiTheme="majorHAnsi"/>
          <w:sz w:val="20"/>
          <w:szCs w:val="20"/>
          <w:lang w:val="pt-BR"/>
        </w:rPr>
        <w:t xml:space="preserve"> publicar esta </w:t>
      </w:r>
      <w:r w:rsidRPr="00726341">
        <w:rPr>
          <w:rFonts w:asciiTheme="majorHAnsi" w:hAnsiTheme="majorHAnsi"/>
          <w:sz w:val="20"/>
          <w:szCs w:val="20"/>
          <w:lang w:val="pt-BR"/>
        </w:rPr>
        <w:t>decisão</w:t>
      </w:r>
      <w:r w:rsidR="007665A8" w:rsidRPr="00726341">
        <w:rPr>
          <w:rFonts w:asciiTheme="majorHAnsi" w:hAnsiTheme="majorHAnsi"/>
          <w:sz w:val="20"/>
          <w:szCs w:val="20"/>
          <w:lang w:val="pt-BR"/>
        </w:rPr>
        <w:t xml:space="preserve"> e inclui</w:t>
      </w:r>
      <w:r w:rsidRPr="00726341">
        <w:rPr>
          <w:rFonts w:asciiTheme="majorHAnsi" w:hAnsiTheme="majorHAnsi"/>
          <w:sz w:val="20"/>
          <w:szCs w:val="20"/>
          <w:lang w:val="pt-BR"/>
        </w:rPr>
        <w:t>-</w:t>
      </w:r>
      <w:r w:rsidR="004A6A54" w:rsidRPr="00726341">
        <w:rPr>
          <w:rFonts w:asciiTheme="majorHAnsi" w:hAnsiTheme="majorHAnsi"/>
          <w:sz w:val="20"/>
          <w:szCs w:val="20"/>
          <w:lang w:val="pt-BR"/>
        </w:rPr>
        <w:t xml:space="preserve">la </w:t>
      </w:r>
      <w:r w:rsidRPr="00726341">
        <w:rPr>
          <w:rFonts w:asciiTheme="majorHAnsi" w:hAnsiTheme="majorHAnsi"/>
          <w:sz w:val="20"/>
          <w:szCs w:val="20"/>
          <w:lang w:val="pt-BR"/>
        </w:rPr>
        <w:t xml:space="preserve">em seu Relatório Anual à Assembleia Geral da Organização dos Estados Americanos. </w:t>
      </w:r>
    </w:p>
    <w:p w14:paraId="2E5042BC" w14:textId="573FAD0E" w:rsidR="00AE6767" w:rsidRDefault="00AE6767" w:rsidP="00BC4209">
      <w:pPr>
        <w:ind w:firstLine="720"/>
        <w:jc w:val="both"/>
        <w:rPr>
          <w:rFonts w:asciiTheme="majorHAnsi" w:hAnsiTheme="majorHAnsi"/>
          <w:sz w:val="20"/>
          <w:szCs w:val="20"/>
          <w:lang w:val="pt-BR"/>
        </w:rPr>
      </w:pPr>
      <w:r>
        <w:rPr>
          <w:rFonts w:ascii="Cambria" w:hAnsi="Cambria" w:cs="BookAntiqua"/>
          <w:sz w:val="20"/>
          <w:szCs w:val="20"/>
          <w:lang w:val="pt-BR"/>
        </w:rPr>
        <w:t xml:space="preserve">Aprovado pela Commissão Interamericana de Direitos Humanos aos 16 dias do mês de agosto de 2019. (Assinado): </w:t>
      </w:r>
      <w:r>
        <w:rPr>
          <w:rFonts w:ascii="Cambria" w:hAnsi="Cambria"/>
          <w:sz w:val="20"/>
          <w:szCs w:val="20"/>
          <w:lang w:val="pt-BR"/>
        </w:rPr>
        <w:t>Esmeralda E. Arosemena Bernal de Troitiño, Presidenta; Joel Hernández García, Primeiro Vice-presidente; Antonia Urrejola, Segunda Vice-presidenta; Margarette May Macaulay, Francisco José Eguiguren Praeli e Luis Ernesto Vargas Silva,</w:t>
      </w:r>
      <w:r>
        <w:rPr>
          <w:rFonts w:ascii="Cambria" w:hAnsi="Cambria" w:cs="BookAntiqua"/>
          <w:sz w:val="20"/>
          <w:szCs w:val="20"/>
          <w:lang w:val="pt-BR"/>
        </w:rPr>
        <w:t xml:space="preserve"> Membros da Comissão.</w:t>
      </w:r>
    </w:p>
    <w:p w14:paraId="5BEB43D0" w14:textId="77777777" w:rsidR="00AE6767" w:rsidRPr="00726341" w:rsidRDefault="00AE6767" w:rsidP="00AE67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pt-BR"/>
        </w:rPr>
      </w:pPr>
    </w:p>
    <w:sectPr w:rsidR="00AE6767" w:rsidRPr="0072634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54A8E" w14:textId="77777777" w:rsidR="007A0D38" w:rsidRDefault="007A0D38">
      <w:r>
        <w:separator/>
      </w:r>
    </w:p>
  </w:endnote>
  <w:endnote w:type="continuationSeparator" w:id="0">
    <w:p w14:paraId="25E9AAF6" w14:textId="77777777" w:rsidR="007A0D38" w:rsidRDefault="007A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0D1F9" w14:textId="77777777" w:rsidR="00FC3103" w:rsidRDefault="00FC3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17AA0B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C310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CDA2A" w14:textId="77777777" w:rsidR="007A0D38" w:rsidRPr="000F35ED" w:rsidRDefault="007A0D3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62786D" w14:textId="77777777" w:rsidR="007A0D38" w:rsidRPr="000F35ED" w:rsidRDefault="007A0D38" w:rsidP="000F35ED">
      <w:pPr>
        <w:rPr>
          <w:rFonts w:asciiTheme="majorHAnsi" w:hAnsiTheme="majorHAnsi"/>
          <w:sz w:val="16"/>
          <w:szCs w:val="16"/>
        </w:rPr>
      </w:pPr>
      <w:r w:rsidRPr="000F35ED">
        <w:rPr>
          <w:rFonts w:asciiTheme="majorHAnsi" w:hAnsiTheme="majorHAnsi"/>
          <w:sz w:val="16"/>
          <w:szCs w:val="16"/>
        </w:rPr>
        <w:separator/>
      </w:r>
    </w:p>
    <w:p w14:paraId="3CB2DB38" w14:textId="77777777" w:rsidR="007A0D38" w:rsidRPr="000F35ED" w:rsidRDefault="007A0D3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09E06F3" w14:textId="77777777" w:rsidR="007A0D38" w:rsidRPr="000F35ED" w:rsidRDefault="007A0D3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F10135D" w14:textId="2AE957E4" w:rsidR="00C32F15" w:rsidRPr="000D5B1F" w:rsidRDefault="00C32F15" w:rsidP="00C32F15">
      <w:pPr>
        <w:pStyle w:val="FootnoteText"/>
        <w:jc w:val="both"/>
        <w:rPr>
          <w:rFonts w:asciiTheme="majorHAnsi" w:hAnsiTheme="majorHAnsi"/>
          <w:sz w:val="16"/>
          <w:szCs w:val="16"/>
          <w:lang w:val="pt-BR"/>
        </w:rPr>
      </w:pPr>
      <w:r w:rsidRPr="000D5B1F">
        <w:rPr>
          <w:rStyle w:val="FootnoteReference"/>
          <w:rFonts w:asciiTheme="majorHAnsi" w:hAnsiTheme="majorHAnsi"/>
          <w:sz w:val="16"/>
          <w:szCs w:val="16"/>
          <w:lang w:val="pt-BR"/>
        </w:rPr>
        <w:footnoteRef/>
      </w:r>
      <w:r w:rsidRPr="000D5B1F">
        <w:rPr>
          <w:rFonts w:asciiTheme="majorHAnsi" w:hAnsiTheme="majorHAnsi"/>
          <w:sz w:val="16"/>
          <w:szCs w:val="16"/>
          <w:lang w:val="pt-BR"/>
        </w:rPr>
        <w:t xml:space="preserve"> São também supostas vítimas: Maria Aparecida Uterkircher Brezer (mãe), Benedito Ferreira Brezer (pai) e Deusa Aparecida Leme (testemunha).</w:t>
      </w:r>
    </w:p>
  </w:footnote>
  <w:footnote w:id="3">
    <w:p w14:paraId="06C1BEFA" w14:textId="69DE4796" w:rsidR="00C32F15" w:rsidRPr="000D5B1F" w:rsidRDefault="00C32F15" w:rsidP="00C32F15">
      <w:pPr>
        <w:pStyle w:val="FootnoteText"/>
        <w:jc w:val="both"/>
        <w:rPr>
          <w:rFonts w:asciiTheme="majorHAnsi" w:hAnsiTheme="majorHAnsi"/>
          <w:sz w:val="16"/>
          <w:szCs w:val="16"/>
          <w:lang w:val="pt-BR"/>
        </w:rPr>
      </w:pPr>
      <w:r w:rsidRPr="000D5B1F">
        <w:rPr>
          <w:rStyle w:val="FootnoteReference"/>
          <w:rFonts w:asciiTheme="majorHAnsi" w:hAnsiTheme="majorHAnsi"/>
          <w:sz w:val="16"/>
          <w:szCs w:val="16"/>
          <w:lang w:val="pt-BR"/>
        </w:rPr>
        <w:footnoteRef/>
      </w:r>
      <w:r w:rsidRPr="000D5B1F">
        <w:rPr>
          <w:rFonts w:asciiTheme="majorHAnsi" w:hAnsiTheme="majorHAnsi"/>
          <w:sz w:val="16"/>
          <w:szCs w:val="16"/>
          <w:lang w:val="pt-BR"/>
        </w:rPr>
        <w:t xml:space="preserve"> Conforme disposto no artigo 17.2.a do Regulamento da Comissão, a Comissária Flávia Piovesan, de nacionalidade brasileira, não participou no debate nem na decisão do presente assunto.</w:t>
      </w:r>
    </w:p>
  </w:footnote>
  <w:footnote w:id="4">
    <w:p w14:paraId="50788C7F" w14:textId="75857490" w:rsidR="00C32F15" w:rsidRPr="000D5B1F" w:rsidRDefault="00C32F15" w:rsidP="00C32F15">
      <w:pPr>
        <w:pStyle w:val="FootnoteText"/>
        <w:jc w:val="both"/>
        <w:rPr>
          <w:rFonts w:asciiTheme="majorHAnsi" w:hAnsiTheme="majorHAnsi"/>
          <w:sz w:val="16"/>
          <w:szCs w:val="16"/>
          <w:lang w:val="pt-BR"/>
        </w:rPr>
      </w:pPr>
      <w:r w:rsidRPr="000D5B1F">
        <w:rPr>
          <w:rStyle w:val="FootnoteReference"/>
          <w:rFonts w:asciiTheme="majorHAnsi" w:hAnsiTheme="majorHAnsi"/>
          <w:sz w:val="16"/>
          <w:szCs w:val="16"/>
          <w:lang w:val="pt-BR"/>
        </w:rPr>
        <w:footnoteRef/>
      </w:r>
      <w:r w:rsidRPr="000D5B1F">
        <w:rPr>
          <w:rFonts w:asciiTheme="majorHAnsi" w:hAnsiTheme="majorHAnsi"/>
          <w:sz w:val="16"/>
          <w:szCs w:val="16"/>
          <w:lang w:val="pt-BR"/>
        </w:rPr>
        <w:t xml:space="preserve"> Adiante “Convenção Americana”.</w:t>
      </w:r>
    </w:p>
  </w:footnote>
  <w:footnote w:id="5">
    <w:p w14:paraId="79F07139" w14:textId="59ADAE8B" w:rsidR="008E3BFE" w:rsidRPr="000D5B1F" w:rsidRDefault="008E3BFE" w:rsidP="000D5B1F">
      <w:pPr>
        <w:pStyle w:val="FootnoteText"/>
        <w:jc w:val="both"/>
        <w:rPr>
          <w:rFonts w:asciiTheme="majorHAnsi" w:hAnsiTheme="majorHAnsi"/>
          <w:sz w:val="16"/>
          <w:szCs w:val="16"/>
          <w:lang w:val="pt-BR"/>
        </w:rPr>
      </w:pPr>
      <w:r w:rsidRPr="000D5B1F">
        <w:rPr>
          <w:rStyle w:val="FootnoteReference"/>
          <w:rFonts w:asciiTheme="majorHAnsi" w:hAnsiTheme="majorHAnsi"/>
          <w:sz w:val="16"/>
          <w:szCs w:val="16"/>
          <w:lang w:val="pt-BR"/>
        </w:rPr>
        <w:footnoteRef/>
      </w:r>
      <w:r w:rsidRPr="000D5B1F">
        <w:rPr>
          <w:rFonts w:asciiTheme="majorHAnsi" w:hAnsiTheme="majorHAnsi"/>
          <w:sz w:val="16"/>
          <w:szCs w:val="16"/>
          <w:lang w:val="pt-BR"/>
        </w:rPr>
        <w:t xml:space="preserve"> </w:t>
      </w:r>
      <w:r w:rsidR="00A53003" w:rsidRPr="000D5B1F">
        <w:rPr>
          <w:rFonts w:asciiTheme="majorHAnsi" w:hAnsiTheme="majorHAnsi"/>
          <w:sz w:val="16"/>
          <w:szCs w:val="16"/>
          <w:lang w:val="pt-BR"/>
        </w:rPr>
        <w:t>As observações de cada parte foram dev</w:t>
      </w:r>
      <w:r w:rsidRPr="000D5B1F">
        <w:rPr>
          <w:rFonts w:asciiTheme="majorHAnsi" w:hAnsiTheme="majorHAnsi"/>
          <w:sz w:val="16"/>
          <w:szCs w:val="16"/>
          <w:lang w:val="pt-BR"/>
        </w:rPr>
        <w:t>idamente tra</w:t>
      </w:r>
      <w:r w:rsidR="00A53003" w:rsidRPr="000D5B1F">
        <w:rPr>
          <w:rFonts w:asciiTheme="majorHAnsi" w:hAnsiTheme="majorHAnsi"/>
          <w:sz w:val="16"/>
          <w:szCs w:val="16"/>
          <w:lang w:val="pt-BR"/>
        </w:rPr>
        <w:t>n</w:t>
      </w:r>
      <w:r w:rsidRPr="000D5B1F">
        <w:rPr>
          <w:rFonts w:asciiTheme="majorHAnsi" w:hAnsiTheme="majorHAnsi"/>
          <w:sz w:val="16"/>
          <w:szCs w:val="16"/>
          <w:lang w:val="pt-BR"/>
        </w:rPr>
        <w:t xml:space="preserve">sladadas </w:t>
      </w:r>
      <w:r w:rsidR="00A53003" w:rsidRPr="000D5B1F">
        <w:rPr>
          <w:rFonts w:asciiTheme="majorHAnsi" w:hAnsiTheme="majorHAnsi"/>
          <w:sz w:val="16"/>
          <w:szCs w:val="16"/>
          <w:lang w:val="pt-BR"/>
        </w:rPr>
        <w:t>à parte contrá</w:t>
      </w:r>
      <w:r w:rsidRPr="000D5B1F">
        <w:rPr>
          <w:rFonts w:asciiTheme="majorHAnsi" w:hAnsiTheme="majorHAnsi"/>
          <w:sz w:val="16"/>
          <w:szCs w:val="16"/>
          <w:lang w:val="pt-BR"/>
        </w:rPr>
        <w:t>ria.</w:t>
      </w:r>
    </w:p>
  </w:footnote>
  <w:footnote w:id="6">
    <w:p w14:paraId="65123D21" w14:textId="30793575" w:rsidR="000218DB" w:rsidRPr="000D5B1F" w:rsidRDefault="000218DB" w:rsidP="000D5B1F">
      <w:pPr>
        <w:pStyle w:val="FootnoteText"/>
        <w:jc w:val="both"/>
        <w:rPr>
          <w:rFonts w:asciiTheme="majorHAnsi" w:hAnsiTheme="majorHAnsi"/>
          <w:sz w:val="16"/>
          <w:szCs w:val="16"/>
          <w:lang w:val="pt-BR"/>
        </w:rPr>
      </w:pPr>
      <w:r w:rsidRPr="000D5B1F">
        <w:rPr>
          <w:rStyle w:val="FootnoteReference"/>
          <w:rFonts w:asciiTheme="majorHAnsi" w:hAnsiTheme="majorHAnsi"/>
          <w:sz w:val="16"/>
          <w:szCs w:val="16"/>
          <w:lang w:val="pt-BR"/>
        </w:rPr>
        <w:footnoteRef/>
      </w:r>
      <w:r w:rsidRPr="000D5B1F">
        <w:rPr>
          <w:rFonts w:asciiTheme="majorHAnsi" w:hAnsiTheme="majorHAnsi"/>
          <w:sz w:val="16"/>
          <w:szCs w:val="16"/>
          <w:lang w:val="pt-BR"/>
        </w:rPr>
        <w:t xml:space="preserve"> CIDH. Relatório nº 159/17. Admissibilidade. Sebastián Larroza Velásquez e família. Paraguai. 30 de novembro de 2017, par. 14.</w:t>
      </w:r>
    </w:p>
  </w:footnote>
  <w:footnote w:id="7">
    <w:p w14:paraId="6D25E886" w14:textId="43B2FC91" w:rsidR="00773E81" w:rsidRPr="000D5B1F" w:rsidRDefault="00773E81" w:rsidP="000D5B1F">
      <w:pPr>
        <w:pStyle w:val="FootnoteText"/>
        <w:jc w:val="both"/>
        <w:rPr>
          <w:rFonts w:asciiTheme="majorHAnsi" w:hAnsiTheme="majorHAnsi"/>
          <w:sz w:val="16"/>
          <w:szCs w:val="16"/>
          <w:lang w:val="pt-BR"/>
        </w:rPr>
      </w:pPr>
      <w:r w:rsidRPr="000D5B1F">
        <w:rPr>
          <w:rStyle w:val="FootnoteReference"/>
          <w:rFonts w:asciiTheme="majorHAnsi" w:hAnsiTheme="majorHAnsi"/>
          <w:sz w:val="16"/>
          <w:szCs w:val="16"/>
          <w:lang w:val="pt-BR"/>
        </w:rPr>
        <w:footnoteRef/>
      </w:r>
      <w:r w:rsidRPr="000D5B1F">
        <w:rPr>
          <w:rFonts w:asciiTheme="majorHAnsi" w:hAnsiTheme="majorHAnsi"/>
          <w:sz w:val="16"/>
          <w:szCs w:val="16"/>
          <w:lang w:val="pt-BR"/>
        </w:rPr>
        <w:t xml:space="preserve"> CIDH. Relatório nº 105/17. Petição 798-07. Admissibilidade. David Valderrama Opazo e outros. Chile. 7 de setembro de 2017, par. 11; CIDH, Relatório nº 78/16. Petição 1170-09. Admissibilidade. Amir Muniz da Silva. Brasil. 30 de dezembro de 2016, par.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7A0D38"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CFA09" w14:textId="77777777" w:rsidR="00FC3103" w:rsidRDefault="00FC3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tKgFAIYxbAQtAAAA"/>
  </w:docVars>
  <w:rsids>
    <w:rsidRoot w:val="006B2D5C"/>
    <w:rsid w:val="0000036F"/>
    <w:rsid w:val="00000CDA"/>
    <w:rsid w:val="00006E1F"/>
    <w:rsid w:val="000070D7"/>
    <w:rsid w:val="0001788C"/>
    <w:rsid w:val="000218DB"/>
    <w:rsid w:val="00023F53"/>
    <w:rsid w:val="000337EF"/>
    <w:rsid w:val="00035BA5"/>
    <w:rsid w:val="00040C3A"/>
    <w:rsid w:val="000419AD"/>
    <w:rsid w:val="000433C9"/>
    <w:rsid w:val="0006356D"/>
    <w:rsid w:val="000716C5"/>
    <w:rsid w:val="00075E23"/>
    <w:rsid w:val="0009344A"/>
    <w:rsid w:val="00095234"/>
    <w:rsid w:val="000A392E"/>
    <w:rsid w:val="000A5532"/>
    <w:rsid w:val="000A575F"/>
    <w:rsid w:val="000B2D40"/>
    <w:rsid w:val="000C665A"/>
    <w:rsid w:val="000D10DB"/>
    <w:rsid w:val="000D3A9D"/>
    <w:rsid w:val="000D5B1F"/>
    <w:rsid w:val="000D682E"/>
    <w:rsid w:val="000E3B66"/>
    <w:rsid w:val="000E5EB5"/>
    <w:rsid w:val="000F35ED"/>
    <w:rsid w:val="001049EE"/>
    <w:rsid w:val="00107131"/>
    <w:rsid w:val="0010736F"/>
    <w:rsid w:val="00113F73"/>
    <w:rsid w:val="00121CC2"/>
    <w:rsid w:val="00126384"/>
    <w:rsid w:val="00133EE5"/>
    <w:rsid w:val="001448C3"/>
    <w:rsid w:val="001469A5"/>
    <w:rsid w:val="00152D93"/>
    <w:rsid w:val="001622BE"/>
    <w:rsid w:val="00167A34"/>
    <w:rsid w:val="001910F6"/>
    <w:rsid w:val="001A2B0B"/>
    <w:rsid w:val="001A7870"/>
    <w:rsid w:val="001B3A00"/>
    <w:rsid w:val="001C151D"/>
    <w:rsid w:val="001C1B41"/>
    <w:rsid w:val="001C42D8"/>
    <w:rsid w:val="001D65EF"/>
    <w:rsid w:val="001E17B1"/>
    <w:rsid w:val="001E49E7"/>
    <w:rsid w:val="001F7201"/>
    <w:rsid w:val="001F7A2A"/>
    <w:rsid w:val="0020632B"/>
    <w:rsid w:val="00223A29"/>
    <w:rsid w:val="002250A3"/>
    <w:rsid w:val="0022736D"/>
    <w:rsid w:val="00235217"/>
    <w:rsid w:val="00236A17"/>
    <w:rsid w:val="00240F45"/>
    <w:rsid w:val="00246D1F"/>
    <w:rsid w:val="00247403"/>
    <w:rsid w:val="00247542"/>
    <w:rsid w:val="002531E3"/>
    <w:rsid w:val="002643AA"/>
    <w:rsid w:val="00266B61"/>
    <w:rsid w:val="0026712A"/>
    <w:rsid w:val="002704DB"/>
    <w:rsid w:val="00277508"/>
    <w:rsid w:val="002864E1"/>
    <w:rsid w:val="00286968"/>
    <w:rsid w:val="00292CC4"/>
    <w:rsid w:val="002A0AAE"/>
    <w:rsid w:val="002A13E4"/>
    <w:rsid w:val="002A5820"/>
    <w:rsid w:val="002A781D"/>
    <w:rsid w:val="002B7DBE"/>
    <w:rsid w:val="002D0125"/>
    <w:rsid w:val="002D2B26"/>
    <w:rsid w:val="002D7EA2"/>
    <w:rsid w:val="002E187C"/>
    <w:rsid w:val="002F2A6F"/>
    <w:rsid w:val="002F621A"/>
    <w:rsid w:val="002F696F"/>
    <w:rsid w:val="00302733"/>
    <w:rsid w:val="00314078"/>
    <w:rsid w:val="0031535D"/>
    <w:rsid w:val="003239B8"/>
    <w:rsid w:val="0032410E"/>
    <w:rsid w:val="00326E14"/>
    <w:rsid w:val="0033169F"/>
    <w:rsid w:val="003413C5"/>
    <w:rsid w:val="00344977"/>
    <w:rsid w:val="00346C95"/>
    <w:rsid w:val="00350C96"/>
    <w:rsid w:val="00356185"/>
    <w:rsid w:val="00360380"/>
    <w:rsid w:val="0036492E"/>
    <w:rsid w:val="00364D40"/>
    <w:rsid w:val="0036748E"/>
    <w:rsid w:val="0037267A"/>
    <w:rsid w:val="0037519E"/>
    <w:rsid w:val="00377707"/>
    <w:rsid w:val="00386CF0"/>
    <w:rsid w:val="0038709A"/>
    <w:rsid w:val="003B37A5"/>
    <w:rsid w:val="003B70FB"/>
    <w:rsid w:val="003C3405"/>
    <w:rsid w:val="003C574F"/>
    <w:rsid w:val="003C66E3"/>
    <w:rsid w:val="003C676B"/>
    <w:rsid w:val="003C72D7"/>
    <w:rsid w:val="003D3BC2"/>
    <w:rsid w:val="003D5CA7"/>
    <w:rsid w:val="003E6CA1"/>
    <w:rsid w:val="003F6717"/>
    <w:rsid w:val="004065A8"/>
    <w:rsid w:val="00410F6A"/>
    <w:rsid w:val="0041502B"/>
    <w:rsid w:val="004165C2"/>
    <w:rsid w:val="00417BF2"/>
    <w:rsid w:val="004322FA"/>
    <w:rsid w:val="0043252C"/>
    <w:rsid w:val="00441ECB"/>
    <w:rsid w:val="00445193"/>
    <w:rsid w:val="00462C1B"/>
    <w:rsid w:val="00467B7E"/>
    <w:rsid w:val="00473BB4"/>
    <w:rsid w:val="00476CE5"/>
    <w:rsid w:val="00477592"/>
    <w:rsid w:val="00486F1C"/>
    <w:rsid w:val="0049419D"/>
    <w:rsid w:val="00496941"/>
    <w:rsid w:val="004A3EB8"/>
    <w:rsid w:val="004A6A54"/>
    <w:rsid w:val="004B690F"/>
    <w:rsid w:val="004C20D2"/>
    <w:rsid w:val="004C2312"/>
    <w:rsid w:val="004C4B62"/>
    <w:rsid w:val="004C54C9"/>
    <w:rsid w:val="004D4ABA"/>
    <w:rsid w:val="004D6025"/>
    <w:rsid w:val="004D789F"/>
    <w:rsid w:val="004E2649"/>
    <w:rsid w:val="004E5A51"/>
    <w:rsid w:val="004E78C9"/>
    <w:rsid w:val="004F3811"/>
    <w:rsid w:val="00501399"/>
    <w:rsid w:val="0050633D"/>
    <w:rsid w:val="00507BC4"/>
    <w:rsid w:val="005128E4"/>
    <w:rsid w:val="005133DB"/>
    <w:rsid w:val="00525560"/>
    <w:rsid w:val="00526397"/>
    <w:rsid w:val="00527FCF"/>
    <w:rsid w:val="00544C49"/>
    <w:rsid w:val="00545504"/>
    <w:rsid w:val="005461BB"/>
    <w:rsid w:val="005516A1"/>
    <w:rsid w:val="00563557"/>
    <w:rsid w:val="005734F1"/>
    <w:rsid w:val="0057402A"/>
    <w:rsid w:val="005771D0"/>
    <w:rsid w:val="0058473A"/>
    <w:rsid w:val="00587AC2"/>
    <w:rsid w:val="0059191A"/>
    <w:rsid w:val="005921FF"/>
    <w:rsid w:val="00595CC8"/>
    <w:rsid w:val="005A24ED"/>
    <w:rsid w:val="005A5BBF"/>
    <w:rsid w:val="005A6D0E"/>
    <w:rsid w:val="005B52B0"/>
    <w:rsid w:val="005B6806"/>
    <w:rsid w:val="005C4225"/>
    <w:rsid w:val="005C565A"/>
    <w:rsid w:val="005F0223"/>
    <w:rsid w:val="005F0DAD"/>
    <w:rsid w:val="005F0F33"/>
    <w:rsid w:val="005F2A69"/>
    <w:rsid w:val="005F42DE"/>
    <w:rsid w:val="00600DEB"/>
    <w:rsid w:val="00611C2C"/>
    <w:rsid w:val="00627C9F"/>
    <w:rsid w:val="006311E9"/>
    <w:rsid w:val="00632354"/>
    <w:rsid w:val="00642810"/>
    <w:rsid w:val="006429C9"/>
    <w:rsid w:val="00652333"/>
    <w:rsid w:val="00677CAF"/>
    <w:rsid w:val="0068009E"/>
    <w:rsid w:val="00685FAB"/>
    <w:rsid w:val="00691FB2"/>
    <w:rsid w:val="00692219"/>
    <w:rsid w:val="006A17D2"/>
    <w:rsid w:val="006A20E7"/>
    <w:rsid w:val="006A73E6"/>
    <w:rsid w:val="006B2D5C"/>
    <w:rsid w:val="006B3FD3"/>
    <w:rsid w:val="006B5EE6"/>
    <w:rsid w:val="006C08C2"/>
    <w:rsid w:val="006C4EB1"/>
    <w:rsid w:val="006D0EF6"/>
    <w:rsid w:val="006D4495"/>
    <w:rsid w:val="006E0166"/>
    <w:rsid w:val="006E7B34"/>
    <w:rsid w:val="006F4D43"/>
    <w:rsid w:val="006F51C3"/>
    <w:rsid w:val="006F6FAA"/>
    <w:rsid w:val="0070697F"/>
    <w:rsid w:val="00720A45"/>
    <w:rsid w:val="0072164D"/>
    <w:rsid w:val="0072199C"/>
    <w:rsid w:val="00722C9F"/>
    <w:rsid w:val="007253B8"/>
    <w:rsid w:val="00726341"/>
    <w:rsid w:val="007268DC"/>
    <w:rsid w:val="0073741F"/>
    <w:rsid w:val="00754082"/>
    <w:rsid w:val="00757FAB"/>
    <w:rsid w:val="0076643F"/>
    <w:rsid w:val="007665A8"/>
    <w:rsid w:val="00773E81"/>
    <w:rsid w:val="00777F63"/>
    <w:rsid w:val="007A0D38"/>
    <w:rsid w:val="007A5817"/>
    <w:rsid w:val="007B05C4"/>
    <w:rsid w:val="007B2C33"/>
    <w:rsid w:val="007B60E9"/>
    <w:rsid w:val="007B6CC3"/>
    <w:rsid w:val="007B76D3"/>
    <w:rsid w:val="007C3334"/>
    <w:rsid w:val="007D2B98"/>
    <w:rsid w:val="007E21BC"/>
    <w:rsid w:val="007E4639"/>
    <w:rsid w:val="007E7C82"/>
    <w:rsid w:val="007F588D"/>
    <w:rsid w:val="00803F1C"/>
    <w:rsid w:val="0080600E"/>
    <w:rsid w:val="00807A69"/>
    <w:rsid w:val="00817612"/>
    <w:rsid w:val="00832E15"/>
    <w:rsid w:val="008338A4"/>
    <w:rsid w:val="00834D49"/>
    <w:rsid w:val="00835C8E"/>
    <w:rsid w:val="00837C45"/>
    <w:rsid w:val="00844730"/>
    <w:rsid w:val="008457C2"/>
    <w:rsid w:val="00846C60"/>
    <w:rsid w:val="00852839"/>
    <w:rsid w:val="00857A82"/>
    <w:rsid w:val="00873836"/>
    <w:rsid w:val="008765EF"/>
    <w:rsid w:val="00885737"/>
    <w:rsid w:val="00890650"/>
    <w:rsid w:val="008945CD"/>
    <w:rsid w:val="00897E12"/>
    <w:rsid w:val="008A7E0F"/>
    <w:rsid w:val="008B12F5"/>
    <w:rsid w:val="008C02D4"/>
    <w:rsid w:val="008D0065"/>
    <w:rsid w:val="008D24A0"/>
    <w:rsid w:val="008D768D"/>
    <w:rsid w:val="008E0932"/>
    <w:rsid w:val="008E0BE4"/>
    <w:rsid w:val="008E3759"/>
    <w:rsid w:val="008E3BFE"/>
    <w:rsid w:val="008F1912"/>
    <w:rsid w:val="0090270B"/>
    <w:rsid w:val="009041DC"/>
    <w:rsid w:val="00917B5A"/>
    <w:rsid w:val="00920A58"/>
    <w:rsid w:val="00920A8C"/>
    <w:rsid w:val="00934A2C"/>
    <w:rsid w:val="0096706E"/>
    <w:rsid w:val="00967593"/>
    <w:rsid w:val="009730ED"/>
    <w:rsid w:val="00974491"/>
    <w:rsid w:val="00975C4E"/>
    <w:rsid w:val="00981FBA"/>
    <w:rsid w:val="00993902"/>
    <w:rsid w:val="00997BC5"/>
    <w:rsid w:val="009A2167"/>
    <w:rsid w:val="009A4F41"/>
    <w:rsid w:val="009B381B"/>
    <w:rsid w:val="009C5B89"/>
    <w:rsid w:val="009C6A06"/>
    <w:rsid w:val="009C7758"/>
    <w:rsid w:val="009D1753"/>
    <w:rsid w:val="009D38B4"/>
    <w:rsid w:val="009D7611"/>
    <w:rsid w:val="009E0B61"/>
    <w:rsid w:val="009E53DE"/>
    <w:rsid w:val="009F5389"/>
    <w:rsid w:val="00A11212"/>
    <w:rsid w:val="00A11E44"/>
    <w:rsid w:val="00A328B3"/>
    <w:rsid w:val="00A37F2E"/>
    <w:rsid w:val="00A44A41"/>
    <w:rsid w:val="00A46DA9"/>
    <w:rsid w:val="00A50FCF"/>
    <w:rsid w:val="00A528D1"/>
    <w:rsid w:val="00A53003"/>
    <w:rsid w:val="00A564E6"/>
    <w:rsid w:val="00A610CD"/>
    <w:rsid w:val="00A65C31"/>
    <w:rsid w:val="00A758AA"/>
    <w:rsid w:val="00A75CC3"/>
    <w:rsid w:val="00A8408D"/>
    <w:rsid w:val="00A86750"/>
    <w:rsid w:val="00AA09A2"/>
    <w:rsid w:val="00AA7996"/>
    <w:rsid w:val="00AC19CB"/>
    <w:rsid w:val="00AD1F2A"/>
    <w:rsid w:val="00AD45B9"/>
    <w:rsid w:val="00AD7815"/>
    <w:rsid w:val="00AE5488"/>
    <w:rsid w:val="00AE621D"/>
    <w:rsid w:val="00AE6767"/>
    <w:rsid w:val="00AE6F91"/>
    <w:rsid w:val="00AF5571"/>
    <w:rsid w:val="00B07341"/>
    <w:rsid w:val="00B176E1"/>
    <w:rsid w:val="00B22609"/>
    <w:rsid w:val="00B25ACD"/>
    <w:rsid w:val="00B26102"/>
    <w:rsid w:val="00B30539"/>
    <w:rsid w:val="00B314DB"/>
    <w:rsid w:val="00B361F2"/>
    <w:rsid w:val="00B3718B"/>
    <w:rsid w:val="00B4632A"/>
    <w:rsid w:val="00B51266"/>
    <w:rsid w:val="00B530F1"/>
    <w:rsid w:val="00B53CCC"/>
    <w:rsid w:val="00B64B94"/>
    <w:rsid w:val="00BA276C"/>
    <w:rsid w:val="00BB306F"/>
    <w:rsid w:val="00BC27A4"/>
    <w:rsid w:val="00BC36B4"/>
    <w:rsid w:val="00BC4209"/>
    <w:rsid w:val="00BD4B89"/>
    <w:rsid w:val="00BD5922"/>
    <w:rsid w:val="00BD73F6"/>
    <w:rsid w:val="00BF02CB"/>
    <w:rsid w:val="00BF318B"/>
    <w:rsid w:val="00BF6FD8"/>
    <w:rsid w:val="00BF7B34"/>
    <w:rsid w:val="00C03680"/>
    <w:rsid w:val="00C054DF"/>
    <w:rsid w:val="00C21762"/>
    <w:rsid w:val="00C21FEF"/>
    <w:rsid w:val="00C24543"/>
    <w:rsid w:val="00C256A2"/>
    <w:rsid w:val="00C32F15"/>
    <w:rsid w:val="00C513EA"/>
    <w:rsid w:val="00C51515"/>
    <w:rsid w:val="00C532B9"/>
    <w:rsid w:val="00C5660B"/>
    <w:rsid w:val="00C66B72"/>
    <w:rsid w:val="00C80301"/>
    <w:rsid w:val="00C8218F"/>
    <w:rsid w:val="00C87AC4"/>
    <w:rsid w:val="00C9567A"/>
    <w:rsid w:val="00CA7C3E"/>
    <w:rsid w:val="00CB10D8"/>
    <w:rsid w:val="00CB212D"/>
    <w:rsid w:val="00CB2660"/>
    <w:rsid w:val="00CC544B"/>
    <w:rsid w:val="00CC5E90"/>
    <w:rsid w:val="00CD046C"/>
    <w:rsid w:val="00CD0EB4"/>
    <w:rsid w:val="00CD20C8"/>
    <w:rsid w:val="00CE076C"/>
    <w:rsid w:val="00CE08B4"/>
    <w:rsid w:val="00CE5199"/>
    <w:rsid w:val="00CE66D5"/>
    <w:rsid w:val="00CF637A"/>
    <w:rsid w:val="00D059DE"/>
    <w:rsid w:val="00D05ABD"/>
    <w:rsid w:val="00D13538"/>
    <w:rsid w:val="00D13FCE"/>
    <w:rsid w:val="00D21316"/>
    <w:rsid w:val="00D2206F"/>
    <w:rsid w:val="00D306D1"/>
    <w:rsid w:val="00D30800"/>
    <w:rsid w:val="00D34786"/>
    <w:rsid w:val="00D358AF"/>
    <w:rsid w:val="00D37BFC"/>
    <w:rsid w:val="00D43541"/>
    <w:rsid w:val="00D4762A"/>
    <w:rsid w:val="00D47A8E"/>
    <w:rsid w:val="00D52212"/>
    <w:rsid w:val="00D52D14"/>
    <w:rsid w:val="00D54C0B"/>
    <w:rsid w:val="00D66CD4"/>
    <w:rsid w:val="00D712D3"/>
    <w:rsid w:val="00D71422"/>
    <w:rsid w:val="00D72DC6"/>
    <w:rsid w:val="00D7558D"/>
    <w:rsid w:val="00D758A3"/>
    <w:rsid w:val="00D77B64"/>
    <w:rsid w:val="00D81D92"/>
    <w:rsid w:val="00D83A79"/>
    <w:rsid w:val="00D876F9"/>
    <w:rsid w:val="00DA2224"/>
    <w:rsid w:val="00DA7B5F"/>
    <w:rsid w:val="00DB7568"/>
    <w:rsid w:val="00DC11E7"/>
    <w:rsid w:val="00DC7023"/>
    <w:rsid w:val="00DC769A"/>
    <w:rsid w:val="00DD0FE0"/>
    <w:rsid w:val="00DD3D86"/>
    <w:rsid w:val="00DD4AD2"/>
    <w:rsid w:val="00DD70A0"/>
    <w:rsid w:val="00DF1EC4"/>
    <w:rsid w:val="00E0340B"/>
    <w:rsid w:val="00E04A90"/>
    <w:rsid w:val="00E0551F"/>
    <w:rsid w:val="00E1032E"/>
    <w:rsid w:val="00E20549"/>
    <w:rsid w:val="00E219C7"/>
    <w:rsid w:val="00E4118C"/>
    <w:rsid w:val="00E43157"/>
    <w:rsid w:val="00E461CE"/>
    <w:rsid w:val="00E467A2"/>
    <w:rsid w:val="00E557AE"/>
    <w:rsid w:val="00E720CA"/>
    <w:rsid w:val="00E83C1F"/>
    <w:rsid w:val="00E84EB5"/>
    <w:rsid w:val="00E85662"/>
    <w:rsid w:val="00E86C11"/>
    <w:rsid w:val="00E8789F"/>
    <w:rsid w:val="00E914D2"/>
    <w:rsid w:val="00E92452"/>
    <w:rsid w:val="00E93D41"/>
    <w:rsid w:val="00E97B71"/>
    <w:rsid w:val="00EA379A"/>
    <w:rsid w:val="00EA3D34"/>
    <w:rsid w:val="00EA515A"/>
    <w:rsid w:val="00EB454D"/>
    <w:rsid w:val="00EC0DF9"/>
    <w:rsid w:val="00EC1559"/>
    <w:rsid w:val="00ED549D"/>
    <w:rsid w:val="00ED5DEC"/>
    <w:rsid w:val="00ED76BE"/>
    <w:rsid w:val="00ED7EA6"/>
    <w:rsid w:val="00EE00E9"/>
    <w:rsid w:val="00EE14D2"/>
    <w:rsid w:val="00EE1542"/>
    <w:rsid w:val="00EF619B"/>
    <w:rsid w:val="00F00B55"/>
    <w:rsid w:val="00F02AD1"/>
    <w:rsid w:val="00F253CC"/>
    <w:rsid w:val="00F26B9E"/>
    <w:rsid w:val="00F37106"/>
    <w:rsid w:val="00F400E8"/>
    <w:rsid w:val="00F519CF"/>
    <w:rsid w:val="00F56BA5"/>
    <w:rsid w:val="00F60E22"/>
    <w:rsid w:val="00F60E62"/>
    <w:rsid w:val="00F81395"/>
    <w:rsid w:val="00F81BB8"/>
    <w:rsid w:val="00F917D1"/>
    <w:rsid w:val="00F94E3A"/>
    <w:rsid w:val="00F9653B"/>
    <w:rsid w:val="00FB62CF"/>
    <w:rsid w:val="00FC310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73F6"/>
    <w:rPr>
      <w:sz w:val="16"/>
      <w:szCs w:val="16"/>
    </w:rPr>
  </w:style>
  <w:style w:type="paragraph" w:styleId="CommentText">
    <w:name w:val="annotation text"/>
    <w:basedOn w:val="Normal"/>
    <w:link w:val="CommentTextChar"/>
    <w:uiPriority w:val="99"/>
    <w:semiHidden/>
    <w:unhideWhenUsed/>
    <w:rsid w:val="00BD73F6"/>
    <w:rPr>
      <w:sz w:val="20"/>
      <w:szCs w:val="20"/>
    </w:rPr>
  </w:style>
  <w:style w:type="character" w:customStyle="1" w:styleId="CommentTextChar">
    <w:name w:val="Comment Text Char"/>
    <w:basedOn w:val="DefaultParagraphFont"/>
    <w:link w:val="CommentText"/>
    <w:uiPriority w:val="99"/>
    <w:semiHidden/>
    <w:rsid w:val="00BD73F6"/>
    <w:rPr>
      <w:lang w:val="en-US" w:eastAsia="en-US"/>
    </w:rPr>
  </w:style>
  <w:style w:type="paragraph" w:styleId="CommentSubject">
    <w:name w:val="annotation subject"/>
    <w:basedOn w:val="CommentText"/>
    <w:next w:val="CommentText"/>
    <w:link w:val="CommentSubjectChar"/>
    <w:uiPriority w:val="99"/>
    <w:semiHidden/>
    <w:unhideWhenUsed/>
    <w:rsid w:val="00BD73F6"/>
    <w:rPr>
      <w:b/>
      <w:bCs/>
    </w:rPr>
  </w:style>
  <w:style w:type="character" w:customStyle="1" w:styleId="CommentSubjectChar">
    <w:name w:val="Comment Subject Char"/>
    <w:basedOn w:val="CommentTextChar"/>
    <w:link w:val="CommentSubject"/>
    <w:uiPriority w:val="99"/>
    <w:semiHidden/>
    <w:rsid w:val="00BD73F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ED2A-A98F-4B08-BD37-7E50E523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12182</Characters>
  <Application>Microsoft Office Word</Application>
  <DocSecurity>0</DocSecurity>
  <Lines>253</Lines>
  <Paragraphs>75</Paragraphs>
  <ScaleCrop>false</ScaleCrop>
  <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128/19</dc:title>
  <dc:creator/>
  <cp:lastModifiedBy/>
  <cp:revision>1</cp:revision>
  <dcterms:created xsi:type="dcterms:W3CDTF">2019-10-21T16:55:00Z</dcterms:created>
  <dcterms:modified xsi:type="dcterms:W3CDTF">2019-10-21T16:55:00Z</dcterms:modified>
</cp:coreProperties>
</file>