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A75CC3" w:rsidRDefault="00D306D1" w:rsidP="00627C9F">
      <w:pPr>
        <w:jc w:val="both"/>
        <w:rPr>
          <w:rFonts w:asciiTheme="majorHAnsi" w:hAnsiTheme="majorHAnsi" w:cs="Univers"/>
          <w:b/>
          <w:bCs/>
          <w:sz w:val="22"/>
          <w:szCs w:val="22"/>
          <w:lang w:val="pt-BR"/>
        </w:rPr>
      </w:pPr>
      <w:r w:rsidRPr="00A75CC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7CAF750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A75CC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A75CC3" w:rsidRDefault="005128E4" w:rsidP="00040C3A">
      <w:pPr>
        <w:tabs>
          <w:tab w:val="center" w:pos="5400"/>
        </w:tabs>
        <w:suppressAutoHyphens/>
        <w:rPr>
          <w:rFonts w:asciiTheme="majorHAnsi" w:hAnsiTheme="majorHAnsi"/>
          <w:sz w:val="22"/>
          <w:szCs w:val="22"/>
          <w:lang w:val="pt-BR"/>
        </w:rPr>
      </w:pPr>
    </w:p>
    <w:p w14:paraId="12A36B24" w14:textId="77777777" w:rsidR="005128E4" w:rsidRPr="00A75CC3" w:rsidRDefault="005128E4" w:rsidP="00040C3A">
      <w:pPr>
        <w:tabs>
          <w:tab w:val="center" w:pos="5400"/>
        </w:tabs>
        <w:suppressAutoHyphens/>
        <w:rPr>
          <w:rFonts w:asciiTheme="majorHAnsi" w:hAnsiTheme="majorHAnsi"/>
          <w:sz w:val="22"/>
          <w:szCs w:val="22"/>
          <w:lang w:val="pt-BR"/>
        </w:rPr>
      </w:pPr>
    </w:p>
    <w:p w14:paraId="2252093D" w14:textId="77777777" w:rsidR="005128E4" w:rsidRPr="00A75CC3" w:rsidRDefault="005128E4" w:rsidP="00040C3A">
      <w:pPr>
        <w:tabs>
          <w:tab w:val="center" w:pos="5400"/>
        </w:tabs>
        <w:suppressAutoHyphens/>
        <w:rPr>
          <w:rFonts w:asciiTheme="majorHAnsi" w:hAnsiTheme="majorHAnsi"/>
          <w:sz w:val="22"/>
          <w:szCs w:val="22"/>
          <w:lang w:val="pt-BR"/>
        </w:rPr>
      </w:pPr>
    </w:p>
    <w:p w14:paraId="403935BD"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A75CC3" w:rsidRDefault="003D3BC2" w:rsidP="00040C3A">
      <w:pPr>
        <w:tabs>
          <w:tab w:val="center" w:pos="5400"/>
        </w:tabs>
        <w:suppressAutoHyphens/>
        <w:jc w:val="center"/>
        <w:rPr>
          <w:rFonts w:asciiTheme="majorHAnsi" w:hAnsiTheme="majorHAnsi"/>
          <w:sz w:val="22"/>
          <w:szCs w:val="22"/>
          <w:lang w:val="pt-BR"/>
        </w:rPr>
      </w:pPr>
      <w:r w:rsidRPr="00A75CC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359AFD9"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D37F09">
                              <w:rPr>
                                <w:rFonts w:asciiTheme="majorHAnsi" w:hAnsiTheme="majorHAnsi" w:cs="Arial"/>
                                <w:b/>
                                <w:bCs/>
                                <w:color w:val="0D0D0D" w:themeColor="text1" w:themeTint="F2"/>
                                <w:sz w:val="36"/>
                                <w:szCs w:val="22"/>
                                <w:lang w:val="pt-BR"/>
                              </w:rPr>
                              <w:t>115</w:t>
                            </w:r>
                            <w:r w:rsidR="007B05C4" w:rsidRPr="007665A8">
                              <w:rPr>
                                <w:rFonts w:asciiTheme="majorHAnsi" w:hAnsiTheme="majorHAnsi" w:cs="Arial"/>
                                <w:b/>
                                <w:bCs/>
                                <w:color w:val="0D0D0D" w:themeColor="text1" w:themeTint="F2"/>
                                <w:sz w:val="36"/>
                                <w:szCs w:val="22"/>
                                <w:lang w:val="pt-BR"/>
                              </w:rPr>
                              <w:t>/</w:t>
                            </w:r>
                            <w:r w:rsidR="007E787C">
                              <w:rPr>
                                <w:rFonts w:asciiTheme="majorHAnsi" w:hAnsiTheme="majorHAnsi" w:cs="Arial"/>
                                <w:b/>
                                <w:bCs/>
                                <w:color w:val="0D0D0D" w:themeColor="text1" w:themeTint="F2"/>
                                <w:sz w:val="36"/>
                                <w:szCs w:val="22"/>
                                <w:lang w:val="pt-BR"/>
                              </w:rPr>
                              <w:t>20</w:t>
                            </w:r>
                          </w:p>
                          <w:p w14:paraId="09C54AB3" w14:textId="50ABE982"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7E787C">
                              <w:rPr>
                                <w:rFonts w:asciiTheme="majorHAnsi" w:hAnsiTheme="majorHAnsi" w:cs="Arial"/>
                                <w:b/>
                                <w:color w:val="0D0D0D" w:themeColor="text1" w:themeTint="F2"/>
                                <w:sz w:val="36"/>
                                <w:szCs w:val="22"/>
                                <w:lang w:val="pt-BR"/>
                              </w:rPr>
                              <w:t>562-11</w:t>
                            </w:r>
                            <w:r w:rsidR="00246D1F" w:rsidRPr="00DA2224">
                              <w:rPr>
                                <w:rFonts w:asciiTheme="majorHAnsi" w:hAnsiTheme="majorHAnsi" w:cs="Arial"/>
                                <w:b/>
                                <w:color w:val="0D0D0D" w:themeColor="text1" w:themeTint="F2"/>
                                <w:sz w:val="36"/>
                                <w:szCs w:val="22"/>
                                <w:lang w:val="pt-BR"/>
                              </w:rPr>
                              <w:t xml:space="preserve"> </w:t>
                            </w:r>
                          </w:p>
                          <w:p w14:paraId="70CF6833" w14:textId="6F8FAB86"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58D49CC9" w:rsidR="005B52B0" w:rsidRPr="007665A8" w:rsidRDefault="00AD099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JOSÉ CARLOS DA SILVA E SEUS FAMILIARES</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359AFD9"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D37F09">
                        <w:rPr>
                          <w:rFonts w:asciiTheme="majorHAnsi" w:hAnsiTheme="majorHAnsi" w:cs="Arial"/>
                          <w:b/>
                          <w:bCs/>
                          <w:color w:val="0D0D0D" w:themeColor="text1" w:themeTint="F2"/>
                          <w:sz w:val="36"/>
                          <w:szCs w:val="22"/>
                          <w:lang w:val="pt-BR"/>
                        </w:rPr>
                        <w:t>115</w:t>
                      </w:r>
                      <w:r w:rsidR="007B05C4" w:rsidRPr="007665A8">
                        <w:rPr>
                          <w:rFonts w:asciiTheme="majorHAnsi" w:hAnsiTheme="majorHAnsi" w:cs="Arial"/>
                          <w:b/>
                          <w:bCs/>
                          <w:color w:val="0D0D0D" w:themeColor="text1" w:themeTint="F2"/>
                          <w:sz w:val="36"/>
                          <w:szCs w:val="22"/>
                          <w:lang w:val="pt-BR"/>
                        </w:rPr>
                        <w:t>/</w:t>
                      </w:r>
                      <w:r w:rsidR="007E787C">
                        <w:rPr>
                          <w:rFonts w:asciiTheme="majorHAnsi" w:hAnsiTheme="majorHAnsi" w:cs="Arial"/>
                          <w:b/>
                          <w:bCs/>
                          <w:color w:val="0D0D0D" w:themeColor="text1" w:themeTint="F2"/>
                          <w:sz w:val="36"/>
                          <w:szCs w:val="22"/>
                          <w:lang w:val="pt-BR"/>
                        </w:rPr>
                        <w:t>20</w:t>
                      </w:r>
                    </w:p>
                    <w:p w14:paraId="09C54AB3" w14:textId="50ABE982"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7E787C">
                        <w:rPr>
                          <w:rFonts w:asciiTheme="majorHAnsi" w:hAnsiTheme="majorHAnsi" w:cs="Arial"/>
                          <w:b/>
                          <w:color w:val="0D0D0D" w:themeColor="text1" w:themeTint="F2"/>
                          <w:sz w:val="36"/>
                          <w:szCs w:val="22"/>
                          <w:lang w:val="pt-BR"/>
                        </w:rPr>
                        <w:t>562-11</w:t>
                      </w:r>
                      <w:r w:rsidR="00246D1F" w:rsidRPr="00DA2224">
                        <w:rPr>
                          <w:rFonts w:asciiTheme="majorHAnsi" w:hAnsiTheme="majorHAnsi" w:cs="Arial"/>
                          <w:b/>
                          <w:color w:val="0D0D0D" w:themeColor="text1" w:themeTint="F2"/>
                          <w:sz w:val="36"/>
                          <w:szCs w:val="22"/>
                          <w:lang w:val="pt-BR"/>
                        </w:rPr>
                        <w:t xml:space="preserve"> </w:t>
                      </w:r>
                    </w:p>
                    <w:p w14:paraId="70CF6833" w14:textId="6F8FAB86"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58D49CC9" w:rsidR="005B52B0" w:rsidRPr="007665A8" w:rsidRDefault="00AD099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JOSÉ CARLOS DA SILVA E SEUS FAMILIARES</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A75CC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03BC2F0"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31671E0B" w:rsidR="00627C9F" w:rsidRPr="00A75CC3" w:rsidRDefault="00D37F09" w:rsidP="007A5817">
                            <w:pPr>
                              <w:spacing w:line="276" w:lineRule="auto"/>
                              <w:jc w:val="right"/>
                              <w:rPr>
                                <w:rFonts w:asciiTheme="minorHAnsi" w:hAnsiTheme="minorHAnsi"/>
                                <w:sz w:val="22"/>
                                <w:lang w:val="pt-BR"/>
                              </w:rPr>
                            </w:pPr>
                            <w:r>
                              <w:rPr>
                                <w:rFonts w:asciiTheme="minorHAnsi" w:hAnsiTheme="minorHAnsi"/>
                                <w:sz w:val="22"/>
                                <w:lang w:val="pt-BR"/>
                              </w:rPr>
                              <w:t>Doc. 125</w:t>
                            </w:r>
                          </w:p>
                          <w:p w14:paraId="69373ED2" w14:textId="3D9DF259" w:rsidR="00627C9F" w:rsidRPr="00123292" w:rsidRDefault="00D37F09" w:rsidP="007A5817">
                            <w:pPr>
                              <w:spacing w:line="276" w:lineRule="auto"/>
                              <w:jc w:val="right"/>
                              <w:rPr>
                                <w:rFonts w:asciiTheme="minorHAnsi" w:hAnsiTheme="minorHAnsi"/>
                                <w:sz w:val="22"/>
                                <w:lang w:val="pt-BR"/>
                              </w:rPr>
                            </w:pPr>
                            <w:r>
                              <w:rPr>
                                <w:rFonts w:asciiTheme="minorHAnsi" w:hAnsiTheme="minorHAnsi"/>
                                <w:sz w:val="22"/>
                                <w:lang w:val="pt-BR"/>
                              </w:rPr>
                              <w:t>25 abril</w:t>
                            </w:r>
                            <w:r w:rsidR="00627C9F" w:rsidRPr="00123292">
                              <w:rPr>
                                <w:rFonts w:asciiTheme="minorHAnsi" w:hAnsiTheme="minorHAnsi"/>
                                <w:sz w:val="22"/>
                                <w:lang w:val="pt-BR"/>
                              </w:rPr>
                              <w:t xml:space="preserve"> 20</w:t>
                            </w:r>
                            <w:r w:rsidR="007E787C">
                              <w:rPr>
                                <w:rFonts w:asciiTheme="minorHAnsi" w:hAnsiTheme="minorHAnsi"/>
                                <w:sz w:val="22"/>
                                <w:lang w:val="pt-BR"/>
                              </w:rPr>
                              <w:t>20</w:t>
                            </w:r>
                          </w:p>
                          <w:p w14:paraId="0771DB5B" w14:textId="40CA6718" w:rsidR="00627C9F" w:rsidRPr="00123292" w:rsidRDefault="00E0340B" w:rsidP="007A5817">
                            <w:pPr>
                              <w:spacing w:line="276" w:lineRule="auto"/>
                              <w:jc w:val="right"/>
                              <w:rPr>
                                <w:rFonts w:asciiTheme="minorHAnsi" w:hAnsiTheme="minorHAnsi"/>
                                <w:sz w:val="22"/>
                                <w:lang w:val="pt-BR"/>
                              </w:rPr>
                            </w:pPr>
                            <w:r w:rsidRPr="00123292">
                              <w:rPr>
                                <w:rFonts w:asciiTheme="minorHAnsi" w:hAnsiTheme="minorHAnsi"/>
                                <w:sz w:val="22"/>
                                <w:lang w:val="pt-BR"/>
                              </w:rPr>
                              <w:t xml:space="preserve">Original: </w:t>
                            </w:r>
                            <w:r w:rsidR="00DA2224" w:rsidRPr="00123292">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03BC2F0"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31671E0B" w:rsidR="00627C9F" w:rsidRPr="00A75CC3" w:rsidRDefault="00D37F09" w:rsidP="007A5817">
                      <w:pPr>
                        <w:spacing w:line="276" w:lineRule="auto"/>
                        <w:jc w:val="right"/>
                        <w:rPr>
                          <w:rFonts w:asciiTheme="minorHAnsi" w:hAnsiTheme="minorHAnsi"/>
                          <w:sz w:val="22"/>
                          <w:lang w:val="pt-BR"/>
                        </w:rPr>
                      </w:pPr>
                      <w:r>
                        <w:rPr>
                          <w:rFonts w:asciiTheme="minorHAnsi" w:hAnsiTheme="minorHAnsi"/>
                          <w:sz w:val="22"/>
                          <w:lang w:val="pt-BR"/>
                        </w:rPr>
                        <w:t>Doc. 125</w:t>
                      </w:r>
                    </w:p>
                    <w:p w14:paraId="69373ED2" w14:textId="3D9DF259" w:rsidR="00627C9F" w:rsidRPr="00123292" w:rsidRDefault="00D37F09" w:rsidP="007A5817">
                      <w:pPr>
                        <w:spacing w:line="276" w:lineRule="auto"/>
                        <w:jc w:val="right"/>
                        <w:rPr>
                          <w:rFonts w:asciiTheme="minorHAnsi" w:hAnsiTheme="minorHAnsi"/>
                          <w:sz w:val="22"/>
                          <w:lang w:val="pt-BR"/>
                        </w:rPr>
                      </w:pPr>
                      <w:r>
                        <w:rPr>
                          <w:rFonts w:asciiTheme="minorHAnsi" w:hAnsiTheme="minorHAnsi"/>
                          <w:sz w:val="22"/>
                          <w:lang w:val="pt-BR"/>
                        </w:rPr>
                        <w:t>25 abril</w:t>
                      </w:r>
                      <w:r w:rsidR="00627C9F" w:rsidRPr="00123292">
                        <w:rPr>
                          <w:rFonts w:asciiTheme="minorHAnsi" w:hAnsiTheme="minorHAnsi"/>
                          <w:sz w:val="22"/>
                          <w:lang w:val="pt-BR"/>
                        </w:rPr>
                        <w:t xml:space="preserve"> 20</w:t>
                      </w:r>
                      <w:r w:rsidR="007E787C">
                        <w:rPr>
                          <w:rFonts w:asciiTheme="minorHAnsi" w:hAnsiTheme="minorHAnsi"/>
                          <w:sz w:val="22"/>
                          <w:lang w:val="pt-BR"/>
                        </w:rPr>
                        <w:t>20</w:t>
                      </w:r>
                    </w:p>
                    <w:p w14:paraId="0771DB5B" w14:textId="40CA6718" w:rsidR="00627C9F" w:rsidRPr="00123292" w:rsidRDefault="00E0340B" w:rsidP="007A5817">
                      <w:pPr>
                        <w:spacing w:line="276" w:lineRule="auto"/>
                        <w:jc w:val="right"/>
                        <w:rPr>
                          <w:rFonts w:asciiTheme="minorHAnsi" w:hAnsiTheme="minorHAnsi"/>
                          <w:sz w:val="22"/>
                          <w:lang w:val="pt-BR"/>
                        </w:rPr>
                      </w:pPr>
                      <w:r w:rsidRPr="00123292">
                        <w:rPr>
                          <w:rFonts w:asciiTheme="minorHAnsi" w:hAnsiTheme="minorHAnsi"/>
                          <w:sz w:val="22"/>
                          <w:lang w:val="pt-BR"/>
                        </w:rPr>
                        <w:t xml:space="preserve">Original: </w:t>
                      </w:r>
                      <w:r w:rsidR="00DA2224" w:rsidRPr="00123292">
                        <w:rPr>
                          <w:rFonts w:asciiTheme="minorHAnsi" w:hAnsiTheme="minorHAnsi"/>
                          <w:sz w:val="22"/>
                          <w:lang w:val="pt-BR"/>
                        </w:rPr>
                        <w:t>português</w:t>
                      </w:r>
                    </w:p>
                  </w:txbxContent>
                </v:textbox>
              </v:shape>
            </w:pict>
          </mc:Fallback>
        </mc:AlternateContent>
      </w:r>
    </w:p>
    <w:p w14:paraId="155B053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A75CC3"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D99A1AF"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D37F09">
                              <w:rPr>
                                <w:rFonts w:asciiTheme="majorHAnsi" w:hAnsiTheme="majorHAnsi"/>
                                <w:color w:val="0D0D0D" w:themeColor="text1" w:themeTint="F2"/>
                                <w:sz w:val="18"/>
                                <w:szCs w:val="22"/>
                                <w:lang w:val="pt-BR"/>
                              </w:rPr>
                              <w:t>25</w:t>
                            </w:r>
                            <w:r w:rsidR="00DD3D86"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 xml:space="preserve">de </w:t>
                            </w:r>
                            <w:r w:rsidR="00D37F09">
                              <w:rPr>
                                <w:rFonts w:asciiTheme="majorHAnsi" w:hAnsiTheme="majorHAnsi"/>
                                <w:color w:val="0D0D0D" w:themeColor="text1" w:themeTint="F2"/>
                                <w:sz w:val="18"/>
                                <w:szCs w:val="22"/>
                                <w:lang w:val="pt-BR"/>
                              </w:rPr>
                              <w:t>abril</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7E787C">
                              <w:rPr>
                                <w:rFonts w:asciiTheme="majorHAnsi" w:hAnsiTheme="majorHAnsi"/>
                                <w:color w:val="0D0D0D" w:themeColor="text1" w:themeTint="F2"/>
                                <w:sz w:val="18"/>
                                <w:szCs w:val="22"/>
                                <w:lang w:val="pt-BR"/>
                              </w:rPr>
                              <w:t>20</w:t>
                            </w:r>
                            <w:r w:rsidR="00DF431E">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D99A1AF"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D37F09">
                        <w:rPr>
                          <w:rFonts w:asciiTheme="majorHAnsi" w:hAnsiTheme="majorHAnsi"/>
                          <w:color w:val="0D0D0D" w:themeColor="text1" w:themeTint="F2"/>
                          <w:sz w:val="18"/>
                          <w:szCs w:val="22"/>
                          <w:lang w:val="pt-BR"/>
                        </w:rPr>
                        <w:t>25</w:t>
                      </w:r>
                      <w:r w:rsidR="00DD3D86"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 xml:space="preserve">de </w:t>
                      </w:r>
                      <w:r w:rsidR="00D37F09">
                        <w:rPr>
                          <w:rFonts w:asciiTheme="majorHAnsi" w:hAnsiTheme="majorHAnsi"/>
                          <w:color w:val="0D0D0D" w:themeColor="text1" w:themeTint="F2"/>
                          <w:sz w:val="18"/>
                          <w:szCs w:val="22"/>
                          <w:lang w:val="pt-BR"/>
                        </w:rPr>
                        <w:t>abril</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7E787C">
                        <w:rPr>
                          <w:rFonts w:asciiTheme="majorHAnsi" w:hAnsiTheme="majorHAnsi"/>
                          <w:color w:val="0D0D0D" w:themeColor="text1" w:themeTint="F2"/>
                          <w:sz w:val="18"/>
                          <w:szCs w:val="22"/>
                          <w:lang w:val="pt-BR"/>
                        </w:rPr>
                        <w:t>20</w:t>
                      </w:r>
                      <w:r w:rsidR="00DF431E">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2D60123"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D37F09">
                              <w:rPr>
                                <w:rFonts w:asciiTheme="majorHAnsi" w:hAnsiTheme="majorHAnsi"/>
                                <w:color w:val="595959" w:themeColor="text1" w:themeTint="A6"/>
                                <w:sz w:val="18"/>
                                <w:szCs w:val="18"/>
                                <w:lang w:val="pt-BR"/>
                              </w:rPr>
                              <w:t>115</w:t>
                            </w:r>
                            <w:r w:rsidR="0038709A" w:rsidRPr="0038709A">
                              <w:rPr>
                                <w:rFonts w:asciiTheme="majorHAnsi" w:hAnsiTheme="majorHAnsi"/>
                                <w:color w:val="595959" w:themeColor="text1" w:themeTint="A6"/>
                                <w:sz w:val="18"/>
                                <w:szCs w:val="18"/>
                                <w:lang w:val="pt-BR"/>
                              </w:rPr>
                              <w:t>/</w:t>
                            </w:r>
                            <w:r w:rsidR="00D37F09">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D0990">
                              <w:rPr>
                                <w:rFonts w:asciiTheme="majorHAnsi" w:hAnsiTheme="majorHAnsi"/>
                                <w:color w:val="595959" w:themeColor="text1" w:themeTint="A6"/>
                                <w:sz w:val="18"/>
                                <w:szCs w:val="18"/>
                                <w:lang w:val="pt-BR"/>
                              </w:rPr>
                              <w:t>562-11</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Pr="0038709A">
                              <w:rPr>
                                <w:rFonts w:asciiTheme="majorHAnsi" w:hAnsiTheme="majorHAnsi"/>
                                <w:color w:val="595959" w:themeColor="text1" w:themeTint="A6"/>
                                <w:sz w:val="18"/>
                                <w:szCs w:val="18"/>
                                <w:lang w:val="pt-BR"/>
                              </w:rPr>
                              <w:t xml:space="preserve">. </w:t>
                            </w:r>
                            <w:r w:rsidR="00AD0990">
                              <w:rPr>
                                <w:rFonts w:asciiTheme="majorHAnsi" w:hAnsiTheme="majorHAnsi"/>
                                <w:color w:val="595959" w:themeColor="text1" w:themeTint="A6"/>
                                <w:sz w:val="18"/>
                                <w:szCs w:val="18"/>
                                <w:lang w:val="pt-BR"/>
                              </w:rPr>
                              <w:t>José Carlos da Silva e seus familiares</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D37F09">
                              <w:rPr>
                                <w:rFonts w:asciiTheme="majorHAnsi" w:hAnsiTheme="majorHAnsi"/>
                                <w:color w:val="595959" w:themeColor="text1" w:themeTint="A6"/>
                                <w:sz w:val="18"/>
                                <w:szCs w:val="18"/>
                                <w:lang w:val="pt-BR"/>
                              </w:rPr>
                              <w:t>25 de abril de 2020</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2D60123"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D37F09">
                        <w:rPr>
                          <w:rFonts w:asciiTheme="majorHAnsi" w:hAnsiTheme="majorHAnsi"/>
                          <w:color w:val="595959" w:themeColor="text1" w:themeTint="A6"/>
                          <w:sz w:val="18"/>
                          <w:szCs w:val="18"/>
                          <w:lang w:val="pt-BR"/>
                        </w:rPr>
                        <w:t>115</w:t>
                      </w:r>
                      <w:r w:rsidR="0038709A" w:rsidRPr="0038709A">
                        <w:rPr>
                          <w:rFonts w:asciiTheme="majorHAnsi" w:hAnsiTheme="majorHAnsi"/>
                          <w:color w:val="595959" w:themeColor="text1" w:themeTint="A6"/>
                          <w:sz w:val="18"/>
                          <w:szCs w:val="18"/>
                          <w:lang w:val="pt-BR"/>
                        </w:rPr>
                        <w:t>/</w:t>
                      </w:r>
                      <w:r w:rsidR="00D37F09">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D0990">
                        <w:rPr>
                          <w:rFonts w:asciiTheme="majorHAnsi" w:hAnsiTheme="majorHAnsi"/>
                          <w:color w:val="595959" w:themeColor="text1" w:themeTint="A6"/>
                          <w:sz w:val="18"/>
                          <w:szCs w:val="18"/>
                          <w:lang w:val="pt-BR"/>
                        </w:rPr>
                        <w:t>562-11</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Pr="0038709A">
                        <w:rPr>
                          <w:rFonts w:asciiTheme="majorHAnsi" w:hAnsiTheme="majorHAnsi"/>
                          <w:color w:val="595959" w:themeColor="text1" w:themeTint="A6"/>
                          <w:sz w:val="18"/>
                          <w:szCs w:val="18"/>
                          <w:lang w:val="pt-BR"/>
                        </w:rPr>
                        <w:t xml:space="preserve">. </w:t>
                      </w:r>
                      <w:r w:rsidR="00AD0990">
                        <w:rPr>
                          <w:rFonts w:asciiTheme="majorHAnsi" w:hAnsiTheme="majorHAnsi"/>
                          <w:color w:val="595959" w:themeColor="text1" w:themeTint="A6"/>
                          <w:sz w:val="18"/>
                          <w:szCs w:val="18"/>
                          <w:lang w:val="pt-BR"/>
                        </w:rPr>
                        <w:t>José Carlos da Silva e seus familiares</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D37F09">
                        <w:rPr>
                          <w:rFonts w:asciiTheme="majorHAnsi" w:hAnsiTheme="majorHAnsi"/>
                          <w:color w:val="595959" w:themeColor="text1" w:themeTint="A6"/>
                          <w:sz w:val="18"/>
                          <w:szCs w:val="18"/>
                          <w:lang w:val="pt-BR"/>
                        </w:rPr>
                        <w:t>25 de abril de 2020</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DA07629" w14:textId="77777777" w:rsidR="0090270B" w:rsidRPr="00A75CC3" w:rsidRDefault="00D306D1" w:rsidP="005516A1">
      <w:pPr>
        <w:tabs>
          <w:tab w:val="center" w:pos="5400"/>
        </w:tabs>
        <w:suppressAutoHyphens/>
        <w:jc w:val="center"/>
        <w:rPr>
          <w:rFonts w:asciiTheme="majorHAnsi" w:hAnsiTheme="majorHAnsi"/>
          <w:b/>
          <w:sz w:val="20"/>
          <w:lang w:val="pt-BR"/>
        </w:rPr>
      </w:pPr>
      <w:r w:rsidRPr="00A75CC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C7AF527">
                                  <wp:extent cx="1883228" cy="51547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69296" cy="5390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472543"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bookmarkStart w:id="2" w:name="_GoBack"/>
                      <w:r w:rsidRPr="00D72DC6">
                        <w:rPr>
                          <w:noProof/>
                          <w:color w:val="FFFFFF" w:themeColor="background1"/>
                          <w14:textFill>
                            <w14:noFill/>
                          </w14:textFill>
                        </w:rPr>
                        <w:drawing>
                          <wp:inline distT="0" distB="0" distL="0" distR="0" wp14:anchorId="266F0A37" wp14:editId="6C7AF527">
                            <wp:extent cx="1883228" cy="51547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69296" cy="539028"/>
                                    </a:xfrm>
                                    <a:prstGeom prst="rect">
                                      <a:avLst/>
                                    </a:prstGeom>
                                    <a:noFill/>
                                    <a:ln>
                                      <a:noFill/>
                                    </a:ln>
                                  </pic:spPr>
                                </pic:pic>
                              </a:graphicData>
                            </a:graphic>
                          </wp:inline>
                        </w:drawing>
                      </w:r>
                      <w:bookmarkEnd w:id="2"/>
                    </w:p>
                  </w:txbxContent>
                </v:textbox>
              </v:shape>
            </w:pict>
          </mc:Fallback>
        </mc:AlternateContent>
      </w:r>
      <w:r w:rsidRPr="00A75CC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A75CC3" w:rsidRDefault="004A6A54" w:rsidP="005516A1">
      <w:pPr>
        <w:tabs>
          <w:tab w:val="center" w:pos="5400"/>
        </w:tabs>
        <w:suppressAutoHyphens/>
        <w:jc w:val="center"/>
        <w:rPr>
          <w:rFonts w:asciiTheme="majorHAnsi" w:hAnsiTheme="majorHAnsi"/>
          <w:b/>
          <w:sz w:val="20"/>
          <w:lang w:val="pt-BR"/>
        </w:rPr>
        <w:sectPr w:rsidR="0070697F" w:rsidRPr="00A75CC3"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A75CC3">
        <w:rPr>
          <w:rFonts w:asciiTheme="majorHAnsi" w:hAnsiTheme="majorHAnsi"/>
          <w:b/>
          <w:sz w:val="20"/>
          <w:lang w:val="pt-BR"/>
        </w:rPr>
        <w:tab/>
      </w:r>
    </w:p>
    <w:p w14:paraId="376DDC8B" w14:textId="1B8154B1" w:rsidR="003239B8" w:rsidRPr="00A75CC3" w:rsidRDefault="00A37F2E" w:rsidP="004A6A54">
      <w:pPr>
        <w:spacing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lastRenderedPageBreak/>
        <w:t>I.</w:t>
      </w:r>
      <w:r w:rsidRPr="00A75CC3">
        <w:rPr>
          <w:rFonts w:asciiTheme="majorHAnsi" w:hAnsiTheme="majorHAnsi"/>
          <w:b/>
          <w:bCs/>
          <w:sz w:val="20"/>
          <w:szCs w:val="20"/>
          <w:lang w:val="pt-BR"/>
        </w:rPr>
        <w:tab/>
        <w:t>DAD</w:t>
      </w:r>
      <w:r w:rsidR="003239B8" w:rsidRPr="00A75CC3">
        <w:rPr>
          <w:rFonts w:asciiTheme="majorHAnsi" w:hAnsiTheme="majorHAnsi"/>
          <w:b/>
          <w:bCs/>
          <w:sz w:val="20"/>
          <w:szCs w:val="20"/>
          <w:lang w:val="pt-BR"/>
        </w:rPr>
        <w:t xml:space="preserve">OS </w:t>
      </w:r>
      <w:r w:rsidRPr="00A75CC3">
        <w:rPr>
          <w:rFonts w:asciiTheme="majorHAnsi" w:hAnsiTheme="majorHAnsi"/>
          <w:b/>
          <w:bCs/>
          <w:sz w:val="20"/>
          <w:szCs w:val="20"/>
          <w:lang w:val="pt-BR"/>
        </w:rPr>
        <w:t>DA PETIÇÃO</w:t>
      </w:r>
      <w:r w:rsidR="003239B8" w:rsidRPr="00A75CC3">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75CC3"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A75CC3" w:rsidRDefault="00A37F2E" w:rsidP="008D2290">
            <w:pPr>
              <w:jc w:val="center"/>
              <w:rPr>
                <w:rFonts w:ascii="Cambria" w:hAnsi="Cambria"/>
                <w:b/>
                <w:bCs/>
                <w:sz w:val="20"/>
                <w:szCs w:val="20"/>
                <w:lang w:val="pt-BR"/>
              </w:rPr>
            </w:pPr>
            <w:r w:rsidRPr="00A75CC3">
              <w:rPr>
                <w:rFonts w:ascii="Cambria" w:hAnsi="Cambria"/>
                <w:b/>
                <w:bCs/>
                <w:sz w:val="20"/>
                <w:szCs w:val="20"/>
                <w:lang w:val="pt-BR"/>
              </w:rPr>
              <w:t>Parte peticioná</w:t>
            </w:r>
            <w:r w:rsidR="003239B8" w:rsidRPr="00A75CC3">
              <w:rPr>
                <w:rFonts w:ascii="Cambria" w:hAnsi="Cambria"/>
                <w:b/>
                <w:bCs/>
                <w:sz w:val="20"/>
                <w:szCs w:val="20"/>
                <w:lang w:val="pt-BR"/>
              </w:rPr>
              <w:t>ria:</w:t>
            </w:r>
          </w:p>
        </w:tc>
        <w:tc>
          <w:tcPr>
            <w:tcW w:w="5760" w:type="dxa"/>
            <w:vAlign w:val="center"/>
          </w:tcPr>
          <w:p w14:paraId="3C5315D8" w14:textId="0B981039" w:rsidR="003239B8" w:rsidRPr="00A75CC3" w:rsidRDefault="009E2983" w:rsidP="008D2290">
            <w:pPr>
              <w:jc w:val="both"/>
              <w:rPr>
                <w:rFonts w:ascii="Cambria" w:hAnsi="Cambria"/>
                <w:bCs/>
                <w:sz w:val="20"/>
                <w:szCs w:val="20"/>
                <w:lang w:val="pt-BR"/>
              </w:rPr>
            </w:pPr>
            <w:r>
              <w:rPr>
                <w:rFonts w:ascii="Cambria" w:hAnsi="Cambria"/>
                <w:bCs/>
                <w:sz w:val="20"/>
                <w:szCs w:val="20"/>
                <w:lang w:val="pt-BR"/>
              </w:rPr>
              <w:t>Justiça Global</w:t>
            </w:r>
          </w:p>
        </w:tc>
      </w:tr>
      <w:tr w:rsidR="003239B8" w:rsidRPr="00E52C8E"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A75CC3" w:rsidRDefault="00A37F2E" w:rsidP="008D2290">
            <w:pPr>
              <w:jc w:val="center"/>
              <w:rPr>
                <w:rFonts w:ascii="Cambria" w:hAnsi="Cambria"/>
                <w:b/>
                <w:bCs/>
                <w:sz w:val="20"/>
                <w:szCs w:val="20"/>
                <w:lang w:val="pt-BR"/>
              </w:rPr>
            </w:pPr>
            <w:r w:rsidRPr="00A75CC3">
              <w:rPr>
                <w:rFonts w:ascii="Cambria" w:hAnsi="Cambria"/>
                <w:b/>
                <w:bCs/>
                <w:sz w:val="20"/>
                <w:szCs w:val="20"/>
                <w:lang w:val="pt-BR"/>
              </w:rPr>
              <w:t>Suposta vítima</w:t>
            </w:r>
            <w:r w:rsidR="003239B8" w:rsidRPr="00A75CC3">
              <w:rPr>
                <w:rFonts w:ascii="Cambria" w:hAnsi="Cambria"/>
                <w:b/>
                <w:bCs/>
                <w:sz w:val="20"/>
                <w:szCs w:val="20"/>
                <w:lang w:val="pt-BR"/>
              </w:rPr>
              <w:t>:</w:t>
            </w:r>
          </w:p>
        </w:tc>
        <w:tc>
          <w:tcPr>
            <w:tcW w:w="5760" w:type="dxa"/>
            <w:vAlign w:val="center"/>
          </w:tcPr>
          <w:p w14:paraId="4AEBF59E" w14:textId="6FA387C6" w:rsidR="003239B8" w:rsidRPr="00A75CC3" w:rsidRDefault="009E2983" w:rsidP="00C56C88">
            <w:pPr>
              <w:jc w:val="both"/>
              <w:rPr>
                <w:rFonts w:ascii="Cambria" w:hAnsi="Cambria"/>
                <w:bCs/>
                <w:sz w:val="20"/>
                <w:szCs w:val="20"/>
                <w:lang w:val="pt-BR"/>
              </w:rPr>
            </w:pPr>
            <w:r>
              <w:rPr>
                <w:rFonts w:ascii="Cambria" w:hAnsi="Cambria"/>
                <w:bCs/>
                <w:sz w:val="20"/>
                <w:szCs w:val="20"/>
                <w:lang w:val="pt-BR"/>
              </w:rPr>
              <w:t xml:space="preserve">José Carlos da Silva e </w:t>
            </w:r>
            <w:r w:rsidR="00C56C88">
              <w:rPr>
                <w:rFonts w:ascii="Cambria" w:hAnsi="Cambria"/>
                <w:bCs/>
                <w:sz w:val="20"/>
                <w:szCs w:val="20"/>
                <w:lang w:val="pt-BR"/>
              </w:rPr>
              <w:t>seus familiares</w:t>
            </w:r>
            <w:r>
              <w:rPr>
                <w:rStyle w:val="FootnoteReference"/>
                <w:rFonts w:ascii="Cambria" w:hAnsi="Cambria"/>
                <w:bCs/>
                <w:sz w:val="20"/>
                <w:szCs w:val="20"/>
                <w:lang w:val="pt-BR"/>
              </w:rPr>
              <w:footnoteReference w:id="2"/>
            </w:r>
          </w:p>
        </w:tc>
      </w:tr>
      <w:tr w:rsidR="003239B8" w:rsidRPr="00A75CC3"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A75CC3" w:rsidRDefault="003239B8" w:rsidP="008D2290">
            <w:pPr>
              <w:jc w:val="center"/>
              <w:rPr>
                <w:rFonts w:ascii="Cambria" w:hAnsi="Cambria"/>
                <w:b/>
                <w:bCs/>
                <w:sz w:val="20"/>
                <w:szCs w:val="20"/>
                <w:lang w:val="pt-BR"/>
              </w:rPr>
            </w:pPr>
            <w:r w:rsidRPr="00A75CC3">
              <w:rPr>
                <w:rFonts w:ascii="Cambria" w:hAnsi="Cambria"/>
                <w:b/>
                <w:bCs/>
                <w:sz w:val="20"/>
                <w:szCs w:val="20"/>
                <w:lang w:val="pt-BR"/>
              </w:rPr>
              <w:t>Estado denunciado:</w:t>
            </w:r>
          </w:p>
        </w:tc>
        <w:tc>
          <w:tcPr>
            <w:tcW w:w="5760" w:type="dxa"/>
            <w:vAlign w:val="center"/>
          </w:tcPr>
          <w:p w14:paraId="274C8A50" w14:textId="0B30EFC8" w:rsidR="003239B8" w:rsidRPr="00A75CC3" w:rsidRDefault="006A20E7" w:rsidP="008D2290">
            <w:pPr>
              <w:jc w:val="both"/>
              <w:rPr>
                <w:rFonts w:ascii="Cambria" w:hAnsi="Cambria"/>
                <w:bCs/>
                <w:sz w:val="20"/>
                <w:szCs w:val="20"/>
                <w:lang w:val="pt-BR"/>
              </w:rPr>
            </w:pPr>
            <w:r>
              <w:rPr>
                <w:rFonts w:ascii="Cambria" w:hAnsi="Cambria"/>
                <w:bCs/>
                <w:sz w:val="20"/>
                <w:szCs w:val="20"/>
                <w:lang w:val="pt-BR"/>
              </w:rPr>
              <w:t>Brasil</w:t>
            </w:r>
            <w:r w:rsidR="004A6A54" w:rsidRPr="00A75CC3">
              <w:rPr>
                <w:rStyle w:val="FootnoteReference"/>
                <w:rFonts w:ascii="Cambria" w:hAnsi="Cambria"/>
                <w:bCs/>
                <w:sz w:val="20"/>
                <w:szCs w:val="20"/>
                <w:lang w:val="pt-BR"/>
              </w:rPr>
              <w:footnoteReference w:id="3"/>
            </w:r>
          </w:p>
        </w:tc>
      </w:tr>
      <w:tr w:rsidR="00223A29" w:rsidRPr="00E52C8E"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A75CC3" w:rsidRDefault="001B3A00" w:rsidP="007665A8">
            <w:pPr>
              <w:jc w:val="center"/>
              <w:rPr>
                <w:rFonts w:ascii="Cambria" w:hAnsi="Cambria"/>
                <w:b/>
                <w:bCs/>
                <w:sz w:val="20"/>
                <w:szCs w:val="20"/>
                <w:lang w:val="pt-BR"/>
              </w:rPr>
            </w:pPr>
            <w:r w:rsidRPr="00A75CC3">
              <w:rPr>
                <w:rFonts w:ascii="Cambria" w:hAnsi="Cambria"/>
                <w:b/>
                <w:bCs/>
                <w:sz w:val="20"/>
                <w:szCs w:val="20"/>
                <w:lang w:val="pt-BR"/>
              </w:rPr>
              <w:t>D</w:t>
            </w:r>
            <w:r w:rsidR="00A37F2E" w:rsidRPr="00A75CC3">
              <w:rPr>
                <w:rFonts w:ascii="Cambria" w:hAnsi="Cambria"/>
                <w:b/>
                <w:bCs/>
                <w:sz w:val="20"/>
                <w:szCs w:val="20"/>
                <w:lang w:val="pt-BR"/>
              </w:rPr>
              <w:t>ireitos</w:t>
            </w:r>
            <w:r w:rsidRPr="00A75CC3">
              <w:rPr>
                <w:rFonts w:ascii="Cambria" w:hAnsi="Cambria"/>
                <w:b/>
                <w:bCs/>
                <w:sz w:val="20"/>
                <w:szCs w:val="20"/>
                <w:lang w:val="pt-BR"/>
              </w:rPr>
              <w:t xml:space="preserve"> </w:t>
            </w:r>
            <w:r w:rsidR="007665A8">
              <w:rPr>
                <w:rFonts w:ascii="Cambria" w:hAnsi="Cambria"/>
                <w:b/>
                <w:bCs/>
                <w:sz w:val="20"/>
                <w:szCs w:val="20"/>
                <w:lang w:val="pt-BR"/>
              </w:rPr>
              <w:t>alegados</w:t>
            </w:r>
            <w:r w:rsidRPr="00A75CC3">
              <w:rPr>
                <w:rFonts w:ascii="Cambria" w:hAnsi="Cambria"/>
                <w:b/>
                <w:bCs/>
                <w:sz w:val="20"/>
                <w:szCs w:val="20"/>
                <w:lang w:val="pt-BR"/>
              </w:rPr>
              <w:t>:</w:t>
            </w:r>
          </w:p>
        </w:tc>
        <w:tc>
          <w:tcPr>
            <w:tcW w:w="5760" w:type="dxa"/>
            <w:vAlign w:val="center"/>
          </w:tcPr>
          <w:p w14:paraId="6DEE1EEB" w14:textId="2B72F9EF" w:rsidR="00223A29" w:rsidRPr="007C0809" w:rsidRDefault="009E2983" w:rsidP="005D0C55">
            <w:pPr>
              <w:jc w:val="both"/>
              <w:rPr>
                <w:rFonts w:ascii="Cambria" w:hAnsi="Cambria"/>
                <w:bCs/>
                <w:sz w:val="19"/>
                <w:szCs w:val="19"/>
                <w:lang w:val="pt-BR"/>
              </w:rPr>
            </w:pPr>
            <w:r w:rsidRPr="007C0809">
              <w:rPr>
                <w:rFonts w:ascii="Cambria" w:hAnsi="Cambria"/>
                <w:bCs/>
                <w:sz w:val="19"/>
                <w:szCs w:val="19"/>
                <w:lang w:val="pt-BR"/>
              </w:rPr>
              <w:t xml:space="preserve">Artigos 4 (vida), 5 (integridade pessoal), 7 (liberdade pessoal), 8 (garantias judiciais), 11 (proteção da honra e da dignidade) e 25 (proteção judicial), todos relacionados com os artigos 1.1 </w:t>
            </w:r>
            <w:r w:rsidR="005D0C55" w:rsidRPr="007C0809">
              <w:rPr>
                <w:rFonts w:ascii="Cambria" w:hAnsi="Cambria"/>
                <w:bCs/>
                <w:sz w:val="19"/>
                <w:szCs w:val="19"/>
                <w:lang w:val="pt-BR"/>
              </w:rPr>
              <w:t xml:space="preserve">(obrigação de respeitar os direitos) </w:t>
            </w:r>
            <w:r w:rsidRPr="007C0809">
              <w:rPr>
                <w:rFonts w:ascii="Cambria" w:hAnsi="Cambria"/>
                <w:bCs/>
                <w:sz w:val="19"/>
                <w:szCs w:val="19"/>
                <w:lang w:val="pt-BR"/>
              </w:rPr>
              <w:t>e 2</w:t>
            </w:r>
            <w:r w:rsidR="005D0C55" w:rsidRPr="007C0809">
              <w:rPr>
                <w:rFonts w:ascii="Cambria" w:hAnsi="Cambria"/>
                <w:bCs/>
                <w:sz w:val="19"/>
                <w:szCs w:val="19"/>
                <w:lang w:val="pt-BR"/>
              </w:rPr>
              <w:t xml:space="preserve"> (dever de adotar disposições de direito interno)</w:t>
            </w:r>
            <w:r w:rsidRPr="007C0809">
              <w:rPr>
                <w:rFonts w:ascii="Cambria" w:hAnsi="Cambria"/>
                <w:bCs/>
                <w:sz w:val="19"/>
                <w:szCs w:val="19"/>
                <w:lang w:val="pt-BR"/>
              </w:rPr>
              <w:t xml:space="preserve"> da Convenção Americana de Direitos Humanos</w:t>
            </w:r>
            <w:r w:rsidRPr="007C0809">
              <w:rPr>
                <w:rStyle w:val="FootnoteReference"/>
                <w:rFonts w:ascii="Cambria" w:hAnsi="Cambria"/>
                <w:bCs/>
                <w:sz w:val="19"/>
                <w:szCs w:val="19"/>
                <w:lang w:val="pt-BR"/>
              </w:rPr>
              <w:footnoteReference w:id="4"/>
            </w:r>
            <w:r w:rsidR="005D0C55" w:rsidRPr="007C0809">
              <w:rPr>
                <w:rFonts w:ascii="Cambria" w:hAnsi="Cambria"/>
                <w:bCs/>
                <w:sz w:val="19"/>
                <w:szCs w:val="19"/>
                <w:lang w:val="pt-BR"/>
              </w:rPr>
              <w:t>; e artigos 1, 6, 7, 8 e 9 da Convenção Interamericana para Prevenir e Sancionar a Tortura</w:t>
            </w:r>
          </w:p>
        </w:tc>
      </w:tr>
    </w:tbl>
    <w:p w14:paraId="20263696" w14:textId="4CE349DB" w:rsidR="003239B8" w:rsidRPr="00A75CC3" w:rsidRDefault="00A37F2E"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II.</w:t>
      </w:r>
      <w:r w:rsidRPr="00A75CC3">
        <w:rPr>
          <w:rFonts w:asciiTheme="majorHAnsi" w:hAnsiTheme="majorHAnsi"/>
          <w:b/>
          <w:bCs/>
          <w:sz w:val="20"/>
          <w:szCs w:val="20"/>
          <w:lang w:val="pt-BR"/>
        </w:rPr>
        <w:tab/>
        <w:t>TRÂMITE ANTE A</w:t>
      </w:r>
      <w:r w:rsidR="003239B8" w:rsidRPr="00A75CC3">
        <w:rPr>
          <w:rFonts w:asciiTheme="majorHAnsi" w:hAnsiTheme="majorHAnsi"/>
          <w:b/>
          <w:bCs/>
          <w:sz w:val="20"/>
          <w:szCs w:val="20"/>
          <w:lang w:val="pt-BR"/>
        </w:rPr>
        <w:t xml:space="preserve"> CIDH</w:t>
      </w:r>
      <w:r w:rsidR="008E3BFE" w:rsidRPr="00A75CC3">
        <w:rPr>
          <w:rStyle w:val="FootnoteReference"/>
          <w:rFonts w:ascii="Cambria" w:hAnsi="Cambria"/>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75CC3"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A75CC3" w:rsidRDefault="00A37F2E" w:rsidP="004A6A54">
            <w:pPr>
              <w:jc w:val="center"/>
              <w:rPr>
                <w:rFonts w:ascii="Cambria" w:hAnsi="Cambria"/>
                <w:b/>
                <w:bCs/>
                <w:sz w:val="20"/>
                <w:szCs w:val="20"/>
                <w:lang w:val="pt-BR"/>
              </w:rPr>
            </w:pPr>
            <w:r w:rsidRPr="00A75CC3">
              <w:rPr>
                <w:rFonts w:ascii="Cambria" w:hAnsi="Cambria"/>
                <w:b/>
                <w:bCs/>
                <w:sz w:val="20"/>
                <w:szCs w:val="20"/>
                <w:lang w:val="pt-BR"/>
              </w:rPr>
              <w:t>Apresentação da petição:</w:t>
            </w:r>
          </w:p>
        </w:tc>
        <w:tc>
          <w:tcPr>
            <w:tcW w:w="5760" w:type="dxa"/>
            <w:vAlign w:val="center"/>
          </w:tcPr>
          <w:p w14:paraId="6E579153" w14:textId="7345B18B" w:rsidR="004C2312" w:rsidRPr="00A75CC3" w:rsidRDefault="0023349C" w:rsidP="002625EA">
            <w:pPr>
              <w:jc w:val="both"/>
              <w:rPr>
                <w:rFonts w:ascii="Cambria" w:hAnsi="Cambria"/>
                <w:bCs/>
                <w:sz w:val="20"/>
                <w:szCs w:val="20"/>
                <w:lang w:val="pt-BR"/>
              </w:rPr>
            </w:pPr>
            <w:r>
              <w:rPr>
                <w:rFonts w:ascii="Cambria" w:hAnsi="Cambria"/>
                <w:bCs/>
                <w:sz w:val="20"/>
                <w:szCs w:val="20"/>
                <w:lang w:val="pt-BR"/>
              </w:rPr>
              <w:t>21 de abril de 2011</w:t>
            </w:r>
          </w:p>
        </w:tc>
      </w:tr>
      <w:tr w:rsidR="004C2312" w:rsidRPr="006A20E7"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A75CC3" w:rsidRDefault="004A6A54" w:rsidP="00A37F2E">
            <w:pPr>
              <w:jc w:val="center"/>
              <w:rPr>
                <w:rFonts w:ascii="Cambria" w:hAnsi="Cambria"/>
                <w:b/>
                <w:sz w:val="20"/>
                <w:szCs w:val="20"/>
                <w:lang w:val="pt-BR"/>
              </w:rPr>
            </w:pPr>
            <w:r w:rsidRPr="00A75CC3">
              <w:rPr>
                <w:rFonts w:ascii="Cambria" w:hAnsi="Cambria"/>
                <w:b/>
                <w:sz w:val="20"/>
                <w:szCs w:val="20"/>
                <w:lang w:val="pt-BR"/>
              </w:rPr>
              <w:t>N</w:t>
            </w:r>
            <w:r w:rsidR="00A37F2E" w:rsidRPr="00A75CC3">
              <w:rPr>
                <w:rFonts w:ascii="Cambria" w:hAnsi="Cambria"/>
                <w:b/>
                <w:sz w:val="20"/>
                <w:szCs w:val="20"/>
                <w:lang w:val="pt-BR"/>
              </w:rPr>
              <w:t>otificação da petição ao</w:t>
            </w:r>
            <w:r w:rsidR="004C2312" w:rsidRPr="00A75CC3">
              <w:rPr>
                <w:rFonts w:ascii="Cambria" w:hAnsi="Cambria"/>
                <w:b/>
                <w:sz w:val="20"/>
                <w:szCs w:val="20"/>
                <w:lang w:val="pt-BR"/>
              </w:rPr>
              <w:t xml:space="preserve"> Estado:</w:t>
            </w:r>
          </w:p>
        </w:tc>
        <w:tc>
          <w:tcPr>
            <w:tcW w:w="5760" w:type="dxa"/>
            <w:vAlign w:val="center"/>
          </w:tcPr>
          <w:p w14:paraId="1519DA6A" w14:textId="31D71AD6" w:rsidR="004C2312" w:rsidRPr="00A75CC3" w:rsidRDefault="00641C09" w:rsidP="008D2290">
            <w:pPr>
              <w:jc w:val="both"/>
              <w:rPr>
                <w:rFonts w:ascii="Cambria" w:hAnsi="Cambria"/>
                <w:bCs/>
                <w:sz w:val="20"/>
                <w:szCs w:val="20"/>
                <w:lang w:val="pt-BR"/>
              </w:rPr>
            </w:pPr>
            <w:r>
              <w:rPr>
                <w:rFonts w:ascii="Cambria" w:hAnsi="Cambria"/>
                <w:bCs/>
                <w:sz w:val="20"/>
                <w:szCs w:val="20"/>
                <w:lang w:val="pt-BR"/>
              </w:rPr>
              <w:t>17 de novembro de 2015</w:t>
            </w:r>
          </w:p>
        </w:tc>
      </w:tr>
      <w:tr w:rsidR="004C2312" w:rsidRPr="00A75CC3"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A75CC3" w:rsidRDefault="004A6A54" w:rsidP="004A6A54">
            <w:pPr>
              <w:jc w:val="center"/>
              <w:rPr>
                <w:rFonts w:ascii="Cambria" w:hAnsi="Cambria"/>
                <w:b/>
                <w:bCs/>
                <w:sz w:val="20"/>
                <w:szCs w:val="20"/>
                <w:lang w:val="pt-BR"/>
              </w:rPr>
            </w:pPr>
            <w:r w:rsidRPr="00A75CC3">
              <w:rPr>
                <w:rFonts w:ascii="Cambria" w:hAnsi="Cambria"/>
                <w:b/>
                <w:sz w:val="20"/>
                <w:szCs w:val="20"/>
                <w:lang w:val="pt-BR"/>
              </w:rPr>
              <w:t>P</w:t>
            </w:r>
            <w:r w:rsidR="004C2312" w:rsidRPr="00A75CC3">
              <w:rPr>
                <w:rFonts w:ascii="Cambria" w:hAnsi="Cambria"/>
                <w:b/>
                <w:sz w:val="20"/>
                <w:szCs w:val="20"/>
                <w:lang w:val="pt-BR"/>
              </w:rPr>
              <w:t>rime</w:t>
            </w:r>
            <w:r w:rsidR="00A37F2E" w:rsidRPr="00A75CC3">
              <w:rPr>
                <w:rFonts w:ascii="Cambria" w:hAnsi="Cambria"/>
                <w:b/>
                <w:sz w:val="20"/>
                <w:szCs w:val="20"/>
                <w:lang w:val="pt-BR"/>
              </w:rPr>
              <w:t xml:space="preserve">ira resposta do </w:t>
            </w:r>
            <w:r w:rsidR="004C2312" w:rsidRPr="00A75CC3">
              <w:rPr>
                <w:rFonts w:ascii="Cambria" w:hAnsi="Cambria"/>
                <w:b/>
                <w:sz w:val="20"/>
                <w:szCs w:val="20"/>
                <w:lang w:val="pt-BR"/>
              </w:rPr>
              <w:t>Estado:</w:t>
            </w:r>
          </w:p>
        </w:tc>
        <w:tc>
          <w:tcPr>
            <w:tcW w:w="5760" w:type="dxa"/>
            <w:vAlign w:val="center"/>
          </w:tcPr>
          <w:p w14:paraId="1972B99E" w14:textId="1C0757E6" w:rsidR="004C2312" w:rsidRPr="00A75CC3" w:rsidRDefault="00641C09" w:rsidP="008D2290">
            <w:pPr>
              <w:jc w:val="both"/>
              <w:rPr>
                <w:rFonts w:ascii="Cambria" w:hAnsi="Cambria"/>
                <w:bCs/>
                <w:sz w:val="20"/>
                <w:szCs w:val="20"/>
                <w:lang w:val="pt-BR"/>
              </w:rPr>
            </w:pPr>
            <w:r>
              <w:rPr>
                <w:rFonts w:ascii="Cambria" w:hAnsi="Cambria"/>
                <w:bCs/>
                <w:sz w:val="20"/>
                <w:szCs w:val="20"/>
                <w:lang w:val="pt-BR"/>
              </w:rPr>
              <w:t>12 de abril de 2016</w:t>
            </w:r>
          </w:p>
        </w:tc>
      </w:tr>
      <w:tr w:rsidR="004C2312" w:rsidRPr="00327440"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A75CC3" w:rsidRDefault="00A37F2E" w:rsidP="008E3BFE">
            <w:pPr>
              <w:jc w:val="center"/>
              <w:rPr>
                <w:rFonts w:ascii="Cambria" w:hAnsi="Cambria"/>
                <w:b/>
                <w:bCs/>
                <w:sz w:val="20"/>
                <w:szCs w:val="20"/>
                <w:lang w:val="pt-BR"/>
              </w:rPr>
            </w:pPr>
            <w:r w:rsidRPr="00A75CC3">
              <w:rPr>
                <w:rFonts w:ascii="Cambria" w:hAnsi="Cambria"/>
                <w:b/>
                <w:bCs/>
                <w:sz w:val="20"/>
                <w:szCs w:val="20"/>
                <w:lang w:val="pt-BR"/>
              </w:rPr>
              <w:t>Observações adicionais da parte peticioná</w:t>
            </w:r>
            <w:r w:rsidR="008E3BFE" w:rsidRPr="00A75CC3">
              <w:rPr>
                <w:rFonts w:ascii="Cambria" w:hAnsi="Cambria"/>
                <w:b/>
                <w:bCs/>
                <w:sz w:val="20"/>
                <w:szCs w:val="20"/>
                <w:lang w:val="pt-BR"/>
              </w:rPr>
              <w:t>ria:</w:t>
            </w:r>
          </w:p>
        </w:tc>
        <w:tc>
          <w:tcPr>
            <w:tcW w:w="5760" w:type="dxa"/>
            <w:vAlign w:val="center"/>
          </w:tcPr>
          <w:p w14:paraId="41D8B862" w14:textId="700226BF" w:rsidR="004C2312" w:rsidRPr="00A75CC3" w:rsidRDefault="00960228" w:rsidP="008D2290">
            <w:pPr>
              <w:jc w:val="both"/>
              <w:rPr>
                <w:rFonts w:ascii="Cambria" w:hAnsi="Cambria"/>
                <w:bCs/>
                <w:sz w:val="20"/>
                <w:szCs w:val="20"/>
                <w:lang w:val="pt-BR"/>
              </w:rPr>
            </w:pPr>
            <w:r>
              <w:rPr>
                <w:rFonts w:ascii="Cambria" w:hAnsi="Cambria"/>
                <w:bCs/>
                <w:sz w:val="20"/>
                <w:szCs w:val="20"/>
                <w:lang w:val="pt-BR"/>
              </w:rPr>
              <w:t>25 de janeiro de 2019</w:t>
            </w:r>
          </w:p>
        </w:tc>
      </w:tr>
      <w:tr w:rsidR="00960228" w:rsidRPr="00960228" w14:paraId="1FDB1831" w14:textId="77777777" w:rsidTr="0022736D">
        <w:tc>
          <w:tcPr>
            <w:tcW w:w="3600" w:type="dxa"/>
            <w:tcBorders>
              <w:top w:val="single" w:sz="6" w:space="0" w:color="auto"/>
              <w:bottom w:val="single" w:sz="6" w:space="0" w:color="auto"/>
            </w:tcBorders>
            <w:shd w:val="clear" w:color="auto" w:fill="FFC000"/>
            <w:vAlign w:val="center"/>
          </w:tcPr>
          <w:p w14:paraId="3440D090" w14:textId="503E80E6" w:rsidR="00960228" w:rsidRPr="00A75CC3" w:rsidRDefault="00960228" w:rsidP="00960228">
            <w:pPr>
              <w:jc w:val="center"/>
              <w:rPr>
                <w:rFonts w:ascii="Cambria" w:hAnsi="Cambria"/>
                <w:b/>
                <w:bCs/>
                <w:sz w:val="20"/>
                <w:szCs w:val="20"/>
                <w:lang w:val="pt-BR"/>
              </w:rPr>
            </w:pPr>
            <w:r w:rsidRPr="00A75CC3">
              <w:rPr>
                <w:rFonts w:ascii="Cambria" w:hAnsi="Cambria"/>
                <w:b/>
                <w:bCs/>
                <w:sz w:val="20"/>
                <w:szCs w:val="20"/>
                <w:lang w:val="pt-BR"/>
              </w:rPr>
              <w:t xml:space="preserve">Observações adicionais </w:t>
            </w:r>
            <w:r>
              <w:rPr>
                <w:rFonts w:ascii="Cambria" w:hAnsi="Cambria"/>
                <w:b/>
                <w:bCs/>
                <w:sz w:val="20"/>
                <w:szCs w:val="20"/>
                <w:lang w:val="pt-BR"/>
              </w:rPr>
              <w:t>do Estado</w:t>
            </w:r>
          </w:p>
        </w:tc>
        <w:tc>
          <w:tcPr>
            <w:tcW w:w="5760" w:type="dxa"/>
            <w:vAlign w:val="center"/>
          </w:tcPr>
          <w:p w14:paraId="358DE6C6" w14:textId="048E14A5" w:rsidR="00960228" w:rsidRDefault="00960228" w:rsidP="00960228">
            <w:pPr>
              <w:jc w:val="both"/>
              <w:rPr>
                <w:rFonts w:ascii="Cambria" w:hAnsi="Cambria"/>
                <w:bCs/>
                <w:sz w:val="20"/>
                <w:szCs w:val="20"/>
                <w:lang w:val="pt-BR"/>
              </w:rPr>
            </w:pPr>
            <w:r>
              <w:rPr>
                <w:rFonts w:ascii="Cambria" w:hAnsi="Cambria"/>
                <w:bCs/>
                <w:sz w:val="20"/>
                <w:szCs w:val="20"/>
                <w:lang w:val="pt-BR"/>
              </w:rPr>
              <w:t>16 de maio de 2019</w:t>
            </w:r>
          </w:p>
        </w:tc>
      </w:tr>
    </w:tbl>
    <w:p w14:paraId="21DAA666" w14:textId="3B44E0DA" w:rsidR="003239B8" w:rsidRPr="00A75CC3" w:rsidRDefault="00D358AF"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III. </w:t>
      </w:r>
      <w:r w:rsidRPr="00A75CC3">
        <w:rPr>
          <w:rFonts w:asciiTheme="majorHAnsi" w:hAnsiTheme="majorHAnsi"/>
          <w:b/>
          <w:bCs/>
          <w:sz w:val="20"/>
          <w:szCs w:val="20"/>
          <w:lang w:val="pt-BR"/>
        </w:rPr>
        <w:tab/>
        <w:t>COMPETÊ</w:t>
      </w:r>
      <w:r w:rsidR="003239B8" w:rsidRPr="00A75CC3">
        <w:rPr>
          <w:rFonts w:asciiTheme="majorHAnsi" w:hAnsiTheme="majorHAnsi"/>
          <w:b/>
          <w:bCs/>
          <w:sz w:val="20"/>
          <w:szCs w:val="20"/>
          <w:lang w:val="pt-BR"/>
        </w:rPr>
        <w:t>NCIA</w:t>
      </w:r>
      <w:r w:rsidR="00EE00E9" w:rsidRPr="00A75CC3">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A75CC3"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A75CC3" w:rsidRDefault="00D21316" w:rsidP="008D2290">
            <w:pPr>
              <w:jc w:val="center"/>
              <w:rPr>
                <w:rFonts w:ascii="Cambria" w:hAnsi="Cambria"/>
                <w:b/>
                <w:bCs/>
                <w:i/>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personae:</w:t>
            </w:r>
          </w:p>
        </w:tc>
        <w:tc>
          <w:tcPr>
            <w:tcW w:w="5760" w:type="dxa"/>
            <w:vAlign w:val="center"/>
          </w:tcPr>
          <w:p w14:paraId="7707F3E9" w14:textId="38CD47FB" w:rsidR="003239B8" w:rsidRPr="00A75CC3" w:rsidRDefault="005D0C55" w:rsidP="008D2290">
            <w:pPr>
              <w:rPr>
                <w:rFonts w:ascii="Cambria" w:hAnsi="Cambria"/>
                <w:bCs/>
                <w:sz w:val="20"/>
                <w:szCs w:val="20"/>
                <w:lang w:val="pt-BR"/>
              </w:rPr>
            </w:pPr>
            <w:r>
              <w:rPr>
                <w:rFonts w:ascii="Cambria" w:hAnsi="Cambria"/>
                <w:bCs/>
                <w:sz w:val="20"/>
                <w:szCs w:val="20"/>
                <w:lang w:val="pt-BR"/>
              </w:rPr>
              <w:t>Sim</w:t>
            </w:r>
          </w:p>
        </w:tc>
      </w:tr>
      <w:tr w:rsidR="003239B8" w:rsidRPr="00A75CC3"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loci</w:t>
            </w:r>
            <w:r w:rsidR="003239B8" w:rsidRPr="00A75CC3">
              <w:rPr>
                <w:rFonts w:ascii="Cambria" w:hAnsi="Cambria"/>
                <w:b/>
                <w:bCs/>
                <w:sz w:val="20"/>
                <w:szCs w:val="20"/>
                <w:lang w:val="pt-BR"/>
              </w:rPr>
              <w:t>:</w:t>
            </w:r>
          </w:p>
        </w:tc>
        <w:tc>
          <w:tcPr>
            <w:tcW w:w="5760" w:type="dxa"/>
            <w:vAlign w:val="center"/>
          </w:tcPr>
          <w:p w14:paraId="12C931CB" w14:textId="364F380F" w:rsidR="003239B8" w:rsidRPr="00A75CC3" w:rsidRDefault="005D0C55" w:rsidP="008D2290">
            <w:pPr>
              <w:rPr>
                <w:rFonts w:ascii="Cambria" w:hAnsi="Cambria"/>
                <w:bCs/>
                <w:sz w:val="20"/>
                <w:szCs w:val="20"/>
                <w:lang w:val="pt-BR"/>
              </w:rPr>
            </w:pPr>
            <w:r>
              <w:rPr>
                <w:rFonts w:ascii="Cambria" w:hAnsi="Cambria"/>
                <w:bCs/>
                <w:sz w:val="20"/>
                <w:szCs w:val="20"/>
                <w:lang w:val="pt-BR"/>
              </w:rPr>
              <w:t>Sim</w:t>
            </w:r>
          </w:p>
        </w:tc>
      </w:tr>
      <w:tr w:rsidR="003239B8" w:rsidRPr="00A75CC3"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temporis</w:t>
            </w:r>
            <w:r w:rsidR="003239B8" w:rsidRPr="00A75CC3">
              <w:rPr>
                <w:rFonts w:ascii="Cambria" w:hAnsi="Cambria"/>
                <w:b/>
                <w:bCs/>
                <w:sz w:val="20"/>
                <w:szCs w:val="20"/>
                <w:lang w:val="pt-BR"/>
              </w:rPr>
              <w:t>:</w:t>
            </w:r>
          </w:p>
        </w:tc>
        <w:tc>
          <w:tcPr>
            <w:tcW w:w="5760" w:type="dxa"/>
            <w:vAlign w:val="center"/>
          </w:tcPr>
          <w:p w14:paraId="6F8B059B" w14:textId="1826630E" w:rsidR="003239B8" w:rsidRPr="00A75CC3" w:rsidRDefault="005D0C55" w:rsidP="008D2290">
            <w:pPr>
              <w:rPr>
                <w:bCs/>
                <w:sz w:val="20"/>
                <w:szCs w:val="20"/>
                <w:lang w:val="pt-BR"/>
              </w:rPr>
            </w:pPr>
            <w:r>
              <w:rPr>
                <w:bCs/>
                <w:sz w:val="20"/>
                <w:szCs w:val="20"/>
                <w:lang w:val="pt-BR"/>
              </w:rPr>
              <w:t>Sim</w:t>
            </w:r>
          </w:p>
        </w:tc>
      </w:tr>
      <w:tr w:rsidR="003239B8" w:rsidRPr="00E52C8E"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materia</w:t>
            </w:r>
            <w:r w:rsidR="00EE00E9" w:rsidRPr="00A75CC3">
              <w:rPr>
                <w:rFonts w:ascii="Cambria" w:hAnsi="Cambria"/>
                <w:b/>
                <w:bCs/>
                <w:i/>
                <w:sz w:val="20"/>
                <w:szCs w:val="20"/>
                <w:lang w:val="pt-BR"/>
              </w:rPr>
              <w:t>e</w:t>
            </w:r>
            <w:r w:rsidR="003239B8" w:rsidRPr="00A75CC3">
              <w:rPr>
                <w:rFonts w:ascii="Cambria" w:hAnsi="Cambria"/>
                <w:b/>
                <w:bCs/>
                <w:sz w:val="20"/>
                <w:szCs w:val="20"/>
                <w:lang w:val="pt-BR"/>
              </w:rPr>
              <w:t>:</w:t>
            </w:r>
          </w:p>
        </w:tc>
        <w:tc>
          <w:tcPr>
            <w:tcW w:w="5760" w:type="dxa"/>
            <w:vAlign w:val="center"/>
          </w:tcPr>
          <w:p w14:paraId="0C122F44" w14:textId="04A15C40" w:rsidR="003239B8" w:rsidRPr="00A75CC3" w:rsidRDefault="00BA5ED3" w:rsidP="008D2290">
            <w:pPr>
              <w:jc w:val="both"/>
              <w:rPr>
                <w:rFonts w:ascii="Cambria" w:hAnsi="Cambria"/>
                <w:bCs/>
                <w:sz w:val="20"/>
                <w:szCs w:val="20"/>
                <w:lang w:val="pt-BR"/>
              </w:rPr>
            </w:pPr>
            <w:r w:rsidRPr="000369D6">
              <w:rPr>
                <w:rFonts w:asciiTheme="majorHAnsi" w:hAnsiTheme="majorHAnsi"/>
                <w:bCs/>
                <w:sz w:val="20"/>
                <w:szCs w:val="20"/>
                <w:lang w:val="pt-BR"/>
              </w:rPr>
              <w:t>Sim, Convenção Americana (instrumento adotado no dia 25 de setembro de 1992)</w:t>
            </w:r>
            <w:r>
              <w:rPr>
                <w:rFonts w:asciiTheme="majorHAnsi" w:hAnsiTheme="majorHAnsi"/>
                <w:bCs/>
                <w:sz w:val="20"/>
                <w:szCs w:val="20"/>
                <w:lang w:val="pt-BR"/>
              </w:rPr>
              <w:t xml:space="preserve"> e Convenção Interamericana para Prevenir e Sancionar a Tortura (instrumento depositado no dia 20 de julho de 1989)</w:t>
            </w:r>
          </w:p>
        </w:tc>
      </w:tr>
    </w:tbl>
    <w:p w14:paraId="4E92C444" w14:textId="4F4BA51D" w:rsidR="003239B8" w:rsidRPr="00A75CC3" w:rsidRDefault="003239B8"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IV. </w:t>
      </w:r>
      <w:r w:rsidRPr="00A75CC3">
        <w:rPr>
          <w:rFonts w:asciiTheme="majorHAnsi" w:hAnsiTheme="majorHAnsi"/>
          <w:b/>
          <w:bCs/>
          <w:sz w:val="20"/>
          <w:szCs w:val="20"/>
          <w:lang w:val="pt-BR"/>
        </w:rPr>
        <w:tab/>
      </w:r>
      <w:r w:rsidR="00D21316" w:rsidRPr="00A75CC3">
        <w:rPr>
          <w:rFonts w:asciiTheme="majorHAnsi" w:hAnsiTheme="majorHAnsi"/>
          <w:b/>
          <w:bCs/>
          <w:sz w:val="20"/>
          <w:szCs w:val="20"/>
          <w:lang w:val="pt-BR"/>
        </w:rPr>
        <w:t>DUPLICAÇÃO</w:t>
      </w:r>
      <w:r w:rsidR="00EE00E9" w:rsidRPr="00A75CC3">
        <w:rPr>
          <w:rFonts w:asciiTheme="majorHAnsi" w:hAnsiTheme="majorHAnsi"/>
          <w:b/>
          <w:bCs/>
          <w:color w:val="FFFFFF" w:themeColor="background1"/>
          <w:sz w:val="20"/>
          <w:szCs w:val="20"/>
          <w:lang w:val="pt-BR"/>
        </w:rPr>
        <w:t xml:space="preserve"> </w:t>
      </w:r>
      <w:r w:rsidR="00D21316" w:rsidRPr="00A75CC3">
        <w:rPr>
          <w:rFonts w:asciiTheme="majorHAnsi" w:hAnsiTheme="majorHAnsi"/>
          <w:b/>
          <w:bCs/>
          <w:sz w:val="20"/>
          <w:szCs w:val="20"/>
          <w:lang w:val="pt-BR"/>
        </w:rPr>
        <w:t>DE PROCEDIMENTOS E</w:t>
      </w:r>
      <w:r w:rsidR="00EE00E9" w:rsidRPr="00A75CC3">
        <w:rPr>
          <w:rFonts w:asciiTheme="majorHAnsi" w:hAnsiTheme="majorHAnsi"/>
          <w:b/>
          <w:bCs/>
          <w:sz w:val="20"/>
          <w:szCs w:val="20"/>
          <w:lang w:val="pt-BR"/>
        </w:rPr>
        <w:t xml:space="preserve"> CO</w:t>
      </w:r>
      <w:r w:rsidR="00D21316" w:rsidRPr="00A75CC3">
        <w:rPr>
          <w:rFonts w:asciiTheme="majorHAnsi" w:hAnsiTheme="majorHAnsi"/>
          <w:b/>
          <w:bCs/>
          <w:sz w:val="20"/>
          <w:szCs w:val="20"/>
          <w:lang w:val="pt-BR"/>
        </w:rPr>
        <w:t>ISA JUL</w:t>
      </w:r>
      <w:r w:rsidR="00EE00E9" w:rsidRPr="00A75CC3">
        <w:rPr>
          <w:rFonts w:asciiTheme="majorHAnsi" w:hAnsiTheme="majorHAnsi"/>
          <w:b/>
          <w:bCs/>
          <w:sz w:val="20"/>
          <w:szCs w:val="20"/>
          <w:lang w:val="pt-BR"/>
        </w:rPr>
        <w:t>GADA</w:t>
      </w:r>
      <w:r w:rsidR="00EE00E9" w:rsidRPr="00A75CC3">
        <w:rPr>
          <w:rFonts w:asciiTheme="majorHAnsi" w:hAnsiTheme="majorHAnsi"/>
          <w:b/>
          <w:bCs/>
          <w:i/>
          <w:sz w:val="20"/>
          <w:szCs w:val="20"/>
          <w:lang w:val="pt-BR"/>
        </w:rPr>
        <w:t xml:space="preserve"> </w:t>
      </w:r>
      <w:r w:rsidR="00EE00E9" w:rsidRPr="00A75CC3">
        <w:rPr>
          <w:rFonts w:asciiTheme="majorHAnsi" w:hAnsiTheme="majorHAnsi"/>
          <w:b/>
          <w:bCs/>
          <w:sz w:val="20"/>
          <w:szCs w:val="20"/>
          <w:lang w:val="pt-BR"/>
        </w:rPr>
        <w:t xml:space="preserve">INTERNACIONAL, </w:t>
      </w:r>
      <w:r w:rsidR="00D21316" w:rsidRPr="00A75CC3">
        <w:rPr>
          <w:rFonts w:asciiTheme="majorHAnsi" w:hAnsiTheme="majorHAnsi"/>
          <w:b/>
          <w:bCs/>
          <w:sz w:val="20"/>
          <w:szCs w:val="20"/>
          <w:lang w:val="pt-BR"/>
        </w:rPr>
        <w:t>CARACTERIZAÇÃO</w:t>
      </w:r>
      <w:r w:rsidRPr="00A75CC3">
        <w:rPr>
          <w:rFonts w:asciiTheme="majorHAnsi" w:hAnsiTheme="majorHAnsi"/>
          <w:b/>
          <w:bCs/>
          <w:sz w:val="20"/>
          <w:szCs w:val="20"/>
          <w:lang w:val="pt-BR"/>
        </w:rPr>
        <w:t xml:space="preserve">, </w:t>
      </w:r>
      <w:r w:rsidR="00D21316" w:rsidRPr="00A75CC3">
        <w:rPr>
          <w:rFonts w:asciiTheme="majorHAnsi" w:hAnsiTheme="majorHAnsi"/>
          <w:b/>
          <w:sz w:val="20"/>
          <w:szCs w:val="20"/>
          <w:lang w:val="pt-BR"/>
        </w:rPr>
        <w:t>ESGOTAM</w:t>
      </w:r>
      <w:r w:rsidRPr="00A75CC3">
        <w:rPr>
          <w:rFonts w:asciiTheme="majorHAnsi" w:hAnsiTheme="majorHAnsi"/>
          <w:b/>
          <w:sz w:val="20"/>
          <w:szCs w:val="20"/>
          <w:lang w:val="pt-BR"/>
        </w:rPr>
        <w:t>ENTO D</w:t>
      </w:r>
      <w:r w:rsidR="00D21316" w:rsidRPr="00A75CC3">
        <w:rPr>
          <w:rFonts w:asciiTheme="majorHAnsi" w:hAnsiTheme="majorHAnsi"/>
          <w:b/>
          <w:sz w:val="20"/>
          <w:szCs w:val="20"/>
          <w:lang w:val="pt-BR"/>
        </w:rPr>
        <w:t>OS RECURSOS INTERNOS E PR</w:t>
      </w:r>
      <w:r w:rsidRPr="00A75CC3">
        <w:rPr>
          <w:rFonts w:asciiTheme="majorHAnsi" w:hAnsiTheme="majorHAnsi"/>
          <w:b/>
          <w:sz w:val="20"/>
          <w:szCs w:val="20"/>
          <w:lang w:val="pt-BR"/>
        </w:rPr>
        <w:t xml:space="preserve">AZO DE </w:t>
      </w:r>
      <w:r w:rsidR="00D21316" w:rsidRPr="00A75CC3">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6A20E7"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Duplicação de procedimentos e</w:t>
            </w:r>
            <w:r w:rsidR="00EE00E9" w:rsidRPr="00A75CC3">
              <w:rPr>
                <w:rFonts w:ascii="Cambria" w:hAnsi="Cambria"/>
                <w:b/>
                <w:bCs/>
                <w:sz w:val="20"/>
                <w:szCs w:val="20"/>
                <w:lang w:val="pt-BR"/>
              </w:rPr>
              <w:t xml:space="preserve"> co</w:t>
            </w:r>
            <w:r w:rsidRPr="00A75CC3">
              <w:rPr>
                <w:rFonts w:ascii="Cambria" w:hAnsi="Cambria"/>
                <w:b/>
                <w:bCs/>
                <w:sz w:val="20"/>
                <w:szCs w:val="20"/>
                <w:lang w:val="pt-BR"/>
              </w:rPr>
              <w:t>isa jul</w:t>
            </w:r>
            <w:r w:rsidR="00EE00E9" w:rsidRPr="00A75CC3">
              <w:rPr>
                <w:rFonts w:ascii="Cambria" w:hAnsi="Cambria"/>
                <w:b/>
                <w:bCs/>
                <w:sz w:val="20"/>
                <w:szCs w:val="20"/>
                <w:lang w:val="pt-BR"/>
              </w:rPr>
              <w:t>gada internacional:</w:t>
            </w:r>
          </w:p>
        </w:tc>
        <w:tc>
          <w:tcPr>
            <w:tcW w:w="5760" w:type="dxa"/>
            <w:vAlign w:val="center"/>
          </w:tcPr>
          <w:p w14:paraId="240941E6" w14:textId="14AD685F" w:rsidR="00EE00E9" w:rsidRPr="00A75CC3" w:rsidRDefault="00BA5ED3" w:rsidP="008D2290">
            <w:pPr>
              <w:jc w:val="both"/>
              <w:rPr>
                <w:rFonts w:ascii="Cambria" w:hAnsi="Cambria"/>
                <w:bCs/>
                <w:sz w:val="20"/>
                <w:szCs w:val="20"/>
                <w:lang w:val="pt-BR"/>
              </w:rPr>
            </w:pPr>
            <w:r>
              <w:rPr>
                <w:rFonts w:ascii="Cambria" w:hAnsi="Cambria"/>
                <w:bCs/>
                <w:sz w:val="20"/>
                <w:szCs w:val="20"/>
                <w:lang w:val="pt-BR"/>
              </w:rPr>
              <w:t>Não</w:t>
            </w:r>
          </w:p>
        </w:tc>
      </w:tr>
      <w:tr w:rsidR="003239B8" w:rsidRPr="00E52C8E"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A75CC3" w:rsidRDefault="00D21316" w:rsidP="00D21316">
            <w:pPr>
              <w:jc w:val="center"/>
              <w:rPr>
                <w:rFonts w:ascii="Cambria" w:hAnsi="Cambria"/>
                <w:b/>
                <w:bCs/>
                <w:i/>
                <w:sz w:val="20"/>
                <w:szCs w:val="20"/>
                <w:lang w:val="pt-BR"/>
              </w:rPr>
            </w:pPr>
            <w:r w:rsidRPr="00A75CC3">
              <w:rPr>
                <w:rFonts w:ascii="Cambria" w:hAnsi="Cambria"/>
                <w:b/>
                <w:bCs/>
                <w:sz w:val="20"/>
                <w:szCs w:val="20"/>
                <w:lang w:val="pt-BR"/>
              </w:rPr>
              <w:t>Direitos</w:t>
            </w:r>
            <w:r w:rsidR="003239B8" w:rsidRPr="00A75CC3">
              <w:rPr>
                <w:rFonts w:ascii="Cambria" w:hAnsi="Cambria"/>
                <w:b/>
                <w:bCs/>
                <w:sz w:val="20"/>
                <w:szCs w:val="20"/>
                <w:lang w:val="pt-BR"/>
              </w:rPr>
              <w:t xml:space="preserve"> declarados </w:t>
            </w:r>
            <w:r w:rsidRPr="00A75CC3">
              <w:rPr>
                <w:rFonts w:ascii="Cambria" w:hAnsi="Cambria"/>
                <w:b/>
                <w:bCs/>
                <w:sz w:val="20"/>
                <w:szCs w:val="20"/>
                <w:lang w:val="pt-BR"/>
              </w:rPr>
              <w:t>admitidos</w:t>
            </w:r>
            <w:r w:rsidR="003239B8" w:rsidRPr="00A75CC3">
              <w:rPr>
                <w:rFonts w:ascii="Cambria" w:hAnsi="Cambria"/>
                <w:b/>
                <w:bCs/>
                <w:i/>
                <w:sz w:val="20"/>
                <w:szCs w:val="20"/>
                <w:lang w:val="pt-BR"/>
              </w:rPr>
              <w:t>:</w:t>
            </w:r>
          </w:p>
        </w:tc>
        <w:tc>
          <w:tcPr>
            <w:tcW w:w="5760" w:type="dxa"/>
            <w:vAlign w:val="center"/>
          </w:tcPr>
          <w:p w14:paraId="6310C8F7" w14:textId="267A5A1C" w:rsidR="003239B8" w:rsidRPr="007C0809" w:rsidRDefault="00237A10" w:rsidP="008D2290">
            <w:pPr>
              <w:jc w:val="both"/>
              <w:rPr>
                <w:rFonts w:ascii="Cambria" w:hAnsi="Cambria"/>
                <w:bCs/>
                <w:sz w:val="19"/>
                <w:szCs w:val="19"/>
                <w:lang w:val="pt-BR"/>
              </w:rPr>
            </w:pPr>
            <w:r w:rsidRPr="007C0809">
              <w:rPr>
                <w:rFonts w:ascii="Cambria" w:hAnsi="Cambria"/>
                <w:bCs/>
                <w:sz w:val="19"/>
                <w:szCs w:val="19"/>
                <w:lang w:val="pt-BR"/>
              </w:rPr>
              <w:t>Artigos 4 (vida), 5 (integridade pessoal), 7 (liberdade pessoal), 8 (garantias judiciais), 11 (proteção da honra e da dignidade), 13 (liberdade de pensamento e expressão) e 25 (proteção judicial), todos relacionados com os artigos 1.1 (obrigação de respeitar os direitos) e 2 (dever de adotar disposições de direito interno) da Convenção Americana; e artigos 1, 6 e 8 da Convenção Interamericana para Prevenir e Sancionar a Tortura</w:t>
            </w:r>
          </w:p>
        </w:tc>
      </w:tr>
      <w:tr w:rsidR="003239B8" w:rsidRPr="00E52C8E"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A75CC3" w:rsidRDefault="00D21316" w:rsidP="00D21316">
            <w:pPr>
              <w:jc w:val="center"/>
              <w:rPr>
                <w:rFonts w:ascii="Cambria" w:hAnsi="Cambria"/>
                <w:b/>
                <w:bCs/>
                <w:sz w:val="20"/>
                <w:szCs w:val="20"/>
                <w:lang w:val="pt-BR"/>
              </w:rPr>
            </w:pPr>
            <w:r w:rsidRPr="00A75CC3">
              <w:rPr>
                <w:rFonts w:ascii="Cambria" w:hAnsi="Cambria"/>
                <w:b/>
                <w:bCs/>
                <w:sz w:val="20"/>
                <w:szCs w:val="20"/>
                <w:lang w:val="pt-BR"/>
              </w:rPr>
              <w:t>Esgotamento dos</w:t>
            </w:r>
            <w:r w:rsidR="003239B8" w:rsidRPr="00A75CC3">
              <w:rPr>
                <w:rFonts w:ascii="Cambria" w:hAnsi="Cambria"/>
                <w:b/>
                <w:bCs/>
                <w:sz w:val="20"/>
                <w:szCs w:val="20"/>
                <w:lang w:val="pt-BR"/>
              </w:rPr>
              <w:t xml:space="preserve"> recursos internos</w:t>
            </w:r>
            <w:r w:rsidR="00EE00E9" w:rsidRPr="00A75CC3">
              <w:rPr>
                <w:rFonts w:ascii="Cambria" w:hAnsi="Cambria"/>
                <w:b/>
                <w:bCs/>
                <w:sz w:val="20"/>
                <w:szCs w:val="20"/>
                <w:lang w:val="pt-BR"/>
              </w:rPr>
              <w:t xml:space="preserve"> o</w:t>
            </w:r>
            <w:r w:rsidRPr="00A75CC3">
              <w:rPr>
                <w:rFonts w:ascii="Cambria" w:hAnsi="Cambria"/>
                <w:b/>
                <w:bCs/>
                <w:sz w:val="20"/>
                <w:szCs w:val="20"/>
                <w:lang w:val="pt-BR"/>
              </w:rPr>
              <w:t>u procedência de um</w:t>
            </w:r>
            <w:r w:rsidR="00EE00E9" w:rsidRPr="00A75CC3">
              <w:rPr>
                <w:rFonts w:ascii="Cambria" w:hAnsi="Cambria"/>
                <w:b/>
                <w:bCs/>
                <w:sz w:val="20"/>
                <w:szCs w:val="20"/>
                <w:lang w:val="pt-BR"/>
              </w:rPr>
              <w:t xml:space="preserve">a </w:t>
            </w:r>
            <w:r w:rsidRPr="00A75CC3">
              <w:rPr>
                <w:rFonts w:ascii="Cambria" w:hAnsi="Cambria"/>
                <w:b/>
                <w:bCs/>
                <w:sz w:val="20"/>
                <w:szCs w:val="20"/>
                <w:lang w:val="pt-BR"/>
              </w:rPr>
              <w:t>exceção</w:t>
            </w:r>
            <w:r w:rsidR="003239B8" w:rsidRPr="00A75CC3">
              <w:rPr>
                <w:rFonts w:ascii="Cambria" w:hAnsi="Cambria"/>
                <w:b/>
                <w:bCs/>
                <w:sz w:val="20"/>
                <w:szCs w:val="20"/>
                <w:lang w:val="pt-BR"/>
              </w:rPr>
              <w:t>:</w:t>
            </w:r>
          </w:p>
        </w:tc>
        <w:tc>
          <w:tcPr>
            <w:tcW w:w="5760" w:type="dxa"/>
            <w:vAlign w:val="center"/>
          </w:tcPr>
          <w:p w14:paraId="69C53E8A" w14:textId="0DFFDE52" w:rsidR="003239B8" w:rsidRPr="00A75CC3" w:rsidRDefault="00237A10" w:rsidP="008D2290">
            <w:pPr>
              <w:rPr>
                <w:rFonts w:ascii="Cambria" w:hAnsi="Cambria"/>
                <w:bCs/>
                <w:sz w:val="20"/>
                <w:szCs w:val="20"/>
                <w:lang w:val="pt-BR"/>
              </w:rPr>
            </w:pPr>
            <w:r>
              <w:rPr>
                <w:rFonts w:ascii="Cambria" w:hAnsi="Cambria"/>
                <w:bCs/>
                <w:sz w:val="20"/>
                <w:szCs w:val="20"/>
                <w:lang w:val="pt-BR"/>
              </w:rPr>
              <w:t>Sim, aplica</w:t>
            </w:r>
            <w:r w:rsidR="00AE3BC8">
              <w:rPr>
                <w:rFonts w:ascii="Cambria" w:hAnsi="Cambria"/>
                <w:bCs/>
                <w:sz w:val="20"/>
                <w:szCs w:val="20"/>
                <w:lang w:val="pt-BR"/>
              </w:rPr>
              <w:t>da</w:t>
            </w:r>
            <w:r>
              <w:rPr>
                <w:rFonts w:ascii="Cambria" w:hAnsi="Cambria"/>
                <w:bCs/>
                <w:sz w:val="20"/>
                <w:szCs w:val="20"/>
                <w:lang w:val="pt-BR"/>
              </w:rPr>
              <w:t xml:space="preserve"> </w:t>
            </w:r>
            <w:r w:rsidR="00723A74">
              <w:rPr>
                <w:rFonts w:ascii="Cambria" w:hAnsi="Cambria"/>
                <w:bCs/>
                <w:sz w:val="20"/>
                <w:szCs w:val="20"/>
                <w:lang w:val="pt-BR"/>
              </w:rPr>
              <w:t xml:space="preserve">a </w:t>
            </w:r>
            <w:r>
              <w:rPr>
                <w:rFonts w:ascii="Cambria" w:hAnsi="Cambria"/>
                <w:bCs/>
                <w:sz w:val="20"/>
                <w:szCs w:val="20"/>
                <w:lang w:val="pt-BR"/>
              </w:rPr>
              <w:t>exceção prevista no artigo 46.2.c</w:t>
            </w:r>
            <w:r w:rsidR="00AE3BC8">
              <w:rPr>
                <w:rFonts w:ascii="Cambria" w:hAnsi="Cambria"/>
                <w:bCs/>
                <w:sz w:val="20"/>
                <w:szCs w:val="20"/>
                <w:lang w:val="pt-BR"/>
              </w:rPr>
              <w:t xml:space="preserve"> da Convenção</w:t>
            </w:r>
          </w:p>
        </w:tc>
      </w:tr>
      <w:tr w:rsidR="003239B8" w:rsidRPr="00E52C8E"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Apresentação dentro do pr</w:t>
            </w:r>
            <w:r w:rsidR="003239B8" w:rsidRPr="00A75CC3">
              <w:rPr>
                <w:rFonts w:ascii="Cambria" w:hAnsi="Cambria"/>
                <w:b/>
                <w:bCs/>
                <w:sz w:val="20"/>
                <w:szCs w:val="20"/>
                <w:lang w:val="pt-BR"/>
              </w:rPr>
              <w:t>azo:</w:t>
            </w:r>
          </w:p>
        </w:tc>
        <w:tc>
          <w:tcPr>
            <w:tcW w:w="5760" w:type="dxa"/>
            <w:vAlign w:val="center"/>
          </w:tcPr>
          <w:p w14:paraId="4A2A4569" w14:textId="49554C64" w:rsidR="003239B8" w:rsidRPr="00A75CC3" w:rsidRDefault="00237A10" w:rsidP="008D2290">
            <w:pPr>
              <w:rPr>
                <w:bCs/>
                <w:sz w:val="20"/>
                <w:szCs w:val="20"/>
                <w:lang w:val="pt-BR"/>
              </w:rPr>
            </w:pPr>
            <w:r>
              <w:rPr>
                <w:bCs/>
                <w:sz w:val="20"/>
                <w:szCs w:val="20"/>
                <w:lang w:val="pt-BR"/>
              </w:rPr>
              <w:t xml:space="preserve">Sim, nos termos da </w:t>
            </w:r>
            <w:r w:rsidR="00723A74">
              <w:rPr>
                <w:bCs/>
                <w:sz w:val="20"/>
                <w:szCs w:val="20"/>
                <w:lang w:val="pt-BR"/>
              </w:rPr>
              <w:t>seção VI</w:t>
            </w:r>
            <w:r>
              <w:rPr>
                <w:bCs/>
                <w:sz w:val="20"/>
                <w:szCs w:val="20"/>
                <w:lang w:val="pt-BR"/>
              </w:rPr>
              <w:t xml:space="preserve"> </w:t>
            </w:r>
          </w:p>
        </w:tc>
      </w:tr>
    </w:tbl>
    <w:p w14:paraId="18E6423B" w14:textId="476F88C0" w:rsidR="003239B8" w:rsidRPr="00A75CC3" w:rsidRDefault="00223A29" w:rsidP="003239B8">
      <w:pPr>
        <w:spacing w:before="240" w:after="240"/>
        <w:ind w:firstLine="720"/>
        <w:jc w:val="both"/>
        <w:rPr>
          <w:rFonts w:asciiTheme="majorHAnsi" w:hAnsiTheme="majorHAnsi"/>
          <w:b/>
          <w:sz w:val="20"/>
          <w:szCs w:val="20"/>
          <w:lang w:val="pt-BR"/>
        </w:rPr>
      </w:pPr>
      <w:r w:rsidRPr="00A75CC3">
        <w:rPr>
          <w:rFonts w:asciiTheme="majorHAnsi" w:hAnsiTheme="majorHAnsi"/>
          <w:b/>
          <w:sz w:val="20"/>
          <w:szCs w:val="20"/>
          <w:lang w:val="pt-BR"/>
        </w:rPr>
        <w:lastRenderedPageBreak/>
        <w:t xml:space="preserve">V. </w:t>
      </w:r>
      <w:r w:rsidRPr="00A75CC3">
        <w:rPr>
          <w:rFonts w:asciiTheme="majorHAnsi" w:hAnsiTheme="majorHAnsi"/>
          <w:b/>
          <w:sz w:val="20"/>
          <w:szCs w:val="20"/>
          <w:lang w:val="pt-BR"/>
        </w:rPr>
        <w:tab/>
      </w:r>
      <w:r w:rsidR="00D21316" w:rsidRPr="00A75CC3">
        <w:rPr>
          <w:rFonts w:asciiTheme="majorHAnsi" w:hAnsiTheme="majorHAnsi"/>
          <w:b/>
          <w:sz w:val="20"/>
          <w:szCs w:val="20"/>
          <w:lang w:val="pt-BR"/>
        </w:rPr>
        <w:t>FATOS</w:t>
      </w:r>
      <w:r w:rsidR="003239B8" w:rsidRPr="00A75CC3">
        <w:rPr>
          <w:rFonts w:asciiTheme="majorHAnsi" w:hAnsiTheme="majorHAnsi"/>
          <w:b/>
          <w:sz w:val="20"/>
          <w:szCs w:val="20"/>
          <w:lang w:val="pt-BR"/>
        </w:rPr>
        <w:t xml:space="preserve"> ALEGADOS </w:t>
      </w:r>
    </w:p>
    <w:p w14:paraId="54878D86" w14:textId="44E2A238" w:rsidR="00A11E44" w:rsidRDefault="00CE259A" w:rsidP="003227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 xml:space="preserve">A organização </w:t>
      </w:r>
      <w:r w:rsidR="004220A6">
        <w:rPr>
          <w:rFonts w:ascii="Cambria" w:hAnsi="Cambria"/>
          <w:sz w:val="20"/>
          <w:szCs w:val="20"/>
          <w:lang w:val="pt-BR"/>
        </w:rPr>
        <w:t>não governamental</w:t>
      </w:r>
      <w:r w:rsidR="00725FFD">
        <w:rPr>
          <w:rFonts w:ascii="Cambria" w:hAnsi="Cambria"/>
          <w:sz w:val="20"/>
          <w:szCs w:val="20"/>
          <w:lang w:val="pt-BR"/>
        </w:rPr>
        <w:t xml:space="preserve"> Justiça Global (adiante “peticionária”) afirma que José Carlos da Silva (adiante “Sr. Silva”</w:t>
      </w:r>
      <w:r w:rsidR="00322731">
        <w:rPr>
          <w:rFonts w:ascii="Cambria" w:hAnsi="Cambria"/>
          <w:sz w:val="20"/>
          <w:szCs w:val="20"/>
          <w:lang w:val="pt-BR"/>
        </w:rPr>
        <w:t xml:space="preserve"> ou “suposta vítima”</w:t>
      </w:r>
      <w:r w:rsidR="00725FFD">
        <w:rPr>
          <w:rFonts w:ascii="Cambria" w:hAnsi="Cambria"/>
          <w:sz w:val="20"/>
          <w:szCs w:val="20"/>
          <w:lang w:val="pt-BR"/>
        </w:rPr>
        <w:t>), afrodescendente,</w:t>
      </w:r>
      <w:r w:rsidR="00322731">
        <w:rPr>
          <w:rFonts w:ascii="Cambria" w:hAnsi="Cambria"/>
          <w:sz w:val="20"/>
          <w:szCs w:val="20"/>
          <w:lang w:val="pt-BR"/>
        </w:rPr>
        <w:t xml:space="preserve"> se e</w:t>
      </w:r>
      <w:r w:rsidR="004220A6">
        <w:rPr>
          <w:rFonts w:ascii="Cambria" w:hAnsi="Cambria"/>
          <w:sz w:val="20"/>
          <w:szCs w:val="20"/>
          <w:lang w:val="pt-BR"/>
        </w:rPr>
        <w:t>ncontrava detido</w:t>
      </w:r>
      <w:r w:rsidR="00322731">
        <w:rPr>
          <w:rFonts w:ascii="Cambria" w:hAnsi="Cambria"/>
          <w:sz w:val="20"/>
          <w:szCs w:val="20"/>
          <w:lang w:val="pt-BR"/>
        </w:rPr>
        <w:t xml:space="preserve"> </w:t>
      </w:r>
      <w:r w:rsidR="00E10746">
        <w:rPr>
          <w:rFonts w:ascii="Cambria" w:hAnsi="Cambria"/>
          <w:sz w:val="20"/>
          <w:szCs w:val="20"/>
          <w:lang w:val="pt-BR"/>
        </w:rPr>
        <w:t xml:space="preserve">provisoriamente </w:t>
      </w:r>
      <w:r w:rsidR="00322731">
        <w:rPr>
          <w:rFonts w:ascii="Cambria" w:hAnsi="Cambria"/>
          <w:sz w:val="20"/>
          <w:szCs w:val="20"/>
          <w:lang w:val="pt-BR"/>
        </w:rPr>
        <w:t xml:space="preserve">desde abril de 2006 na Casa de Custódia Pedro Melo, </w:t>
      </w:r>
      <w:r w:rsidR="00725FFD">
        <w:rPr>
          <w:rFonts w:ascii="Cambria" w:hAnsi="Cambria"/>
          <w:sz w:val="20"/>
          <w:szCs w:val="20"/>
          <w:lang w:val="pt-BR"/>
        </w:rPr>
        <w:t xml:space="preserve">localizada no Complexo Penitenciário de </w:t>
      </w:r>
      <w:r w:rsidR="007F3FA3">
        <w:rPr>
          <w:rFonts w:ascii="Cambria" w:hAnsi="Cambria"/>
          <w:sz w:val="20"/>
          <w:szCs w:val="20"/>
          <w:lang w:val="pt-BR"/>
        </w:rPr>
        <w:t>Gericinó (antigo Complexo Presidiário de Bangu)</w:t>
      </w:r>
      <w:r w:rsidR="00725FFD">
        <w:rPr>
          <w:rFonts w:ascii="Cambria" w:hAnsi="Cambria"/>
          <w:sz w:val="20"/>
          <w:szCs w:val="20"/>
          <w:lang w:val="pt-BR"/>
        </w:rPr>
        <w:t>, no Rio de Janeiro.</w:t>
      </w:r>
    </w:p>
    <w:p w14:paraId="071B707D" w14:textId="00C09285" w:rsidR="000D3098" w:rsidRDefault="0032273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A família da suposta vítima teri</w:t>
      </w:r>
      <w:r w:rsidR="004220A6">
        <w:rPr>
          <w:rFonts w:ascii="Cambria" w:hAnsi="Cambria"/>
          <w:sz w:val="20"/>
          <w:szCs w:val="20"/>
          <w:lang w:val="pt-BR"/>
        </w:rPr>
        <w:t>a sido proibida de visita-lo e</w:t>
      </w:r>
      <w:r>
        <w:rPr>
          <w:rFonts w:ascii="Cambria" w:hAnsi="Cambria"/>
          <w:sz w:val="20"/>
          <w:szCs w:val="20"/>
          <w:lang w:val="pt-BR"/>
        </w:rPr>
        <w:t xml:space="preserve"> passou a receber cartas suas com denúncias de torturas e maus-tratos supostamente perpetrados por agentes penitenciários.</w:t>
      </w:r>
      <w:r w:rsidR="004B7D38">
        <w:rPr>
          <w:rFonts w:ascii="Cambria" w:hAnsi="Cambria"/>
          <w:sz w:val="20"/>
          <w:szCs w:val="20"/>
          <w:lang w:val="pt-BR"/>
        </w:rPr>
        <w:t xml:space="preserve"> A peticionária afirma que </w:t>
      </w:r>
      <w:r w:rsidR="003974F1">
        <w:rPr>
          <w:rFonts w:ascii="Cambria" w:hAnsi="Cambria"/>
          <w:sz w:val="20"/>
          <w:szCs w:val="20"/>
          <w:lang w:val="pt-BR"/>
        </w:rPr>
        <w:t xml:space="preserve">o Sr. Silva </w:t>
      </w:r>
      <w:r w:rsidR="004B7D38">
        <w:rPr>
          <w:rFonts w:ascii="Cambria" w:hAnsi="Cambria"/>
          <w:sz w:val="20"/>
          <w:szCs w:val="20"/>
          <w:lang w:val="pt-BR"/>
        </w:rPr>
        <w:t>enviou cerca de</w:t>
      </w:r>
      <w:r w:rsidR="004220A6">
        <w:rPr>
          <w:rFonts w:ascii="Cambria" w:hAnsi="Cambria"/>
          <w:sz w:val="20"/>
          <w:szCs w:val="20"/>
          <w:lang w:val="pt-BR"/>
        </w:rPr>
        <w:t xml:space="preserve"> dez cartas aos seus familiares</w:t>
      </w:r>
      <w:r w:rsidR="004B7D38">
        <w:rPr>
          <w:rFonts w:ascii="Cambria" w:hAnsi="Cambria"/>
          <w:sz w:val="20"/>
          <w:szCs w:val="20"/>
          <w:lang w:val="pt-BR"/>
        </w:rPr>
        <w:t xml:space="preserve"> </w:t>
      </w:r>
      <w:r w:rsidR="00A578AC">
        <w:rPr>
          <w:rFonts w:ascii="Cambria" w:hAnsi="Cambria"/>
          <w:sz w:val="20"/>
          <w:szCs w:val="20"/>
          <w:lang w:val="pt-BR"/>
        </w:rPr>
        <w:t>pedindo</w:t>
      </w:r>
      <w:r w:rsidR="004B7D38">
        <w:rPr>
          <w:rFonts w:ascii="Cambria" w:hAnsi="Cambria"/>
          <w:sz w:val="20"/>
          <w:szCs w:val="20"/>
          <w:lang w:val="pt-BR"/>
        </w:rPr>
        <w:t xml:space="preserve"> comida, roupas e produtos de higiene pessoal, além de reiterar as denúncias de espancamento e pedir que </w:t>
      </w:r>
      <w:r w:rsidR="004220A6">
        <w:rPr>
          <w:rFonts w:ascii="Cambria" w:hAnsi="Cambria"/>
          <w:sz w:val="20"/>
          <w:szCs w:val="20"/>
          <w:lang w:val="pt-BR"/>
        </w:rPr>
        <w:t>alguém de sua</w:t>
      </w:r>
      <w:r w:rsidR="004B7D38">
        <w:rPr>
          <w:rFonts w:ascii="Cambria" w:hAnsi="Cambria"/>
          <w:sz w:val="20"/>
          <w:szCs w:val="20"/>
          <w:lang w:val="pt-BR"/>
        </w:rPr>
        <w:t xml:space="preserve"> família fosse visita-lo. </w:t>
      </w:r>
      <w:r w:rsidR="00A578AC">
        <w:rPr>
          <w:rFonts w:ascii="Cambria" w:hAnsi="Cambria"/>
          <w:sz w:val="20"/>
          <w:szCs w:val="20"/>
          <w:lang w:val="pt-BR"/>
        </w:rPr>
        <w:t>A peticionária afirma que s</w:t>
      </w:r>
      <w:r w:rsidR="004B7D38">
        <w:rPr>
          <w:rFonts w:ascii="Cambria" w:hAnsi="Cambria"/>
          <w:sz w:val="20"/>
          <w:szCs w:val="20"/>
          <w:lang w:val="pt-BR"/>
        </w:rPr>
        <w:t>eus familiares, no entanto, haviam tentado visita-lo diversas vezes, todas impedidas pela administração do centro de detenção, sob o argumento de que era necess</w:t>
      </w:r>
      <w:r w:rsidR="004220A6">
        <w:rPr>
          <w:rFonts w:ascii="Cambria" w:hAnsi="Cambria"/>
          <w:sz w:val="20"/>
          <w:szCs w:val="20"/>
          <w:lang w:val="pt-BR"/>
        </w:rPr>
        <w:t>ária uma carteira de visitante. A entrega do documento</w:t>
      </w:r>
      <w:r w:rsidR="004B7D38">
        <w:rPr>
          <w:rFonts w:ascii="Cambria" w:hAnsi="Cambria"/>
          <w:sz w:val="20"/>
          <w:szCs w:val="20"/>
          <w:lang w:val="pt-BR"/>
        </w:rPr>
        <w:t xml:space="preserve"> à mãe da suposta vítima, Maria do Carmo Nascimento Silva (adiante “Sra. Silva”) </w:t>
      </w:r>
      <w:r w:rsidR="004220A6">
        <w:rPr>
          <w:rFonts w:ascii="Cambria" w:hAnsi="Cambria"/>
          <w:sz w:val="20"/>
          <w:szCs w:val="20"/>
          <w:lang w:val="pt-BR"/>
        </w:rPr>
        <w:t xml:space="preserve">foi agendada </w:t>
      </w:r>
      <w:r w:rsidR="004B7D38">
        <w:rPr>
          <w:rFonts w:ascii="Cambria" w:hAnsi="Cambria"/>
          <w:sz w:val="20"/>
          <w:szCs w:val="20"/>
          <w:lang w:val="pt-BR"/>
        </w:rPr>
        <w:t xml:space="preserve">apenas </w:t>
      </w:r>
      <w:r w:rsidR="00A578AC">
        <w:rPr>
          <w:rFonts w:ascii="Cambria" w:hAnsi="Cambria"/>
          <w:sz w:val="20"/>
          <w:szCs w:val="20"/>
          <w:lang w:val="pt-BR"/>
        </w:rPr>
        <w:t>para</w:t>
      </w:r>
      <w:r w:rsidR="004B7D38">
        <w:rPr>
          <w:rFonts w:ascii="Cambria" w:hAnsi="Cambria"/>
          <w:sz w:val="20"/>
          <w:szCs w:val="20"/>
          <w:lang w:val="pt-BR"/>
        </w:rPr>
        <w:t xml:space="preserve"> 14 de agosto de 2006. Nesse mesmo dia, ela teria ido visitar o filho, porém foi informada que ele já não se encontrava na Casa de Custódia Pedro Melo, mas internado no Hospital </w:t>
      </w:r>
      <w:r w:rsidR="00E7331A">
        <w:rPr>
          <w:rFonts w:ascii="Cambria" w:hAnsi="Cambria"/>
          <w:sz w:val="20"/>
          <w:szCs w:val="20"/>
          <w:lang w:val="pt-BR"/>
        </w:rPr>
        <w:t xml:space="preserve">Penal Fábio Soares Maciel. Em seguida, foi ao hospital e apenas nesse momento </w:t>
      </w:r>
      <w:r w:rsidR="004220A6">
        <w:rPr>
          <w:rFonts w:ascii="Cambria" w:hAnsi="Cambria"/>
          <w:sz w:val="20"/>
          <w:szCs w:val="20"/>
          <w:lang w:val="pt-BR"/>
        </w:rPr>
        <w:t xml:space="preserve">foi </w:t>
      </w:r>
      <w:r w:rsidR="00E7331A">
        <w:rPr>
          <w:rFonts w:ascii="Cambria" w:hAnsi="Cambria"/>
          <w:sz w:val="20"/>
          <w:szCs w:val="20"/>
          <w:lang w:val="pt-BR"/>
        </w:rPr>
        <w:t xml:space="preserve">informada </w:t>
      </w:r>
      <w:r w:rsidR="00A578AC">
        <w:rPr>
          <w:rFonts w:ascii="Cambria" w:hAnsi="Cambria"/>
          <w:sz w:val="20"/>
          <w:szCs w:val="20"/>
          <w:lang w:val="pt-BR"/>
        </w:rPr>
        <w:t xml:space="preserve">de </w:t>
      </w:r>
      <w:r w:rsidR="00E7331A">
        <w:rPr>
          <w:rFonts w:ascii="Cambria" w:hAnsi="Cambria"/>
          <w:sz w:val="20"/>
          <w:szCs w:val="20"/>
          <w:lang w:val="pt-BR"/>
        </w:rPr>
        <w:t xml:space="preserve">que seu filho teria dado entrada no dia 23 de julho de 2006 e falecido no dia seguinte, 24 de julho de 2006. A peticionária </w:t>
      </w:r>
      <w:r w:rsidR="00A578AC">
        <w:rPr>
          <w:rFonts w:ascii="Cambria" w:hAnsi="Cambria"/>
          <w:sz w:val="20"/>
          <w:szCs w:val="20"/>
          <w:lang w:val="pt-BR"/>
        </w:rPr>
        <w:t>ressalta</w:t>
      </w:r>
      <w:r w:rsidR="00E7331A">
        <w:rPr>
          <w:rFonts w:ascii="Cambria" w:hAnsi="Cambria"/>
          <w:sz w:val="20"/>
          <w:szCs w:val="20"/>
          <w:lang w:val="pt-BR"/>
        </w:rPr>
        <w:t xml:space="preserve"> que</w:t>
      </w:r>
      <w:r w:rsidR="004E29EE">
        <w:rPr>
          <w:rFonts w:ascii="Cambria" w:hAnsi="Cambria"/>
          <w:sz w:val="20"/>
          <w:szCs w:val="20"/>
          <w:lang w:val="pt-BR"/>
        </w:rPr>
        <w:t>,</w:t>
      </w:r>
      <w:r w:rsidR="00E7331A">
        <w:rPr>
          <w:rFonts w:ascii="Cambria" w:hAnsi="Cambria"/>
          <w:sz w:val="20"/>
          <w:szCs w:val="20"/>
          <w:lang w:val="pt-BR"/>
        </w:rPr>
        <w:t xml:space="preserve"> na primeira semana de agosto de 2006, a Sra. Silva havia tentado novamente visitar </w:t>
      </w:r>
      <w:r w:rsidR="00E7331A" w:rsidRPr="000304C0">
        <w:rPr>
          <w:rFonts w:ascii="Cambria" w:hAnsi="Cambria"/>
          <w:sz w:val="20"/>
          <w:szCs w:val="20"/>
          <w:lang w:val="pt-BR"/>
        </w:rPr>
        <w:t>seu filho</w:t>
      </w:r>
      <w:r w:rsidR="00A578AC" w:rsidRPr="000304C0">
        <w:rPr>
          <w:rFonts w:ascii="Cambria" w:hAnsi="Cambria"/>
          <w:sz w:val="20"/>
          <w:szCs w:val="20"/>
          <w:lang w:val="pt-BR"/>
        </w:rPr>
        <w:t xml:space="preserve"> na prisão</w:t>
      </w:r>
      <w:r w:rsidR="00E7331A" w:rsidRPr="000304C0">
        <w:rPr>
          <w:rFonts w:ascii="Cambria" w:hAnsi="Cambria"/>
          <w:sz w:val="20"/>
          <w:szCs w:val="20"/>
          <w:lang w:val="pt-BR"/>
        </w:rPr>
        <w:t>, porém em nenhum momento foi informada de que ele já havia falecido.</w:t>
      </w:r>
      <w:r w:rsidR="004B4772" w:rsidRPr="000304C0">
        <w:rPr>
          <w:rFonts w:ascii="Cambria" w:hAnsi="Cambria"/>
          <w:sz w:val="20"/>
          <w:szCs w:val="20"/>
          <w:lang w:val="pt-BR"/>
        </w:rPr>
        <w:t xml:space="preserve"> Isto é, os familiares não foram informados sobre a decisão de </w:t>
      </w:r>
      <w:r w:rsidR="004E29EE" w:rsidRPr="000304C0">
        <w:rPr>
          <w:rFonts w:ascii="Cambria" w:hAnsi="Cambria"/>
          <w:sz w:val="20"/>
          <w:szCs w:val="20"/>
          <w:lang w:val="pt-BR"/>
        </w:rPr>
        <w:t>transfer</w:t>
      </w:r>
      <w:r w:rsidR="004E29EE" w:rsidRPr="000304C0">
        <w:rPr>
          <w:rStyle w:val="Emphasis"/>
          <w:rFonts w:asciiTheme="majorHAnsi" w:hAnsiTheme="majorHAnsi" w:cs="Arial"/>
          <w:bCs/>
          <w:i w:val="0"/>
          <w:iCs w:val="0"/>
          <w:sz w:val="20"/>
          <w:szCs w:val="20"/>
          <w:shd w:val="clear" w:color="auto" w:fill="FFFFFF"/>
          <w:lang w:val="pt-BR"/>
        </w:rPr>
        <w:t>ê</w:t>
      </w:r>
      <w:r w:rsidR="004E29EE" w:rsidRPr="000304C0">
        <w:rPr>
          <w:rFonts w:ascii="Cambria" w:hAnsi="Cambria"/>
          <w:sz w:val="20"/>
          <w:szCs w:val="20"/>
          <w:lang w:val="pt-BR"/>
        </w:rPr>
        <w:t>ncia</w:t>
      </w:r>
      <w:r w:rsidR="004B4772" w:rsidRPr="000304C0">
        <w:rPr>
          <w:rFonts w:ascii="Cambria" w:hAnsi="Cambria"/>
          <w:sz w:val="20"/>
          <w:szCs w:val="20"/>
          <w:lang w:val="pt-BR"/>
        </w:rPr>
        <w:t xml:space="preserve"> ao hospital, nem sobre o seu falecimento, após mais de vinte dias depois do ocorrido. </w:t>
      </w:r>
    </w:p>
    <w:p w14:paraId="5DD087AF" w14:textId="12DCF426" w:rsidR="004B7D38" w:rsidRPr="004220A6" w:rsidRDefault="00E7331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4220A6">
        <w:rPr>
          <w:rFonts w:ascii="Cambria" w:hAnsi="Cambria"/>
          <w:sz w:val="20"/>
          <w:szCs w:val="20"/>
          <w:lang w:val="pt-BR"/>
        </w:rPr>
        <w:t xml:space="preserve">Ainda em 14 de agosto de 2006, a Sra. Silva foi ao Instituto Médico Legal (adiante “IML”) e </w:t>
      </w:r>
      <w:r w:rsidR="00611789">
        <w:rPr>
          <w:rFonts w:ascii="Cambria" w:hAnsi="Cambria"/>
          <w:sz w:val="20"/>
          <w:szCs w:val="20"/>
          <w:lang w:val="pt-BR"/>
        </w:rPr>
        <w:t xml:space="preserve">lá </w:t>
      </w:r>
      <w:r w:rsidRPr="004220A6">
        <w:rPr>
          <w:rFonts w:ascii="Cambria" w:hAnsi="Cambria"/>
          <w:sz w:val="20"/>
          <w:szCs w:val="20"/>
          <w:lang w:val="pt-BR"/>
        </w:rPr>
        <w:t>informada</w:t>
      </w:r>
      <w:r w:rsidR="00611789">
        <w:rPr>
          <w:rFonts w:ascii="Cambria" w:hAnsi="Cambria"/>
          <w:sz w:val="20"/>
          <w:szCs w:val="20"/>
          <w:lang w:val="pt-BR"/>
        </w:rPr>
        <w:t xml:space="preserve"> de</w:t>
      </w:r>
      <w:r w:rsidRPr="004220A6">
        <w:rPr>
          <w:rFonts w:ascii="Cambria" w:hAnsi="Cambria"/>
          <w:sz w:val="20"/>
          <w:szCs w:val="20"/>
          <w:lang w:val="pt-BR"/>
        </w:rPr>
        <w:t xml:space="preserve"> que </w:t>
      </w:r>
      <w:r w:rsidR="00611789">
        <w:rPr>
          <w:rFonts w:ascii="Cambria" w:hAnsi="Cambria"/>
          <w:sz w:val="20"/>
          <w:szCs w:val="20"/>
          <w:lang w:val="pt-BR"/>
        </w:rPr>
        <w:t>seu filho</w:t>
      </w:r>
      <w:r w:rsidRPr="004220A6">
        <w:rPr>
          <w:rFonts w:ascii="Cambria" w:hAnsi="Cambria"/>
          <w:sz w:val="20"/>
          <w:szCs w:val="20"/>
          <w:lang w:val="pt-BR"/>
        </w:rPr>
        <w:t xml:space="preserve"> havia sido enterrad</w:t>
      </w:r>
      <w:r w:rsidR="00611789">
        <w:rPr>
          <w:rFonts w:ascii="Cambria" w:hAnsi="Cambria"/>
          <w:sz w:val="20"/>
          <w:szCs w:val="20"/>
          <w:lang w:val="pt-BR"/>
        </w:rPr>
        <w:t>o</w:t>
      </w:r>
      <w:r w:rsidRPr="004220A6">
        <w:rPr>
          <w:rFonts w:ascii="Cambria" w:hAnsi="Cambria"/>
          <w:sz w:val="20"/>
          <w:szCs w:val="20"/>
          <w:lang w:val="pt-BR"/>
        </w:rPr>
        <w:t xml:space="preserve"> como indigente no Cemitério de Santa Cruz, em 7 de agosto de 2006</w:t>
      </w:r>
      <w:r w:rsidR="00611789">
        <w:rPr>
          <w:rFonts w:ascii="Cambria" w:hAnsi="Cambria"/>
          <w:sz w:val="20"/>
          <w:szCs w:val="20"/>
          <w:lang w:val="pt-BR"/>
        </w:rPr>
        <w:t xml:space="preserve">, </w:t>
      </w:r>
      <w:r w:rsidRPr="004220A6">
        <w:rPr>
          <w:rFonts w:ascii="Cambria" w:hAnsi="Cambria"/>
          <w:sz w:val="20"/>
          <w:szCs w:val="20"/>
          <w:lang w:val="pt-BR"/>
        </w:rPr>
        <w:t>recebendo informação referente ao número da cova onde estaria o corpo.</w:t>
      </w:r>
      <w:r w:rsidR="00912D49" w:rsidRPr="004220A6">
        <w:rPr>
          <w:rFonts w:ascii="Cambria" w:hAnsi="Cambria"/>
          <w:sz w:val="20"/>
          <w:szCs w:val="20"/>
          <w:lang w:val="pt-BR"/>
        </w:rPr>
        <w:t xml:space="preserve"> </w:t>
      </w:r>
      <w:r w:rsidR="004220A6">
        <w:rPr>
          <w:rFonts w:ascii="Cambria" w:hAnsi="Cambria"/>
          <w:sz w:val="20"/>
          <w:szCs w:val="20"/>
          <w:lang w:val="pt-BR"/>
        </w:rPr>
        <w:t>Contudo, n</w:t>
      </w:r>
      <w:r w:rsidR="00912D49" w:rsidRPr="004220A6">
        <w:rPr>
          <w:rFonts w:ascii="Cambria" w:hAnsi="Cambria"/>
          <w:sz w:val="20"/>
          <w:szCs w:val="20"/>
          <w:lang w:val="pt-BR"/>
        </w:rPr>
        <w:t xml:space="preserve">o dia seguinte, 15 de agosto de 2006, ela teria voltado ao IML e informada </w:t>
      </w:r>
      <w:r w:rsidR="00611789">
        <w:rPr>
          <w:rFonts w:ascii="Cambria" w:hAnsi="Cambria"/>
          <w:sz w:val="20"/>
          <w:szCs w:val="20"/>
          <w:lang w:val="pt-BR"/>
        </w:rPr>
        <w:t xml:space="preserve">de </w:t>
      </w:r>
      <w:r w:rsidR="00912D49" w:rsidRPr="004220A6">
        <w:rPr>
          <w:rFonts w:ascii="Cambria" w:hAnsi="Cambria"/>
          <w:sz w:val="20"/>
          <w:szCs w:val="20"/>
          <w:lang w:val="pt-BR"/>
        </w:rPr>
        <w:t xml:space="preserve">que o corpo da suposta vítima não havia sido enterrado, mas que se encontrava ainda nas dependências do </w:t>
      </w:r>
      <w:r w:rsidR="004220A6">
        <w:rPr>
          <w:rFonts w:ascii="Cambria" w:hAnsi="Cambria"/>
          <w:sz w:val="20"/>
          <w:szCs w:val="20"/>
          <w:lang w:val="pt-BR"/>
        </w:rPr>
        <w:t>instituto</w:t>
      </w:r>
      <w:r w:rsidR="00912D49" w:rsidRPr="004220A6">
        <w:rPr>
          <w:rFonts w:ascii="Cambria" w:hAnsi="Cambria"/>
          <w:sz w:val="20"/>
          <w:szCs w:val="20"/>
          <w:lang w:val="pt-BR"/>
        </w:rPr>
        <w:t xml:space="preserve">. A sobrinha </w:t>
      </w:r>
      <w:r w:rsidR="00611789">
        <w:rPr>
          <w:rFonts w:ascii="Cambria" w:hAnsi="Cambria"/>
          <w:sz w:val="20"/>
          <w:szCs w:val="20"/>
          <w:lang w:val="pt-BR"/>
        </w:rPr>
        <w:t>do Sr. Silva</w:t>
      </w:r>
      <w:r w:rsidR="00912D49" w:rsidRPr="004220A6">
        <w:rPr>
          <w:rFonts w:ascii="Cambria" w:hAnsi="Cambria"/>
          <w:sz w:val="20"/>
          <w:szCs w:val="20"/>
          <w:lang w:val="pt-BR"/>
        </w:rPr>
        <w:t xml:space="preserve">, Maria Aparecida Nascimento de Souza, foi quem reconheceu o corpo desfigurado e já em decomposição do </w:t>
      </w:r>
      <w:r w:rsidR="00611789">
        <w:rPr>
          <w:rFonts w:ascii="Cambria" w:hAnsi="Cambria"/>
          <w:sz w:val="20"/>
          <w:szCs w:val="20"/>
          <w:lang w:val="pt-BR"/>
        </w:rPr>
        <w:t>tio</w:t>
      </w:r>
      <w:r w:rsidR="00912D49" w:rsidRPr="004220A6">
        <w:rPr>
          <w:rFonts w:ascii="Cambria" w:hAnsi="Cambria"/>
          <w:sz w:val="20"/>
          <w:szCs w:val="20"/>
          <w:lang w:val="pt-BR"/>
        </w:rPr>
        <w:t>, que não havia sido mantido refrigerado.</w:t>
      </w:r>
      <w:r w:rsidR="004220A6" w:rsidRPr="004220A6">
        <w:rPr>
          <w:rFonts w:ascii="Cambria" w:hAnsi="Cambria"/>
          <w:sz w:val="20"/>
          <w:szCs w:val="20"/>
          <w:lang w:val="pt-BR"/>
        </w:rPr>
        <w:t xml:space="preserve"> </w:t>
      </w:r>
      <w:r w:rsidR="00912D49" w:rsidRPr="004220A6">
        <w:rPr>
          <w:rFonts w:ascii="Cambria" w:hAnsi="Cambria"/>
          <w:sz w:val="20"/>
          <w:szCs w:val="20"/>
          <w:lang w:val="pt-BR"/>
        </w:rPr>
        <w:t xml:space="preserve">A família </w:t>
      </w:r>
      <w:r w:rsidR="00611789">
        <w:rPr>
          <w:rFonts w:ascii="Cambria" w:hAnsi="Cambria"/>
          <w:sz w:val="20"/>
          <w:szCs w:val="20"/>
          <w:lang w:val="pt-BR"/>
        </w:rPr>
        <w:t>da suposta vítima</w:t>
      </w:r>
      <w:r w:rsidR="00912D49" w:rsidRPr="004220A6">
        <w:rPr>
          <w:rFonts w:ascii="Cambria" w:hAnsi="Cambria"/>
          <w:sz w:val="20"/>
          <w:szCs w:val="20"/>
          <w:lang w:val="pt-BR"/>
        </w:rPr>
        <w:t xml:space="preserve"> apenas conseguiu autorização para realizar o seu sepultamento em 6 de setembro de 2006, por meio de autorização do juiz da 14ª Circunscrição de Pessoas Naturais da Comarca do Rio de Janeiro. </w:t>
      </w:r>
      <w:r w:rsidR="00F521A3">
        <w:rPr>
          <w:rFonts w:ascii="Cambria" w:hAnsi="Cambria"/>
          <w:sz w:val="20"/>
          <w:szCs w:val="20"/>
          <w:lang w:val="pt-BR"/>
        </w:rPr>
        <w:t xml:space="preserve">O auto de exame cadavérico expedido pelo IML teria indicado como </w:t>
      </w:r>
      <w:r w:rsidR="00F521A3">
        <w:rPr>
          <w:rFonts w:ascii="Cambria" w:hAnsi="Cambria"/>
          <w:i/>
          <w:sz w:val="20"/>
          <w:szCs w:val="20"/>
          <w:lang w:val="pt-BR"/>
        </w:rPr>
        <w:t>causa mortis</w:t>
      </w:r>
      <w:r w:rsidR="00F521A3">
        <w:rPr>
          <w:rFonts w:ascii="Cambria" w:hAnsi="Cambria"/>
          <w:sz w:val="20"/>
          <w:szCs w:val="20"/>
          <w:lang w:val="pt-BR"/>
        </w:rPr>
        <w:t xml:space="preserve"> traumatismo crânio encefálico, hematoma subdural, edema cerebral e lesões fatais provocadas por instrumento de ação contundente.</w:t>
      </w:r>
    </w:p>
    <w:p w14:paraId="6C83C805" w14:textId="06AE4804" w:rsidR="007F1FDC" w:rsidRPr="007F1FDC" w:rsidRDefault="00611789" w:rsidP="00B67D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Em</w:t>
      </w:r>
      <w:r w:rsidR="00B67D07" w:rsidRPr="007F1FDC">
        <w:rPr>
          <w:rFonts w:ascii="Cambria" w:hAnsi="Cambria"/>
          <w:sz w:val="20"/>
          <w:szCs w:val="20"/>
          <w:lang w:val="pt-BR"/>
        </w:rPr>
        <w:t xml:space="preserve"> diversas oportunidades no ano de 2006, a peticionária e a Sra. Silva teriam oficiado a várias autoridades como: </w:t>
      </w:r>
      <w:r w:rsidR="00F521A3" w:rsidRPr="007F1FDC">
        <w:rPr>
          <w:rFonts w:ascii="Cambria" w:hAnsi="Cambria"/>
          <w:sz w:val="20"/>
          <w:szCs w:val="20"/>
          <w:lang w:val="pt-BR"/>
        </w:rPr>
        <w:t>Secretaria de Segurança Pública do Estado do Rio de Janeiro</w:t>
      </w:r>
      <w:r>
        <w:rPr>
          <w:rFonts w:ascii="Cambria" w:hAnsi="Cambria"/>
          <w:sz w:val="20"/>
          <w:szCs w:val="20"/>
          <w:lang w:val="pt-BR"/>
        </w:rPr>
        <w:t xml:space="preserve">, </w:t>
      </w:r>
      <w:r w:rsidR="00A1147C" w:rsidRPr="007F1FDC">
        <w:rPr>
          <w:rFonts w:ascii="Cambria" w:hAnsi="Cambria"/>
          <w:sz w:val="20"/>
          <w:szCs w:val="20"/>
          <w:lang w:val="pt-BR"/>
        </w:rPr>
        <w:t>Secretaria de Direitos Humanos da Presidência da República, Secretaria de Estado de Administração Pe</w:t>
      </w:r>
      <w:r w:rsidR="00B67D07" w:rsidRPr="007F1FDC">
        <w:rPr>
          <w:rFonts w:ascii="Cambria" w:hAnsi="Cambria"/>
          <w:sz w:val="20"/>
          <w:szCs w:val="20"/>
          <w:lang w:val="pt-BR"/>
        </w:rPr>
        <w:t>nitenciária do Rio de Janeiro, Coordenadoria de Direitos Humanos do Ministério Público do Rio de Janeiro</w:t>
      </w:r>
      <w:r>
        <w:rPr>
          <w:rFonts w:ascii="Cambria" w:hAnsi="Cambria"/>
          <w:sz w:val="20"/>
          <w:szCs w:val="20"/>
          <w:lang w:val="pt-BR"/>
        </w:rPr>
        <w:t xml:space="preserve"> (adiante “MP/RJ”)</w:t>
      </w:r>
      <w:r w:rsidR="00B67D07" w:rsidRPr="007F1FDC">
        <w:rPr>
          <w:rFonts w:ascii="Cambria" w:hAnsi="Cambria"/>
          <w:sz w:val="20"/>
          <w:szCs w:val="20"/>
          <w:lang w:val="pt-BR"/>
        </w:rPr>
        <w:t>,</w:t>
      </w:r>
      <w:r w:rsidR="00A1147C" w:rsidRPr="007F1FDC">
        <w:rPr>
          <w:rFonts w:ascii="Cambria" w:hAnsi="Cambria"/>
          <w:sz w:val="20"/>
          <w:szCs w:val="20"/>
          <w:lang w:val="pt-BR"/>
        </w:rPr>
        <w:t xml:space="preserve"> Chefia da Polícia Civil do Estado do Rio de Janeiro, Corregedoria Interna da Polícia Civil, Secretaria de Direitos Humanos do Estado do Rio de Janeiro, Direção do IML, Direção do Departamento Penitenciário Nacional e Ouvidoria do Sistema Penitenciário. </w:t>
      </w:r>
      <w:r w:rsidR="00B67D07" w:rsidRPr="007F1FDC">
        <w:rPr>
          <w:rFonts w:ascii="Cambria" w:hAnsi="Cambria"/>
          <w:sz w:val="20"/>
          <w:szCs w:val="20"/>
          <w:lang w:val="pt-BR"/>
        </w:rPr>
        <w:t xml:space="preserve">Nesses ofícios, solicitaram </w:t>
      </w:r>
      <w:r w:rsidR="00DC2B65" w:rsidRPr="007F1FDC">
        <w:rPr>
          <w:rFonts w:ascii="Cambria" w:hAnsi="Cambria"/>
          <w:sz w:val="20"/>
          <w:szCs w:val="20"/>
          <w:lang w:val="pt-BR"/>
        </w:rPr>
        <w:t>cópia do exame cadavéric</w:t>
      </w:r>
      <w:r w:rsidR="00B67D07" w:rsidRPr="007F1FDC">
        <w:rPr>
          <w:rFonts w:ascii="Cambria" w:hAnsi="Cambria"/>
          <w:sz w:val="20"/>
          <w:szCs w:val="20"/>
          <w:lang w:val="pt-BR"/>
        </w:rPr>
        <w:t xml:space="preserve">o, </w:t>
      </w:r>
      <w:r w:rsidR="00DC2B65" w:rsidRPr="007F1FDC">
        <w:rPr>
          <w:rFonts w:ascii="Cambria" w:hAnsi="Cambria"/>
          <w:sz w:val="20"/>
          <w:szCs w:val="20"/>
          <w:lang w:val="pt-BR"/>
        </w:rPr>
        <w:t xml:space="preserve">investigação e responsabilização </w:t>
      </w:r>
      <w:r w:rsidR="00690385" w:rsidRPr="007F1FDC">
        <w:rPr>
          <w:rFonts w:ascii="Cambria" w:hAnsi="Cambria"/>
          <w:sz w:val="20"/>
          <w:szCs w:val="20"/>
          <w:lang w:val="pt-BR"/>
        </w:rPr>
        <w:t>dos agentes envolvidos na tortura e omissão quanto ao óbito da suposta vítima e nos procedimentos negligentes levados pelo IML em relação ao seu corpo</w:t>
      </w:r>
      <w:r w:rsidR="007F1FDC" w:rsidRPr="007F1FDC">
        <w:rPr>
          <w:rFonts w:ascii="Cambria" w:hAnsi="Cambria"/>
          <w:sz w:val="20"/>
          <w:szCs w:val="20"/>
          <w:lang w:val="pt-BR"/>
        </w:rPr>
        <w:t xml:space="preserve">. </w:t>
      </w:r>
      <w:r>
        <w:rPr>
          <w:rFonts w:ascii="Cambria" w:hAnsi="Cambria"/>
          <w:sz w:val="20"/>
          <w:szCs w:val="20"/>
          <w:lang w:val="pt-BR"/>
        </w:rPr>
        <w:t>A peticionária afirma que r</w:t>
      </w:r>
      <w:r w:rsidR="007F1FDC" w:rsidRPr="007F1FDC">
        <w:rPr>
          <w:rFonts w:ascii="Cambria" w:hAnsi="Cambria"/>
          <w:sz w:val="20"/>
          <w:szCs w:val="20"/>
          <w:lang w:val="pt-BR"/>
        </w:rPr>
        <w:t xml:space="preserve">eceberam respostas </w:t>
      </w:r>
      <w:r w:rsidR="007F1FDC">
        <w:rPr>
          <w:rFonts w:ascii="Cambria" w:hAnsi="Cambria"/>
          <w:sz w:val="20"/>
          <w:szCs w:val="20"/>
          <w:lang w:val="pt-BR"/>
        </w:rPr>
        <w:t xml:space="preserve">diversas </w:t>
      </w:r>
      <w:r>
        <w:rPr>
          <w:rFonts w:ascii="Cambria" w:hAnsi="Cambria"/>
          <w:sz w:val="20"/>
          <w:szCs w:val="20"/>
          <w:lang w:val="pt-BR"/>
        </w:rPr>
        <w:t xml:space="preserve">das autoridades </w:t>
      </w:r>
      <w:r w:rsidR="007F1FDC" w:rsidRPr="007F1FDC">
        <w:rPr>
          <w:rFonts w:ascii="Cambria" w:hAnsi="Cambria"/>
          <w:sz w:val="20"/>
          <w:szCs w:val="20"/>
          <w:lang w:val="pt-BR"/>
        </w:rPr>
        <w:t>que alegam ser</w:t>
      </w:r>
      <w:r w:rsidR="007F1FDC">
        <w:rPr>
          <w:rFonts w:ascii="Cambria" w:hAnsi="Cambria"/>
          <w:sz w:val="20"/>
          <w:szCs w:val="20"/>
          <w:lang w:val="pt-BR"/>
        </w:rPr>
        <w:t>em</w:t>
      </w:r>
      <w:r w:rsidR="007F1FDC" w:rsidRPr="007F1FDC">
        <w:rPr>
          <w:rFonts w:ascii="Cambria" w:hAnsi="Cambria"/>
          <w:sz w:val="20"/>
          <w:szCs w:val="20"/>
          <w:lang w:val="pt-BR"/>
        </w:rPr>
        <w:t xml:space="preserve"> inverídicas como, por exemplo, que a suposta víti</w:t>
      </w:r>
      <w:r w:rsidR="007F1FDC">
        <w:rPr>
          <w:rFonts w:ascii="Cambria" w:hAnsi="Cambria"/>
          <w:sz w:val="20"/>
          <w:szCs w:val="20"/>
          <w:lang w:val="pt-BR"/>
        </w:rPr>
        <w:t xml:space="preserve">ma </w:t>
      </w:r>
      <w:r>
        <w:rPr>
          <w:rFonts w:ascii="Cambria" w:hAnsi="Cambria"/>
          <w:sz w:val="20"/>
          <w:szCs w:val="20"/>
          <w:lang w:val="pt-BR"/>
        </w:rPr>
        <w:t>faleceu</w:t>
      </w:r>
      <w:r w:rsidR="007F1FDC">
        <w:rPr>
          <w:rFonts w:ascii="Cambria" w:hAnsi="Cambria"/>
          <w:sz w:val="20"/>
          <w:szCs w:val="20"/>
          <w:lang w:val="pt-BR"/>
        </w:rPr>
        <w:t xml:space="preserve"> no hospital, que seu</w:t>
      </w:r>
      <w:r w:rsidR="007F1FDC" w:rsidRPr="007F1FDC">
        <w:rPr>
          <w:rFonts w:ascii="Cambria" w:hAnsi="Cambria"/>
          <w:sz w:val="20"/>
          <w:szCs w:val="20"/>
          <w:lang w:val="pt-BR"/>
        </w:rPr>
        <w:t xml:space="preserve"> corpo não foi sepultado por falta de interesse da fam</w:t>
      </w:r>
      <w:r w:rsidR="007F1FDC">
        <w:rPr>
          <w:rFonts w:ascii="Cambria" w:hAnsi="Cambria"/>
          <w:sz w:val="20"/>
          <w:szCs w:val="20"/>
          <w:lang w:val="pt-BR"/>
        </w:rPr>
        <w:t>ília em identifica-lo e que a causa da morte teria sido um aneurisma cerebral, mesmo após o laudo cadavérico ter certificado as lesões decorrentes da tortura.</w:t>
      </w:r>
    </w:p>
    <w:p w14:paraId="7910BB8C" w14:textId="02EE58CE" w:rsidR="00BE3884" w:rsidRDefault="007F1FDC" w:rsidP="004E6A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61BA0">
        <w:rPr>
          <w:rFonts w:ascii="Cambria" w:hAnsi="Cambria"/>
          <w:sz w:val="20"/>
          <w:szCs w:val="20"/>
          <w:lang w:val="pt-BR"/>
        </w:rPr>
        <w:t>A peticionária e a família do Sr. Silva</w:t>
      </w:r>
      <w:r w:rsidR="000435D6" w:rsidRPr="00261BA0">
        <w:rPr>
          <w:rFonts w:ascii="Cambria" w:hAnsi="Cambria"/>
          <w:sz w:val="20"/>
          <w:szCs w:val="20"/>
          <w:lang w:val="pt-BR"/>
        </w:rPr>
        <w:t xml:space="preserve"> </w:t>
      </w:r>
      <w:r w:rsidR="00611789">
        <w:rPr>
          <w:rFonts w:ascii="Cambria" w:hAnsi="Cambria"/>
          <w:sz w:val="20"/>
          <w:szCs w:val="20"/>
          <w:lang w:val="pt-BR"/>
        </w:rPr>
        <w:t>teriam</w:t>
      </w:r>
      <w:r w:rsidRPr="00261BA0">
        <w:rPr>
          <w:rFonts w:ascii="Cambria" w:hAnsi="Cambria"/>
          <w:sz w:val="20"/>
          <w:szCs w:val="20"/>
          <w:lang w:val="pt-BR"/>
        </w:rPr>
        <w:t xml:space="preserve"> buscaram auxílio jurídico do Núcleo de Direitos Humanos da Defensoria Pública do Estado do Rio de Janeiro</w:t>
      </w:r>
      <w:r w:rsidR="00611789">
        <w:rPr>
          <w:rFonts w:ascii="Cambria" w:hAnsi="Cambria"/>
          <w:sz w:val="20"/>
          <w:szCs w:val="20"/>
          <w:lang w:val="pt-BR"/>
        </w:rPr>
        <w:t xml:space="preserve"> (adiante “DPE/RJ”)</w:t>
      </w:r>
      <w:r w:rsidRPr="00261BA0">
        <w:rPr>
          <w:rFonts w:ascii="Cambria" w:hAnsi="Cambria"/>
          <w:sz w:val="20"/>
          <w:szCs w:val="20"/>
          <w:lang w:val="pt-BR"/>
        </w:rPr>
        <w:t>. Em 2008, alegam que finalmente foi possível, por meio de um defensor</w:t>
      </w:r>
      <w:r w:rsidR="00611789">
        <w:rPr>
          <w:rFonts w:ascii="Cambria" w:hAnsi="Cambria"/>
          <w:sz w:val="20"/>
          <w:szCs w:val="20"/>
          <w:lang w:val="pt-BR"/>
        </w:rPr>
        <w:t xml:space="preserve"> público</w:t>
      </w:r>
      <w:r w:rsidRPr="00261BA0">
        <w:rPr>
          <w:rFonts w:ascii="Cambria" w:hAnsi="Cambria"/>
          <w:sz w:val="20"/>
          <w:szCs w:val="20"/>
          <w:lang w:val="pt-BR"/>
        </w:rPr>
        <w:t>, localizar a existência do Registro de Ocorrência nº 5662/06 e, diante disso, em 5 de março de 2008, solicitou-se cópia do expediente. Ante a falta de reposta, o defensor público reiterou a solicitação</w:t>
      </w:r>
      <w:r w:rsidR="00BE3884" w:rsidRPr="00261BA0">
        <w:rPr>
          <w:rFonts w:ascii="Cambria" w:hAnsi="Cambria"/>
          <w:sz w:val="20"/>
          <w:szCs w:val="20"/>
          <w:lang w:val="pt-BR"/>
        </w:rPr>
        <w:t xml:space="preserve"> e apenas em 30 de julho de 2008 lograram ter acesso aos documentos relacionados às investigações que, nesse momento, estava em posse do </w:t>
      </w:r>
      <w:r w:rsidR="00611789">
        <w:rPr>
          <w:rFonts w:ascii="Cambria" w:hAnsi="Cambria"/>
          <w:sz w:val="20"/>
          <w:szCs w:val="20"/>
          <w:lang w:val="pt-BR"/>
        </w:rPr>
        <w:t>MP/RJ</w:t>
      </w:r>
      <w:r w:rsidR="000435D6" w:rsidRPr="00261BA0">
        <w:rPr>
          <w:rFonts w:ascii="Cambria" w:hAnsi="Cambria"/>
          <w:sz w:val="20"/>
          <w:szCs w:val="20"/>
          <w:lang w:val="pt-BR"/>
        </w:rPr>
        <w:t xml:space="preserve"> em razão do esgotamento do prazo para conclusão do inquérito policial</w:t>
      </w:r>
      <w:r w:rsidR="00BE3884" w:rsidRPr="00261BA0">
        <w:rPr>
          <w:rFonts w:ascii="Cambria" w:hAnsi="Cambria"/>
          <w:sz w:val="20"/>
          <w:szCs w:val="20"/>
          <w:lang w:val="pt-BR"/>
        </w:rPr>
        <w:t xml:space="preserve">. Foi identificado que até aquele momento, a investigação não havia </w:t>
      </w:r>
      <w:r w:rsidR="00BE3884" w:rsidRPr="00261BA0">
        <w:rPr>
          <w:rFonts w:ascii="Cambria" w:hAnsi="Cambria"/>
          <w:sz w:val="20"/>
          <w:szCs w:val="20"/>
          <w:lang w:val="pt-BR"/>
        </w:rPr>
        <w:lastRenderedPageBreak/>
        <w:t xml:space="preserve">sido </w:t>
      </w:r>
      <w:r w:rsidR="00611789">
        <w:rPr>
          <w:rFonts w:ascii="Cambria" w:hAnsi="Cambria"/>
          <w:sz w:val="20"/>
          <w:szCs w:val="20"/>
          <w:lang w:val="pt-BR"/>
        </w:rPr>
        <w:t>iniciada</w:t>
      </w:r>
      <w:r w:rsidR="00BE3884" w:rsidRPr="00261BA0">
        <w:rPr>
          <w:rFonts w:ascii="Cambria" w:hAnsi="Cambria"/>
          <w:sz w:val="20"/>
          <w:szCs w:val="20"/>
          <w:lang w:val="pt-BR"/>
        </w:rPr>
        <w:t xml:space="preserve">. Em 31 de julho de 2008, os familiares da suposta vítima compareceram ao </w:t>
      </w:r>
      <w:r w:rsidR="00611789">
        <w:rPr>
          <w:rFonts w:ascii="Cambria" w:hAnsi="Cambria"/>
          <w:sz w:val="20"/>
          <w:szCs w:val="20"/>
          <w:lang w:val="pt-BR"/>
        </w:rPr>
        <w:t>MP/SP</w:t>
      </w:r>
      <w:r w:rsidR="00BE3884" w:rsidRPr="00261BA0">
        <w:rPr>
          <w:rFonts w:ascii="Cambria" w:hAnsi="Cambria"/>
          <w:sz w:val="20"/>
          <w:szCs w:val="20"/>
          <w:lang w:val="pt-BR"/>
        </w:rPr>
        <w:t xml:space="preserve"> para conversar com a procuradora </w:t>
      </w:r>
      <w:r w:rsidR="00427F7C">
        <w:rPr>
          <w:rFonts w:ascii="Cambria" w:hAnsi="Cambria"/>
          <w:sz w:val="20"/>
          <w:szCs w:val="20"/>
          <w:lang w:val="pt-BR"/>
        </w:rPr>
        <w:t>atuante no caso</w:t>
      </w:r>
      <w:r w:rsidR="00BE3884" w:rsidRPr="00261BA0">
        <w:rPr>
          <w:rFonts w:ascii="Cambria" w:hAnsi="Cambria"/>
          <w:sz w:val="20"/>
          <w:szCs w:val="20"/>
          <w:lang w:val="pt-BR"/>
        </w:rPr>
        <w:t xml:space="preserve"> e, naquele momento, ela teria decidido tomar o depoimento de Maria Aparecida, sobrinha da suposta vítima. </w:t>
      </w:r>
      <w:r w:rsidR="00261BA0" w:rsidRPr="00261BA0">
        <w:rPr>
          <w:rFonts w:ascii="Cambria" w:hAnsi="Cambria"/>
          <w:sz w:val="20"/>
          <w:szCs w:val="20"/>
          <w:lang w:val="pt-BR"/>
        </w:rPr>
        <w:t xml:space="preserve">Em 15 de setembro de 2008, a promotora informou à peticionária e aos familiares que as investigações </w:t>
      </w:r>
      <w:r w:rsidR="00427F7C">
        <w:rPr>
          <w:rFonts w:ascii="Cambria" w:hAnsi="Cambria"/>
          <w:sz w:val="20"/>
          <w:szCs w:val="20"/>
          <w:lang w:val="pt-BR"/>
        </w:rPr>
        <w:t>não</w:t>
      </w:r>
      <w:r w:rsidR="00261BA0" w:rsidRPr="00261BA0">
        <w:rPr>
          <w:rFonts w:ascii="Cambria" w:hAnsi="Cambria"/>
          <w:sz w:val="20"/>
          <w:szCs w:val="20"/>
          <w:lang w:val="pt-BR"/>
        </w:rPr>
        <w:t xml:space="preserve"> haviam iniciado. </w:t>
      </w:r>
      <w:r w:rsidR="00427F7C">
        <w:rPr>
          <w:rFonts w:ascii="Cambria" w:hAnsi="Cambria"/>
          <w:sz w:val="20"/>
          <w:szCs w:val="20"/>
          <w:lang w:val="pt-BR"/>
        </w:rPr>
        <w:t>Ela</w:t>
      </w:r>
      <w:r w:rsidR="00261BA0" w:rsidRPr="00261BA0">
        <w:rPr>
          <w:rFonts w:ascii="Cambria" w:hAnsi="Cambria"/>
          <w:sz w:val="20"/>
          <w:szCs w:val="20"/>
          <w:lang w:val="pt-BR"/>
        </w:rPr>
        <w:t xml:space="preserve">, então, </w:t>
      </w:r>
      <w:r w:rsidR="00427F7C">
        <w:rPr>
          <w:rFonts w:ascii="Cambria" w:hAnsi="Cambria"/>
          <w:sz w:val="20"/>
          <w:szCs w:val="20"/>
          <w:lang w:val="pt-BR"/>
        </w:rPr>
        <w:t>teria retornado</w:t>
      </w:r>
      <w:r w:rsidR="00261BA0" w:rsidRPr="00261BA0">
        <w:rPr>
          <w:rFonts w:ascii="Cambria" w:hAnsi="Cambria"/>
          <w:sz w:val="20"/>
          <w:szCs w:val="20"/>
          <w:lang w:val="pt-BR"/>
        </w:rPr>
        <w:t xml:space="preserve"> o inquérito policial à Delegacia de Polícia para seguir com a investigações, porém o prazo </w:t>
      </w:r>
      <w:r w:rsidR="00427F7C">
        <w:rPr>
          <w:rFonts w:ascii="Cambria" w:hAnsi="Cambria"/>
          <w:sz w:val="20"/>
          <w:szCs w:val="20"/>
          <w:lang w:val="pt-BR"/>
        </w:rPr>
        <w:t>novamente esgotou</w:t>
      </w:r>
      <w:r w:rsidR="00261BA0" w:rsidRPr="00261BA0">
        <w:rPr>
          <w:rFonts w:ascii="Cambria" w:hAnsi="Cambria"/>
          <w:sz w:val="20"/>
          <w:szCs w:val="20"/>
          <w:lang w:val="pt-BR"/>
        </w:rPr>
        <w:t xml:space="preserve"> sem que nenhuma diligência tivesse sido realizada. Em 23 de janeiro de 2009, o delegado teria solicitado renovação do prazo de 90 dias e, novamente</w:t>
      </w:r>
      <w:r w:rsidR="00427F7C">
        <w:rPr>
          <w:rFonts w:ascii="Cambria" w:hAnsi="Cambria"/>
          <w:sz w:val="20"/>
          <w:szCs w:val="20"/>
          <w:lang w:val="pt-BR"/>
        </w:rPr>
        <w:t>,</w:t>
      </w:r>
      <w:r w:rsidR="00261BA0" w:rsidRPr="00261BA0">
        <w:rPr>
          <w:rFonts w:ascii="Cambria" w:hAnsi="Cambria"/>
          <w:sz w:val="20"/>
          <w:szCs w:val="20"/>
          <w:lang w:val="pt-BR"/>
        </w:rPr>
        <w:t xml:space="preserve"> em 22 de outubro de 2009.</w:t>
      </w:r>
      <w:r w:rsidR="00123292" w:rsidRPr="00261BA0">
        <w:rPr>
          <w:rFonts w:ascii="Cambria" w:hAnsi="Cambria"/>
          <w:sz w:val="20"/>
          <w:szCs w:val="20"/>
          <w:lang w:val="pt-BR"/>
        </w:rPr>
        <w:t xml:space="preserve"> </w:t>
      </w:r>
      <w:r w:rsidR="00261BA0">
        <w:rPr>
          <w:rFonts w:ascii="Cambria" w:hAnsi="Cambria"/>
          <w:sz w:val="20"/>
          <w:szCs w:val="20"/>
          <w:lang w:val="pt-BR"/>
        </w:rPr>
        <w:t>A</w:t>
      </w:r>
      <w:r w:rsidR="00035C7C" w:rsidRPr="00261BA0">
        <w:rPr>
          <w:rFonts w:ascii="Cambria" w:hAnsi="Cambria"/>
          <w:sz w:val="20"/>
          <w:szCs w:val="20"/>
          <w:lang w:val="pt-BR"/>
        </w:rPr>
        <w:t xml:space="preserve"> peticionária </w:t>
      </w:r>
      <w:r w:rsidR="00123292" w:rsidRPr="00261BA0">
        <w:rPr>
          <w:rFonts w:ascii="Cambria" w:hAnsi="Cambria"/>
          <w:sz w:val="20"/>
          <w:szCs w:val="20"/>
          <w:lang w:val="pt-BR"/>
        </w:rPr>
        <w:t xml:space="preserve">alega que em 14 de maio de 2010, </w:t>
      </w:r>
      <w:r w:rsidR="00035C7C" w:rsidRPr="00261BA0">
        <w:rPr>
          <w:rFonts w:ascii="Cambria" w:hAnsi="Cambria"/>
          <w:sz w:val="20"/>
          <w:szCs w:val="20"/>
          <w:lang w:val="pt-BR"/>
        </w:rPr>
        <w:t>junto à</w:t>
      </w:r>
      <w:r w:rsidR="00123292" w:rsidRPr="00261BA0">
        <w:rPr>
          <w:rFonts w:ascii="Cambria" w:hAnsi="Cambria"/>
          <w:sz w:val="20"/>
          <w:szCs w:val="20"/>
          <w:lang w:val="pt-BR"/>
        </w:rPr>
        <w:t xml:space="preserve"> Sra. Silva</w:t>
      </w:r>
      <w:r w:rsidR="00035C7C" w:rsidRPr="00261BA0">
        <w:rPr>
          <w:rFonts w:ascii="Cambria" w:hAnsi="Cambria"/>
          <w:sz w:val="20"/>
          <w:szCs w:val="20"/>
          <w:lang w:val="pt-BR"/>
        </w:rPr>
        <w:t>,</w:t>
      </w:r>
      <w:r w:rsidR="00123292" w:rsidRPr="00261BA0">
        <w:rPr>
          <w:rFonts w:ascii="Cambria" w:hAnsi="Cambria"/>
          <w:sz w:val="20"/>
          <w:szCs w:val="20"/>
          <w:lang w:val="pt-BR"/>
        </w:rPr>
        <w:t xml:space="preserve"> </w:t>
      </w:r>
      <w:r w:rsidR="00035C7C" w:rsidRPr="00261BA0">
        <w:rPr>
          <w:rFonts w:ascii="Cambria" w:hAnsi="Cambria"/>
          <w:sz w:val="20"/>
          <w:szCs w:val="20"/>
          <w:lang w:val="pt-BR"/>
        </w:rPr>
        <w:t>compareceu</w:t>
      </w:r>
      <w:r w:rsidR="00123292" w:rsidRPr="00261BA0">
        <w:rPr>
          <w:rFonts w:ascii="Cambria" w:hAnsi="Cambria"/>
          <w:sz w:val="20"/>
          <w:szCs w:val="20"/>
          <w:lang w:val="pt-BR"/>
        </w:rPr>
        <w:t xml:space="preserve"> à Delegacia de Polícia </w:t>
      </w:r>
      <w:r w:rsidR="00427F7C">
        <w:rPr>
          <w:rFonts w:ascii="Cambria" w:hAnsi="Cambria"/>
          <w:sz w:val="20"/>
          <w:szCs w:val="20"/>
          <w:lang w:val="pt-BR"/>
        </w:rPr>
        <w:t>onde</w:t>
      </w:r>
      <w:r w:rsidR="00035C7C" w:rsidRPr="00261BA0">
        <w:rPr>
          <w:rFonts w:ascii="Cambria" w:hAnsi="Cambria"/>
          <w:sz w:val="20"/>
          <w:szCs w:val="20"/>
          <w:lang w:val="pt-BR"/>
        </w:rPr>
        <w:t xml:space="preserve"> estava o inquérito policial e </w:t>
      </w:r>
      <w:r w:rsidR="00123292" w:rsidRPr="00261BA0">
        <w:rPr>
          <w:rFonts w:ascii="Cambria" w:hAnsi="Cambria"/>
          <w:sz w:val="20"/>
          <w:szCs w:val="20"/>
          <w:lang w:val="pt-BR"/>
        </w:rPr>
        <w:t>verificaram a inércia das autoridades em seguir com as investigações. Apenas nesse momento, foi tomado o depoimento da mãe da suposta vítima.</w:t>
      </w:r>
      <w:r w:rsidR="00035C7C" w:rsidRPr="00261BA0">
        <w:rPr>
          <w:rFonts w:ascii="Cambria" w:hAnsi="Cambria"/>
          <w:sz w:val="20"/>
          <w:szCs w:val="20"/>
          <w:lang w:val="pt-BR"/>
        </w:rPr>
        <w:t xml:space="preserve"> Alega que o novo prazo de 90 dias </w:t>
      </w:r>
      <w:r w:rsidR="00427F7C">
        <w:rPr>
          <w:rFonts w:ascii="Cambria" w:hAnsi="Cambria"/>
          <w:sz w:val="20"/>
          <w:szCs w:val="20"/>
          <w:lang w:val="pt-BR"/>
        </w:rPr>
        <w:t>autorizado</w:t>
      </w:r>
      <w:r w:rsidR="00035C7C" w:rsidRPr="00261BA0">
        <w:rPr>
          <w:rFonts w:ascii="Cambria" w:hAnsi="Cambria"/>
          <w:sz w:val="20"/>
          <w:szCs w:val="20"/>
          <w:lang w:val="pt-BR"/>
        </w:rPr>
        <w:t xml:space="preserve"> pela promotora </w:t>
      </w:r>
      <w:r w:rsidR="00427F7C">
        <w:rPr>
          <w:rFonts w:ascii="Cambria" w:hAnsi="Cambria"/>
          <w:sz w:val="20"/>
          <w:szCs w:val="20"/>
          <w:lang w:val="pt-BR"/>
        </w:rPr>
        <w:t>teria esgotado</w:t>
      </w:r>
      <w:r w:rsidR="00035C7C" w:rsidRPr="00261BA0">
        <w:rPr>
          <w:rFonts w:ascii="Cambria" w:hAnsi="Cambria"/>
          <w:sz w:val="20"/>
          <w:szCs w:val="20"/>
          <w:lang w:val="pt-BR"/>
        </w:rPr>
        <w:t xml:space="preserve"> sem que nenhuma diligência tivesse sido realizada.</w:t>
      </w:r>
      <w:r w:rsidR="00261BA0">
        <w:rPr>
          <w:rFonts w:ascii="Cambria" w:hAnsi="Cambria"/>
          <w:sz w:val="20"/>
          <w:szCs w:val="20"/>
          <w:lang w:val="pt-BR"/>
        </w:rPr>
        <w:t xml:space="preserve"> </w:t>
      </w:r>
      <w:r w:rsidR="00427F7C">
        <w:rPr>
          <w:rFonts w:ascii="Cambria" w:hAnsi="Cambria"/>
          <w:sz w:val="20"/>
          <w:szCs w:val="20"/>
          <w:lang w:val="pt-BR"/>
        </w:rPr>
        <w:t>Até</w:t>
      </w:r>
      <w:r w:rsidR="00006516">
        <w:rPr>
          <w:rFonts w:ascii="Cambria" w:hAnsi="Cambria"/>
          <w:sz w:val="20"/>
          <w:szCs w:val="20"/>
          <w:lang w:val="pt-BR"/>
        </w:rPr>
        <w:t xml:space="preserve"> a última consulta realizada, em 12 de abril de 2011, nenhuma diligência </w:t>
      </w:r>
      <w:r w:rsidR="00427F7C">
        <w:rPr>
          <w:rFonts w:ascii="Cambria" w:hAnsi="Cambria"/>
          <w:sz w:val="20"/>
          <w:szCs w:val="20"/>
          <w:lang w:val="pt-BR"/>
        </w:rPr>
        <w:t>teria sido</w:t>
      </w:r>
      <w:r w:rsidR="00006516">
        <w:rPr>
          <w:rFonts w:ascii="Cambria" w:hAnsi="Cambria"/>
          <w:sz w:val="20"/>
          <w:szCs w:val="20"/>
          <w:lang w:val="pt-BR"/>
        </w:rPr>
        <w:t xml:space="preserve"> tomada pelo Estado.</w:t>
      </w:r>
      <w:r w:rsidR="00261BA0">
        <w:rPr>
          <w:rFonts w:ascii="Cambria" w:hAnsi="Cambria"/>
          <w:sz w:val="20"/>
          <w:szCs w:val="20"/>
          <w:lang w:val="pt-BR"/>
        </w:rPr>
        <w:t xml:space="preserve"> </w:t>
      </w:r>
    </w:p>
    <w:p w14:paraId="7E7A2E22" w14:textId="4733B3AE" w:rsidR="00006516" w:rsidRDefault="00006516" w:rsidP="004E6A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Paralelamente à investigação policial, a peticionária afirma que foi iniciada uma Ação de Responsabilidade Civil por Dano Materiais e Morais contra o Estado do Rio de Janeiro, ajuizada em setembro de 2008 pela Sra. Silva, por meio do Núcleo de Direitos Humanos da DPE/RJ. Informa que em 28 de outubro de 2009, o Estado ofereceu contestação, negando o nexo de causalidade entre a atuação dos seus agentes e os danos sofridos pela mãe da suposta vítima.</w:t>
      </w:r>
      <w:r w:rsidR="004517BC">
        <w:rPr>
          <w:rFonts w:ascii="Cambria" w:hAnsi="Cambria"/>
          <w:sz w:val="20"/>
          <w:szCs w:val="20"/>
          <w:lang w:val="pt-BR"/>
        </w:rPr>
        <w:t xml:space="preserve"> Afirma que</w:t>
      </w:r>
      <w:r w:rsidR="001748F1">
        <w:rPr>
          <w:rFonts w:ascii="Cambria" w:hAnsi="Cambria"/>
          <w:sz w:val="20"/>
          <w:szCs w:val="20"/>
          <w:lang w:val="pt-BR"/>
        </w:rPr>
        <w:t>,</w:t>
      </w:r>
      <w:r w:rsidR="004517BC">
        <w:rPr>
          <w:rFonts w:ascii="Cambria" w:hAnsi="Cambria"/>
          <w:sz w:val="20"/>
          <w:szCs w:val="20"/>
          <w:lang w:val="pt-BR"/>
        </w:rPr>
        <w:t xml:space="preserve"> desde então, o processo encontra-se parado.</w:t>
      </w:r>
    </w:p>
    <w:p w14:paraId="4D3593A4" w14:textId="70BC13C8" w:rsidR="00B54831" w:rsidRDefault="00B54831" w:rsidP="007638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 xml:space="preserve">O Estado, </w:t>
      </w:r>
      <w:r w:rsidR="00F35BD0">
        <w:rPr>
          <w:rFonts w:ascii="Cambria" w:hAnsi="Cambria"/>
          <w:sz w:val="20"/>
          <w:szCs w:val="20"/>
          <w:lang w:val="pt-BR"/>
        </w:rPr>
        <w:t>contudo</w:t>
      </w:r>
      <w:r>
        <w:rPr>
          <w:rFonts w:ascii="Cambria" w:hAnsi="Cambria"/>
          <w:sz w:val="20"/>
          <w:szCs w:val="20"/>
          <w:lang w:val="pt-BR"/>
        </w:rPr>
        <w:t xml:space="preserve">, afirma que a peticionária não apresenta provas de que os responsáveis pela morte da suposta vítima </w:t>
      </w:r>
      <w:r w:rsidR="00F35BD0">
        <w:rPr>
          <w:rFonts w:ascii="Cambria" w:hAnsi="Cambria"/>
          <w:sz w:val="20"/>
          <w:szCs w:val="20"/>
          <w:lang w:val="pt-BR"/>
        </w:rPr>
        <w:t>são, de fato,</w:t>
      </w:r>
      <w:r>
        <w:rPr>
          <w:rFonts w:ascii="Cambria" w:hAnsi="Cambria"/>
          <w:sz w:val="20"/>
          <w:szCs w:val="20"/>
          <w:lang w:val="pt-BR"/>
        </w:rPr>
        <w:t xml:space="preserve"> agente estatais. Para o Estado não há, </w:t>
      </w:r>
      <w:r w:rsidR="00CA67DB">
        <w:rPr>
          <w:rFonts w:ascii="Cambria" w:hAnsi="Cambria"/>
          <w:sz w:val="20"/>
          <w:szCs w:val="20"/>
          <w:lang w:val="pt-BR"/>
        </w:rPr>
        <w:t>dessa forma</w:t>
      </w:r>
      <w:r>
        <w:rPr>
          <w:rFonts w:ascii="Cambria" w:hAnsi="Cambria"/>
          <w:sz w:val="20"/>
          <w:szCs w:val="20"/>
          <w:lang w:val="pt-BR"/>
        </w:rPr>
        <w:t>, caracterização do crime de tortura por falta de prova que qualifique o agente ativo requerido</w:t>
      </w:r>
      <w:r w:rsidR="00CA67DB">
        <w:rPr>
          <w:rFonts w:ascii="Cambria" w:hAnsi="Cambria"/>
          <w:sz w:val="20"/>
          <w:szCs w:val="20"/>
          <w:lang w:val="pt-BR"/>
        </w:rPr>
        <w:t xml:space="preserve"> pelo tipo</w:t>
      </w:r>
      <w:r>
        <w:rPr>
          <w:rFonts w:ascii="Cambria" w:hAnsi="Cambria"/>
          <w:sz w:val="20"/>
          <w:szCs w:val="20"/>
          <w:lang w:val="pt-BR"/>
        </w:rPr>
        <w:t xml:space="preserve"> e tampouco há nexo de causalidade entre a morte da suposta vítima e o superencarceramento da população, a banalização da prisão provisória e a necessidade de fortalecimento das Defensorias Públicas</w:t>
      </w:r>
      <w:r w:rsidR="00CA67DB">
        <w:rPr>
          <w:rFonts w:ascii="Cambria" w:hAnsi="Cambria"/>
          <w:sz w:val="20"/>
          <w:szCs w:val="20"/>
          <w:lang w:val="pt-BR"/>
        </w:rPr>
        <w:t>, conforme postula a peticionária</w:t>
      </w:r>
      <w:r>
        <w:rPr>
          <w:rFonts w:ascii="Cambria" w:hAnsi="Cambria"/>
          <w:sz w:val="20"/>
          <w:szCs w:val="20"/>
          <w:lang w:val="pt-BR"/>
        </w:rPr>
        <w:t>. No que se refere à pretensão de reparação econômica da família d</w:t>
      </w:r>
      <w:r w:rsidR="00CA67DB">
        <w:rPr>
          <w:rFonts w:ascii="Cambria" w:hAnsi="Cambria"/>
          <w:sz w:val="20"/>
          <w:szCs w:val="20"/>
          <w:lang w:val="pt-BR"/>
        </w:rPr>
        <w:t>o Sr. Silva</w:t>
      </w:r>
      <w:r>
        <w:rPr>
          <w:rFonts w:ascii="Cambria" w:hAnsi="Cambria"/>
          <w:sz w:val="20"/>
          <w:szCs w:val="20"/>
          <w:lang w:val="pt-BR"/>
        </w:rPr>
        <w:t xml:space="preserve">, </w:t>
      </w:r>
      <w:r w:rsidR="00CA67DB">
        <w:rPr>
          <w:rFonts w:ascii="Cambria" w:hAnsi="Cambria"/>
          <w:sz w:val="20"/>
          <w:szCs w:val="20"/>
          <w:lang w:val="pt-BR"/>
        </w:rPr>
        <w:t>ressalta</w:t>
      </w:r>
      <w:r>
        <w:rPr>
          <w:rFonts w:ascii="Cambria" w:hAnsi="Cambria"/>
          <w:sz w:val="20"/>
          <w:szCs w:val="20"/>
          <w:lang w:val="pt-BR"/>
        </w:rPr>
        <w:t xml:space="preserve"> que os recursos internos não foram esgotados, tendo em vista que o ajuizamento de ação civil de indenização não depende da conclusão de investigações e processos penais.</w:t>
      </w:r>
    </w:p>
    <w:p w14:paraId="0E7169F3" w14:textId="6509843E" w:rsidR="007638B5" w:rsidRPr="007638B5" w:rsidRDefault="00CA67DB" w:rsidP="007638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Ademais, alega</w:t>
      </w:r>
      <w:r w:rsidR="004517BC">
        <w:rPr>
          <w:rFonts w:ascii="Cambria" w:hAnsi="Cambria"/>
          <w:sz w:val="20"/>
          <w:szCs w:val="20"/>
          <w:lang w:val="pt-BR"/>
        </w:rPr>
        <w:t xml:space="preserve"> que </w:t>
      </w:r>
      <w:r w:rsidR="0089741F">
        <w:rPr>
          <w:rFonts w:ascii="Cambria" w:hAnsi="Cambria"/>
          <w:sz w:val="20"/>
          <w:szCs w:val="20"/>
          <w:lang w:val="pt-BR"/>
        </w:rPr>
        <w:t xml:space="preserve">a Comissão não tem competência </w:t>
      </w:r>
      <w:r w:rsidR="0089741F">
        <w:rPr>
          <w:rFonts w:ascii="Cambria" w:hAnsi="Cambria"/>
          <w:i/>
          <w:sz w:val="20"/>
          <w:szCs w:val="20"/>
          <w:lang w:val="pt-BR"/>
        </w:rPr>
        <w:t>ratione materiae</w:t>
      </w:r>
      <w:r w:rsidR="0089741F">
        <w:rPr>
          <w:rFonts w:ascii="Cambria" w:hAnsi="Cambria"/>
          <w:sz w:val="20"/>
          <w:szCs w:val="20"/>
          <w:lang w:val="pt-BR"/>
        </w:rPr>
        <w:t xml:space="preserve"> em relação às alegadas violações </w:t>
      </w:r>
      <w:r w:rsidR="007A0506">
        <w:rPr>
          <w:rFonts w:ascii="Cambria" w:hAnsi="Cambria"/>
          <w:sz w:val="20"/>
          <w:szCs w:val="20"/>
          <w:lang w:val="pt-BR"/>
        </w:rPr>
        <w:t>da</w:t>
      </w:r>
      <w:r w:rsidR="0089741F">
        <w:rPr>
          <w:rFonts w:ascii="Cambria" w:hAnsi="Cambria"/>
          <w:sz w:val="20"/>
          <w:szCs w:val="20"/>
          <w:lang w:val="pt-BR"/>
        </w:rPr>
        <w:t xml:space="preserve"> Convenção Interamericana para Prevenir e Punir a Tortura.</w:t>
      </w:r>
      <w:r w:rsidR="007A0506">
        <w:rPr>
          <w:rFonts w:ascii="Cambria" w:hAnsi="Cambria"/>
          <w:sz w:val="20"/>
          <w:szCs w:val="20"/>
          <w:lang w:val="pt-BR"/>
        </w:rPr>
        <w:t xml:space="preserve"> Ressalta </w:t>
      </w:r>
      <w:r>
        <w:rPr>
          <w:rFonts w:ascii="Cambria" w:hAnsi="Cambria"/>
          <w:sz w:val="20"/>
          <w:szCs w:val="20"/>
          <w:lang w:val="pt-BR"/>
        </w:rPr>
        <w:t xml:space="preserve">que </w:t>
      </w:r>
      <w:r w:rsidR="007A0506">
        <w:rPr>
          <w:rFonts w:ascii="Cambria" w:hAnsi="Cambria"/>
          <w:sz w:val="20"/>
          <w:szCs w:val="20"/>
          <w:lang w:val="pt-BR"/>
        </w:rPr>
        <w:t xml:space="preserve">embora tenha se obrigado a adotar medidas efetivas para prevenir e punir e tortura conforme previsto no artigo 1º do mencionado tratado, </w:t>
      </w:r>
      <w:r w:rsidR="007A0506" w:rsidRPr="007A0506">
        <w:rPr>
          <w:rFonts w:ascii="Cambria" w:hAnsi="Cambria"/>
          <w:sz w:val="20"/>
          <w:szCs w:val="20"/>
          <w:lang w:val="pt-BR"/>
        </w:rPr>
        <w:t xml:space="preserve">o Brasil apenas reconheceu a competência dos órgãos do sistema interamericano em relação à Convenção Americana. </w:t>
      </w:r>
      <w:r>
        <w:rPr>
          <w:rFonts w:ascii="Cambria" w:hAnsi="Cambria"/>
          <w:sz w:val="20"/>
          <w:szCs w:val="20"/>
          <w:lang w:val="pt-BR"/>
        </w:rPr>
        <w:t>Ainda, alega</w:t>
      </w:r>
      <w:r w:rsidR="007638B5">
        <w:rPr>
          <w:rFonts w:ascii="Cambria" w:hAnsi="Cambria"/>
          <w:sz w:val="20"/>
          <w:szCs w:val="20"/>
          <w:lang w:val="pt-BR"/>
        </w:rPr>
        <w:t xml:space="preserve"> que </w:t>
      </w:r>
      <w:r w:rsidR="00B54831">
        <w:rPr>
          <w:rFonts w:ascii="Cambria" w:hAnsi="Cambria"/>
          <w:sz w:val="20"/>
          <w:szCs w:val="20"/>
          <w:lang w:val="pt-BR"/>
        </w:rPr>
        <w:t>alguns dos pleitos apresentados pela peticionária relacionados às garantias de não repetição devem ser apreciados de modo a respeitar a margem de discricionariedade das autoridades nacionais competentes no desenvolvimento de políticas públicas. Inclusive, informa o Estado que diversas das demandas apresentadas pela peticionária já fazem parte de políticas públicas, como, por exemplo, as audiências de custódia e o Sistema Nacional de Prevenção e Combate à Tortura.</w:t>
      </w:r>
    </w:p>
    <w:p w14:paraId="6F4D4171" w14:textId="7761DC48" w:rsidR="003239B8" w:rsidRPr="00A75CC3" w:rsidRDefault="003239B8" w:rsidP="003239B8">
      <w:pPr>
        <w:spacing w:before="240" w:after="240"/>
        <w:ind w:firstLine="720"/>
        <w:jc w:val="both"/>
        <w:rPr>
          <w:rFonts w:ascii="Cambria" w:hAnsi="Cambria"/>
          <w:sz w:val="20"/>
          <w:szCs w:val="20"/>
          <w:lang w:val="pt-BR"/>
        </w:rPr>
      </w:pPr>
      <w:r w:rsidRPr="00A75CC3">
        <w:rPr>
          <w:rFonts w:asciiTheme="majorHAnsi" w:eastAsia="Cambria" w:hAnsiTheme="majorHAnsi" w:cs="Cambria"/>
          <w:b/>
          <w:bCs/>
          <w:color w:val="000000"/>
          <w:sz w:val="20"/>
          <w:szCs w:val="20"/>
          <w:u w:color="000000"/>
          <w:lang w:val="pt-BR" w:eastAsia="es-ES"/>
        </w:rPr>
        <w:t>VI.</w:t>
      </w:r>
      <w:r w:rsidRPr="00A75CC3">
        <w:rPr>
          <w:rFonts w:asciiTheme="majorHAnsi" w:eastAsia="Cambria" w:hAnsiTheme="majorHAnsi" w:cs="Cambria"/>
          <w:b/>
          <w:bCs/>
          <w:color w:val="000000"/>
          <w:sz w:val="20"/>
          <w:szCs w:val="20"/>
          <w:u w:color="000000"/>
          <w:lang w:val="pt-BR" w:eastAsia="es-ES"/>
        </w:rPr>
        <w:tab/>
      </w:r>
      <w:r w:rsidR="00D21316" w:rsidRPr="00A75CC3">
        <w:rPr>
          <w:rFonts w:asciiTheme="majorHAnsi" w:hAnsiTheme="majorHAnsi"/>
          <w:b/>
          <w:bCs/>
          <w:sz w:val="20"/>
          <w:szCs w:val="20"/>
          <w:lang w:val="pt-BR"/>
        </w:rPr>
        <w:t>ANÁLISE</w:t>
      </w:r>
      <w:r w:rsidR="004A6A54" w:rsidRPr="00A75CC3">
        <w:rPr>
          <w:rFonts w:asciiTheme="majorHAnsi" w:hAnsiTheme="majorHAnsi"/>
          <w:b/>
          <w:bCs/>
          <w:sz w:val="20"/>
          <w:szCs w:val="20"/>
          <w:lang w:val="pt-BR"/>
        </w:rPr>
        <w:t xml:space="preserve"> DE </w:t>
      </w:r>
      <w:r w:rsidR="00D21316" w:rsidRPr="00A75CC3">
        <w:rPr>
          <w:rFonts w:asciiTheme="majorHAnsi" w:hAnsiTheme="majorHAnsi"/>
          <w:b/>
          <w:sz w:val="20"/>
          <w:szCs w:val="20"/>
          <w:lang w:val="pt-BR"/>
        </w:rPr>
        <w:t>ESGOTAM</w:t>
      </w:r>
      <w:r w:rsidR="00C21FEF" w:rsidRPr="00A75CC3">
        <w:rPr>
          <w:rFonts w:asciiTheme="majorHAnsi" w:hAnsiTheme="majorHAnsi"/>
          <w:b/>
          <w:sz w:val="20"/>
          <w:szCs w:val="20"/>
          <w:lang w:val="pt-BR"/>
        </w:rPr>
        <w:t xml:space="preserve">ENTO </w:t>
      </w:r>
      <w:r w:rsidR="00D21316" w:rsidRPr="00A75CC3">
        <w:rPr>
          <w:rFonts w:asciiTheme="majorHAnsi" w:hAnsiTheme="majorHAnsi"/>
          <w:b/>
          <w:sz w:val="20"/>
          <w:szCs w:val="20"/>
          <w:lang w:val="pt-BR"/>
        </w:rPr>
        <w:t>DOS</w:t>
      </w:r>
      <w:r w:rsidR="00C21FEF" w:rsidRPr="00A75CC3">
        <w:rPr>
          <w:rFonts w:asciiTheme="majorHAnsi" w:hAnsiTheme="majorHAnsi"/>
          <w:b/>
          <w:sz w:val="20"/>
          <w:szCs w:val="20"/>
          <w:lang w:val="pt-BR"/>
        </w:rPr>
        <w:t xml:space="preserve"> RECURSOS INTERNOS</w:t>
      </w:r>
      <w:r w:rsidR="00D21316" w:rsidRPr="00A75CC3">
        <w:rPr>
          <w:rFonts w:asciiTheme="majorHAnsi" w:hAnsiTheme="majorHAnsi"/>
          <w:b/>
          <w:sz w:val="20"/>
          <w:szCs w:val="20"/>
          <w:lang w:val="pt-BR"/>
        </w:rPr>
        <w:t xml:space="preserve"> E PR</w:t>
      </w:r>
      <w:r w:rsidR="00C21FEF" w:rsidRPr="00A75CC3">
        <w:rPr>
          <w:rFonts w:asciiTheme="majorHAnsi" w:hAnsiTheme="majorHAnsi"/>
          <w:b/>
          <w:sz w:val="20"/>
          <w:szCs w:val="20"/>
          <w:lang w:val="pt-BR"/>
        </w:rPr>
        <w:t xml:space="preserve">AZO DE </w:t>
      </w:r>
      <w:r w:rsidR="00D21316" w:rsidRPr="00A75CC3">
        <w:rPr>
          <w:rFonts w:asciiTheme="majorHAnsi" w:hAnsiTheme="majorHAnsi"/>
          <w:b/>
          <w:sz w:val="20"/>
          <w:szCs w:val="20"/>
          <w:lang w:val="pt-BR"/>
        </w:rPr>
        <w:t>APRESENTAÇÃO</w:t>
      </w:r>
      <w:r w:rsidR="00C21FEF" w:rsidRPr="00A75CC3">
        <w:rPr>
          <w:rFonts w:asciiTheme="majorHAnsi" w:eastAsia="Cambria" w:hAnsiTheme="majorHAnsi" w:cs="Cambria"/>
          <w:b/>
          <w:bCs/>
          <w:color w:val="000000"/>
          <w:sz w:val="20"/>
          <w:szCs w:val="20"/>
          <w:u w:color="000000"/>
          <w:lang w:val="pt-BR" w:eastAsia="es-ES"/>
        </w:rPr>
        <w:t xml:space="preserve"> </w:t>
      </w:r>
    </w:p>
    <w:p w14:paraId="148AEBB5" w14:textId="346B4A77" w:rsidR="00CA7541" w:rsidRPr="00CA67DB" w:rsidRDefault="00006516" w:rsidP="008719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CA67DB">
        <w:rPr>
          <w:rFonts w:ascii="Cambria" w:hAnsi="Cambria"/>
          <w:sz w:val="20"/>
          <w:szCs w:val="20"/>
          <w:lang w:val="pt-BR"/>
        </w:rPr>
        <w:t xml:space="preserve">Em relação </w:t>
      </w:r>
      <w:r w:rsidR="004517BC" w:rsidRPr="00CA67DB">
        <w:rPr>
          <w:rFonts w:ascii="Cambria" w:hAnsi="Cambria"/>
          <w:sz w:val="20"/>
          <w:szCs w:val="20"/>
          <w:lang w:val="pt-BR"/>
        </w:rPr>
        <w:t xml:space="preserve">à investigação dos fatos e a ação </w:t>
      </w:r>
      <w:r w:rsidR="00CA67DB" w:rsidRPr="00CA67DB">
        <w:rPr>
          <w:rFonts w:ascii="Cambria" w:hAnsi="Cambria"/>
          <w:sz w:val="20"/>
          <w:szCs w:val="20"/>
          <w:lang w:val="pt-BR"/>
        </w:rPr>
        <w:t>civil</w:t>
      </w:r>
      <w:r w:rsidR="004517BC" w:rsidRPr="00CA67DB">
        <w:rPr>
          <w:rFonts w:ascii="Cambria" w:hAnsi="Cambria"/>
          <w:sz w:val="20"/>
          <w:szCs w:val="20"/>
          <w:lang w:val="pt-BR"/>
        </w:rPr>
        <w:t xml:space="preserve"> de indenização, </w:t>
      </w:r>
      <w:r w:rsidRPr="00CA67DB">
        <w:rPr>
          <w:rFonts w:ascii="Cambria" w:hAnsi="Cambria"/>
          <w:sz w:val="20"/>
          <w:szCs w:val="20"/>
          <w:lang w:val="pt-BR"/>
        </w:rPr>
        <w:t xml:space="preserve">a peticionária pugna pela aplicação da exceção ao esgotamento dos recursos </w:t>
      </w:r>
      <w:r w:rsidRPr="002A1B95">
        <w:rPr>
          <w:rFonts w:ascii="Cambria" w:hAnsi="Cambria"/>
          <w:sz w:val="20"/>
          <w:szCs w:val="20"/>
          <w:lang w:val="pt-BR"/>
        </w:rPr>
        <w:t xml:space="preserve">internos previsto no artigo 46.2.c da Convenção Americana, tendo em vista </w:t>
      </w:r>
      <w:r w:rsidR="004517BC" w:rsidRPr="002A1B95">
        <w:rPr>
          <w:rFonts w:ascii="Cambria" w:hAnsi="Cambria"/>
          <w:sz w:val="20"/>
          <w:szCs w:val="20"/>
          <w:lang w:val="pt-BR"/>
        </w:rPr>
        <w:t xml:space="preserve">que cinco anos teriam se passado desde os fatos, </w:t>
      </w:r>
      <w:r w:rsidR="00CA67DB" w:rsidRPr="002A1B95">
        <w:rPr>
          <w:rFonts w:ascii="Cambria" w:hAnsi="Cambria"/>
          <w:sz w:val="20"/>
          <w:szCs w:val="20"/>
          <w:lang w:val="pt-BR"/>
        </w:rPr>
        <w:t>caracterizando a</w:t>
      </w:r>
      <w:r w:rsidR="004517BC" w:rsidRPr="002A1B95">
        <w:rPr>
          <w:rFonts w:ascii="Cambria" w:hAnsi="Cambria"/>
          <w:sz w:val="20"/>
          <w:szCs w:val="20"/>
          <w:lang w:val="pt-BR"/>
        </w:rPr>
        <w:t xml:space="preserve"> total inércia do Estado </w:t>
      </w:r>
      <w:r w:rsidR="009E6C70" w:rsidRPr="002A1B95">
        <w:rPr>
          <w:rFonts w:ascii="Cambria" w:hAnsi="Cambria"/>
          <w:sz w:val="20"/>
          <w:szCs w:val="20"/>
          <w:lang w:val="pt-BR"/>
        </w:rPr>
        <w:t>nas investigações</w:t>
      </w:r>
      <w:r w:rsidR="004517BC" w:rsidRPr="002A1B95">
        <w:rPr>
          <w:rFonts w:ascii="Cambria" w:hAnsi="Cambria"/>
          <w:sz w:val="20"/>
          <w:szCs w:val="20"/>
          <w:lang w:val="pt-BR"/>
        </w:rPr>
        <w:t xml:space="preserve"> e no prosseguimento da ação </w:t>
      </w:r>
      <w:r w:rsidR="00CA67DB" w:rsidRPr="002A1B95">
        <w:rPr>
          <w:rFonts w:ascii="Cambria" w:hAnsi="Cambria"/>
          <w:sz w:val="20"/>
          <w:szCs w:val="20"/>
          <w:lang w:val="pt-BR"/>
        </w:rPr>
        <w:t>civil</w:t>
      </w:r>
      <w:r w:rsidR="004517BC" w:rsidRPr="002A1B95">
        <w:rPr>
          <w:rFonts w:ascii="Cambria" w:hAnsi="Cambria"/>
          <w:sz w:val="20"/>
          <w:szCs w:val="20"/>
          <w:lang w:val="pt-BR"/>
        </w:rPr>
        <w:t>.</w:t>
      </w:r>
      <w:r w:rsidR="001B7B5A" w:rsidRPr="002A1B95">
        <w:rPr>
          <w:rFonts w:ascii="Cambria" w:hAnsi="Cambria"/>
          <w:sz w:val="20"/>
          <w:szCs w:val="20"/>
          <w:lang w:val="pt-BR"/>
        </w:rPr>
        <w:t xml:space="preserve"> Ademais, afirma que a peti</w:t>
      </w:r>
      <w:r w:rsidR="002A1B95" w:rsidRPr="002A1B95">
        <w:rPr>
          <w:rFonts w:ascii="Cambria" w:hAnsi="Cambria"/>
          <w:sz w:val="20"/>
          <w:szCs w:val="20"/>
          <w:lang w:val="pt-BR"/>
        </w:rPr>
        <w:t>ção</w:t>
      </w:r>
      <w:r w:rsidR="001B7B5A" w:rsidRPr="002A1B95">
        <w:rPr>
          <w:rFonts w:ascii="Cambria" w:hAnsi="Cambria"/>
          <w:sz w:val="20"/>
          <w:szCs w:val="20"/>
          <w:lang w:val="pt-BR"/>
        </w:rPr>
        <w:t xml:space="preserve"> foi apresentada em prazo razoável, tendo em vista que a investiga</w:t>
      </w:r>
      <w:r w:rsidR="002A1B95" w:rsidRPr="002A1B95">
        <w:rPr>
          <w:rFonts w:ascii="Cambria" w:hAnsi="Cambria"/>
          <w:sz w:val="20"/>
          <w:szCs w:val="20"/>
          <w:lang w:val="pt-BR"/>
        </w:rPr>
        <w:t>ção</w:t>
      </w:r>
      <w:r w:rsidR="001B7B5A" w:rsidRPr="002A1B95">
        <w:rPr>
          <w:rFonts w:ascii="Cambria" w:hAnsi="Cambria"/>
          <w:sz w:val="20"/>
          <w:szCs w:val="20"/>
          <w:lang w:val="pt-BR"/>
        </w:rPr>
        <w:t xml:space="preserve"> estava, ao momento da apresent</w:t>
      </w:r>
      <w:r w:rsidR="002A1B95" w:rsidRPr="002A1B95">
        <w:rPr>
          <w:rFonts w:ascii="Cambria" w:hAnsi="Cambria"/>
          <w:sz w:val="20"/>
          <w:szCs w:val="20"/>
          <w:lang w:val="pt-BR"/>
        </w:rPr>
        <w:t>ação</w:t>
      </w:r>
      <w:r w:rsidR="001B7B5A" w:rsidRPr="002A1B95">
        <w:rPr>
          <w:rFonts w:ascii="Cambria" w:hAnsi="Cambria"/>
          <w:sz w:val="20"/>
          <w:szCs w:val="20"/>
          <w:lang w:val="pt-BR"/>
        </w:rPr>
        <w:t xml:space="preserve"> da petic</w:t>
      </w:r>
      <w:r w:rsidR="002A1B95" w:rsidRPr="002A1B95">
        <w:rPr>
          <w:rFonts w:ascii="Cambria" w:hAnsi="Cambria"/>
          <w:sz w:val="20"/>
          <w:szCs w:val="20"/>
          <w:lang w:val="pt-BR"/>
        </w:rPr>
        <w:t>ção</w:t>
      </w:r>
      <w:r w:rsidR="001B7B5A" w:rsidRPr="002A1B95">
        <w:rPr>
          <w:rFonts w:ascii="Cambria" w:hAnsi="Cambria"/>
          <w:sz w:val="20"/>
          <w:szCs w:val="20"/>
          <w:lang w:val="pt-BR"/>
        </w:rPr>
        <w:t xml:space="preserve"> </w:t>
      </w:r>
      <w:r w:rsidR="002A1B95" w:rsidRPr="002A1B95">
        <w:rPr>
          <w:rFonts w:ascii="Cambria" w:hAnsi="Cambria"/>
          <w:sz w:val="20"/>
          <w:szCs w:val="20"/>
          <w:lang w:val="pt-BR"/>
        </w:rPr>
        <w:t>a</w:t>
      </w:r>
      <w:r w:rsidR="001B7B5A" w:rsidRPr="002A1B95">
        <w:rPr>
          <w:rFonts w:ascii="Cambria" w:hAnsi="Cambria"/>
          <w:sz w:val="20"/>
          <w:szCs w:val="20"/>
          <w:lang w:val="pt-BR"/>
        </w:rPr>
        <w:t xml:space="preserve"> CIDH, estagnada   </w:t>
      </w:r>
      <w:r w:rsidR="00CA67DB" w:rsidRPr="002A1B95">
        <w:rPr>
          <w:rFonts w:ascii="Cambria" w:hAnsi="Cambria"/>
          <w:sz w:val="20"/>
          <w:szCs w:val="20"/>
          <w:lang w:val="pt-BR"/>
        </w:rPr>
        <w:t xml:space="preserve"> </w:t>
      </w:r>
      <w:r w:rsidR="00CA7541" w:rsidRPr="00CA67DB">
        <w:rPr>
          <w:rFonts w:ascii="Cambria" w:hAnsi="Cambria"/>
          <w:sz w:val="20"/>
          <w:szCs w:val="20"/>
          <w:lang w:val="pt-BR"/>
        </w:rPr>
        <w:t xml:space="preserve">O Estado, </w:t>
      </w:r>
      <w:r w:rsidR="00237A10" w:rsidRPr="00CA67DB">
        <w:rPr>
          <w:rFonts w:ascii="Cambria" w:hAnsi="Cambria"/>
          <w:sz w:val="20"/>
          <w:szCs w:val="20"/>
          <w:lang w:val="pt-BR"/>
        </w:rPr>
        <w:t>por outro lado</w:t>
      </w:r>
      <w:r w:rsidR="00CA7541" w:rsidRPr="00CA67DB">
        <w:rPr>
          <w:rFonts w:ascii="Cambria" w:hAnsi="Cambria"/>
          <w:sz w:val="20"/>
          <w:szCs w:val="20"/>
          <w:lang w:val="pt-BR"/>
        </w:rPr>
        <w:t>, afirma que não foi observado o prazo de seis meses previsto no artigo 46.1.b da Convenção Americana</w:t>
      </w:r>
      <w:r w:rsidR="0089741F" w:rsidRPr="00CA67DB">
        <w:rPr>
          <w:rFonts w:ascii="Cambria" w:hAnsi="Cambria"/>
          <w:sz w:val="20"/>
          <w:szCs w:val="20"/>
          <w:lang w:val="pt-BR"/>
        </w:rPr>
        <w:t xml:space="preserve">, uma vez que a peticionária demorou 4 anos e 10 meses </w:t>
      </w:r>
      <w:r w:rsidR="00237A10" w:rsidRPr="00CA67DB">
        <w:rPr>
          <w:rFonts w:ascii="Cambria" w:hAnsi="Cambria"/>
          <w:sz w:val="20"/>
          <w:szCs w:val="20"/>
          <w:lang w:val="pt-BR"/>
        </w:rPr>
        <w:t xml:space="preserve">contados da data dos fatos </w:t>
      </w:r>
      <w:r w:rsidR="0089741F" w:rsidRPr="00CA67DB">
        <w:rPr>
          <w:rFonts w:ascii="Cambria" w:hAnsi="Cambria"/>
          <w:sz w:val="20"/>
          <w:szCs w:val="20"/>
          <w:lang w:val="pt-BR"/>
        </w:rPr>
        <w:t>para apresentar a petição à Comissão</w:t>
      </w:r>
      <w:r w:rsidR="00CA67DB">
        <w:rPr>
          <w:rFonts w:ascii="Cambria" w:hAnsi="Cambria"/>
          <w:sz w:val="20"/>
          <w:szCs w:val="20"/>
          <w:lang w:val="pt-BR"/>
        </w:rPr>
        <w:t xml:space="preserve">. </w:t>
      </w:r>
      <w:r w:rsidR="00237A10" w:rsidRPr="00CA67DB">
        <w:rPr>
          <w:rFonts w:ascii="Cambria" w:hAnsi="Cambria"/>
          <w:sz w:val="20"/>
          <w:szCs w:val="20"/>
          <w:lang w:val="pt-BR"/>
        </w:rPr>
        <w:t xml:space="preserve">Ainda, afirma que os recursos internos não foram esgotados em relação à ação </w:t>
      </w:r>
      <w:r w:rsidR="00CA67DB">
        <w:rPr>
          <w:rFonts w:ascii="Cambria" w:hAnsi="Cambria"/>
          <w:sz w:val="20"/>
          <w:szCs w:val="20"/>
          <w:lang w:val="pt-BR"/>
        </w:rPr>
        <w:t>civil</w:t>
      </w:r>
      <w:r w:rsidR="00237A10" w:rsidRPr="00CA67DB">
        <w:rPr>
          <w:rFonts w:ascii="Cambria" w:hAnsi="Cambria"/>
          <w:sz w:val="20"/>
          <w:szCs w:val="20"/>
          <w:lang w:val="pt-BR"/>
        </w:rPr>
        <w:t xml:space="preserve"> de indenização, considerando que tal demanda foi apresentada pela </w:t>
      </w:r>
      <w:r w:rsidR="00CA67DB">
        <w:rPr>
          <w:rFonts w:ascii="Cambria" w:hAnsi="Cambria"/>
          <w:sz w:val="20"/>
          <w:szCs w:val="20"/>
          <w:lang w:val="pt-BR"/>
        </w:rPr>
        <w:t>DPE/RJ</w:t>
      </w:r>
      <w:r w:rsidR="00237A10" w:rsidRPr="00CA67DB">
        <w:rPr>
          <w:rFonts w:ascii="Cambria" w:hAnsi="Cambria"/>
          <w:sz w:val="20"/>
          <w:szCs w:val="20"/>
          <w:lang w:val="pt-BR"/>
        </w:rPr>
        <w:t xml:space="preserve">, o que prova que as normas brasileiras garantem os recursos internos adequados e efetivos </w:t>
      </w:r>
      <w:r w:rsidR="00CA67DB">
        <w:rPr>
          <w:rFonts w:ascii="Cambria" w:hAnsi="Cambria"/>
          <w:sz w:val="20"/>
          <w:szCs w:val="20"/>
          <w:lang w:val="pt-BR"/>
        </w:rPr>
        <w:t>à</w:t>
      </w:r>
      <w:r w:rsidR="00237A10" w:rsidRPr="00CA67DB">
        <w:rPr>
          <w:rFonts w:ascii="Cambria" w:hAnsi="Cambria"/>
          <w:sz w:val="20"/>
          <w:szCs w:val="20"/>
          <w:lang w:val="pt-BR"/>
        </w:rPr>
        <w:t xml:space="preserve"> obtenção de reparação pecuniária em casos como o presente.</w:t>
      </w:r>
    </w:p>
    <w:p w14:paraId="746C81F2" w14:textId="6D3CEDD7" w:rsidR="009620F5" w:rsidRPr="00AE3BC8" w:rsidRDefault="009F0CD4" w:rsidP="00AE3B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9F0CD4">
        <w:rPr>
          <w:rFonts w:ascii="Cambria" w:hAnsi="Cambria"/>
          <w:sz w:val="20"/>
          <w:szCs w:val="20"/>
          <w:lang w:val="pt-BR"/>
        </w:rPr>
        <w:t xml:space="preserve">Em relação ao esgotamento dos recursos internos, a Comissão observa que as alegações de tortura foram colocadas em conhecimento de autoridades e que até a presente data, as investigações não foram iniciadas. Assim, a Comissão conclui pela aplicação da exceção ao esgotamento dos recursos internos prevista </w:t>
      </w:r>
      <w:r w:rsidRPr="009F0CD4">
        <w:rPr>
          <w:rFonts w:ascii="Cambria" w:hAnsi="Cambria"/>
          <w:sz w:val="20"/>
          <w:szCs w:val="20"/>
          <w:lang w:val="pt-BR"/>
        </w:rPr>
        <w:lastRenderedPageBreak/>
        <w:t>no artigo 46.2.c da Convenção</w:t>
      </w:r>
      <w:r>
        <w:rPr>
          <w:rStyle w:val="FootnoteReference"/>
          <w:rFonts w:ascii="Cambria" w:hAnsi="Cambria"/>
          <w:sz w:val="20"/>
          <w:szCs w:val="20"/>
          <w:lang w:val="pt-BR"/>
        </w:rPr>
        <w:footnoteReference w:id="6"/>
      </w:r>
      <w:r w:rsidRPr="009F0CD4">
        <w:rPr>
          <w:rFonts w:ascii="Cambria" w:hAnsi="Cambria"/>
          <w:sz w:val="20"/>
          <w:szCs w:val="20"/>
          <w:lang w:val="pt-BR"/>
        </w:rPr>
        <w:t xml:space="preserve">. </w:t>
      </w:r>
      <w:r w:rsidR="00166EE7" w:rsidRPr="009F0CD4">
        <w:rPr>
          <w:rFonts w:ascii="Cambria" w:hAnsi="Cambria"/>
          <w:sz w:val="20"/>
          <w:szCs w:val="20"/>
          <w:lang w:val="pt-BR"/>
        </w:rPr>
        <w:t>Em relação ao prazo de apresentação, a</w:t>
      </w:r>
      <w:r w:rsidR="009620F5" w:rsidRPr="009F0CD4">
        <w:rPr>
          <w:rFonts w:ascii="Cambria" w:hAnsi="Cambria"/>
          <w:sz w:val="20"/>
          <w:szCs w:val="20"/>
          <w:lang w:val="pt-BR"/>
        </w:rPr>
        <w:t xml:space="preserve"> Comissão </w:t>
      </w:r>
      <w:r w:rsidR="00CA67DB" w:rsidRPr="009F0CD4">
        <w:rPr>
          <w:rFonts w:ascii="Cambria" w:hAnsi="Cambria"/>
          <w:sz w:val="20"/>
          <w:szCs w:val="20"/>
          <w:lang w:val="pt-BR"/>
        </w:rPr>
        <w:t>verifica</w:t>
      </w:r>
      <w:r w:rsidR="009620F5" w:rsidRPr="009F0CD4">
        <w:rPr>
          <w:rFonts w:ascii="Cambria" w:hAnsi="Cambria"/>
          <w:sz w:val="20"/>
          <w:szCs w:val="20"/>
          <w:lang w:val="pt-BR"/>
        </w:rPr>
        <w:t xml:space="preserve"> que </w:t>
      </w:r>
      <w:r w:rsidR="00CA67DB" w:rsidRPr="009F0CD4">
        <w:rPr>
          <w:rFonts w:ascii="Cambria" w:hAnsi="Cambria"/>
          <w:sz w:val="20"/>
          <w:szCs w:val="20"/>
          <w:lang w:val="pt-BR"/>
        </w:rPr>
        <w:t>a</w:t>
      </w:r>
      <w:r w:rsidR="009620F5" w:rsidRPr="009F0CD4">
        <w:rPr>
          <w:rFonts w:ascii="Cambria" w:hAnsi="Cambria"/>
          <w:sz w:val="20"/>
          <w:szCs w:val="20"/>
          <w:lang w:val="pt-BR"/>
        </w:rPr>
        <w:t xml:space="preserve">inda que os fatos tenham ocorrido em 2006 e a petição </w:t>
      </w:r>
      <w:r w:rsidR="00CA67DB" w:rsidRPr="009F0CD4">
        <w:rPr>
          <w:rFonts w:ascii="Cambria" w:hAnsi="Cambria"/>
          <w:sz w:val="20"/>
          <w:szCs w:val="20"/>
          <w:lang w:val="pt-BR"/>
        </w:rPr>
        <w:t>tenha sido</w:t>
      </w:r>
      <w:r w:rsidR="009620F5" w:rsidRPr="009F0CD4">
        <w:rPr>
          <w:rFonts w:ascii="Cambria" w:hAnsi="Cambria"/>
          <w:sz w:val="20"/>
          <w:szCs w:val="20"/>
          <w:lang w:val="pt-BR"/>
        </w:rPr>
        <w:t xml:space="preserve"> recebida em 2011, alguns dos seus efeitos</w:t>
      </w:r>
      <w:r w:rsidR="00CA67DB" w:rsidRPr="009F0CD4">
        <w:rPr>
          <w:rFonts w:ascii="Cambria" w:hAnsi="Cambria"/>
          <w:sz w:val="20"/>
          <w:szCs w:val="20"/>
          <w:lang w:val="pt-BR"/>
        </w:rPr>
        <w:t>,</w:t>
      </w:r>
      <w:r w:rsidR="009620F5" w:rsidRPr="009F0CD4">
        <w:rPr>
          <w:rFonts w:ascii="Cambria" w:hAnsi="Cambria"/>
          <w:sz w:val="20"/>
          <w:szCs w:val="20"/>
          <w:lang w:val="pt-BR"/>
        </w:rPr>
        <w:t xml:space="preserve"> como a falta de investigação dos responsáveis pela morte da suposta vítima e o retardo injustificado na condução do processo </w:t>
      </w:r>
      <w:r w:rsidR="00CA67DB" w:rsidRPr="009F0CD4">
        <w:rPr>
          <w:rFonts w:ascii="Cambria" w:hAnsi="Cambria"/>
          <w:sz w:val="20"/>
          <w:szCs w:val="20"/>
          <w:lang w:val="pt-BR"/>
        </w:rPr>
        <w:t>civil</w:t>
      </w:r>
      <w:r w:rsidR="009620F5" w:rsidRPr="009F0CD4">
        <w:rPr>
          <w:rFonts w:ascii="Cambria" w:hAnsi="Cambria"/>
          <w:sz w:val="20"/>
          <w:szCs w:val="20"/>
          <w:lang w:val="pt-BR"/>
        </w:rPr>
        <w:t xml:space="preserve">, se estenderiam até o presente momento. Por isso, tendo em vista o contexto e as características dos fatos narrados no presente relatório, a Comissão considera que a petição foi apresentada dentro de um prazo razoável, </w:t>
      </w:r>
      <w:r w:rsidR="00AE3BC8">
        <w:rPr>
          <w:rFonts w:ascii="Cambria" w:hAnsi="Cambria"/>
          <w:sz w:val="20"/>
          <w:szCs w:val="20"/>
          <w:lang w:val="pt-BR"/>
        </w:rPr>
        <w:t>nos termos do artigo 32.2 do seu Regulamento, em concordância com o artigo 46.2 da Convenção Americana</w:t>
      </w:r>
      <w:r w:rsidR="00AE3BC8">
        <w:rPr>
          <w:rStyle w:val="FootnoteReference"/>
          <w:rFonts w:ascii="Cambria" w:hAnsi="Cambria"/>
          <w:sz w:val="20"/>
          <w:szCs w:val="20"/>
          <w:lang w:val="pt-BR"/>
        </w:rPr>
        <w:footnoteReference w:id="7"/>
      </w:r>
      <w:r w:rsidR="00AE3BC8">
        <w:rPr>
          <w:rFonts w:ascii="Cambria" w:hAnsi="Cambria"/>
          <w:sz w:val="20"/>
          <w:szCs w:val="20"/>
          <w:lang w:val="pt-BR"/>
        </w:rPr>
        <w:t xml:space="preserve">. </w:t>
      </w:r>
      <w:r w:rsidRPr="00AE3BC8">
        <w:rPr>
          <w:rFonts w:ascii="Cambria" w:hAnsi="Cambria"/>
          <w:sz w:val="20"/>
          <w:szCs w:val="20"/>
          <w:lang w:val="pt-BR"/>
        </w:rPr>
        <w:t>Por último, no que se refere à ação civil de indenização, a Comissão reafirma que em casos como o presente, não é necessário esgotar uma ação civil antes de acionar o sistema interamericano, tendo em vista que esse remédio não responderia à demanda principal da petição, qual seja, as alegações de tortura e falta de investigação e responsabilização dos responsáveis</w:t>
      </w:r>
      <w:r>
        <w:rPr>
          <w:rStyle w:val="FootnoteReference"/>
          <w:rFonts w:ascii="Cambria" w:hAnsi="Cambria"/>
          <w:sz w:val="20"/>
          <w:szCs w:val="20"/>
          <w:lang w:val="pt-BR"/>
        </w:rPr>
        <w:footnoteReference w:id="8"/>
      </w:r>
      <w:r w:rsidRPr="00AE3BC8">
        <w:rPr>
          <w:rFonts w:ascii="Cambria" w:hAnsi="Cambria"/>
          <w:sz w:val="20"/>
          <w:szCs w:val="20"/>
          <w:lang w:val="pt-BR"/>
        </w:rPr>
        <w:t>.</w:t>
      </w:r>
    </w:p>
    <w:p w14:paraId="4FFBE378" w14:textId="3CCE7856" w:rsidR="003239B8" w:rsidRPr="001B7B5A" w:rsidRDefault="003239B8" w:rsidP="003239B8">
      <w:pPr>
        <w:pStyle w:val="ListParagraph"/>
        <w:spacing w:before="240" w:after="240"/>
        <w:jc w:val="both"/>
        <w:rPr>
          <w:rFonts w:asciiTheme="majorHAnsi" w:hAnsiTheme="majorHAnsi"/>
          <w:b/>
          <w:sz w:val="20"/>
          <w:szCs w:val="20"/>
          <w:highlight w:val="cyan"/>
          <w:lang w:val="pt-BR"/>
        </w:rPr>
      </w:pPr>
      <w:r w:rsidRPr="003133F8">
        <w:rPr>
          <w:rFonts w:asciiTheme="majorHAnsi" w:hAnsiTheme="majorHAnsi"/>
          <w:b/>
          <w:bCs/>
          <w:sz w:val="20"/>
          <w:szCs w:val="20"/>
          <w:lang w:val="pt-BR"/>
        </w:rPr>
        <w:t>VII.</w:t>
      </w:r>
      <w:r w:rsidRPr="003133F8">
        <w:rPr>
          <w:rFonts w:asciiTheme="majorHAnsi" w:hAnsiTheme="majorHAnsi"/>
          <w:b/>
          <w:bCs/>
          <w:sz w:val="20"/>
          <w:szCs w:val="20"/>
          <w:lang w:val="pt-BR"/>
        </w:rPr>
        <w:tab/>
      </w:r>
      <w:r w:rsidR="00D21316" w:rsidRPr="003133F8">
        <w:rPr>
          <w:rFonts w:asciiTheme="majorHAnsi" w:hAnsiTheme="majorHAnsi"/>
          <w:b/>
          <w:bCs/>
          <w:sz w:val="20"/>
          <w:szCs w:val="20"/>
          <w:lang w:val="pt-BR"/>
        </w:rPr>
        <w:t>ANÁLISE</w:t>
      </w:r>
      <w:r w:rsidR="004A6A54" w:rsidRPr="003133F8">
        <w:rPr>
          <w:rFonts w:asciiTheme="majorHAnsi" w:hAnsiTheme="majorHAnsi"/>
          <w:b/>
          <w:bCs/>
          <w:sz w:val="20"/>
          <w:szCs w:val="20"/>
          <w:lang w:val="pt-BR"/>
        </w:rPr>
        <w:t xml:space="preserve"> DE </w:t>
      </w:r>
      <w:r w:rsidR="00C21FEF" w:rsidRPr="003133F8">
        <w:rPr>
          <w:rFonts w:asciiTheme="majorHAnsi" w:hAnsiTheme="majorHAnsi"/>
          <w:b/>
          <w:bCs/>
          <w:sz w:val="20"/>
          <w:szCs w:val="20"/>
          <w:lang w:val="pt-BR"/>
        </w:rPr>
        <w:t>CARACTERIZA</w:t>
      </w:r>
      <w:r w:rsidR="00A53003" w:rsidRPr="003133F8">
        <w:rPr>
          <w:rFonts w:asciiTheme="majorHAnsi" w:hAnsiTheme="majorHAnsi"/>
          <w:b/>
          <w:bCs/>
          <w:sz w:val="20"/>
          <w:szCs w:val="20"/>
          <w:lang w:val="pt-BR"/>
        </w:rPr>
        <w:t>ÇÃO</w:t>
      </w:r>
      <w:r w:rsidR="00C21FEF" w:rsidRPr="003133F8">
        <w:rPr>
          <w:rFonts w:asciiTheme="majorHAnsi" w:hAnsiTheme="majorHAnsi"/>
          <w:b/>
          <w:bCs/>
          <w:sz w:val="20"/>
          <w:szCs w:val="20"/>
          <w:lang w:val="pt-BR"/>
        </w:rPr>
        <w:t xml:space="preserve"> DOS </w:t>
      </w:r>
      <w:r w:rsidR="00A53003" w:rsidRPr="003133F8">
        <w:rPr>
          <w:rFonts w:asciiTheme="majorHAnsi" w:hAnsiTheme="majorHAnsi"/>
          <w:b/>
          <w:bCs/>
          <w:sz w:val="20"/>
          <w:szCs w:val="20"/>
          <w:lang w:val="pt-BR"/>
        </w:rPr>
        <w:t>FATOS</w:t>
      </w:r>
      <w:r w:rsidR="00C21FEF" w:rsidRPr="003133F8">
        <w:rPr>
          <w:rFonts w:asciiTheme="majorHAnsi" w:hAnsiTheme="majorHAnsi"/>
          <w:b/>
          <w:bCs/>
          <w:sz w:val="20"/>
          <w:szCs w:val="20"/>
          <w:lang w:val="pt-BR"/>
        </w:rPr>
        <w:t xml:space="preserve"> ALEGADOS</w:t>
      </w:r>
    </w:p>
    <w:p w14:paraId="672C8494" w14:textId="671ADC6C" w:rsidR="001B7B5A" w:rsidRPr="002A1B95" w:rsidRDefault="001B7B5A" w:rsidP="001B7B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2A1B95">
        <w:rPr>
          <w:rFonts w:asciiTheme="majorHAnsi" w:hAnsiTheme="majorHAnsi"/>
          <w:sz w:val="20"/>
          <w:szCs w:val="20"/>
          <w:lang w:val="pt-BR"/>
        </w:rPr>
        <w:t>A Comissão considera que a presente pretição inclui alega</w:t>
      </w:r>
      <w:r w:rsidRPr="002A1B95">
        <w:rPr>
          <w:rStyle w:val="Emphasis"/>
          <w:rFonts w:asciiTheme="majorHAnsi" w:hAnsiTheme="majorHAnsi" w:cs="Arial"/>
          <w:bCs/>
          <w:i w:val="0"/>
          <w:sz w:val="20"/>
          <w:szCs w:val="20"/>
          <w:shd w:val="clear" w:color="auto" w:fill="FFFFFF"/>
          <w:lang w:val="pt-BR"/>
        </w:rPr>
        <w:t xml:space="preserve">ções </w:t>
      </w:r>
      <w:r w:rsidR="003133F8" w:rsidRPr="002A1B95">
        <w:rPr>
          <w:rStyle w:val="Emphasis"/>
          <w:rFonts w:asciiTheme="majorHAnsi" w:hAnsiTheme="majorHAnsi" w:cs="Arial"/>
          <w:bCs/>
          <w:i w:val="0"/>
          <w:sz w:val="20"/>
          <w:szCs w:val="20"/>
          <w:shd w:val="clear" w:color="auto" w:fill="FFFFFF"/>
          <w:lang w:val="pt-BR"/>
        </w:rPr>
        <w:t>a respeito</w:t>
      </w:r>
      <w:r w:rsidRPr="002A1B95">
        <w:rPr>
          <w:rFonts w:asciiTheme="majorHAnsi" w:hAnsiTheme="majorHAnsi"/>
          <w:i/>
          <w:sz w:val="20"/>
          <w:szCs w:val="20"/>
          <w:lang w:val="pt-BR"/>
        </w:rPr>
        <w:t xml:space="preserve"> </w:t>
      </w:r>
      <w:r w:rsidR="003133F8" w:rsidRPr="002A1B95">
        <w:rPr>
          <w:rFonts w:asciiTheme="majorHAnsi" w:hAnsiTheme="majorHAnsi"/>
          <w:sz w:val="20"/>
          <w:szCs w:val="20"/>
          <w:lang w:val="pt-BR"/>
        </w:rPr>
        <w:t>dos atos de tortura e do homicídio cometidos em face de Jos</w:t>
      </w:r>
      <w:r w:rsidR="00FA6AC1" w:rsidRPr="002A1B95">
        <w:rPr>
          <w:rFonts w:asciiTheme="majorHAnsi" w:hAnsiTheme="majorHAnsi"/>
          <w:sz w:val="20"/>
          <w:szCs w:val="20"/>
          <w:lang w:val="pt-BR"/>
        </w:rPr>
        <w:t>é</w:t>
      </w:r>
      <w:r w:rsidR="003133F8" w:rsidRPr="002A1B95">
        <w:rPr>
          <w:rFonts w:asciiTheme="majorHAnsi" w:hAnsiTheme="majorHAnsi"/>
          <w:sz w:val="20"/>
          <w:szCs w:val="20"/>
          <w:lang w:val="pt-BR"/>
        </w:rPr>
        <w:t xml:space="preserve"> Carlos da Silva enquanto encontrava-se sob custódia</w:t>
      </w:r>
      <w:r w:rsidR="00FA6AC1" w:rsidRPr="002A1B95">
        <w:rPr>
          <w:rFonts w:asciiTheme="majorHAnsi" w:hAnsiTheme="majorHAnsi"/>
          <w:sz w:val="20"/>
          <w:szCs w:val="20"/>
          <w:lang w:val="pt-BR"/>
        </w:rPr>
        <w:t xml:space="preserve"> provisória</w:t>
      </w:r>
      <w:r w:rsidR="003133F8" w:rsidRPr="002A1B95">
        <w:rPr>
          <w:rFonts w:asciiTheme="majorHAnsi" w:hAnsiTheme="majorHAnsi"/>
          <w:sz w:val="20"/>
          <w:szCs w:val="20"/>
          <w:lang w:val="pt-BR"/>
        </w:rPr>
        <w:t xml:space="preserve"> do Estado na Casa de Custódia </w:t>
      </w:r>
      <w:r w:rsidR="00FA6AC1" w:rsidRPr="002A1B95">
        <w:rPr>
          <w:rFonts w:asciiTheme="majorHAnsi" w:hAnsiTheme="majorHAnsi"/>
          <w:sz w:val="20"/>
          <w:szCs w:val="20"/>
          <w:lang w:val="pt-BR"/>
        </w:rPr>
        <w:t>Pedro Melo, localizada no Complexo Penitenciário de Bangu, e da ausencia de investiga</w:t>
      </w:r>
      <w:r w:rsidR="002A1B95" w:rsidRPr="002A1B95">
        <w:rPr>
          <w:rFonts w:asciiTheme="majorHAnsi" w:hAnsiTheme="majorHAnsi"/>
          <w:sz w:val="20"/>
          <w:szCs w:val="20"/>
          <w:lang w:val="pt-BR"/>
        </w:rPr>
        <w:t>ção</w:t>
      </w:r>
      <w:r w:rsidR="00FA6AC1" w:rsidRPr="002A1B95">
        <w:rPr>
          <w:rFonts w:asciiTheme="majorHAnsi" w:hAnsiTheme="majorHAnsi"/>
          <w:sz w:val="20"/>
          <w:szCs w:val="20"/>
          <w:lang w:val="pt-BR"/>
        </w:rPr>
        <w:t xml:space="preserve"> desses atos. Além disso, a petição se refere à s vilacoes cometidas em </w:t>
      </w:r>
      <w:r w:rsidR="00FA6AC1" w:rsidRPr="000304C0">
        <w:rPr>
          <w:rFonts w:asciiTheme="majorHAnsi" w:hAnsiTheme="majorHAnsi"/>
          <w:sz w:val="20"/>
          <w:szCs w:val="20"/>
          <w:lang w:val="pt-BR"/>
        </w:rPr>
        <w:t>face de seus familiares que n</w:t>
      </w:r>
      <w:r w:rsidR="002A1B95" w:rsidRPr="000304C0">
        <w:rPr>
          <w:rFonts w:asciiTheme="majorHAnsi" w:hAnsiTheme="majorHAnsi"/>
          <w:sz w:val="20"/>
          <w:szCs w:val="20"/>
          <w:lang w:val="pt-BR"/>
        </w:rPr>
        <w:t>ão</w:t>
      </w:r>
      <w:r w:rsidR="00FA6AC1" w:rsidRPr="000304C0">
        <w:rPr>
          <w:rFonts w:asciiTheme="majorHAnsi" w:hAnsiTheme="majorHAnsi"/>
          <w:sz w:val="20"/>
          <w:szCs w:val="20"/>
          <w:lang w:val="pt-BR"/>
        </w:rPr>
        <w:t xml:space="preserve"> estavam privados de manter contato com ele enquanto ele etivera preso, que n</w:t>
      </w:r>
      <w:r w:rsidR="002A1B95" w:rsidRPr="000304C0">
        <w:rPr>
          <w:rFonts w:asciiTheme="majorHAnsi" w:hAnsiTheme="majorHAnsi"/>
          <w:sz w:val="20"/>
          <w:szCs w:val="20"/>
          <w:lang w:val="pt-BR"/>
        </w:rPr>
        <w:t>ão</w:t>
      </w:r>
      <w:r w:rsidR="00FA6AC1" w:rsidRPr="000304C0">
        <w:rPr>
          <w:rFonts w:asciiTheme="majorHAnsi" w:hAnsiTheme="majorHAnsi"/>
          <w:sz w:val="20"/>
          <w:szCs w:val="20"/>
          <w:lang w:val="pt-BR"/>
        </w:rPr>
        <w:t xml:space="preserve"> </w:t>
      </w:r>
      <w:r w:rsidR="004B4772" w:rsidRPr="000304C0">
        <w:rPr>
          <w:rFonts w:asciiTheme="majorHAnsi" w:hAnsiTheme="majorHAnsi"/>
          <w:sz w:val="20"/>
          <w:szCs w:val="20"/>
          <w:lang w:val="pt-BR"/>
        </w:rPr>
        <w:t xml:space="preserve">receberam informação </w:t>
      </w:r>
      <w:r w:rsidR="00FA6AC1" w:rsidRPr="000304C0">
        <w:rPr>
          <w:rFonts w:asciiTheme="majorHAnsi" w:hAnsiTheme="majorHAnsi"/>
          <w:sz w:val="20"/>
          <w:szCs w:val="20"/>
          <w:lang w:val="pt-BR"/>
        </w:rPr>
        <w:t>sobre</w:t>
      </w:r>
      <w:r w:rsidR="004B4772" w:rsidRPr="000304C0">
        <w:rPr>
          <w:rFonts w:asciiTheme="majorHAnsi" w:hAnsiTheme="majorHAnsi"/>
          <w:sz w:val="20"/>
          <w:szCs w:val="20"/>
          <w:lang w:val="pt-BR"/>
        </w:rPr>
        <w:t xml:space="preserve"> a decisão de transferi-lo ao hospital e tampouco sobre seu falecimen</w:t>
      </w:r>
      <w:r w:rsidR="00FA6AC1" w:rsidRPr="000304C0">
        <w:rPr>
          <w:rFonts w:asciiTheme="majorHAnsi" w:hAnsiTheme="majorHAnsi"/>
          <w:sz w:val="20"/>
          <w:szCs w:val="20"/>
          <w:lang w:val="pt-BR"/>
        </w:rPr>
        <w:t xml:space="preserve">to </w:t>
      </w:r>
      <w:r w:rsidR="00FA6AC1" w:rsidRPr="002A1B95">
        <w:rPr>
          <w:rFonts w:asciiTheme="majorHAnsi" w:hAnsiTheme="majorHAnsi"/>
          <w:sz w:val="20"/>
          <w:szCs w:val="20"/>
          <w:lang w:val="pt-BR"/>
        </w:rPr>
        <w:t>e que n</w:t>
      </w:r>
      <w:r w:rsidR="002A1B95" w:rsidRPr="002A1B95">
        <w:rPr>
          <w:rFonts w:asciiTheme="majorHAnsi" w:hAnsiTheme="majorHAnsi"/>
          <w:sz w:val="20"/>
          <w:szCs w:val="20"/>
          <w:lang w:val="pt-BR"/>
        </w:rPr>
        <w:t>ão</w:t>
      </w:r>
      <w:r w:rsidR="00FA6AC1" w:rsidRPr="002A1B95">
        <w:rPr>
          <w:rFonts w:asciiTheme="majorHAnsi" w:hAnsiTheme="majorHAnsi"/>
          <w:sz w:val="20"/>
          <w:szCs w:val="20"/>
          <w:lang w:val="pt-BR"/>
        </w:rPr>
        <w:t xml:space="preserve"> tiveram acesso a indeniza</w:t>
      </w:r>
      <w:r w:rsidR="002A1B95" w:rsidRPr="002A1B95">
        <w:rPr>
          <w:rFonts w:asciiTheme="majorHAnsi" w:hAnsiTheme="majorHAnsi"/>
          <w:sz w:val="20"/>
          <w:szCs w:val="20"/>
          <w:lang w:val="pt-BR"/>
        </w:rPr>
        <w:t>ção</w:t>
      </w:r>
      <w:r w:rsidR="00FA6AC1" w:rsidRPr="002A1B95">
        <w:rPr>
          <w:rFonts w:asciiTheme="majorHAnsi" w:hAnsiTheme="majorHAnsi"/>
          <w:sz w:val="20"/>
          <w:szCs w:val="20"/>
          <w:lang w:val="pt-BR"/>
        </w:rPr>
        <w:t xml:space="preserve"> por parte do Estado brasileiro.</w:t>
      </w:r>
    </w:p>
    <w:p w14:paraId="26BBD2AA" w14:textId="09000E2B" w:rsidR="009620F5" w:rsidRPr="009620F5" w:rsidRDefault="001B7B5A" w:rsidP="00962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b/>
          <w:bCs/>
          <w:sz w:val="20"/>
          <w:szCs w:val="20"/>
          <w:lang w:val="pt-BR"/>
        </w:rPr>
      </w:pPr>
      <w:r>
        <w:rPr>
          <w:rFonts w:asciiTheme="majorHAnsi" w:hAnsiTheme="majorHAnsi"/>
          <w:sz w:val="20"/>
          <w:szCs w:val="20"/>
          <w:lang w:val="pt-BR"/>
        </w:rPr>
        <w:t>Inicialmente, a CIDH destaca que e</w:t>
      </w:r>
      <w:r w:rsidR="009620F5">
        <w:rPr>
          <w:rFonts w:asciiTheme="majorHAnsi" w:hAnsiTheme="majorHAnsi"/>
          <w:sz w:val="20"/>
          <w:szCs w:val="20"/>
          <w:lang w:val="pt-BR"/>
        </w:rPr>
        <w:t xml:space="preserve">m relação à competência </w:t>
      </w:r>
      <w:r w:rsidR="009620F5">
        <w:rPr>
          <w:rFonts w:asciiTheme="majorHAnsi" w:hAnsiTheme="majorHAnsi"/>
          <w:i/>
          <w:sz w:val="20"/>
          <w:szCs w:val="20"/>
          <w:lang w:val="pt-BR"/>
        </w:rPr>
        <w:t xml:space="preserve">ratione </w:t>
      </w:r>
      <w:r w:rsidR="009620F5" w:rsidRPr="009620F5">
        <w:rPr>
          <w:rFonts w:asciiTheme="majorHAnsi" w:hAnsiTheme="majorHAnsi"/>
          <w:sz w:val="20"/>
          <w:szCs w:val="20"/>
          <w:lang w:val="pt-BR"/>
        </w:rPr>
        <w:t>materiae</w:t>
      </w:r>
      <w:r w:rsidR="009620F5">
        <w:rPr>
          <w:rFonts w:asciiTheme="majorHAnsi" w:hAnsiTheme="majorHAnsi"/>
          <w:sz w:val="20"/>
          <w:szCs w:val="20"/>
          <w:lang w:val="pt-BR"/>
        </w:rPr>
        <w:t>, e</w:t>
      </w:r>
      <w:r w:rsidR="009620F5" w:rsidRPr="009620F5">
        <w:rPr>
          <w:rFonts w:asciiTheme="majorHAnsi" w:hAnsiTheme="majorHAnsi"/>
          <w:sz w:val="20"/>
          <w:szCs w:val="20"/>
          <w:lang w:val="pt-BR"/>
        </w:rPr>
        <w:t>m</w:t>
      </w:r>
      <w:r w:rsidR="009620F5" w:rsidRPr="008E1A32">
        <w:rPr>
          <w:rFonts w:asciiTheme="majorHAnsi" w:hAnsiTheme="majorHAnsi"/>
          <w:sz w:val="20"/>
          <w:szCs w:val="20"/>
          <w:lang w:val="pt-BR"/>
        </w:rPr>
        <w:t xml:space="preserve"> múltiplos casos</w:t>
      </w:r>
      <w:r>
        <w:rPr>
          <w:rFonts w:asciiTheme="majorHAnsi" w:hAnsiTheme="majorHAnsi"/>
          <w:sz w:val="20"/>
          <w:szCs w:val="20"/>
          <w:lang w:val="pt-BR"/>
        </w:rPr>
        <w:t xml:space="preserve">, </w:t>
      </w:r>
      <w:r w:rsidR="009620F5" w:rsidRPr="008E1A32">
        <w:rPr>
          <w:rFonts w:asciiTheme="majorHAnsi" w:hAnsiTheme="majorHAnsi"/>
          <w:sz w:val="20"/>
          <w:szCs w:val="20"/>
          <w:lang w:val="pt-BR"/>
        </w:rPr>
        <w:t>tem insistido, quando pertinente, pela aplicação dos artigos 1, 6 e 8 da Convenção Americana para Prevenir e Punir a Tortura a fim de estabelecer a falta de investigação de atos de tortura</w:t>
      </w:r>
      <w:r w:rsidR="009620F5">
        <w:rPr>
          <w:rFonts w:asciiTheme="majorHAnsi" w:hAnsiTheme="majorHAnsi"/>
          <w:sz w:val="20"/>
          <w:szCs w:val="20"/>
          <w:lang w:val="pt-BR"/>
        </w:rPr>
        <w:t xml:space="preserve">. </w:t>
      </w:r>
      <w:r w:rsidR="009620F5" w:rsidRPr="008E1A32">
        <w:rPr>
          <w:rFonts w:asciiTheme="majorHAnsi" w:hAnsiTheme="majorHAnsi"/>
          <w:sz w:val="20"/>
          <w:szCs w:val="20"/>
          <w:lang w:val="pt-BR"/>
        </w:rPr>
        <w:t>Nesse contexto, tanto a Comissão como a Corte Interamericana de Direitos Humanos</w:t>
      </w:r>
      <w:r w:rsidR="00AE3BC8">
        <w:rPr>
          <w:rFonts w:asciiTheme="majorHAnsi" w:hAnsiTheme="majorHAnsi"/>
          <w:sz w:val="20"/>
          <w:szCs w:val="20"/>
          <w:lang w:val="pt-BR"/>
        </w:rPr>
        <w:t>,</w:t>
      </w:r>
      <w:r w:rsidR="009620F5" w:rsidRPr="008E1A32">
        <w:rPr>
          <w:rFonts w:asciiTheme="majorHAnsi" w:hAnsiTheme="majorHAnsi"/>
          <w:sz w:val="20"/>
          <w:szCs w:val="20"/>
          <w:lang w:val="pt-BR"/>
        </w:rPr>
        <w:t xml:space="preserve"> </w:t>
      </w:r>
      <w:r w:rsidR="00AE3BC8">
        <w:rPr>
          <w:rFonts w:asciiTheme="majorHAnsi" w:hAnsiTheme="majorHAnsi"/>
          <w:sz w:val="20"/>
          <w:szCs w:val="20"/>
          <w:lang w:val="pt-BR"/>
        </w:rPr>
        <w:t>declarou</w:t>
      </w:r>
      <w:r w:rsidR="009620F5" w:rsidRPr="008E1A32">
        <w:rPr>
          <w:rFonts w:asciiTheme="majorHAnsi" w:hAnsiTheme="majorHAnsi"/>
          <w:sz w:val="20"/>
          <w:szCs w:val="20"/>
          <w:lang w:val="pt-BR"/>
        </w:rPr>
        <w:t xml:space="preserve"> violações a essas disposições, entendendo que o inciso terceiro do artigo 8 deste tratado incorpora uma cláusula geral de competência aceita pelos Estados no momento de ratificar ou aderir a tal instrumento</w:t>
      </w:r>
      <w:r w:rsidR="009620F5" w:rsidRPr="008E1A32">
        <w:rPr>
          <w:rStyle w:val="FootnoteReference"/>
          <w:rFonts w:asciiTheme="majorHAnsi" w:hAnsiTheme="majorHAnsi"/>
          <w:sz w:val="20"/>
          <w:szCs w:val="20"/>
          <w:lang w:val="pt-BR"/>
        </w:rPr>
        <w:footnoteReference w:id="9"/>
      </w:r>
      <w:r w:rsidR="009620F5" w:rsidRPr="008E1A32">
        <w:rPr>
          <w:rFonts w:asciiTheme="majorHAnsi" w:hAnsiTheme="majorHAnsi"/>
          <w:sz w:val="20"/>
          <w:szCs w:val="20"/>
          <w:lang w:val="pt-BR"/>
        </w:rPr>
        <w:t>.</w:t>
      </w:r>
    </w:p>
    <w:p w14:paraId="4A959D2C" w14:textId="2944A498" w:rsidR="001B7B5A" w:rsidRPr="001B7B5A" w:rsidRDefault="001B7B5A" w:rsidP="001B7B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7B5A">
        <w:rPr>
          <w:rFonts w:asciiTheme="majorHAnsi" w:hAnsiTheme="majorHAnsi"/>
          <w:sz w:val="20"/>
          <w:szCs w:val="20"/>
          <w:lang w:val="pt-BR"/>
        </w:rPr>
        <w:t>Em atenção a estas considera</w:t>
      </w:r>
      <w:r w:rsidRPr="001B7B5A">
        <w:rPr>
          <w:rStyle w:val="Emphasis"/>
          <w:rFonts w:asciiTheme="majorHAnsi" w:hAnsiTheme="majorHAnsi" w:cs="Arial"/>
          <w:bCs/>
          <w:sz w:val="20"/>
          <w:szCs w:val="20"/>
          <w:shd w:val="clear" w:color="auto" w:fill="FFFFFF"/>
          <w:lang w:val="pt-BR"/>
        </w:rPr>
        <w:t>ções</w:t>
      </w:r>
      <w:r w:rsidRPr="001B7B5A">
        <w:rPr>
          <w:rFonts w:asciiTheme="majorHAnsi" w:hAnsiTheme="majorHAnsi"/>
          <w:sz w:val="20"/>
          <w:szCs w:val="20"/>
          <w:lang w:val="pt-BR"/>
        </w:rPr>
        <w:t xml:space="preserve"> e após examinar os elementos de fato e de direito expostos pelas partes, a Comissão estima que as alega</w:t>
      </w:r>
      <w:r w:rsidRPr="001B7B5A">
        <w:rPr>
          <w:rStyle w:val="Emphasis"/>
          <w:rFonts w:asciiTheme="majorHAnsi" w:hAnsiTheme="majorHAnsi" w:cs="Arial"/>
          <w:bCs/>
          <w:sz w:val="20"/>
          <w:szCs w:val="20"/>
          <w:shd w:val="clear" w:color="auto" w:fill="FFFFFF"/>
          <w:lang w:val="pt-BR"/>
        </w:rPr>
        <w:t>ções</w:t>
      </w:r>
      <w:r w:rsidRPr="001B7B5A">
        <w:rPr>
          <w:rFonts w:asciiTheme="majorHAnsi" w:hAnsiTheme="majorHAnsi"/>
          <w:sz w:val="20"/>
          <w:szCs w:val="20"/>
          <w:lang w:val="pt-BR"/>
        </w:rPr>
        <w:t xml:space="preserve"> da parte peticionária não são manifestamente infundada e requerem um estudo de mérito, pois os fatos alegados, se corroborados como certos, podem caracterizar </w:t>
      </w:r>
      <w:r w:rsidRPr="001B7B5A">
        <w:rPr>
          <w:rFonts w:asciiTheme="majorHAnsi" w:hAnsiTheme="majorHAnsi"/>
          <w:bCs/>
          <w:sz w:val="20"/>
          <w:szCs w:val="20"/>
          <w:lang w:val="pt-BR"/>
        </w:rPr>
        <w:t>v</w:t>
      </w:r>
      <w:r w:rsidRPr="001B7B5A">
        <w:rPr>
          <w:rStyle w:val="Emphasis"/>
          <w:rFonts w:asciiTheme="majorHAnsi" w:hAnsiTheme="majorHAnsi" w:cs="Arial"/>
          <w:bCs/>
          <w:sz w:val="20"/>
          <w:szCs w:val="20"/>
          <w:shd w:val="clear" w:color="auto" w:fill="FFFFFF"/>
          <w:lang w:val="pt-BR"/>
        </w:rPr>
        <w:t>iolações</w:t>
      </w:r>
      <w:r w:rsidRPr="001B7B5A">
        <w:rPr>
          <w:rFonts w:asciiTheme="majorHAnsi" w:hAnsiTheme="majorHAnsi"/>
          <w:sz w:val="20"/>
          <w:szCs w:val="20"/>
          <w:lang w:val="pt-BR"/>
        </w:rPr>
        <w:t xml:space="preserve"> aos direitos protegidos </w:t>
      </w:r>
      <w:r w:rsidRPr="000369D6">
        <w:rPr>
          <w:rFonts w:asciiTheme="majorHAnsi" w:hAnsiTheme="majorHAnsi"/>
          <w:sz w:val="20"/>
          <w:szCs w:val="20"/>
          <w:lang w:val="pt-BR"/>
        </w:rPr>
        <w:t xml:space="preserve">dos </w:t>
      </w:r>
      <w:r>
        <w:rPr>
          <w:rFonts w:ascii="Cambria" w:hAnsi="Cambria"/>
          <w:bCs/>
          <w:sz w:val="20"/>
          <w:szCs w:val="20"/>
          <w:lang w:val="pt-BR"/>
        </w:rPr>
        <w:t>artigos 4 (vida), 5 (integridade pessoal), 7 (liberdade pessoal), 8 (garantias judiciais), 11 (proteção da honra e da dignidade), 13 (liberdade de pensamento e expressão), e 25 (proteção judicial), todos relacionados com os artigos 1.1 (obrigação de respeitar os direitos) e 2 (dever de adotar disposições de direito interno) da Convenção Americana; e artigos 1, 6 e 8 da Convenção Interamericana para Prevenir e Sancionar a Tortura</w:t>
      </w:r>
      <w:r w:rsidRPr="001B7B5A">
        <w:rPr>
          <w:rFonts w:asciiTheme="majorHAnsi" w:hAnsiTheme="majorHAnsi"/>
          <w:bCs/>
          <w:sz w:val="20"/>
          <w:szCs w:val="20"/>
          <w:lang w:val="pt-BR"/>
        </w:rPr>
        <w:t xml:space="preserve">. </w:t>
      </w:r>
    </w:p>
    <w:p w14:paraId="29BB41F5" w14:textId="3DC9F7BC" w:rsidR="003239B8" w:rsidRPr="00A75CC3" w:rsidRDefault="003239B8" w:rsidP="003239B8">
      <w:pPr>
        <w:pStyle w:val="ListParagraph"/>
        <w:spacing w:before="240" w:after="240"/>
        <w:jc w:val="both"/>
        <w:rPr>
          <w:rFonts w:asciiTheme="majorHAnsi" w:hAnsiTheme="majorHAnsi"/>
          <w:b/>
          <w:bCs/>
          <w:sz w:val="20"/>
          <w:szCs w:val="20"/>
          <w:lang w:val="pt-BR"/>
        </w:rPr>
      </w:pPr>
      <w:r w:rsidRPr="00A75CC3">
        <w:rPr>
          <w:rFonts w:asciiTheme="majorHAnsi" w:hAnsiTheme="majorHAnsi"/>
          <w:b/>
          <w:bCs/>
          <w:sz w:val="20"/>
          <w:szCs w:val="20"/>
          <w:lang w:val="pt-BR"/>
        </w:rPr>
        <w:t xml:space="preserve">VIII. </w:t>
      </w:r>
      <w:r w:rsidRPr="00A75CC3">
        <w:rPr>
          <w:rFonts w:asciiTheme="majorHAnsi" w:hAnsiTheme="majorHAnsi"/>
          <w:b/>
          <w:bCs/>
          <w:sz w:val="20"/>
          <w:szCs w:val="20"/>
          <w:lang w:val="pt-BR"/>
        </w:rPr>
        <w:tab/>
      </w:r>
      <w:r w:rsidR="00A53003" w:rsidRPr="00A75CC3">
        <w:rPr>
          <w:rFonts w:asciiTheme="majorHAnsi" w:hAnsiTheme="majorHAnsi"/>
          <w:b/>
          <w:bCs/>
          <w:sz w:val="20"/>
          <w:szCs w:val="20"/>
          <w:lang w:val="pt-BR"/>
        </w:rPr>
        <w:t>DECISÃO</w:t>
      </w:r>
    </w:p>
    <w:p w14:paraId="57AD082F" w14:textId="550A0A31" w:rsidR="00237A10" w:rsidRPr="008A64B2" w:rsidRDefault="00237A10" w:rsidP="00237A1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A64B2">
        <w:rPr>
          <w:rFonts w:asciiTheme="majorHAnsi" w:hAnsiTheme="majorHAnsi"/>
          <w:sz w:val="20"/>
          <w:szCs w:val="20"/>
          <w:lang w:val="pt-BR"/>
        </w:rPr>
        <w:t xml:space="preserve">Declarar admitida a presente petição em relação aos artigos </w:t>
      </w:r>
      <w:r>
        <w:rPr>
          <w:rFonts w:asciiTheme="majorHAnsi" w:hAnsiTheme="majorHAnsi"/>
          <w:sz w:val="20"/>
          <w:szCs w:val="20"/>
          <w:lang w:val="pt-BR"/>
        </w:rPr>
        <w:t xml:space="preserve">4, </w:t>
      </w:r>
      <w:r w:rsidRPr="008A64B2">
        <w:rPr>
          <w:rFonts w:asciiTheme="majorHAnsi" w:hAnsiTheme="majorHAnsi"/>
          <w:sz w:val="20"/>
          <w:szCs w:val="20"/>
          <w:lang w:val="pt-BR"/>
        </w:rPr>
        <w:t>5, 7, 8, 11, 13</w:t>
      </w:r>
      <w:r w:rsidR="00723A74">
        <w:rPr>
          <w:rFonts w:asciiTheme="majorHAnsi" w:hAnsiTheme="majorHAnsi"/>
          <w:sz w:val="20"/>
          <w:szCs w:val="20"/>
          <w:lang w:val="pt-BR"/>
        </w:rPr>
        <w:t xml:space="preserve"> </w:t>
      </w:r>
      <w:r w:rsidRPr="008A64B2">
        <w:rPr>
          <w:rFonts w:asciiTheme="majorHAnsi" w:hAnsiTheme="majorHAnsi"/>
          <w:sz w:val="20"/>
          <w:szCs w:val="20"/>
          <w:lang w:val="pt-BR"/>
        </w:rPr>
        <w:t>e 25, todos em concordância com os artigos 1.1 e 2 da Convenção Americana, bem como aos artigos 1, 6 e 8 da Convenção Interamericana para Prevenir e Punir a Tortura.</w:t>
      </w:r>
    </w:p>
    <w:p w14:paraId="6AC80CA6" w14:textId="5FF75584" w:rsidR="00722C9F" w:rsidRPr="00D37F09" w:rsidRDefault="00A53003" w:rsidP="00AB406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mbria" w:hAnsi="Cambria" w:cs="Calibri"/>
          <w:sz w:val="20"/>
          <w:szCs w:val="20"/>
          <w:lang w:val="pt-BR"/>
        </w:rPr>
      </w:pPr>
      <w:r w:rsidRPr="00D37F09">
        <w:rPr>
          <w:rFonts w:asciiTheme="majorHAnsi" w:hAnsiTheme="majorHAnsi"/>
          <w:sz w:val="20"/>
          <w:szCs w:val="20"/>
          <w:lang w:val="pt-BR"/>
        </w:rPr>
        <w:t xml:space="preserve">Notificar </w:t>
      </w:r>
      <w:r w:rsidR="0022736D" w:rsidRPr="00D37F09">
        <w:rPr>
          <w:rFonts w:asciiTheme="majorHAnsi" w:hAnsiTheme="majorHAnsi"/>
          <w:sz w:val="20"/>
          <w:szCs w:val="20"/>
          <w:lang w:val="pt-BR"/>
        </w:rPr>
        <w:t>a</w:t>
      </w:r>
      <w:r w:rsidR="004A6A54" w:rsidRPr="00D37F09">
        <w:rPr>
          <w:rFonts w:asciiTheme="majorHAnsi" w:hAnsiTheme="majorHAnsi"/>
          <w:sz w:val="20"/>
          <w:szCs w:val="20"/>
          <w:lang w:val="pt-BR"/>
        </w:rPr>
        <w:t xml:space="preserve">s partes </w:t>
      </w:r>
      <w:r w:rsidR="0022736D" w:rsidRPr="00D37F09">
        <w:rPr>
          <w:rFonts w:asciiTheme="majorHAnsi" w:hAnsiTheme="majorHAnsi"/>
          <w:sz w:val="20"/>
          <w:szCs w:val="20"/>
          <w:lang w:val="pt-BR"/>
        </w:rPr>
        <w:t xml:space="preserve">sobre </w:t>
      </w:r>
      <w:r w:rsidRPr="00D37F09">
        <w:rPr>
          <w:rFonts w:asciiTheme="majorHAnsi" w:hAnsiTheme="majorHAnsi"/>
          <w:sz w:val="20"/>
          <w:szCs w:val="20"/>
          <w:lang w:val="pt-BR"/>
        </w:rPr>
        <w:t>a presente decisão; continuar com a análise de mérito</w:t>
      </w:r>
      <w:r w:rsidR="004A6A54" w:rsidRPr="00D37F09">
        <w:rPr>
          <w:rFonts w:asciiTheme="majorHAnsi" w:hAnsiTheme="majorHAnsi"/>
          <w:sz w:val="20"/>
          <w:szCs w:val="20"/>
          <w:lang w:val="pt-BR"/>
        </w:rPr>
        <w:t xml:space="preserve"> </w:t>
      </w:r>
      <w:r w:rsidRPr="00D37F09">
        <w:rPr>
          <w:rFonts w:asciiTheme="majorHAnsi" w:hAnsiTheme="majorHAnsi"/>
          <w:sz w:val="20"/>
          <w:szCs w:val="20"/>
          <w:lang w:val="pt-BR"/>
        </w:rPr>
        <w:t>d</w:t>
      </w:r>
      <w:r w:rsidR="004A6A54" w:rsidRPr="00D37F09">
        <w:rPr>
          <w:rFonts w:asciiTheme="majorHAnsi" w:hAnsiTheme="majorHAnsi"/>
          <w:sz w:val="20"/>
          <w:szCs w:val="20"/>
          <w:lang w:val="pt-BR"/>
        </w:rPr>
        <w:t xml:space="preserve">a </w:t>
      </w:r>
      <w:r w:rsidRPr="00D37F09">
        <w:rPr>
          <w:rFonts w:asciiTheme="majorHAnsi" w:hAnsiTheme="majorHAnsi"/>
          <w:sz w:val="20"/>
          <w:szCs w:val="20"/>
          <w:lang w:val="pt-BR"/>
        </w:rPr>
        <w:t>questão; e</w:t>
      </w:r>
      <w:r w:rsidR="004A6A54" w:rsidRPr="00D37F09">
        <w:rPr>
          <w:rFonts w:asciiTheme="majorHAnsi" w:hAnsiTheme="majorHAnsi"/>
          <w:sz w:val="20"/>
          <w:szCs w:val="20"/>
          <w:lang w:val="pt-BR"/>
        </w:rPr>
        <w:t xml:space="preserve"> publicar esta </w:t>
      </w:r>
      <w:r w:rsidRPr="00D37F09">
        <w:rPr>
          <w:rFonts w:asciiTheme="majorHAnsi" w:hAnsiTheme="majorHAnsi"/>
          <w:sz w:val="20"/>
          <w:szCs w:val="20"/>
          <w:lang w:val="pt-BR"/>
        </w:rPr>
        <w:t>decisão</w:t>
      </w:r>
      <w:r w:rsidR="007665A8" w:rsidRPr="00D37F09">
        <w:rPr>
          <w:rFonts w:asciiTheme="majorHAnsi" w:hAnsiTheme="majorHAnsi"/>
          <w:sz w:val="20"/>
          <w:szCs w:val="20"/>
          <w:lang w:val="pt-BR"/>
        </w:rPr>
        <w:t xml:space="preserve"> e inclui</w:t>
      </w:r>
      <w:r w:rsidRPr="00D37F09">
        <w:rPr>
          <w:rFonts w:asciiTheme="majorHAnsi" w:hAnsiTheme="majorHAnsi"/>
          <w:sz w:val="20"/>
          <w:szCs w:val="20"/>
          <w:lang w:val="pt-BR"/>
        </w:rPr>
        <w:t>-</w:t>
      </w:r>
      <w:r w:rsidR="004A6A54" w:rsidRPr="00D37F09">
        <w:rPr>
          <w:rFonts w:asciiTheme="majorHAnsi" w:hAnsiTheme="majorHAnsi"/>
          <w:sz w:val="20"/>
          <w:szCs w:val="20"/>
          <w:lang w:val="pt-BR"/>
        </w:rPr>
        <w:t xml:space="preserve">la </w:t>
      </w:r>
      <w:r w:rsidRPr="00D37F09">
        <w:rPr>
          <w:rFonts w:asciiTheme="majorHAnsi" w:hAnsiTheme="majorHAnsi"/>
          <w:sz w:val="20"/>
          <w:szCs w:val="20"/>
          <w:lang w:val="pt-BR"/>
        </w:rPr>
        <w:t xml:space="preserve">em seu Relatório Anual à Assembleia Geral da Organização dos Estados Americanos. </w:t>
      </w:r>
    </w:p>
    <w:p w14:paraId="545C5DA2" w14:textId="70A4FD36" w:rsidR="00D37F09" w:rsidRDefault="00D37F09" w:rsidP="00D37F09">
      <w:pPr>
        <w:ind w:firstLine="720"/>
        <w:jc w:val="both"/>
        <w:rPr>
          <w:rFonts w:ascii="Cambria" w:hAnsi="Cambria" w:cs="BookAntiqua"/>
          <w:sz w:val="20"/>
          <w:szCs w:val="20"/>
          <w:lang w:val="pt-BR"/>
        </w:rPr>
      </w:pPr>
      <w:r>
        <w:rPr>
          <w:rFonts w:ascii="Cambria" w:hAnsi="Cambria" w:cs="BookAntiqua"/>
          <w:sz w:val="20"/>
          <w:szCs w:val="20"/>
          <w:lang w:val="pt-BR"/>
        </w:rPr>
        <w:lastRenderedPageBreak/>
        <w:t>Aprovado</w:t>
      </w:r>
      <w:r w:rsidRPr="004C183A">
        <w:rPr>
          <w:rFonts w:ascii="Cambria" w:hAnsi="Cambria" w:cs="BookAntiqua"/>
          <w:sz w:val="20"/>
          <w:szCs w:val="20"/>
          <w:lang w:val="pt-BR"/>
        </w:rPr>
        <w:t xml:space="preserve"> </w:t>
      </w:r>
      <w:r>
        <w:rPr>
          <w:rFonts w:ascii="Cambria" w:hAnsi="Cambria" w:cs="BookAntiqua"/>
          <w:sz w:val="20"/>
          <w:szCs w:val="20"/>
          <w:lang w:val="pt-BR"/>
        </w:rPr>
        <w:t xml:space="preserve">pela Commissão Interamericana de Direitos Humanos aos 25 </w:t>
      </w:r>
      <w:r w:rsidRPr="004C183A">
        <w:rPr>
          <w:rFonts w:ascii="Cambria" w:hAnsi="Cambria" w:cs="BookAntiqua"/>
          <w:sz w:val="20"/>
          <w:szCs w:val="20"/>
          <w:lang w:val="pt-BR"/>
        </w:rPr>
        <w:t xml:space="preserve">dias do mês de </w:t>
      </w:r>
      <w:r>
        <w:rPr>
          <w:rFonts w:ascii="Cambria" w:hAnsi="Cambria" w:cs="BookAntiqua"/>
          <w:sz w:val="20"/>
          <w:szCs w:val="20"/>
          <w:lang w:val="pt-BR"/>
        </w:rPr>
        <w:t>abril</w:t>
      </w:r>
      <w:r w:rsidRPr="004C183A">
        <w:rPr>
          <w:rFonts w:ascii="Cambria" w:hAnsi="Cambria" w:cs="BookAntiqua"/>
          <w:sz w:val="20"/>
          <w:szCs w:val="20"/>
          <w:lang w:val="pt-BR"/>
        </w:rPr>
        <w:t xml:space="preserve"> de 20</w:t>
      </w:r>
      <w:r>
        <w:rPr>
          <w:rFonts w:ascii="Cambria" w:hAnsi="Cambria" w:cs="BookAntiqua"/>
          <w:sz w:val="20"/>
          <w:szCs w:val="20"/>
          <w:lang w:val="pt-BR"/>
        </w:rPr>
        <w:t>20</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Pr>
          <w:rFonts w:ascii="Cambria" w:hAnsi="Cambria"/>
          <w:sz w:val="20"/>
          <w:szCs w:val="20"/>
          <w:lang w:val="pt-BR"/>
        </w:rPr>
        <w:t>Joel Hernández, Presidente</w:t>
      </w:r>
      <w:r w:rsidRPr="00F3588B">
        <w:rPr>
          <w:rFonts w:ascii="Cambria" w:hAnsi="Cambria"/>
          <w:sz w:val="20"/>
          <w:szCs w:val="20"/>
          <w:lang w:val="pt-BR"/>
        </w:rPr>
        <w:t>;</w:t>
      </w:r>
      <w:r w:rsidRPr="00287126">
        <w:rPr>
          <w:rFonts w:ascii="Cambria" w:hAnsi="Cambria"/>
          <w:sz w:val="20"/>
          <w:szCs w:val="20"/>
          <w:lang w:val="pt-BR"/>
        </w:rPr>
        <w:t xml:space="preserve"> </w:t>
      </w:r>
      <w:r w:rsidRPr="00AD1E73">
        <w:rPr>
          <w:rFonts w:asciiTheme="majorHAnsi" w:hAnsiTheme="majorHAnsi" w:cs="Arial"/>
          <w:noProof/>
          <w:spacing w:val="-2"/>
          <w:sz w:val="20"/>
          <w:szCs w:val="20"/>
          <w:lang w:val="pt-BR"/>
        </w:rPr>
        <w:t>Antonia Urrejola</w:t>
      </w:r>
      <w:r w:rsidRPr="00F3588B">
        <w:rPr>
          <w:rFonts w:ascii="Cambria" w:hAnsi="Cambria"/>
          <w:sz w:val="20"/>
          <w:szCs w:val="20"/>
          <w:lang w:val="pt-BR"/>
        </w:rPr>
        <w:t>, Prime</w:t>
      </w:r>
      <w:r>
        <w:rPr>
          <w:rFonts w:ascii="Cambria" w:hAnsi="Cambria"/>
          <w:sz w:val="20"/>
          <w:szCs w:val="20"/>
          <w:lang w:val="pt-BR"/>
        </w:rPr>
        <w:t>ira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xml:space="preserve">; </w:t>
      </w:r>
      <w:r w:rsidRPr="00AD1E73">
        <w:rPr>
          <w:rFonts w:asciiTheme="majorHAnsi" w:hAnsiTheme="majorHAnsi" w:cs="Arial"/>
          <w:noProof/>
          <w:spacing w:val="-2"/>
          <w:sz w:val="20"/>
          <w:szCs w:val="20"/>
          <w:lang w:val="pt-BR"/>
        </w:rPr>
        <w:t>Margarette May Macaulay, Esmeralda E. Arosemena Bernal de Troitiño</w:t>
      </w:r>
      <w:r>
        <w:rPr>
          <w:rFonts w:asciiTheme="majorHAnsi" w:hAnsiTheme="majorHAnsi" w:cs="Arial"/>
          <w:noProof/>
          <w:spacing w:val="-2"/>
          <w:sz w:val="20"/>
          <w:szCs w:val="20"/>
          <w:lang w:val="pt-BR"/>
        </w:rPr>
        <w:t xml:space="preserve">, </w:t>
      </w:r>
      <w:r w:rsidRPr="00AD1E73">
        <w:rPr>
          <w:rFonts w:asciiTheme="majorHAnsi" w:hAnsiTheme="majorHAnsi" w:cs="Arial"/>
          <w:noProof/>
          <w:spacing w:val="-2"/>
          <w:sz w:val="20"/>
          <w:szCs w:val="20"/>
          <w:lang w:val="pt-BR"/>
        </w:rPr>
        <w:t>Julissa Mantilla Falcón</w:t>
      </w:r>
      <w:r>
        <w:rPr>
          <w:rFonts w:asciiTheme="majorHAnsi" w:hAnsiTheme="majorHAnsi" w:cs="Arial"/>
          <w:noProof/>
          <w:spacing w:val="-2"/>
          <w:sz w:val="20"/>
          <w:szCs w:val="20"/>
          <w:lang w:val="pt-BR"/>
        </w:rPr>
        <w:t xml:space="preserve"> e </w:t>
      </w:r>
      <w:r w:rsidRPr="00FC7910">
        <w:rPr>
          <w:rFonts w:asciiTheme="majorHAnsi" w:hAnsiTheme="majorHAnsi" w:cs="Arial"/>
          <w:noProof/>
          <w:spacing w:val="-2"/>
          <w:sz w:val="20"/>
          <w:szCs w:val="20"/>
          <w:lang w:val="pt-BR"/>
        </w:rPr>
        <w:t>Stuardo Ralón Orellana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sectPr w:rsidR="00D37F0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DE4D2" w14:textId="77777777" w:rsidR="00BE2286" w:rsidRDefault="00BE2286">
      <w:r>
        <w:separator/>
      </w:r>
    </w:p>
  </w:endnote>
  <w:endnote w:type="continuationSeparator" w:id="0">
    <w:p w14:paraId="52D18F97" w14:textId="77777777" w:rsidR="00BE2286" w:rsidRDefault="00BE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97BA3" w14:textId="77777777" w:rsidR="00E52C8E" w:rsidRDefault="00E52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438A28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52C8E">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E5F6B" w14:textId="77777777" w:rsidR="00BE2286" w:rsidRPr="000F35ED" w:rsidRDefault="00BE228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34792D1" w14:textId="77777777" w:rsidR="00BE2286" w:rsidRPr="000F35ED" w:rsidRDefault="00BE2286" w:rsidP="000F35ED">
      <w:pPr>
        <w:rPr>
          <w:rFonts w:asciiTheme="majorHAnsi" w:hAnsiTheme="majorHAnsi"/>
          <w:sz w:val="16"/>
          <w:szCs w:val="16"/>
        </w:rPr>
      </w:pPr>
      <w:r w:rsidRPr="000F35ED">
        <w:rPr>
          <w:rFonts w:asciiTheme="majorHAnsi" w:hAnsiTheme="majorHAnsi"/>
          <w:sz w:val="16"/>
          <w:szCs w:val="16"/>
        </w:rPr>
        <w:separator/>
      </w:r>
    </w:p>
    <w:p w14:paraId="1BD8584F" w14:textId="77777777" w:rsidR="00BE2286" w:rsidRPr="000F35ED" w:rsidRDefault="00BE228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851275C" w14:textId="77777777" w:rsidR="00BE2286" w:rsidRPr="000F35ED" w:rsidRDefault="00BE228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5D87C2" w14:textId="250C2D7A" w:rsidR="009E2983" w:rsidRPr="00AE3BC8" w:rsidRDefault="009E2983" w:rsidP="00AE3BC8">
      <w:pPr>
        <w:pStyle w:val="FootnoteText"/>
        <w:ind w:firstLine="720"/>
        <w:jc w:val="both"/>
        <w:rPr>
          <w:rFonts w:ascii="Cambria" w:hAnsi="Cambria"/>
          <w:sz w:val="16"/>
          <w:szCs w:val="16"/>
          <w:lang w:val="pt-BR"/>
        </w:rPr>
      </w:pPr>
      <w:r w:rsidRPr="00AE3BC8">
        <w:rPr>
          <w:rStyle w:val="FootnoteReference"/>
          <w:rFonts w:ascii="Cambria" w:hAnsi="Cambria"/>
          <w:sz w:val="16"/>
          <w:szCs w:val="16"/>
          <w:lang w:val="pt-BR"/>
        </w:rPr>
        <w:footnoteRef/>
      </w:r>
      <w:r w:rsidRPr="00AE3BC8">
        <w:rPr>
          <w:rFonts w:ascii="Cambria" w:hAnsi="Cambria"/>
          <w:sz w:val="16"/>
          <w:szCs w:val="16"/>
          <w:lang w:val="pt-BR"/>
        </w:rPr>
        <w:t xml:space="preserve"> Também figuram como supostas vítimas: </w:t>
      </w:r>
      <w:r w:rsidR="009E6C70" w:rsidRPr="00AE3BC8">
        <w:rPr>
          <w:rFonts w:ascii="Cambria" w:hAnsi="Cambria"/>
          <w:sz w:val="16"/>
          <w:szCs w:val="16"/>
          <w:lang w:val="pt-BR"/>
        </w:rPr>
        <w:t>Maria do Carmo Nascimento Silva, Diana Maria da Silva, Carlos Eduardo da Silva, Damiana do Nascimento de Souza, Maria Aparecida Nascimento de Souza, Crislane da Silva Santos, Raiane da Silva Santos, Taciane da Silva Santos e Ruan da Silva Santos.</w:t>
      </w:r>
    </w:p>
  </w:footnote>
  <w:footnote w:id="3">
    <w:p w14:paraId="06C1BEFA" w14:textId="69DE4796" w:rsidR="004A6A54" w:rsidRPr="00AE3BC8" w:rsidRDefault="004A6A54" w:rsidP="00AE3BC8">
      <w:pPr>
        <w:pStyle w:val="FootnoteText"/>
        <w:ind w:firstLine="720"/>
        <w:jc w:val="both"/>
        <w:rPr>
          <w:rFonts w:ascii="Cambria" w:hAnsi="Cambria"/>
          <w:sz w:val="16"/>
          <w:szCs w:val="16"/>
          <w:lang w:val="pt-BR"/>
        </w:rPr>
      </w:pPr>
      <w:r w:rsidRPr="00AE3BC8">
        <w:rPr>
          <w:rStyle w:val="FootnoteReference"/>
          <w:rFonts w:ascii="Cambria" w:hAnsi="Cambria"/>
          <w:sz w:val="16"/>
          <w:szCs w:val="16"/>
          <w:lang w:val="pt-BR"/>
        </w:rPr>
        <w:footnoteRef/>
      </w:r>
      <w:r w:rsidRPr="00AE3BC8">
        <w:rPr>
          <w:rFonts w:ascii="Cambria" w:hAnsi="Cambria"/>
          <w:sz w:val="16"/>
          <w:szCs w:val="16"/>
          <w:lang w:val="pt-BR"/>
        </w:rPr>
        <w:t xml:space="preserve"> </w:t>
      </w:r>
      <w:r w:rsidR="006B5EE6" w:rsidRPr="00AE3BC8">
        <w:rPr>
          <w:rFonts w:ascii="Cambria" w:hAnsi="Cambria"/>
          <w:sz w:val="16"/>
          <w:szCs w:val="16"/>
          <w:lang w:val="pt-BR"/>
        </w:rPr>
        <w:t>Conforme</w:t>
      </w:r>
      <w:r w:rsidRPr="00AE3BC8">
        <w:rPr>
          <w:rFonts w:ascii="Cambria" w:hAnsi="Cambria"/>
          <w:sz w:val="16"/>
          <w:szCs w:val="16"/>
          <w:lang w:val="pt-BR"/>
        </w:rPr>
        <w:t xml:space="preserve"> </w:t>
      </w:r>
      <w:r w:rsidR="00D21316" w:rsidRPr="00AE3BC8">
        <w:rPr>
          <w:rFonts w:ascii="Cambria" w:hAnsi="Cambria"/>
          <w:sz w:val="16"/>
          <w:szCs w:val="16"/>
          <w:lang w:val="pt-BR"/>
        </w:rPr>
        <w:t>disposto</w:t>
      </w:r>
      <w:r w:rsidRPr="00AE3BC8">
        <w:rPr>
          <w:rFonts w:ascii="Cambria" w:hAnsi="Cambria"/>
          <w:sz w:val="16"/>
          <w:szCs w:val="16"/>
          <w:lang w:val="pt-BR"/>
        </w:rPr>
        <w:t xml:space="preserve"> </w:t>
      </w:r>
      <w:r w:rsidR="00D21316" w:rsidRPr="00AE3BC8">
        <w:rPr>
          <w:rFonts w:ascii="Cambria" w:hAnsi="Cambria"/>
          <w:sz w:val="16"/>
          <w:szCs w:val="16"/>
          <w:lang w:val="pt-BR"/>
        </w:rPr>
        <w:t>no artigo 17.2.a do</w:t>
      </w:r>
      <w:r w:rsidRPr="00AE3BC8">
        <w:rPr>
          <w:rFonts w:ascii="Cambria" w:hAnsi="Cambria"/>
          <w:sz w:val="16"/>
          <w:szCs w:val="16"/>
          <w:lang w:val="pt-BR"/>
        </w:rPr>
        <w:t xml:space="preserve"> Reg</w:t>
      </w:r>
      <w:r w:rsidR="00D21316" w:rsidRPr="00AE3BC8">
        <w:rPr>
          <w:rFonts w:ascii="Cambria" w:hAnsi="Cambria"/>
          <w:sz w:val="16"/>
          <w:szCs w:val="16"/>
          <w:lang w:val="pt-BR"/>
        </w:rPr>
        <w:t>u</w:t>
      </w:r>
      <w:r w:rsidRPr="00AE3BC8">
        <w:rPr>
          <w:rFonts w:ascii="Cambria" w:hAnsi="Cambria"/>
          <w:sz w:val="16"/>
          <w:szCs w:val="16"/>
          <w:lang w:val="pt-BR"/>
        </w:rPr>
        <w:t xml:space="preserve">lamento da </w:t>
      </w:r>
      <w:r w:rsidR="00D21316" w:rsidRPr="00AE3BC8">
        <w:rPr>
          <w:rFonts w:ascii="Cambria" w:hAnsi="Cambria"/>
          <w:sz w:val="16"/>
          <w:szCs w:val="16"/>
          <w:lang w:val="pt-BR"/>
        </w:rPr>
        <w:t>Comissão</w:t>
      </w:r>
      <w:r w:rsidR="00A53003" w:rsidRPr="00AE3BC8">
        <w:rPr>
          <w:rFonts w:ascii="Cambria" w:hAnsi="Cambria"/>
          <w:sz w:val="16"/>
          <w:szCs w:val="16"/>
          <w:lang w:val="pt-BR"/>
        </w:rPr>
        <w:t xml:space="preserve">, </w:t>
      </w:r>
      <w:r w:rsidR="00D21316" w:rsidRPr="00AE3BC8">
        <w:rPr>
          <w:rFonts w:ascii="Cambria" w:hAnsi="Cambria"/>
          <w:sz w:val="16"/>
          <w:szCs w:val="16"/>
          <w:lang w:val="pt-BR"/>
        </w:rPr>
        <w:t>a</w:t>
      </w:r>
      <w:r w:rsidRPr="00AE3BC8">
        <w:rPr>
          <w:rFonts w:ascii="Cambria" w:hAnsi="Cambria"/>
          <w:sz w:val="16"/>
          <w:szCs w:val="16"/>
          <w:lang w:val="pt-BR"/>
        </w:rPr>
        <w:t xml:space="preserve"> </w:t>
      </w:r>
      <w:r w:rsidR="00A53003" w:rsidRPr="00AE3BC8">
        <w:rPr>
          <w:rFonts w:ascii="Cambria" w:hAnsi="Cambria"/>
          <w:sz w:val="16"/>
          <w:szCs w:val="16"/>
          <w:lang w:val="pt-BR"/>
        </w:rPr>
        <w:t>Comissária</w:t>
      </w:r>
      <w:r w:rsidRPr="00AE3BC8">
        <w:rPr>
          <w:rFonts w:ascii="Cambria" w:hAnsi="Cambria"/>
          <w:sz w:val="16"/>
          <w:szCs w:val="16"/>
          <w:lang w:val="pt-BR"/>
        </w:rPr>
        <w:t xml:space="preserve"> </w:t>
      </w:r>
      <w:r w:rsidR="006A20E7" w:rsidRPr="00AE3BC8">
        <w:rPr>
          <w:rFonts w:ascii="Cambria" w:hAnsi="Cambria"/>
          <w:sz w:val="16"/>
          <w:szCs w:val="16"/>
          <w:lang w:val="pt-BR"/>
        </w:rPr>
        <w:t>Flávia Piovesan</w:t>
      </w:r>
      <w:r w:rsidRPr="00AE3BC8">
        <w:rPr>
          <w:rFonts w:ascii="Cambria" w:hAnsi="Cambria"/>
          <w:sz w:val="16"/>
          <w:szCs w:val="16"/>
          <w:lang w:val="pt-BR"/>
        </w:rPr>
        <w:t>, de nacionalidad</w:t>
      </w:r>
      <w:r w:rsidR="00B51266" w:rsidRPr="00AE3BC8">
        <w:rPr>
          <w:rFonts w:ascii="Cambria" w:hAnsi="Cambria"/>
          <w:sz w:val="16"/>
          <w:szCs w:val="16"/>
          <w:lang w:val="pt-BR"/>
        </w:rPr>
        <w:t>e</w:t>
      </w:r>
      <w:r w:rsidRPr="00AE3BC8">
        <w:rPr>
          <w:rFonts w:ascii="Cambria" w:hAnsi="Cambria"/>
          <w:sz w:val="16"/>
          <w:szCs w:val="16"/>
          <w:lang w:val="pt-BR"/>
        </w:rPr>
        <w:t xml:space="preserve"> </w:t>
      </w:r>
      <w:r w:rsidR="006A20E7" w:rsidRPr="00AE3BC8">
        <w:rPr>
          <w:rFonts w:ascii="Cambria" w:hAnsi="Cambria"/>
          <w:sz w:val="16"/>
          <w:szCs w:val="16"/>
          <w:lang w:val="pt-BR"/>
        </w:rPr>
        <w:t>brasileira</w:t>
      </w:r>
      <w:r w:rsidR="00A53003" w:rsidRPr="00AE3BC8">
        <w:rPr>
          <w:rFonts w:ascii="Cambria" w:hAnsi="Cambria"/>
          <w:sz w:val="16"/>
          <w:szCs w:val="16"/>
          <w:lang w:val="pt-BR"/>
        </w:rPr>
        <w:t>, não participou no</w:t>
      </w:r>
      <w:r w:rsidRPr="00AE3BC8">
        <w:rPr>
          <w:rFonts w:ascii="Cambria" w:hAnsi="Cambria"/>
          <w:sz w:val="16"/>
          <w:szCs w:val="16"/>
          <w:lang w:val="pt-BR"/>
        </w:rPr>
        <w:t xml:space="preserve"> debate </w:t>
      </w:r>
      <w:r w:rsidR="00A53003" w:rsidRPr="00AE3BC8">
        <w:rPr>
          <w:rFonts w:ascii="Cambria" w:hAnsi="Cambria"/>
          <w:sz w:val="16"/>
          <w:szCs w:val="16"/>
          <w:lang w:val="pt-BR"/>
        </w:rPr>
        <w:t>nem na decisão do</w:t>
      </w:r>
      <w:r w:rsidRPr="00AE3BC8">
        <w:rPr>
          <w:rFonts w:ascii="Cambria" w:hAnsi="Cambria"/>
          <w:sz w:val="16"/>
          <w:szCs w:val="16"/>
          <w:lang w:val="pt-BR"/>
        </w:rPr>
        <w:t xml:space="preserve"> presente a</w:t>
      </w:r>
      <w:r w:rsidR="00A53003" w:rsidRPr="00AE3BC8">
        <w:rPr>
          <w:rFonts w:ascii="Cambria" w:hAnsi="Cambria"/>
          <w:sz w:val="16"/>
          <w:szCs w:val="16"/>
          <w:lang w:val="pt-BR"/>
        </w:rPr>
        <w:t>s</w:t>
      </w:r>
      <w:r w:rsidRPr="00AE3BC8">
        <w:rPr>
          <w:rFonts w:ascii="Cambria" w:hAnsi="Cambria"/>
          <w:sz w:val="16"/>
          <w:szCs w:val="16"/>
          <w:lang w:val="pt-BR"/>
        </w:rPr>
        <w:t>sunto.</w:t>
      </w:r>
    </w:p>
  </w:footnote>
  <w:footnote w:id="4">
    <w:p w14:paraId="6F4DAC72" w14:textId="35F89D38" w:rsidR="009E2983" w:rsidRPr="00AE3BC8" w:rsidRDefault="009E2983" w:rsidP="00AE3BC8">
      <w:pPr>
        <w:pStyle w:val="FootnoteText"/>
        <w:ind w:firstLine="720"/>
        <w:jc w:val="both"/>
        <w:rPr>
          <w:rFonts w:ascii="Cambria" w:hAnsi="Cambria"/>
          <w:sz w:val="16"/>
          <w:szCs w:val="16"/>
          <w:lang w:val="pt-BR"/>
        </w:rPr>
      </w:pPr>
      <w:r w:rsidRPr="00AE3BC8">
        <w:rPr>
          <w:rStyle w:val="FootnoteReference"/>
          <w:rFonts w:ascii="Cambria" w:hAnsi="Cambria"/>
          <w:sz w:val="16"/>
          <w:szCs w:val="16"/>
          <w:lang w:val="pt-BR"/>
        </w:rPr>
        <w:footnoteRef/>
      </w:r>
      <w:r w:rsidRPr="00AE3BC8">
        <w:rPr>
          <w:rFonts w:ascii="Cambria" w:hAnsi="Cambria"/>
          <w:sz w:val="16"/>
          <w:szCs w:val="16"/>
          <w:lang w:val="pt-BR"/>
        </w:rPr>
        <w:t xml:space="preserve"> Adiante “Convenção Americana” ou “Convenção”.</w:t>
      </w:r>
    </w:p>
  </w:footnote>
  <w:footnote w:id="5">
    <w:p w14:paraId="79F07139" w14:textId="59ADAE8B" w:rsidR="008E3BFE" w:rsidRPr="00AE3BC8" w:rsidRDefault="008E3BFE" w:rsidP="00AE3BC8">
      <w:pPr>
        <w:pStyle w:val="FootnoteText"/>
        <w:spacing w:after="120"/>
        <w:ind w:firstLine="720"/>
        <w:jc w:val="both"/>
        <w:rPr>
          <w:rFonts w:ascii="Cambria" w:hAnsi="Cambria"/>
          <w:sz w:val="16"/>
          <w:szCs w:val="16"/>
          <w:lang w:val="pt-BR"/>
        </w:rPr>
      </w:pPr>
      <w:r w:rsidRPr="00AE3BC8">
        <w:rPr>
          <w:rStyle w:val="FootnoteReference"/>
          <w:rFonts w:ascii="Cambria" w:hAnsi="Cambria"/>
          <w:sz w:val="16"/>
          <w:szCs w:val="16"/>
          <w:lang w:val="pt-BR"/>
        </w:rPr>
        <w:footnoteRef/>
      </w:r>
      <w:r w:rsidRPr="00AE3BC8">
        <w:rPr>
          <w:rFonts w:ascii="Cambria" w:hAnsi="Cambria"/>
          <w:sz w:val="16"/>
          <w:szCs w:val="16"/>
          <w:lang w:val="pt-BR"/>
        </w:rPr>
        <w:t xml:space="preserve"> </w:t>
      </w:r>
      <w:r w:rsidR="00A53003" w:rsidRPr="00AE3BC8">
        <w:rPr>
          <w:rFonts w:ascii="Cambria" w:hAnsi="Cambria"/>
          <w:sz w:val="16"/>
          <w:szCs w:val="16"/>
          <w:lang w:val="pt-BR"/>
        </w:rPr>
        <w:t>As observações de cada parte foram dev</w:t>
      </w:r>
      <w:r w:rsidRPr="00AE3BC8">
        <w:rPr>
          <w:rFonts w:ascii="Cambria" w:hAnsi="Cambria"/>
          <w:sz w:val="16"/>
          <w:szCs w:val="16"/>
          <w:lang w:val="pt-BR"/>
        </w:rPr>
        <w:t>idamente tra</w:t>
      </w:r>
      <w:r w:rsidR="00A53003" w:rsidRPr="00AE3BC8">
        <w:rPr>
          <w:rFonts w:ascii="Cambria" w:hAnsi="Cambria"/>
          <w:sz w:val="16"/>
          <w:szCs w:val="16"/>
          <w:lang w:val="pt-BR"/>
        </w:rPr>
        <w:t>n</w:t>
      </w:r>
      <w:r w:rsidRPr="00AE3BC8">
        <w:rPr>
          <w:rFonts w:ascii="Cambria" w:hAnsi="Cambria"/>
          <w:sz w:val="16"/>
          <w:szCs w:val="16"/>
          <w:lang w:val="pt-BR"/>
        </w:rPr>
        <w:t xml:space="preserve">sladadas </w:t>
      </w:r>
      <w:r w:rsidR="00A53003" w:rsidRPr="00AE3BC8">
        <w:rPr>
          <w:rFonts w:ascii="Cambria" w:hAnsi="Cambria"/>
          <w:sz w:val="16"/>
          <w:szCs w:val="16"/>
          <w:lang w:val="pt-BR"/>
        </w:rPr>
        <w:t>à parte contrá</w:t>
      </w:r>
      <w:r w:rsidRPr="00AE3BC8">
        <w:rPr>
          <w:rFonts w:ascii="Cambria" w:hAnsi="Cambria"/>
          <w:sz w:val="16"/>
          <w:szCs w:val="16"/>
          <w:lang w:val="pt-BR"/>
        </w:rPr>
        <w:t>ria.</w:t>
      </w:r>
    </w:p>
  </w:footnote>
  <w:footnote w:id="6">
    <w:p w14:paraId="4C19E7E8" w14:textId="4D7AB1D5" w:rsidR="009F0CD4" w:rsidRPr="00AE3BC8" w:rsidRDefault="009F0CD4" w:rsidP="00AE3BC8">
      <w:pPr>
        <w:pStyle w:val="FootnoteText"/>
        <w:ind w:firstLine="720"/>
        <w:jc w:val="both"/>
        <w:rPr>
          <w:rFonts w:ascii="Cambria" w:hAnsi="Cambria"/>
          <w:sz w:val="16"/>
          <w:szCs w:val="16"/>
          <w:lang w:val="pt-BR"/>
        </w:rPr>
      </w:pPr>
      <w:r w:rsidRPr="00AE3BC8">
        <w:rPr>
          <w:rStyle w:val="FootnoteReference"/>
          <w:rFonts w:ascii="Cambria" w:hAnsi="Cambria"/>
          <w:sz w:val="16"/>
          <w:szCs w:val="16"/>
          <w:lang w:val="pt-BR"/>
        </w:rPr>
        <w:footnoteRef/>
      </w:r>
      <w:r w:rsidRPr="00AE3BC8">
        <w:rPr>
          <w:rFonts w:ascii="Cambria" w:hAnsi="Cambria"/>
          <w:sz w:val="16"/>
          <w:szCs w:val="16"/>
          <w:lang w:val="pt-BR"/>
        </w:rPr>
        <w:t xml:space="preserve"> CIDH, Relatório nº 166/17. Admissibilidade. Fausto Soto Miller. México. 1 de dezembro de 2017, par. 11.</w:t>
      </w:r>
    </w:p>
  </w:footnote>
  <w:footnote w:id="7">
    <w:p w14:paraId="557D3BA7" w14:textId="4FBEB1E5" w:rsidR="00AE3BC8" w:rsidRPr="00AE3BC8" w:rsidRDefault="00AE3BC8" w:rsidP="00AE3BC8">
      <w:pPr>
        <w:pStyle w:val="FootnoteText"/>
        <w:ind w:firstLine="720"/>
        <w:jc w:val="both"/>
        <w:rPr>
          <w:rFonts w:ascii="Cambria" w:hAnsi="Cambria"/>
          <w:sz w:val="16"/>
          <w:szCs w:val="16"/>
          <w:lang w:val="pt-BR"/>
        </w:rPr>
      </w:pPr>
      <w:r w:rsidRPr="00AE3BC8">
        <w:rPr>
          <w:rStyle w:val="FootnoteReference"/>
          <w:rFonts w:ascii="Cambria" w:hAnsi="Cambria"/>
          <w:sz w:val="16"/>
          <w:szCs w:val="16"/>
          <w:lang w:val="pt-BR"/>
        </w:rPr>
        <w:footnoteRef/>
      </w:r>
      <w:r w:rsidRPr="00AE3BC8">
        <w:rPr>
          <w:rFonts w:ascii="Cambria" w:hAnsi="Cambria"/>
          <w:sz w:val="16"/>
          <w:szCs w:val="16"/>
          <w:lang w:val="pt-BR"/>
        </w:rPr>
        <w:t xml:space="preserve"> CIDH, Relatório nº 105/17. Petição 798-07. Admissibilidade. David Valderrama Opazo e outros. Chile. 7 de setembro de 2017, par. 12.</w:t>
      </w:r>
    </w:p>
  </w:footnote>
  <w:footnote w:id="8">
    <w:p w14:paraId="27C0207B" w14:textId="3C9D84EB" w:rsidR="009F0CD4" w:rsidRPr="00AE3BC8" w:rsidRDefault="009F0CD4" w:rsidP="00AE3BC8">
      <w:pPr>
        <w:pStyle w:val="FootnoteText"/>
        <w:ind w:firstLine="720"/>
        <w:jc w:val="both"/>
        <w:rPr>
          <w:rFonts w:ascii="Cambria" w:hAnsi="Cambria"/>
          <w:sz w:val="16"/>
          <w:szCs w:val="16"/>
          <w:lang w:val="pt-BR"/>
        </w:rPr>
      </w:pPr>
      <w:r w:rsidRPr="00AE3BC8">
        <w:rPr>
          <w:rStyle w:val="FootnoteReference"/>
          <w:rFonts w:ascii="Cambria" w:hAnsi="Cambria"/>
          <w:sz w:val="16"/>
          <w:szCs w:val="16"/>
          <w:lang w:val="pt-BR"/>
        </w:rPr>
        <w:footnoteRef/>
      </w:r>
      <w:r w:rsidRPr="00AE3BC8">
        <w:rPr>
          <w:rFonts w:ascii="Cambria" w:hAnsi="Cambria"/>
          <w:sz w:val="16"/>
          <w:szCs w:val="16"/>
          <w:lang w:val="pt-BR"/>
        </w:rPr>
        <w:t xml:space="preserve"> CIDH, Relatório nº 78/16, Petição 1170-09. Admissibilidade. Almir Muniz Da Silva. Brasil. 30 de dezembro de 2016, par. 32.</w:t>
      </w:r>
    </w:p>
  </w:footnote>
  <w:footnote w:id="9">
    <w:p w14:paraId="69BE69EF" w14:textId="77777777" w:rsidR="009620F5" w:rsidRPr="00AE3BC8" w:rsidRDefault="009620F5" w:rsidP="00AE3BC8">
      <w:pPr>
        <w:pStyle w:val="FootnoteText"/>
        <w:ind w:firstLine="720"/>
        <w:jc w:val="both"/>
        <w:rPr>
          <w:rFonts w:ascii="Cambria" w:hAnsi="Cambria"/>
          <w:sz w:val="16"/>
          <w:szCs w:val="16"/>
          <w:lang w:val="pt-BR"/>
        </w:rPr>
      </w:pPr>
      <w:r w:rsidRPr="00AE3BC8">
        <w:rPr>
          <w:rStyle w:val="FootnoteReference"/>
          <w:rFonts w:ascii="Cambria" w:hAnsi="Cambria"/>
          <w:sz w:val="16"/>
          <w:szCs w:val="16"/>
          <w:lang w:val="pt-BR"/>
        </w:rPr>
        <w:footnoteRef/>
      </w:r>
      <w:r w:rsidRPr="00AE3BC8">
        <w:rPr>
          <w:rFonts w:ascii="Cambria" w:hAnsi="Cambria"/>
          <w:sz w:val="16"/>
          <w:szCs w:val="16"/>
          <w:lang w:val="pt-BR"/>
        </w:rPr>
        <w:t xml:space="preserve"> Corte IDH. Caso Favela Nova Brasília Vs. Brasil. Exceções Preliminares, Mérito, Reparações e Custas. Sentença de 16 de fevereiro de 2017. Série C Nº 333, par. 61. Ver, </w:t>
      </w:r>
      <w:r w:rsidRPr="00AE3BC8">
        <w:rPr>
          <w:rFonts w:ascii="Cambria" w:hAnsi="Cambria"/>
          <w:i/>
          <w:sz w:val="16"/>
          <w:szCs w:val="16"/>
          <w:lang w:val="pt-BR"/>
        </w:rPr>
        <w:t>mutatis mutante</w:t>
      </w:r>
      <w:r w:rsidRPr="00AE3BC8">
        <w:rPr>
          <w:rFonts w:ascii="Cambria" w:hAnsi="Cambria"/>
          <w:sz w:val="16"/>
          <w:szCs w:val="16"/>
          <w:lang w:val="pt-BR"/>
        </w:rPr>
        <w:t>: Corte IDH. Caso das “Crianças de Rua” (Villagrán Morales e outros) Vs. Guatemala. Mérito. Sentença de 19 de novembro de 1999. Série C Nº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BE2286"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E575B" w14:textId="77777777" w:rsidR="00E52C8E" w:rsidRDefault="00E52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6516"/>
    <w:rsid w:val="00006E1F"/>
    <w:rsid w:val="000070D7"/>
    <w:rsid w:val="0001788C"/>
    <w:rsid w:val="000304C0"/>
    <w:rsid w:val="000337EF"/>
    <w:rsid w:val="00035C7C"/>
    <w:rsid w:val="00040C3A"/>
    <w:rsid w:val="000419AD"/>
    <w:rsid w:val="000433C9"/>
    <w:rsid w:val="000435D6"/>
    <w:rsid w:val="000716C5"/>
    <w:rsid w:val="00073BEA"/>
    <w:rsid w:val="00075E23"/>
    <w:rsid w:val="0009344A"/>
    <w:rsid w:val="000A392E"/>
    <w:rsid w:val="000A575F"/>
    <w:rsid w:val="000D10DB"/>
    <w:rsid w:val="000D3098"/>
    <w:rsid w:val="000E5EB5"/>
    <w:rsid w:val="000F35ED"/>
    <w:rsid w:val="00107131"/>
    <w:rsid w:val="0010736F"/>
    <w:rsid w:val="00113F73"/>
    <w:rsid w:val="00121CC2"/>
    <w:rsid w:val="00123292"/>
    <w:rsid w:val="00126384"/>
    <w:rsid w:val="00133EE5"/>
    <w:rsid w:val="00166EE7"/>
    <w:rsid w:val="00167A34"/>
    <w:rsid w:val="001748F1"/>
    <w:rsid w:val="001A7870"/>
    <w:rsid w:val="001B3A00"/>
    <w:rsid w:val="001B7B5A"/>
    <w:rsid w:val="001C1B41"/>
    <w:rsid w:val="001D65EF"/>
    <w:rsid w:val="001E25DE"/>
    <w:rsid w:val="001E420E"/>
    <w:rsid w:val="001E49E7"/>
    <w:rsid w:val="001F7201"/>
    <w:rsid w:val="00223A29"/>
    <w:rsid w:val="002250A3"/>
    <w:rsid w:val="0022736D"/>
    <w:rsid w:val="0023349C"/>
    <w:rsid w:val="00235217"/>
    <w:rsid w:val="00237A10"/>
    <w:rsid w:val="00246D1F"/>
    <w:rsid w:val="00247403"/>
    <w:rsid w:val="00247542"/>
    <w:rsid w:val="00261BA0"/>
    <w:rsid w:val="00266B61"/>
    <w:rsid w:val="0026712A"/>
    <w:rsid w:val="002704DB"/>
    <w:rsid w:val="00284692"/>
    <w:rsid w:val="00290B19"/>
    <w:rsid w:val="00295116"/>
    <w:rsid w:val="002A0AAE"/>
    <w:rsid w:val="002A1B95"/>
    <w:rsid w:val="002A5820"/>
    <w:rsid w:val="002D2B26"/>
    <w:rsid w:val="002D7EA2"/>
    <w:rsid w:val="002E187C"/>
    <w:rsid w:val="00302733"/>
    <w:rsid w:val="003133F8"/>
    <w:rsid w:val="00314078"/>
    <w:rsid w:val="0031535D"/>
    <w:rsid w:val="00322731"/>
    <w:rsid w:val="003239B8"/>
    <w:rsid w:val="00327440"/>
    <w:rsid w:val="0033169F"/>
    <w:rsid w:val="00344977"/>
    <w:rsid w:val="00346C95"/>
    <w:rsid w:val="00356185"/>
    <w:rsid w:val="00360380"/>
    <w:rsid w:val="0037519E"/>
    <w:rsid w:val="00386CF0"/>
    <w:rsid w:val="0038709A"/>
    <w:rsid w:val="003974F1"/>
    <w:rsid w:val="003B447D"/>
    <w:rsid w:val="003B70FB"/>
    <w:rsid w:val="003C676B"/>
    <w:rsid w:val="003D3BC2"/>
    <w:rsid w:val="003E3026"/>
    <w:rsid w:val="003E6CA1"/>
    <w:rsid w:val="004065A8"/>
    <w:rsid w:val="004165C2"/>
    <w:rsid w:val="004220A6"/>
    <w:rsid w:val="00427F7C"/>
    <w:rsid w:val="00441ECB"/>
    <w:rsid w:val="00445193"/>
    <w:rsid w:val="004517BC"/>
    <w:rsid w:val="00462C1B"/>
    <w:rsid w:val="00467B7E"/>
    <w:rsid w:val="00473BB4"/>
    <w:rsid w:val="00477592"/>
    <w:rsid w:val="00486F1C"/>
    <w:rsid w:val="00492D73"/>
    <w:rsid w:val="0049419D"/>
    <w:rsid w:val="004A6A54"/>
    <w:rsid w:val="004B4772"/>
    <w:rsid w:val="004B7D38"/>
    <w:rsid w:val="004C20D2"/>
    <w:rsid w:val="004C2312"/>
    <w:rsid w:val="004C4B62"/>
    <w:rsid w:val="004C54C9"/>
    <w:rsid w:val="004D4ABA"/>
    <w:rsid w:val="004D6025"/>
    <w:rsid w:val="004D6A87"/>
    <w:rsid w:val="004E2649"/>
    <w:rsid w:val="004E29EE"/>
    <w:rsid w:val="00501399"/>
    <w:rsid w:val="0050633D"/>
    <w:rsid w:val="00507BC4"/>
    <w:rsid w:val="005128E4"/>
    <w:rsid w:val="005133DB"/>
    <w:rsid w:val="00525560"/>
    <w:rsid w:val="00544C49"/>
    <w:rsid w:val="005516A1"/>
    <w:rsid w:val="00563557"/>
    <w:rsid w:val="0057402A"/>
    <w:rsid w:val="005771D0"/>
    <w:rsid w:val="0059191A"/>
    <w:rsid w:val="005921FF"/>
    <w:rsid w:val="005A24ED"/>
    <w:rsid w:val="005A56F9"/>
    <w:rsid w:val="005A6D0E"/>
    <w:rsid w:val="005B52B0"/>
    <w:rsid w:val="005B6806"/>
    <w:rsid w:val="005C4225"/>
    <w:rsid w:val="005C5618"/>
    <w:rsid w:val="005D0C55"/>
    <w:rsid w:val="005F0DAD"/>
    <w:rsid w:val="005F0F33"/>
    <w:rsid w:val="00600DEB"/>
    <w:rsid w:val="00611789"/>
    <w:rsid w:val="00627C9F"/>
    <w:rsid w:val="006311E9"/>
    <w:rsid w:val="00632354"/>
    <w:rsid w:val="00633B52"/>
    <w:rsid w:val="00641C09"/>
    <w:rsid w:val="00642810"/>
    <w:rsid w:val="00652333"/>
    <w:rsid w:val="0068009E"/>
    <w:rsid w:val="00690385"/>
    <w:rsid w:val="00692219"/>
    <w:rsid w:val="006A17D2"/>
    <w:rsid w:val="006A20E7"/>
    <w:rsid w:val="006A73E6"/>
    <w:rsid w:val="006B2D5C"/>
    <w:rsid w:val="006B5EE6"/>
    <w:rsid w:val="006B6D9E"/>
    <w:rsid w:val="006C4EB1"/>
    <w:rsid w:val="006E0166"/>
    <w:rsid w:val="006E7B34"/>
    <w:rsid w:val="0070697F"/>
    <w:rsid w:val="0072199C"/>
    <w:rsid w:val="00722C9F"/>
    <w:rsid w:val="00723A74"/>
    <w:rsid w:val="007253B8"/>
    <w:rsid w:val="00725FFD"/>
    <w:rsid w:val="0073741F"/>
    <w:rsid w:val="007638B5"/>
    <w:rsid w:val="0076643F"/>
    <w:rsid w:val="007665A8"/>
    <w:rsid w:val="00777F63"/>
    <w:rsid w:val="007A0506"/>
    <w:rsid w:val="007A5817"/>
    <w:rsid w:val="007B05C4"/>
    <w:rsid w:val="007B063A"/>
    <w:rsid w:val="007B60E9"/>
    <w:rsid w:val="007B6CC3"/>
    <w:rsid w:val="007B76D3"/>
    <w:rsid w:val="007C0809"/>
    <w:rsid w:val="007C3334"/>
    <w:rsid w:val="007D2B98"/>
    <w:rsid w:val="007E21BC"/>
    <w:rsid w:val="007E787C"/>
    <w:rsid w:val="007E7C82"/>
    <w:rsid w:val="007F1FDC"/>
    <w:rsid w:val="007F3FA3"/>
    <w:rsid w:val="007F588D"/>
    <w:rsid w:val="00803F1C"/>
    <w:rsid w:val="0080600E"/>
    <w:rsid w:val="00812867"/>
    <w:rsid w:val="0081466D"/>
    <w:rsid w:val="00817612"/>
    <w:rsid w:val="008338A4"/>
    <w:rsid w:val="00834D49"/>
    <w:rsid w:val="00837C45"/>
    <w:rsid w:val="00844730"/>
    <w:rsid w:val="008457C2"/>
    <w:rsid w:val="00857A82"/>
    <w:rsid w:val="00873836"/>
    <w:rsid w:val="00885737"/>
    <w:rsid w:val="00890650"/>
    <w:rsid w:val="0089741F"/>
    <w:rsid w:val="00897E12"/>
    <w:rsid w:val="008A7E0F"/>
    <w:rsid w:val="008B12F5"/>
    <w:rsid w:val="008D768D"/>
    <w:rsid w:val="008E3759"/>
    <w:rsid w:val="008E3BFE"/>
    <w:rsid w:val="008F1912"/>
    <w:rsid w:val="008F666B"/>
    <w:rsid w:val="0090270B"/>
    <w:rsid w:val="009041DC"/>
    <w:rsid w:val="00912D49"/>
    <w:rsid w:val="00917B5A"/>
    <w:rsid w:val="00920A58"/>
    <w:rsid w:val="00920A8C"/>
    <w:rsid w:val="00934A2C"/>
    <w:rsid w:val="00934A78"/>
    <w:rsid w:val="00960228"/>
    <w:rsid w:val="009620F5"/>
    <w:rsid w:val="0096706E"/>
    <w:rsid w:val="00974491"/>
    <w:rsid w:val="00975C4E"/>
    <w:rsid w:val="00981FBA"/>
    <w:rsid w:val="00997BC5"/>
    <w:rsid w:val="009A4F41"/>
    <w:rsid w:val="009B381B"/>
    <w:rsid w:val="009D1753"/>
    <w:rsid w:val="009D7611"/>
    <w:rsid w:val="009E0B61"/>
    <w:rsid w:val="009E2983"/>
    <w:rsid w:val="009E31B5"/>
    <w:rsid w:val="009E53DE"/>
    <w:rsid w:val="009E6C70"/>
    <w:rsid w:val="009F0CD4"/>
    <w:rsid w:val="00A029DC"/>
    <w:rsid w:val="00A10BFC"/>
    <w:rsid w:val="00A11212"/>
    <w:rsid w:val="00A1147C"/>
    <w:rsid w:val="00A11E44"/>
    <w:rsid w:val="00A328B3"/>
    <w:rsid w:val="00A37F2E"/>
    <w:rsid w:val="00A50FCF"/>
    <w:rsid w:val="00A528D1"/>
    <w:rsid w:val="00A53003"/>
    <w:rsid w:val="00A578AC"/>
    <w:rsid w:val="00A610CD"/>
    <w:rsid w:val="00A758AA"/>
    <w:rsid w:val="00A75CC3"/>
    <w:rsid w:val="00AA09A2"/>
    <w:rsid w:val="00AA727F"/>
    <w:rsid w:val="00AA7996"/>
    <w:rsid w:val="00AB708A"/>
    <w:rsid w:val="00AC19CB"/>
    <w:rsid w:val="00AD0990"/>
    <w:rsid w:val="00AE3BC8"/>
    <w:rsid w:val="00AE5488"/>
    <w:rsid w:val="00AE6F91"/>
    <w:rsid w:val="00AF15BF"/>
    <w:rsid w:val="00AF5571"/>
    <w:rsid w:val="00B07341"/>
    <w:rsid w:val="00B30539"/>
    <w:rsid w:val="00B314DB"/>
    <w:rsid w:val="00B361F2"/>
    <w:rsid w:val="00B3718B"/>
    <w:rsid w:val="00B4632A"/>
    <w:rsid w:val="00B51266"/>
    <w:rsid w:val="00B530F1"/>
    <w:rsid w:val="00B54831"/>
    <w:rsid w:val="00B67D07"/>
    <w:rsid w:val="00BA276C"/>
    <w:rsid w:val="00BA5ED3"/>
    <w:rsid w:val="00BB306F"/>
    <w:rsid w:val="00BD4B89"/>
    <w:rsid w:val="00BD5922"/>
    <w:rsid w:val="00BE2286"/>
    <w:rsid w:val="00BE3884"/>
    <w:rsid w:val="00BF02CB"/>
    <w:rsid w:val="00BF6FD8"/>
    <w:rsid w:val="00C03680"/>
    <w:rsid w:val="00C054DF"/>
    <w:rsid w:val="00C21762"/>
    <w:rsid w:val="00C21FEF"/>
    <w:rsid w:val="00C24543"/>
    <w:rsid w:val="00C256A2"/>
    <w:rsid w:val="00C51515"/>
    <w:rsid w:val="00C5660B"/>
    <w:rsid w:val="00C56C88"/>
    <w:rsid w:val="00C66265"/>
    <w:rsid w:val="00C66B72"/>
    <w:rsid w:val="00C7041B"/>
    <w:rsid w:val="00C87AC4"/>
    <w:rsid w:val="00C9567A"/>
    <w:rsid w:val="00CA67DB"/>
    <w:rsid w:val="00CA7541"/>
    <w:rsid w:val="00CB212D"/>
    <w:rsid w:val="00CB2660"/>
    <w:rsid w:val="00CB593B"/>
    <w:rsid w:val="00CC5E90"/>
    <w:rsid w:val="00CD046C"/>
    <w:rsid w:val="00CE076C"/>
    <w:rsid w:val="00CE259A"/>
    <w:rsid w:val="00CE5199"/>
    <w:rsid w:val="00CE66D5"/>
    <w:rsid w:val="00CF637A"/>
    <w:rsid w:val="00D059DE"/>
    <w:rsid w:val="00D05ABD"/>
    <w:rsid w:val="00D064E7"/>
    <w:rsid w:val="00D13FCE"/>
    <w:rsid w:val="00D21316"/>
    <w:rsid w:val="00D306D1"/>
    <w:rsid w:val="00D30800"/>
    <w:rsid w:val="00D34786"/>
    <w:rsid w:val="00D358AF"/>
    <w:rsid w:val="00D37BFC"/>
    <w:rsid w:val="00D37F09"/>
    <w:rsid w:val="00D47A8E"/>
    <w:rsid w:val="00D52D14"/>
    <w:rsid w:val="00D67A27"/>
    <w:rsid w:val="00D712D3"/>
    <w:rsid w:val="00D71422"/>
    <w:rsid w:val="00D72DC6"/>
    <w:rsid w:val="00D7558D"/>
    <w:rsid w:val="00D81D92"/>
    <w:rsid w:val="00D876F9"/>
    <w:rsid w:val="00DA2224"/>
    <w:rsid w:val="00DA7B5F"/>
    <w:rsid w:val="00DB293A"/>
    <w:rsid w:val="00DC11E7"/>
    <w:rsid w:val="00DC2B65"/>
    <w:rsid w:val="00DC7023"/>
    <w:rsid w:val="00DC769A"/>
    <w:rsid w:val="00DD3D86"/>
    <w:rsid w:val="00DD4AD2"/>
    <w:rsid w:val="00DF1EC4"/>
    <w:rsid w:val="00DF431E"/>
    <w:rsid w:val="00E0340B"/>
    <w:rsid w:val="00E04A90"/>
    <w:rsid w:val="00E0551F"/>
    <w:rsid w:val="00E10746"/>
    <w:rsid w:val="00E219C7"/>
    <w:rsid w:val="00E4118C"/>
    <w:rsid w:val="00E43157"/>
    <w:rsid w:val="00E461CE"/>
    <w:rsid w:val="00E52C8E"/>
    <w:rsid w:val="00E720CA"/>
    <w:rsid w:val="00E7331A"/>
    <w:rsid w:val="00E84EB5"/>
    <w:rsid w:val="00E85662"/>
    <w:rsid w:val="00E8789F"/>
    <w:rsid w:val="00E97B71"/>
    <w:rsid w:val="00EA3D34"/>
    <w:rsid w:val="00EB454D"/>
    <w:rsid w:val="00ED549D"/>
    <w:rsid w:val="00ED76BE"/>
    <w:rsid w:val="00EE00E9"/>
    <w:rsid w:val="00EF3DC6"/>
    <w:rsid w:val="00EF619B"/>
    <w:rsid w:val="00F00B55"/>
    <w:rsid w:val="00F02AD1"/>
    <w:rsid w:val="00F16FBA"/>
    <w:rsid w:val="00F253CC"/>
    <w:rsid w:val="00F35BD0"/>
    <w:rsid w:val="00F37106"/>
    <w:rsid w:val="00F519CF"/>
    <w:rsid w:val="00F521A3"/>
    <w:rsid w:val="00F56BA5"/>
    <w:rsid w:val="00F60E22"/>
    <w:rsid w:val="00F81395"/>
    <w:rsid w:val="00F81BB8"/>
    <w:rsid w:val="00F917D1"/>
    <w:rsid w:val="00F9653B"/>
    <w:rsid w:val="00FA6AC1"/>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7B5A"/>
    <w:rPr>
      <w:i/>
      <w:iCs/>
    </w:rPr>
  </w:style>
  <w:style w:type="character" w:styleId="CommentReference">
    <w:name w:val="annotation reference"/>
    <w:basedOn w:val="DefaultParagraphFont"/>
    <w:uiPriority w:val="99"/>
    <w:semiHidden/>
    <w:unhideWhenUsed/>
    <w:rsid w:val="00290B19"/>
    <w:rPr>
      <w:sz w:val="16"/>
      <w:szCs w:val="16"/>
    </w:rPr>
  </w:style>
  <w:style w:type="paragraph" w:styleId="CommentText">
    <w:name w:val="annotation text"/>
    <w:basedOn w:val="Normal"/>
    <w:link w:val="CommentTextChar"/>
    <w:uiPriority w:val="99"/>
    <w:semiHidden/>
    <w:unhideWhenUsed/>
    <w:rsid w:val="00290B19"/>
    <w:rPr>
      <w:sz w:val="20"/>
      <w:szCs w:val="20"/>
    </w:rPr>
  </w:style>
  <w:style w:type="character" w:customStyle="1" w:styleId="CommentTextChar">
    <w:name w:val="Comment Text Char"/>
    <w:basedOn w:val="DefaultParagraphFont"/>
    <w:link w:val="CommentText"/>
    <w:uiPriority w:val="99"/>
    <w:semiHidden/>
    <w:rsid w:val="00290B19"/>
    <w:rPr>
      <w:lang w:val="en-US" w:eastAsia="en-US"/>
    </w:rPr>
  </w:style>
  <w:style w:type="paragraph" w:styleId="CommentSubject">
    <w:name w:val="annotation subject"/>
    <w:basedOn w:val="CommentText"/>
    <w:next w:val="CommentText"/>
    <w:link w:val="CommentSubjectChar"/>
    <w:uiPriority w:val="99"/>
    <w:semiHidden/>
    <w:unhideWhenUsed/>
    <w:rsid w:val="00290B19"/>
    <w:rPr>
      <w:b/>
      <w:bCs/>
    </w:rPr>
  </w:style>
  <w:style w:type="character" w:customStyle="1" w:styleId="CommentSubjectChar">
    <w:name w:val="Comment Subject Char"/>
    <w:basedOn w:val="CommentTextChar"/>
    <w:link w:val="CommentSubject"/>
    <w:uiPriority w:val="99"/>
    <w:semiHidden/>
    <w:rsid w:val="00290B1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71EA-81D3-4F92-A443-C1B9A465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2520</Words>
  <Characters>13334</Characters>
  <Application>Microsoft Office Word</Application>
  <DocSecurity>0</DocSecurity>
  <Lines>266</Lines>
  <Paragraphs>78</Paragraphs>
  <ScaleCrop>false</ScaleCrop>
  <Company/>
  <LinksUpToDate>false</LinksUpToDate>
  <CharactersWithSpaces>15776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115/20</dc:title>
  <dc:creator/>
  <cp:lastModifiedBy/>
  <cp:revision>1</cp:revision>
  <dcterms:created xsi:type="dcterms:W3CDTF">2020-08-03T19:15:00Z</dcterms:created>
  <dcterms:modified xsi:type="dcterms:W3CDTF">2020-08-03T19:15:00Z</dcterms:modified>
</cp:coreProperties>
</file>