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A75CC3" w:rsidRDefault="00D306D1" w:rsidP="00627C9F">
      <w:pPr>
        <w:jc w:val="both"/>
        <w:rPr>
          <w:rFonts w:asciiTheme="majorHAnsi" w:hAnsiTheme="majorHAnsi" w:cs="Univers"/>
          <w:b/>
          <w:bCs/>
          <w:sz w:val="22"/>
          <w:szCs w:val="22"/>
          <w:lang w:val="pt-BR"/>
        </w:rPr>
      </w:pPr>
      <w:r w:rsidRPr="00A75CC3">
        <w:rPr>
          <w:rFonts w:asciiTheme="majorHAnsi" w:hAnsiTheme="majorHAnsi"/>
          <w:noProof/>
          <w:sz w:val="22"/>
          <w:szCs w:val="22"/>
          <w:lang w:val="pt-BR" w:eastAsia="pt-BR"/>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C9B1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fillcolor="#ffc000" stroked="f" strokeweight="2pt"/>
            </w:pict>
          </mc:Fallback>
        </mc:AlternateContent>
      </w:r>
      <w:r w:rsidR="003E6CA1" w:rsidRPr="00A75CC3">
        <w:rPr>
          <w:rFonts w:asciiTheme="majorHAnsi" w:hAnsiTheme="majorHAnsi"/>
          <w:noProof/>
          <w:sz w:val="22"/>
          <w:szCs w:val="22"/>
          <w:lang w:val="pt-BR" w:eastAsia="pt-BR"/>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lang w:val="pt-BR" w:eastAsia="pt-BR"/>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lang w:val="pt-BR" w:eastAsia="pt-BR"/>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A75CC3" w:rsidRDefault="00040C3A" w:rsidP="00040C3A">
      <w:pPr>
        <w:tabs>
          <w:tab w:val="center" w:pos="5400"/>
        </w:tabs>
        <w:suppressAutoHyphens/>
        <w:jc w:val="both"/>
        <w:rPr>
          <w:rFonts w:asciiTheme="majorHAnsi" w:hAnsiTheme="majorHAnsi"/>
          <w:sz w:val="22"/>
          <w:szCs w:val="22"/>
          <w:lang w:val="pt-BR"/>
        </w:rPr>
      </w:pPr>
    </w:p>
    <w:p w14:paraId="5A87E141" w14:textId="77777777" w:rsidR="00040C3A" w:rsidRPr="00A75CC3" w:rsidRDefault="00040C3A" w:rsidP="00040C3A">
      <w:pPr>
        <w:tabs>
          <w:tab w:val="center" w:pos="5400"/>
        </w:tabs>
        <w:suppressAutoHyphens/>
        <w:jc w:val="both"/>
        <w:rPr>
          <w:rFonts w:asciiTheme="majorHAnsi" w:hAnsiTheme="majorHAnsi"/>
          <w:sz w:val="22"/>
          <w:szCs w:val="22"/>
          <w:lang w:val="pt-BR"/>
        </w:rPr>
      </w:pPr>
    </w:p>
    <w:p w14:paraId="29D95BCC" w14:textId="77777777" w:rsidR="005128E4" w:rsidRPr="00A75CC3" w:rsidRDefault="005128E4" w:rsidP="00040C3A">
      <w:pPr>
        <w:tabs>
          <w:tab w:val="center" w:pos="5400"/>
        </w:tabs>
        <w:suppressAutoHyphens/>
        <w:rPr>
          <w:rFonts w:asciiTheme="majorHAnsi" w:hAnsiTheme="majorHAnsi"/>
          <w:sz w:val="22"/>
          <w:szCs w:val="22"/>
          <w:lang w:val="pt-BR"/>
        </w:rPr>
      </w:pPr>
    </w:p>
    <w:p w14:paraId="12A36B24" w14:textId="77777777" w:rsidR="005128E4" w:rsidRPr="00A75CC3" w:rsidRDefault="005128E4" w:rsidP="00040C3A">
      <w:pPr>
        <w:tabs>
          <w:tab w:val="center" w:pos="5400"/>
        </w:tabs>
        <w:suppressAutoHyphens/>
        <w:rPr>
          <w:rFonts w:asciiTheme="majorHAnsi" w:hAnsiTheme="majorHAnsi"/>
          <w:sz w:val="22"/>
          <w:szCs w:val="22"/>
          <w:lang w:val="pt-BR"/>
        </w:rPr>
      </w:pPr>
    </w:p>
    <w:p w14:paraId="2252093D" w14:textId="77777777" w:rsidR="005128E4" w:rsidRPr="00A75CC3" w:rsidRDefault="005128E4" w:rsidP="00040C3A">
      <w:pPr>
        <w:tabs>
          <w:tab w:val="center" w:pos="5400"/>
        </w:tabs>
        <w:suppressAutoHyphens/>
        <w:rPr>
          <w:rFonts w:asciiTheme="majorHAnsi" w:hAnsiTheme="majorHAnsi"/>
          <w:sz w:val="22"/>
          <w:szCs w:val="22"/>
          <w:lang w:val="pt-BR"/>
        </w:rPr>
      </w:pPr>
    </w:p>
    <w:p w14:paraId="403935BD" w14:textId="77777777" w:rsidR="00040C3A" w:rsidRPr="00A75CC3" w:rsidRDefault="00040C3A" w:rsidP="005128E4">
      <w:pPr>
        <w:tabs>
          <w:tab w:val="center" w:pos="5400"/>
        </w:tabs>
        <w:suppressAutoHyphens/>
        <w:jc w:val="center"/>
        <w:rPr>
          <w:rFonts w:asciiTheme="majorHAnsi" w:hAnsiTheme="majorHAnsi"/>
          <w:sz w:val="22"/>
          <w:szCs w:val="22"/>
          <w:lang w:val="pt-BR"/>
        </w:rPr>
      </w:pPr>
    </w:p>
    <w:p w14:paraId="6DCF5F8F" w14:textId="77777777" w:rsidR="00040C3A" w:rsidRPr="00A75CC3" w:rsidRDefault="00040C3A" w:rsidP="005128E4">
      <w:pPr>
        <w:tabs>
          <w:tab w:val="center" w:pos="5400"/>
        </w:tabs>
        <w:suppressAutoHyphens/>
        <w:jc w:val="center"/>
        <w:rPr>
          <w:rFonts w:asciiTheme="majorHAnsi" w:hAnsiTheme="majorHAnsi"/>
          <w:sz w:val="22"/>
          <w:szCs w:val="22"/>
          <w:lang w:val="pt-BR"/>
        </w:rPr>
      </w:pPr>
    </w:p>
    <w:p w14:paraId="4791F13A" w14:textId="77777777" w:rsidR="005B52B0" w:rsidRPr="00A75CC3" w:rsidRDefault="005B52B0" w:rsidP="005128E4">
      <w:pPr>
        <w:tabs>
          <w:tab w:val="center" w:pos="5400"/>
        </w:tabs>
        <w:suppressAutoHyphens/>
        <w:jc w:val="center"/>
        <w:rPr>
          <w:rFonts w:asciiTheme="majorHAnsi" w:hAnsiTheme="majorHAnsi"/>
          <w:sz w:val="22"/>
          <w:szCs w:val="22"/>
          <w:lang w:val="pt-BR"/>
        </w:rPr>
      </w:pPr>
    </w:p>
    <w:p w14:paraId="44E016B6" w14:textId="77777777" w:rsidR="005B52B0" w:rsidRPr="00A75CC3" w:rsidRDefault="005B52B0" w:rsidP="005128E4">
      <w:pPr>
        <w:tabs>
          <w:tab w:val="center" w:pos="5400"/>
        </w:tabs>
        <w:suppressAutoHyphens/>
        <w:jc w:val="center"/>
        <w:rPr>
          <w:rFonts w:asciiTheme="majorHAnsi" w:hAnsiTheme="majorHAnsi"/>
          <w:sz w:val="22"/>
          <w:szCs w:val="22"/>
          <w:lang w:val="pt-BR"/>
        </w:rPr>
      </w:pPr>
    </w:p>
    <w:p w14:paraId="63D41962" w14:textId="77777777" w:rsidR="005B52B0" w:rsidRPr="00A75CC3" w:rsidRDefault="005B52B0" w:rsidP="005128E4">
      <w:pPr>
        <w:tabs>
          <w:tab w:val="center" w:pos="5400"/>
        </w:tabs>
        <w:suppressAutoHyphens/>
        <w:jc w:val="center"/>
        <w:rPr>
          <w:rFonts w:asciiTheme="majorHAnsi" w:hAnsiTheme="majorHAnsi"/>
          <w:sz w:val="22"/>
          <w:szCs w:val="22"/>
          <w:lang w:val="pt-BR"/>
        </w:rPr>
      </w:pPr>
    </w:p>
    <w:p w14:paraId="5ADEB990"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2D81B7E8"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64791D04" w14:textId="77777777" w:rsidR="00040C3A" w:rsidRPr="00A75CC3" w:rsidRDefault="003D3BC2" w:rsidP="00040C3A">
      <w:pPr>
        <w:tabs>
          <w:tab w:val="center" w:pos="5400"/>
        </w:tabs>
        <w:suppressAutoHyphens/>
        <w:jc w:val="center"/>
        <w:rPr>
          <w:rFonts w:asciiTheme="majorHAnsi" w:hAnsiTheme="majorHAnsi"/>
          <w:sz w:val="22"/>
          <w:szCs w:val="22"/>
          <w:lang w:val="pt-BR"/>
        </w:rPr>
      </w:pPr>
      <w:r w:rsidRPr="00A75CC3">
        <w:rPr>
          <w:rFonts w:asciiTheme="majorHAnsi" w:hAnsiTheme="majorHAnsi"/>
          <w:noProof/>
          <w:sz w:val="22"/>
          <w:szCs w:val="22"/>
          <w:lang w:val="pt-BR" w:eastAsia="pt-BR"/>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D411F64"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3308CD">
                              <w:rPr>
                                <w:rFonts w:asciiTheme="majorHAnsi" w:hAnsiTheme="majorHAnsi" w:cs="Arial"/>
                                <w:b/>
                                <w:bCs/>
                                <w:color w:val="0D0D0D" w:themeColor="text1" w:themeTint="F2"/>
                                <w:sz w:val="36"/>
                                <w:szCs w:val="22"/>
                                <w:lang w:val="pt-BR"/>
                              </w:rPr>
                              <w:t>360</w:t>
                            </w:r>
                            <w:r w:rsidR="007B05C4" w:rsidRPr="007665A8">
                              <w:rPr>
                                <w:rFonts w:asciiTheme="majorHAnsi" w:hAnsiTheme="majorHAnsi" w:cs="Arial"/>
                                <w:b/>
                                <w:bCs/>
                                <w:color w:val="0D0D0D" w:themeColor="text1" w:themeTint="F2"/>
                                <w:sz w:val="36"/>
                                <w:szCs w:val="22"/>
                                <w:lang w:val="pt-BR"/>
                              </w:rPr>
                              <w:t>/</w:t>
                            </w:r>
                            <w:r w:rsidR="00487A47">
                              <w:rPr>
                                <w:rFonts w:asciiTheme="majorHAnsi" w:hAnsiTheme="majorHAnsi" w:cs="Arial"/>
                                <w:b/>
                                <w:bCs/>
                                <w:color w:val="0D0D0D" w:themeColor="text1" w:themeTint="F2"/>
                                <w:sz w:val="36"/>
                                <w:szCs w:val="22"/>
                                <w:lang w:val="pt-BR"/>
                              </w:rPr>
                              <w:t>2</w:t>
                            </w:r>
                            <w:r w:rsidR="006B033A">
                              <w:rPr>
                                <w:rFonts w:asciiTheme="majorHAnsi" w:hAnsiTheme="majorHAnsi" w:cs="Arial"/>
                                <w:b/>
                                <w:bCs/>
                                <w:color w:val="0D0D0D" w:themeColor="text1" w:themeTint="F2"/>
                                <w:sz w:val="36"/>
                                <w:szCs w:val="22"/>
                                <w:lang w:val="pt-BR"/>
                              </w:rPr>
                              <w:t>1</w:t>
                            </w:r>
                          </w:p>
                          <w:p w14:paraId="09C54AB3" w14:textId="68F21E37" w:rsidR="007B05C4" w:rsidRPr="00DA2224"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487A47">
                              <w:rPr>
                                <w:rFonts w:asciiTheme="majorHAnsi" w:hAnsiTheme="majorHAnsi" w:cs="Arial"/>
                                <w:b/>
                                <w:color w:val="0D0D0D" w:themeColor="text1" w:themeTint="F2"/>
                                <w:sz w:val="36"/>
                                <w:szCs w:val="22"/>
                                <w:lang w:val="pt-BR"/>
                              </w:rPr>
                              <w:t>1111-12</w:t>
                            </w:r>
                            <w:r w:rsidR="00246D1F" w:rsidRPr="00DA2224">
                              <w:rPr>
                                <w:rFonts w:asciiTheme="majorHAnsi" w:hAnsiTheme="majorHAnsi" w:cs="Arial"/>
                                <w:b/>
                                <w:color w:val="0D0D0D" w:themeColor="text1" w:themeTint="F2"/>
                                <w:sz w:val="36"/>
                                <w:szCs w:val="22"/>
                                <w:lang w:val="pt-BR"/>
                              </w:rPr>
                              <w:t xml:space="preserve"> </w:t>
                            </w:r>
                          </w:p>
                          <w:p w14:paraId="70CF6833" w14:textId="6494C824"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lang w:val="pt-BR"/>
                              </w:rPr>
                            </w:pPr>
                            <w:bookmarkStart w:id="0" w:name="_ftnref1"/>
                          </w:p>
                          <w:p w14:paraId="4CFA2FBF" w14:textId="01FC2660" w:rsidR="005B52B0" w:rsidRPr="007665A8" w:rsidRDefault="00164EE6"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ELIAS GONÇALVES DE MEURA E OUTROS</w:t>
                            </w:r>
                          </w:p>
                          <w:bookmarkEnd w:id="0"/>
                          <w:p w14:paraId="35068D0D" w14:textId="55B42E82"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4D411F64"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3308CD">
                        <w:rPr>
                          <w:rFonts w:asciiTheme="majorHAnsi" w:hAnsiTheme="majorHAnsi" w:cs="Arial"/>
                          <w:b/>
                          <w:bCs/>
                          <w:color w:val="0D0D0D" w:themeColor="text1" w:themeTint="F2"/>
                          <w:sz w:val="36"/>
                          <w:szCs w:val="22"/>
                          <w:lang w:val="pt-BR"/>
                        </w:rPr>
                        <w:t>360</w:t>
                      </w:r>
                      <w:r w:rsidR="007B05C4" w:rsidRPr="007665A8">
                        <w:rPr>
                          <w:rFonts w:asciiTheme="majorHAnsi" w:hAnsiTheme="majorHAnsi" w:cs="Arial"/>
                          <w:b/>
                          <w:bCs/>
                          <w:color w:val="0D0D0D" w:themeColor="text1" w:themeTint="F2"/>
                          <w:sz w:val="36"/>
                          <w:szCs w:val="22"/>
                          <w:lang w:val="pt-BR"/>
                        </w:rPr>
                        <w:t>/</w:t>
                      </w:r>
                      <w:r w:rsidR="00487A47">
                        <w:rPr>
                          <w:rFonts w:asciiTheme="majorHAnsi" w:hAnsiTheme="majorHAnsi" w:cs="Arial"/>
                          <w:b/>
                          <w:bCs/>
                          <w:color w:val="0D0D0D" w:themeColor="text1" w:themeTint="F2"/>
                          <w:sz w:val="36"/>
                          <w:szCs w:val="22"/>
                          <w:lang w:val="pt-BR"/>
                        </w:rPr>
                        <w:t>2</w:t>
                      </w:r>
                      <w:r w:rsidR="006B033A">
                        <w:rPr>
                          <w:rFonts w:asciiTheme="majorHAnsi" w:hAnsiTheme="majorHAnsi" w:cs="Arial"/>
                          <w:b/>
                          <w:bCs/>
                          <w:color w:val="0D0D0D" w:themeColor="text1" w:themeTint="F2"/>
                          <w:sz w:val="36"/>
                          <w:szCs w:val="22"/>
                          <w:lang w:val="pt-BR"/>
                        </w:rPr>
                        <w:t>1</w:t>
                      </w:r>
                    </w:p>
                    <w:p w14:paraId="09C54AB3" w14:textId="68F21E37" w:rsidR="007B05C4" w:rsidRPr="00DA2224"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487A47">
                        <w:rPr>
                          <w:rFonts w:asciiTheme="majorHAnsi" w:hAnsiTheme="majorHAnsi" w:cs="Arial"/>
                          <w:b/>
                          <w:color w:val="0D0D0D" w:themeColor="text1" w:themeTint="F2"/>
                          <w:sz w:val="36"/>
                          <w:szCs w:val="22"/>
                          <w:lang w:val="pt-BR"/>
                        </w:rPr>
                        <w:t>1111-12</w:t>
                      </w:r>
                      <w:r w:rsidR="00246D1F" w:rsidRPr="00DA2224">
                        <w:rPr>
                          <w:rFonts w:asciiTheme="majorHAnsi" w:hAnsiTheme="majorHAnsi" w:cs="Arial"/>
                          <w:b/>
                          <w:color w:val="0D0D0D" w:themeColor="text1" w:themeTint="F2"/>
                          <w:sz w:val="36"/>
                          <w:szCs w:val="22"/>
                          <w:lang w:val="pt-BR"/>
                        </w:rPr>
                        <w:t xml:space="preserve"> </w:t>
                      </w:r>
                    </w:p>
                    <w:p w14:paraId="70CF6833" w14:textId="6494C824"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lang w:val="pt-BR"/>
                        </w:rPr>
                      </w:pPr>
                      <w:bookmarkStart w:id="1" w:name="_ftnref1"/>
                    </w:p>
                    <w:p w14:paraId="4CFA2FBF" w14:textId="01FC2660" w:rsidR="005B52B0" w:rsidRPr="007665A8" w:rsidRDefault="00164EE6"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ELIAS GONÇALVES DE MEURA E OUTROS</w:t>
                      </w:r>
                    </w:p>
                    <w:bookmarkEnd w:id="1"/>
                    <w:p w14:paraId="35068D0D" w14:textId="55B42E82"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v:textbox>
              </v:shape>
            </w:pict>
          </mc:Fallback>
        </mc:AlternateContent>
      </w:r>
      <w:r w:rsidR="004E2649" w:rsidRPr="00A75CC3">
        <w:rPr>
          <w:rFonts w:asciiTheme="majorHAnsi" w:hAnsiTheme="majorHAnsi"/>
          <w:noProof/>
          <w:sz w:val="22"/>
          <w:szCs w:val="22"/>
          <w:lang w:val="pt-BR" w:eastAsia="pt-BR"/>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5E69689"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698DF629"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3308CD">
                              <w:rPr>
                                <w:rFonts w:asciiTheme="minorHAnsi" w:hAnsiTheme="minorHAnsi"/>
                                <w:sz w:val="22"/>
                                <w:lang w:val="pt-BR"/>
                              </w:rPr>
                              <w:t>370</w:t>
                            </w:r>
                          </w:p>
                          <w:p w14:paraId="69373ED2" w14:textId="6050C65A" w:rsidR="00627C9F" w:rsidRPr="006D22F2" w:rsidRDefault="003308CD" w:rsidP="007A5817">
                            <w:pPr>
                              <w:spacing w:line="276" w:lineRule="auto"/>
                              <w:jc w:val="right"/>
                              <w:rPr>
                                <w:rFonts w:asciiTheme="minorHAnsi" w:hAnsiTheme="minorHAnsi"/>
                                <w:sz w:val="22"/>
                                <w:lang w:val="es-ES"/>
                              </w:rPr>
                            </w:pPr>
                            <w:r>
                              <w:rPr>
                                <w:rFonts w:asciiTheme="minorHAnsi" w:hAnsiTheme="minorHAnsi"/>
                                <w:sz w:val="22"/>
                                <w:lang w:val="es-ES"/>
                              </w:rPr>
                              <w:t xml:space="preserve">1 </w:t>
                            </w:r>
                            <w:proofErr w:type="spellStart"/>
                            <w:r>
                              <w:rPr>
                                <w:rFonts w:asciiTheme="minorHAnsi" w:hAnsiTheme="minorHAnsi"/>
                                <w:sz w:val="22"/>
                                <w:lang w:val="es-ES"/>
                              </w:rPr>
                              <w:t>dezembro</w:t>
                            </w:r>
                            <w:proofErr w:type="spellEnd"/>
                            <w:r w:rsidR="00627C9F" w:rsidRPr="006D22F2">
                              <w:rPr>
                                <w:rFonts w:asciiTheme="minorHAnsi" w:hAnsiTheme="minorHAnsi"/>
                                <w:sz w:val="22"/>
                                <w:lang w:val="es-ES"/>
                              </w:rPr>
                              <w:t xml:space="preserve"> 20</w:t>
                            </w:r>
                            <w:r w:rsidR="00487A47" w:rsidRPr="006D22F2">
                              <w:rPr>
                                <w:rFonts w:asciiTheme="minorHAnsi" w:hAnsiTheme="minorHAnsi"/>
                                <w:sz w:val="22"/>
                                <w:lang w:val="es-ES"/>
                              </w:rPr>
                              <w:t>2</w:t>
                            </w:r>
                            <w:r w:rsidR="006B033A" w:rsidRPr="006D22F2">
                              <w:rPr>
                                <w:rFonts w:asciiTheme="minorHAnsi" w:hAnsiTheme="minorHAnsi"/>
                                <w:sz w:val="22"/>
                                <w:lang w:val="es-ES"/>
                              </w:rPr>
                              <w:t>1</w:t>
                            </w:r>
                          </w:p>
                          <w:p w14:paraId="0771DB5B" w14:textId="40CA6718" w:rsidR="00627C9F" w:rsidRPr="006D22F2" w:rsidRDefault="00E0340B" w:rsidP="007A5817">
                            <w:pPr>
                              <w:spacing w:line="276" w:lineRule="auto"/>
                              <w:jc w:val="right"/>
                              <w:rPr>
                                <w:rFonts w:asciiTheme="minorHAnsi" w:hAnsiTheme="minorHAnsi"/>
                                <w:sz w:val="22"/>
                                <w:lang w:val="es-ES"/>
                              </w:rPr>
                            </w:pPr>
                            <w:r w:rsidRPr="006D22F2">
                              <w:rPr>
                                <w:rFonts w:asciiTheme="minorHAnsi" w:hAnsiTheme="minorHAnsi"/>
                                <w:sz w:val="22"/>
                                <w:lang w:val="es-ES"/>
                              </w:rPr>
                              <w:t xml:space="preserve">Original: </w:t>
                            </w:r>
                            <w:r w:rsidR="00DA2224" w:rsidRPr="006D22F2">
                              <w:rPr>
                                <w:rFonts w:asciiTheme="minorHAnsi" w:hAnsiTheme="minorHAnsi"/>
                                <w:sz w:val="22"/>
                                <w:lang w:val="es-ES"/>
                              </w:rPr>
                              <w:t>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5E69689"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698DF629"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3308CD">
                        <w:rPr>
                          <w:rFonts w:asciiTheme="minorHAnsi" w:hAnsiTheme="minorHAnsi"/>
                          <w:sz w:val="22"/>
                          <w:lang w:val="pt-BR"/>
                        </w:rPr>
                        <w:t>370</w:t>
                      </w:r>
                    </w:p>
                    <w:p w14:paraId="69373ED2" w14:textId="6050C65A" w:rsidR="00627C9F" w:rsidRPr="006D22F2" w:rsidRDefault="003308CD" w:rsidP="007A5817">
                      <w:pPr>
                        <w:spacing w:line="276" w:lineRule="auto"/>
                        <w:jc w:val="right"/>
                        <w:rPr>
                          <w:rFonts w:asciiTheme="minorHAnsi" w:hAnsiTheme="minorHAnsi"/>
                          <w:sz w:val="22"/>
                          <w:lang w:val="es-ES"/>
                        </w:rPr>
                      </w:pPr>
                      <w:r>
                        <w:rPr>
                          <w:rFonts w:asciiTheme="minorHAnsi" w:hAnsiTheme="minorHAnsi"/>
                          <w:sz w:val="22"/>
                          <w:lang w:val="es-ES"/>
                        </w:rPr>
                        <w:t xml:space="preserve">1 </w:t>
                      </w:r>
                      <w:proofErr w:type="spellStart"/>
                      <w:r>
                        <w:rPr>
                          <w:rFonts w:asciiTheme="minorHAnsi" w:hAnsiTheme="minorHAnsi"/>
                          <w:sz w:val="22"/>
                          <w:lang w:val="es-ES"/>
                        </w:rPr>
                        <w:t>dezembro</w:t>
                      </w:r>
                      <w:proofErr w:type="spellEnd"/>
                      <w:r w:rsidR="00627C9F" w:rsidRPr="006D22F2">
                        <w:rPr>
                          <w:rFonts w:asciiTheme="minorHAnsi" w:hAnsiTheme="minorHAnsi"/>
                          <w:sz w:val="22"/>
                          <w:lang w:val="es-ES"/>
                        </w:rPr>
                        <w:t xml:space="preserve"> 20</w:t>
                      </w:r>
                      <w:r w:rsidR="00487A47" w:rsidRPr="006D22F2">
                        <w:rPr>
                          <w:rFonts w:asciiTheme="minorHAnsi" w:hAnsiTheme="minorHAnsi"/>
                          <w:sz w:val="22"/>
                          <w:lang w:val="es-ES"/>
                        </w:rPr>
                        <w:t>2</w:t>
                      </w:r>
                      <w:r w:rsidR="006B033A" w:rsidRPr="006D22F2">
                        <w:rPr>
                          <w:rFonts w:asciiTheme="minorHAnsi" w:hAnsiTheme="minorHAnsi"/>
                          <w:sz w:val="22"/>
                          <w:lang w:val="es-ES"/>
                        </w:rPr>
                        <w:t>1</w:t>
                      </w:r>
                    </w:p>
                    <w:p w14:paraId="0771DB5B" w14:textId="40CA6718" w:rsidR="00627C9F" w:rsidRPr="006D22F2" w:rsidRDefault="00E0340B" w:rsidP="007A5817">
                      <w:pPr>
                        <w:spacing w:line="276" w:lineRule="auto"/>
                        <w:jc w:val="right"/>
                        <w:rPr>
                          <w:rFonts w:asciiTheme="minorHAnsi" w:hAnsiTheme="minorHAnsi"/>
                          <w:sz w:val="22"/>
                          <w:lang w:val="es-ES"/>
                        </w:rPr>
                      </w:pPr>
                      <w:r w:rsidRPr="006D22F2">
                        <w:rPr>
                          <w:rFonts w:asciiTheme="minorHAnsi" w:hAnsiTheme="minorHAnsi"/>
                          <w:sz w:val="22"/>
                          <w:lang w:val="es-ES"/>
                        </w:rPr>
                        <w:t xml:space="preserve">Original: </w:t>
                      </w:r>
                      <w:r w:rsidR="00DA2224" w:rsidRPr="006D22F2">
                        <w:rPr>
                          <w:rFonts w:asciiTheme="minorHAnsi" w:hAnsiTheme="minorHAnsi"/>
                          <w:sz w:val="22"/>
                          <w:lang w:val="es-ES"/>
                        </w:rPr>
                        <w:t>português</w:t>
                      </w:r>
                    </w:p>
                  </w:txbxContent>
                </v:textbox>
              </v:shape>
            </w:pict>
          </mc:Fallback>
        </mc:AlternateContent>
      </w:r>
    </w:p>
    <w:p w14:paraId="155B0536"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5FE3AB87"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3C383BC0" w14:textId="77777777" w:rsidR="00040C3A" w:rsidRPr="00A75CC3" w:rsidRDefault="00040C3A" w:rsidP="00040C3A">
      <w:pPr>
        <w:tabs>
          <w:tab w:val="center" w:pos="5400"/>
        </w:tabs>
        <w:suppressAutoHyphens/>
        <w:jc w:val="center"/>
        <w:rPr>
          <w:rFonts w:asciiTheme="majorHAnsi" w:hAnsiTheme="majorHAnsi" w:cs="Arial"/>
          <w:sz w:val="22"/>
          <w:szCs w:val="22"/>
          <w:lang w:val="pt-BR"/>
        </w:rPr>
      </w:pPr>
    </w:p>
    <w:p w14:paraId="54590931"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76C291D6"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2161B44F"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3C4EEE07"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3B0E4647"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2DAAF36D"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12496A14"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25772DB3"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6820FADA"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54445A55"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5D4A4040"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048FBB22"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90ABFB3"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4C690048"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33CA438"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874DEEB"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3698D0D6"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F907823"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045D9AC1"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6068EE5"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4A4A430"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0B3B735F"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02C5C441"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806A2B0"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319C392B"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514A0182" w14:textId="77777777" w:rsidR="00A50FCF" w:rsidRPr="00A75CC3" w:rsidRDefault="0090270B" w:rsidP="00040C3A">
      <w:pPr>
        <w:tabs>
          <w:tab w:val="center" w:pos="5400"/>
        </w:tabs>
        <w:suppressAutoHyphens/>
        <w:jc w:val="center"/>
        <w:rPr>
          <w:rFonts w:asciiTheme="majorHAnsi" w:hAnsiTheme="majorHAnsi"/>
          <w:sz w:val="18"/>
          <w:szCs w:val="22"/>
          <w:lang w:val="pt-BR"/>
        </w:rPr>
      </w:pPr>
      <w:r w:rsidRPr="00A75CC3">
        <w:rPr>
          <w:rFonts w:asciiTheme="majorHAnsi" w:hAnsiTheme="majorHAnsi"/>
          <w:noProof/>
          <w:sz w:val="22"/>
          <w:szCs w:val="22"/>
          <w:lang w:val="pt-BR" w:eastAsia="pt-BR"/>
        </w:rPr>
        <mc:AlternateContent>
          <mc:Choice Requires="wps">
            <w:drawing>
              <wp:anchor distT="0" distB="0" distL="114300" distR="114300" simplePos="0" relativeHeight="251670528" behindDoc="0" locked="0" layoutInCell="1" allowOverlap="1" wp14:anchorId="37B0B44F" wp14:editId="2B79893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34DAD79"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3308CD">
                              <w:rPr>
                                <w:rFonts w:asciiTheme="majorHAnsi" w:hAnsiTheme="majorHAnsi"/>
                                <w:color w:val="0D0D0D" w:themeColor="text1" w:themeTint="F2"/>
                                <w:sz w:val="18"/>
                                <w:szCs w:val="22"/>
                                <w:lang w:val="pt-BR"/>
                              </w:rPr>
                              <w:t xml:space="preserve">1º </w:t>
                            </w:r>
                            <w:r w:rsidR="00DD3D86" w:rsidRPr="0038709A">
                              <w:rPr>
                                <w:rFonts w:asciiTheme="majorHAnsi" w:hAnsiTheme="majorHAnsi"/>
                                <w:color w:val="0D0D0D" w:themeColor="text1" w:themeTint="F2"/>
                                <w:sz w:val="18"/>
                                <w:szCs w:val="22"/>
                                <w:lang w:val="pt-BR"/>
                              </w:rPr>
                              <w:t xml:space="preserve">de </w:t>
                            </w:r>
                            <w:r w:rsidR="003308CD">
                              <w:rPr>
                                <w:rFonts w:asciiTheme="majorHAnsi" w:hAnsiTheme="majorHAnsi"/>
                                <w:color w:val="0D0D0D" w:themeColor="text1" w:themeTint="F2"/>
                                <w:sz w:val="18"/>
                                <w:szCs w:val="22"/>
                                <w:lang w:val="pt-BR"/>
                              </w:rPr>
                              <w:t>dezembro</w:t>
                            </w:r>
                            <w:r w:rsidR="00F81BB8"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de 20</w:t>
                            </w:r>
                            <w:r w:rsidR="00487A47">
                              <w:rPr>
                                <w:rFonts w:asciiTheme="majorHAnsi" w:hAnsiTheme="majorHAnsi"/>
                                <w:color w:val="0D0D0D" w:themeColor="text1" w:themeTint="F2"/>
                                <w:sz w:val="18"/>
                                <w:szCs w:val="22"/>
                                <w:lang w:val="pt-BR"/>
                              </w:rPr>
                              <w:t>2</w:t>
                            </w:r>
                            <w:r w:rsidR="006B033A">
                              <w:rPr>
                                <w:rFonts w:asciiTheme="majorHAnsi" w:hAnsiTheme="majorHAnsi"/>
                                <w:color w:val="0D0D0D" w:themeColor="text1" w:themeTint="F2"/>
                                <w:sz w:val="18"/>
                                <w:szCs w:val="22"/>
                                <w:lang w:val="pt-BR"/>
                              </w:rPr>
                              <w:t>1</w:t>
                            </w:r>
                            <w:r w:rsidR="002F5290">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0DE18999" w:rsidR="005B52B0" w:rsidRPr="0038709A" w:rsidRDefault="003308CD" w:rsidP="0059191A">
                            <w:pPr>
                              <w:tabs>
                                <w:tab w:val="center" w:pos="5400"/>
                              </w:tabs>
                              <w:suppressAutoHyphens/>
                              <w:spacing w:before="60"/>
                              <w:rPr>
                                <w:rFonts w:ascii="Calibri" w:hAnsi="Calibri"/>
                                <w:color w:val="FFFFFF" w:themeColor="background1"/>
                                <w:spacing w:val="-2"/>
                                <w:sz w:val="16"/>
                                <w:lang w:val="pt-BR"/>
                              </w:rPr>
                            </w:pPr>
                            <w:r>
                              <w:rPr>
                                <w:rFonts w:ascii="Calibri" w:hAnsi="Calibri"/>
                                <w:color w:val="FFFFFF" w:themeColor="background1"/>
                                <w:spacing w:val="-2"/>
                                <w:sz w:val="16"/>
                                <w:lang w:val="pt-BR"/>
                              </w:rPr>
                              <w:t>360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734DAD79"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3308CD">
                        <w:rPr>
                          <w:rFonts w:asciiTheme="majorHAnsi" w:hAnsiTheme="majorHAnsi"/>
                          <w:color w:val="0D0D0D" w:themeColor="text1" w:themeTint="F2"/>
                          <w:sz w:val="18"/>
                          <w:szCs w:val="22"/>
                          <w:lang w:val="pt-BR"/>
                        </w:rPr>
                        <w:t xml:space="preserve">1º </w:t>
                      </w:r>
                      <w:r w:rsidR="00DD3D86" w:rsidRPr="0038709A">
                        <w:rPr>
                          <w:rFonts w:asciiTheme="majorHAnsi" w:hAnsiTheme="majorHAnsi"/>
                          <w:color w:val="0D0D0D" w:themeColor="text1" w:themeTint="F2"/>
                          <w:sz w:val="18"/>
                          <w:szCs w:val="22"/>
                          <w:lang w:val="pt-BR"/>
                        </w:rPr>
                        <w:t xml:space="preserve">de </w:t>
                      </w:r>
                      <w:r w:rsidR="003308CD">
                        <w:rPr>
                          <w:rFonts w:asciiTheme="majorHAnsi" w:hAnsiTheme="majorHAnsi"/>
                          <w:color w:val="0D0D0D" w:themeColor="text1" w:themeTint="F2"/>
                          <w:sz w:val="18"/>
                          <w:szCs w:val="22"/>
                          <w:lang w:val="pt-BR"/>
                        </w:rPr>
                        <w:t>dezembro</w:t>
                      </w:r>
                      <w:r w:rsidR="00F81BB8"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de 20</w:t>
                      </w:r>
                      <w:r w:rsidR="00487A47">
                        <w:rPr>
                          <w:rFonts w:asciiTheme="majorHAnsi" w:hAnsiTheme="majorHAnsi"/>
                          <w:color w:val="0D0D0D" w:themeColor="text1" w:themeTint="F2"/>
                          <w:sz w:val="18"/>
                          <w:szCs w:val="22"/>
                          <w:lang w:val="pt-BR"/>
                        </w:rPr>
                        <w:t>2</w:t>
                      </w:r>
                      <w:r w:rsidR="006B033A">
                        <w:rPr>
                          <w:rFonts w:asciiTheme="majorHAnsi" w:hAnsiTheme="majorHAnsi"/>
                          <w:color w:val="0D0D0D" w:themeColor="text1" w:themeTint="F2"/>
                          <w:sz w:val="18"/>
                          <w:szCs w:val="22"/>
                          <w:lang w:val="pt-BR"/>
                        </w:rPr>
                        <w:t>1</w:t>
                      </w:r>
                      <w:r w:rsidR="002F5290">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0DE18999" w:rsidR="005B52B0" w:rsidRPr="0038709A" w:rsidRDefault="003308CD" w:rsidP="0059191A">
                      <w:pPr>
                        <w:tabs>
                          <w:tab w:val="center" w:pos="5400"/>
                        </w:tabs>
                        <w:suppressAutoHyphens/>
                        <w:spacing w:before="60"/>
                        <w:rPr>
                          <w:rFonts w:ascii="Calibri" w:hAnsi="Calibri"/>
                          <w:color w:val="FFFFFF" w:themeColor="background1"/>
                          <w:spacing w:val="-2"/>
                          <w:sz w:val="16"/>
                          <w:lang w:val="pt-BR"/>
                        </w:rPr>
                      </w:pPr>
                      <w:r>
                        <w:rPr>
                          <w:rFonts w:ascii="Calibri" w:hAnsi="Calibri"/>
                          <w:color w:val="FFFFFF" w:themeColor="background1"/>
                          <w:spacing w:val="-2"/>
                          <w:sz w:val="16"/>
                          <w:lang w:val="pt-BR"/>
                        </w:rPr>
                        <w:t>360</w:t>
                      </w:r>
                    </w:p>
                  </w:txbxContent>
                </v:textbox>
              </v:shape>
            </w:pict>
          </mc:Fallback>
        </mc:AlternateContent>
      </w:r>
    </w:p>
    <w:p w14:paraId="1F28BEBB"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929D1FD"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5469D0BE"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A79F059"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330672AE" w14:textId="77777777" w:rsidR="00A50FCF" w:rsidRPr="00A75CC3" w:rsidRDefault="0090270B" w:rsidP="00040C3A">
      <w:pPr>
        <w:tabs>
          <w:tab w:val="center" w:pos="5400"/>
        </w:tabs>
        <w:suppressAutoHyphens/>
        <w:jc w:val="center"/>
        <w:rPr>
          <w:rFonts w:asciiTheme="majorHAnsi" w:hAnsiTheme="majorHAnsi"/>
          <w:sz w:val="18"/>
          <w:szCs w:val="22"/>
          <w:lang w:val="pt-BR"/>
        </w:rPr>
      </w:pPr>
      <w:r w:rsidRPr="00A75CC3">
        <w:rPr>
          <w:rFonts w:asciiTheme="majorHAnsi" w:hAnsiTheme="majorHAnsi"/>
          <w:noProof/>
          <w:sz w:val="18"/>
          <w:szCs w:val="22"/>
          <w:lang w:val="pt-BR" w:eastAsia="pt-BR"/>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604DF97"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w:t>
                            </w:r>
                            <w:r w:rsidR="00E57951">
                              <w:rPr>
                                <w:rFonts w:asciiTheme="majorHAnsi" w:hAnsiTheme="majorHAnsi"/>
                                <w:color w:val="595959" w:themeColor="text1" w:themeTint="A6"/>
                                <w:sz w:val="18"/>
                                <w:szCs w:val="18"/>
                                <w:lang w:val="pt-BR"/>
                              </w:rPr>
                              <w:t>nº</w:t>
                            </w:r>
                            <w:r w:rsidRPr="00890650">
                              <w:rPr>
                                <w:rFonts w:asciiTheme="majorHAnsi" w:hAnsiTheme="majorHAnsi"/>
                                <w:color w:val="595959" w:themeColor="text1" w:themeTint="A6"/>
                                <w:sz w:val="18"/>
                                <w:szCs w:val="18"/>
                                <w:lang w:val="pt-BR"/>
                              </w:rPr>
                              <w:t xml:space="preserve"> </w:t>
                            </w:r>
                            <w:r w:rsidR="003308CD">
                              <w:rPr>
                                <w:rFonts w:asciiTheme="majorHAnsi" w:hAnsiTheme="majorHAnsi"/>
                                <w:color w:val="595959" w:themeColor="text1" w:themeTint="A6"/>
                                <w:sz w:val="18"/>
                                <w:szCs w:val="18"/>
                                <w:lang w:val="pt-BR"/>
                              </w:rPr>
                              <w:t>360/21</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164EE6">
                              <w:rPr>
                                <w:rFonts w:asciiTheme="majorHAnsi" w:hAnsiTheme="majorHAnsi"/>
                                <w:color w:val="595959" w:themeColor="text1" w:themeTint="A6"/>
                                <w:sz w:val="18"/>
                                <w:szCs w:val="18"/>
                                <w:lang w:val="pt-BR"/>
                              </w:rPr>
                              <w:t>1111-12</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164EE6">
                              <w:rPr>
                                <w:rFonts w:asciiTheme="majorHAnsi" w:hAnsiTheme="majorHAnsi"/>
                                <w:color w:val="595959" w:themeColor="text1" w:themeTint="A6"/>
                                <w:sz w:val="18"/>
                                <w:szCs w:val="18"/>
                                <w:lang w:val="pt-BR"/>
                              </w:rPr>
                              <w:t xml:space="preserve">. </w:t>
                            </w:r>
                            <w:bookmarkStart w:id="1" w:name="_Hlk90040157"/>
                            <w:r w:rsidR="00164EE6">
                              <w:rPr>
                                <w:rFonts w:asciiTheme="majorHAnsi" w:hAnsiTheme="majorHAnsi"/>
                                <w:color w:val="595959" w:themeColor="text1" w:themeTint="A6"/>
                                <w:sz w:val="18"/>
                                <w:szCs w:val="18"/>
                                <w:lang w:val="pt-BR"/>
                              </w:rPr>
                              <w:t>Elias Gonçalves de Meura e outros</w:t>
                            </w:r>
                            <w:bookmarkEnd w:id="1"/>
                            <w:r w:rsidR="006A20E7">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3308CD">
                              <w:rPr>
                                <w:rFonts w:asciiTheme="majorHAnsi" w:hAnsiTheme="majorHAnsi"/>
                                <w:color w:val="595959" w:themeColor="text1" w:themeTint="A6"/>
                                <w:sz w:val="18"/>
                                <w:szCs w:val="18"/>
                                <w:lang w:val="pt-BR"/>
                              </w:rPr>
                              <w:t>1º de dezembro de 2021</w:t>
                            </w:r>
                            <w:r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0604DF97"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w:t>
                      </w:r>
                      <w:r w:rsidR="00E57951">
                        <w:rPr>
                          <w:rFonts w:asciiTheme="majorHAnsi" w:hAnsiTheme="majorHAnsi"/>
                          <w:color w:val="595959" w:themeColor="text1" w:themeTint="A6"/>
                          <w:sz w:val="18"/>
                          <w:szCs w:val="18"/>
                          <w:lang w:val="pt-BR"/>
                        </w:rPr>
                        <w:t>nº</w:t>
                      </w:r>
                      <w:r w:rsidRPr="00890650">
                        <w:rPr>
                          <w:rFonts w:asciiTheme="majorHAnsi" w:hAnsiTheme="majorHAnsi"/>
                          <w:color w:val="595959" w:themeColor="text1" w:themeTint="A6"/>
                          <w:sz w:val="18"/>
                          <w:szCs w:val="18"/>
                          <w:lang w:val="pt-BR"/>
                        </w:rPr>
                        <w:t xml:space="preserve"> </w:t>
                      </w:r>
                      <w:r w:rsidR="003308CD">
                        <w:rPr>
                          <w:rFonts w:asciiTheme="majorHAnsi" w:hAnsiTheme="majorHAnsi"/>
                          <w:color w:val="595959" w:themeColor="text1" w:themeTint="A6"/>
                          <w:sz w:val="18"/>
                          <w:szCs w:val="18"/>
                          <w:lang w:val="pt-BR"/>
                        </w:rPr>
                        <w:t>360/21</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164EE6">
                        <w:rPr>
                          <w:rFonts w:asciiTheme="majorHAnsi" w:hAnsiTheme="majorHAnsi"/>
                          <w:color w:val="595959" w:themeColor="text1" w:themeTint="A6"/>
                          <w:sz w:val="18"/>
                          <w:szCs w:val="18"/>
                          <w:lang w:val="pt-BR"/>
                        </w:rPr>
                        <w:t>1111-12</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164EE6">
                        <w:rPr>
                          <w:rFonts w:asciiTheme="majorHAnsi" w:hAnsiTheme="majorHAnsi"/>
                          <w:color w:val="595959" w:themeColor="text1" w:themeTint="A6"/>
                          <w:sz w:val="18"/>
                          <w:szCs w:val="18"/>
                          <w:lang w:val="pt-BR"/>
                        </w:rPr>
                        <w:t xml:space="preserve">. </w:t>
                      </w:r>
                      <w:bookmarkStart w:id="2" w:name="_Hlk90040157"/>
                      <w:r w:rsidR="00164EE6">
                        <w:rPr>
                          <w:rFonts w:asciiTheme="majorHAnsi" w:hAnsiTheme="majorHAnsi"/>
                          <w:color w:val="595959" w:themeColor="text1" w:themeTint="A6"/>
                          <w:sz w:val="18"/>
                          <w:szCs w:val="18"/>
                          <w:lang w:val="pt-BR"/>
                        </w:rPr>
                        <w:t>Elias Gonçalves de Meura e outros</w:t>
                      </w:r>
                      <w:bookmarkEnd w:id="2"/>
                      <w:r w:rsidR="006A20E7">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3308CD">
                        <w:rPr>
                          <w:rFonts w:asciiTheme="majorHAnsi" w:hAnsiTheme="majorHAnsi"/>
                          <w:color w:val="595959" w:themeColor="text1" w:themeTint="A6"/>
                          <w:sz w:val="18"/>
                          <w:szCs w:val="18"/>
                          <w:lang w:val="pt-BR"/>
                        </w:rPr>
                        <w:t>1º de dezembro de 2021</w:t>
                      </w:r>
                      <w:r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DA07629" w14:textId="3A56B169" w:rsidR="0090270B" w:rsidRPr="00A75CC3" w:rsidRDefault="00D306D1" w:rsidP="005516A1">
      <w:pPr>
        <w:tabs>
          <w:tab w:val="center" w:pos="5400"/>
        </w:tabs>
        <w:suppressAutoHyphens/>
        <w:jc w:val="center"/>
        <w:rPr>
          <w:rFonts w:asciiTheme="majorHAnsi" w:hAnsiTheme="majorHAnsi"/>
          <w:b/>
          <w:sz w:val="20"/>
          <w:lang w:val="pt-BR"/>
        </w:rPr>
      </w:pPr>
      <w:r w:rsidRPr="00A75CC3">
        <w:rPr>
          <w:rFonts w:asciiTheme="majorHAnsi" w:hAnsiTheme="majorHAnsi"/>
          <w:noProof/>
          <w:sz w:val="22"/>
          <w:szCs w:val="22"/>
          <w:lang w:val="pt-BR" w:eastAsia="pt-BR"/>
        </w:rPr>
        <mc:AlternateContent>
          <mc:Choice Requires="wps">
            <w:drawing>
              <wp:anchor distT="0" distB="0" distL="114300" distR="114300" simplePos="0" relativeHeight="251682816" behindDoc="0" locked="0" layoutInCell="1" allowOverlap="1" wp14:anchorId="02EDA5EE" wp14:editId="0E96649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14:paraId="2FE1B253" w14:textId="2AE0D69F" w:rsidR="0070697F" w:rsidRPr="00A75CC3" w:rsidRDefault="003308CD" w:rsidP="005516A1">
      <w:pPr>
        <w:tabs>
          <w:tab w:val="center" w:pos="5400"/>
        </w:tabs>
        <w:suppressAutoHyphens/>
        <w:jc w:val="center"/>
        <w:rPr>
          <w:rFonts w:asciiTheme="majorHAnsi" w:hAnsiTheme="majorHAnsi"/>
          <w:b/>
          <w:sz w:val="20"/>
          <w:lang w:val="pt-BR"/>
        </w:rPr>
        <w:sectPr w:rsidR="0070697F" w:rsidRPr="00A75CC3"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A75CC3">
        <w:rPr>
          <w:rFonts w:asciiTheme="majorHAnsi" w:hAnsiTheme="majorHAnsi"/>
          <w:noProof/>
          <w:sz w:val="18"/>
          <w:szCs w:val="22"/>
          <w:lang w:val="pt-BR" w:eastAsia="pt-BR"/>
        </w:rPr>
        <mc:AlternateContent>
          <mc:Choice Requires="wps">
            <w:drawing>
              <wp:anchor distT="0" distB="0" distL="114300" distR="114300" simplePos="0" relativeHeight="251680768" behindDoc="0" locked="0" layoutInCell="1" allowOverlap="1" wp14:anchorId="50472543" wp14:editId="7958679F">
                <wp:simplePos x="0" y="0"/>
                <wp:positionH relativeFrom="column">
                  <wp:posOffset>1329690</wp:posOffset>
                </wp:positionH>
                <wp:positionV relativeFrom="paragraph">
                  <wp:posOffset>640806</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lang w:val="pt-BR" w:eastAsia="pt-BR"/>
                                <w14:textFill>
                                  <w14:noFill/>
                                </w14:textFill>
                              </w:rPr>
                              <w:drawing>
                                <wp:inline distT="0" distB="0" distL="0" distR="0" wp14:anchorId="266F0A37" wp14:editId="403D7821">
                                  <wp:extent cx="1516234" cy="415018"/>
                                  <wp:effectExtent l="0" t="0" r="8255"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540598" cy="4216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50.4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lang w:val="pt-BR" w:eastAsia="pt-BR"/>
                          <w14:textFill>
                            <w14:noFill/>
                          </w14:textFill>
                        </w:rPr>
                        <w:drawing>
                          <wp:inline distT="0" distB="0" distL="0" distR="0" wp14:anchorId="266F0A37" wp14:editId="403D7821">
                            <wp:extent cx="1516234" cy="415018"/>
                            <wp:effectExtent l="0" t="0" r="8255"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540598" cy="421687"/>
                                    </a:xfrm>
                                    <a:prstGeom prst="rect">
                                      <a:avLst/>
                                    </a:prstGeom>
                                    <a:noFill/>
                                    <a:ln>
                                      <a:noFill/>
                                    </a:ln>
                                  </pic:spPr>
                                </pic:pic>
                              </a:graphicData>
                            </a:graphic>
                          </wp:inline>
                        </w:drawing>
                      </w:r>
                    </w:p>
                  </w:txbxContent>
                </v:textbox>
              </v:shape>
            </w:pict>
          </mc:Fallback>
        </mc:AlternateContent>
      </w:r>
      <w:r w:rsidR="004A6A54" w:rsidRPr="00A75CC3">
        <w:rPr>
          <w:rFonts w:asciiTheme="majorHAnsi" w:hAnsiTheme="majorHAnsi"/>
          <w:b/>
          <w:sz w:val="20"/>
          <w:lang w:val="pt-BR"/>
        </w:rPr>
        <w:tab/>
      </w:r>
    </w:p>
    <w:p w14:paraId="376DDC8B" w14:textId="1B8154B1" w:rsidR="003239B8" w:rsidRPr="00A75CC3" w:rsidRDefault="00A37F2E" w:rsidP="004A6A54">
      <w:pPr>
        <w:spacing w:after="240"/>
        <w:ind w:firstLine="720"/>
        <w:jc w:val="both"/>
        <w:rPr>
          <w:rFonts w:asciiTheme="majorHAnsi" w:hAnsiTheme="majorHAnsi"/>
          <w:b/>
          <w:bCs/>
          <w:sz w:val="20"/>
          <w:szCs w:val="20"/>
          <w:lang w:val="pt-BR"/>
        </w:rPr>
      </w:pPr>
      <w:r w:rsidRPr="00A75CC3">
        <w:rPr>
          <w:rFonts w:asciiTheme="majorHAnsi" w:hAnsiTheme="majorHAnsi"/>
          <w:b/>
          <w:bCs/>
          <w:sz w:val="20"/>
          <w:szCs w:val="20"/>
          <w:lang w:val="pt-BR"/>
        </w:rPr>
        <w:lastRenderedPageBreak/>
        <w:t>I.</w:t>
      </w:r>
      <w:r w:rsidRPr="00A75CC3">
        <w:rPr>
          <w:rFonts w:asciiTheme="majorHAnsi" w:hAnsiTheme="majorHAnsi"/>
          <w:b/>
          <w:bCs/>
          <w:sz w:val="20"/>
          <w:szCs w:val="20"/>
          <w:lang w:val="pt-BR"/>
        </w:rPr>
        <w:tab/>
        <w:t>DAD</w:t>
      </w:r>
      <w:r w:rsidR="003239B8" w:rsidRPr="00A75CC3">
        <w:rPr>
          <w:rFonts w:asciiTheme="majorHAnsi" w:hAnsiTheme="majorHAnsi"/>
          <w:b/>
          <w:bCs/>
          <w:sz w:val="20"/>
          <w:szCs w:val="20"/>
          <w:lang w:val="pt-BR"/>
        </w:rPr>
        <w:t xml:space="preserve">OS </w:t>
      </w:r>
      <w:r w:rsidRPr="00A75CC3">
        <w:rPr>
          <w:rFonts w:asciiTheme="majorHAnsi" w:hAnsiTheme="majorHAnsi"/>
          <w:b/>
          <w:bCs/>
          <w:sz w:val="20"/>
          <w:szCs w:val="20"/>
          <w:lang w:val="pt-BR"/>
        </w:rPr>
        <w:t>DA PETIÇÃO</w:t>
      </w:r>
      <w:r w:rsidR="003239B8" w:rsidRPr="00A75CC3">
        <w:rPr>
          <w:rFonts w:asciiTheme="majorHAnsi" w:hAnsiTheme="majorHAnsi"/>
          <w:b/>
          <w:bCs/>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F5290" w14:paraId="5A79D1F7" w14:textId="77777777" w:rsidTr="0022736D">
        <w:tc>
          <w:tcPr>
            <w:tcW w:w="3600" w:type="dxa"/>
            <w:tcBorders>
              <w:top w:val="single" w:sz="4" w:space="0" w:color="auto"/>
              <w:bottom w:val="single" w:sz="6" w:space="0" w:color="auto"/>
            </w:tcBorders>
            <w:shd w:val="clear" w:color="auto" w:fill="FFC000"/>
            <w:vAlign w:val="center"/>
          </w:tcPr>
          <w:p w14:paraId="0CB2A43B" w14:textId="2CA35E64" w:rsidR="003239B8" w:rsidRPr="00A75CC3" w:rsidRDefault="00A37F2E" w:rsidP="008D2290">
            <w:pPr>
              <w:jc w:val="center"/>
              <w:rPr>
                <w:rFonts w:ascii="Cambria" w:hAnsi="Cambria"/>
                <w:b/>
                <w:bCs/>
                <w:sz w:val="20"/>
                <w:szCs w:val="20"/>
                <w:lang w:val="pt-BR"/>
              </w:rPr>
            </w:pPr>
            <w:r w:rsidRPr="00A75CC3">
              <w:rPr>
                <w:rFonts w:ascii="Cambria" w:hAnsi="Cambria"/>
                <w:b/>
                <w:bCs/>
                <w:sz w:val="20"/>
                <w:szCs w:val="20"/>
                <w:lang w:val="pt-BR"/>
              </w:rPr>
              <w:t>Parte peticioná</w:t>
            </w:r>
            <w:r w:rsidR="003239B8" w:rsidRPr="00A75CC3">
              <w:rPr>
                <w:rFonts w:ascii="Cambria" w:hAnsi="Cambria"/>
                <w:b/>
                <w:bCs/>
                <w:sz w:val="20"/>
                <w:szCs w:val="20"/>
                <w:lang w:val="pt-BR"/>
              </w:rPr>
              <w:t>ria:</w:t>
            </w:r>
          </w:p>
        </w:tc>
        <w:tc>
          <w:tcPr>
            <w:tcW w:w="5760" w:type="dxa"/>
            <w:vAlign w:val="center"/>
          </w:tcPr>
          <w:p w14:paraId="3C5315D8" w14:textId="771D8E1C" w:rsidR="003239B8" w:rsidRPr="00A75CC3" w:rsidRDefault="00164EE6" w:rsidP="00164EE6">
            <w:pPr>
              <w:jc w:val="both"/>
              <w:rPr>
                <w:rFonts w:ascii="Cambria" w:hAnsi="Cambria"/>
                <w:bCs/>
                <w:sz w:val="20"/>
                <w:szCs w:val="20"/>
                <w:lang w:val="pt-BR"/>
              </w:rPr>
            </w:pPr>
            <w:r w:rsidRPr="00164EE6">
              <w:rPr>
                <w:rFonts w:ascii="Cambria" w:hAnsi="Cambria"/>
                <w:bCs/>
                <w:sz w:val="20"/>
                <w:szCs w:val="20"/>
                <w:lang w:val="pt-BR"/>
              </w:rPr>
              <w:t>Movimento dos Trabalhadores Sem Terra (MST), Prog</w:t>
            </w:r>
            <w:r>
              <w:rPr>
                <w:rFonts w:ascii="Cambria" w:hAnsi="Cambria"/>
                <w:bCs/>
                <w:sz w:val="20"/>
                <w:szCs w:val="20"/>
                <w:lang w:val="pt-BR"/>
              </w:rPr>
              <w:t>r</w:t>
            </w:r>
            <w:r w:rsidRPr="00164EE6">
              <w:rPr>
                <w:rFonts w:ascii="Cambria" w:hAnsi="Cambria"/>
                <w:bCs/>
                <w:sz w:val="20"/>
                <w:szCs w:val="20"/>
                <w:lang w:val="pt-BR"/>
              </w:rPr>
              <w:t xml:space="preserve">ama de Educação Tutorial da Faculdade de Direito da </w:t>
            </w:r>
            <w:r>
              <w:rPr>
                <w:rFonts w:ascii="Cambria" w:hAnsi="Cambria"/>
                <w:bCs/>
                <w:sz w:val="20"/>
                <w:szCs w:val="20"/>
                <w:lang w:val="pt-BR"/>
              </w:rPr>
              <w:t>Universidade Federal do Paraná (UFPR)</w:t>
            </w:r>
            <w:r w:rsidRPr="00164EE6">
              <w:rPr>
                <w:rFonts w:ascii="Cambria" w:hAnsi="Cambria"/>
                <w:bCs/>
                <w:sz w:val="20"/>
                <w:szCs w:val="20"/>
                <w:lang w:val="pt-BR"/>
              </w:rPr>
              <w:t>, Terra de Direitos</w:t>
            </w:r>
          </w:p>
        </w:tc>
      </w:tr>
      <w:tr w:rsidR="003239B8" w:rsidRPr="002F5290" w14:paraId="593A7E45" w14:textId="77777777" w:rsidTr="0022736D">
        <w:tc>
          <w:tcPr>
            <w:tcW w:w="3600" w:type="dxa"/>
            <w:tcBorders>
              <w:top w:val="single" w:sz="6" w:space="0" w:color="auto"/>
              <w:bottom w:val="single" w:sz="6" w:space="0" w:color="auto"/>
            </w:tcBorders>
            <w:shd w:val="clear" w:color="auto" w:fill="FFC000"/>
            <w:vAlign w:val="center"/>
          </w:tcPr>
          <w:p w14:paraId="0E78CA0C" w14:textId="66548065" w:rsidR="003239B8" w:rsidRPr="00A75CC3" w:rsidRDefault="00A37F2E" w:rsidP="008D2290">
            <w:pPr>
              <w:jc w:val="center"/>
              <w:rPr>
                <w:rFonts w:ascii="Cambria" w:hAnsi="Cambria"/>
                <w:b/>
                <w:bCs/>
                <w:sz w:val="20"/>
                <w:szCs w:val="20"/>
                <w:lang w:val="pt-BR"/>
              </w:rPr>
            </w:pPr>
            <w:r w:rsidRPr="00A75CC3">
              <w:rPr>
                <w:rFonts w:ascii="Cambria" w:hAnsi="Cambria"/>
                <w:b/>
                <w:bCs/>
                <w:sz w:val="20"/>
                <w:szCs w:val="20"/>
                <w:lang w:val="pt-BR"/>
              </w:rPr>
              <w:t>Suposta</w:t>
            </w:r>
            <w:r w:rsidR="00223CF9">
              <w:rPr>
                <w:rFonts w:ascii="Cambria" w:hAnsi="Cambria"/>
                <w:b/>
                <w:bCs/>
                <w:sz w:val="20"/>
                <w:szCs w:val="20"/>
                <w:lang w:val="pt-BR"/>
              </w:rPr>
              <w:t>s</w:t>
            </w:r>
            <w:r w:rsidRPr="00A75CC3">
              <w:rPr>
                <w:rFonts w:ascii="Cambria" w:hAnsi="Cambria"/>
                <w:b/>
                <w:bCs/>
                <w:sz w:val="20"/>
                <w:szCs w:val="20"/>
                <w:lang w:val="pt-BR"/>
              </w:rPr>
              <w:t xml:space="preserve"> vítima</w:t>
            </w:r>
            <w:r w:rsidR="00223CF9">
              <w:rPr>
                <w:rFonts w:ascii="Cambria" w:hAnsi="Cambria"/>
                <w:b/>
                <w:bCs/>
                <w:sz w:val="20"/>
                <w:szCs w:val="20"/>
                <w:lang w:val="pt-BR"/>
              </w:rPr>
              <w:t>s</w:t>
            </w:r>
            <w:r w:rsidR="003239B8" w:rsidRPr="00A75CC3">
              <w:rPr>
                <w:rFonts w:ascii="Cambria" w:hAnsi="Cambria"/>
                <w:b/>
                <w:bCs/>
                <w:sz w:val="20"/>
                <w:szCs w:val="20"/>
                <w:lang w:val="pt-BR"/>
              </w:rPr>
              <w:t>:</w:t>
            </w:r>
          </w:p>
        </w:tc>
        <w:tc>
          <w:tcPr>
            <w:tcW w:w="5760" w:type="dxa"/>
            <w:vAlign w:val="center"/>
          </w:tcPr>
          <w:p w14:paraId="4AEBF59E" w14:textId="7DCBF668" w:rsidR="003239B8" w:rsidRPr="00A75CC3" w:rsidRDefault="00223CF9" w:rsidP="00223CF9">
            <w:pPr>
              <w:jc w:val="both"/>
              <w:rPr>
                <w:rFonts w:ascii="Cambria" w:hAnsi="Cambria"/>
                <w:bCs/>
                <w:sz w:val="20"/>
                <w:szCs w:val="20"/>
                <w:lang w:val="pt-BR"/>
              </w:rPr>
            </w:pPr>
            <w:r w:rsidRPr="00223CF9">
              <w:rPr>
                <w:rFonts w:ascii="Cambria" w:hAnsi="Cambria"/>
                <w:bCs/>
                <w:sz w:val="20"/>
                <w:szCs w:val="20"/>
                <w:lang w:val="pt-BR"/>
              </w:rPr>
              <w:t>Elias Gonçalves de Meura</w:t>
            </w:r>
            <w:r>
              <w:rPr>
                <w:rFonts w:ascii="Cambria" w:hAnsi="Cambria"/>
                <w:bCs/>
                <w:sz w:val="20"/>
                <w:szCs w:val="20"/>
                <w:lang w:val="pt-BR"/>
              </w:rPr>
              <w:t xml:space="preserve"> e outros</w:t>
            </w:r>
            <w:r>
              <w:rPr>
                <w:rStyle w:val="FootnoteReference"/>
                <w:rFonts w:ascii="Cambria" w:hAnsi="Cambria"/>
                <w:bCs/>
                <w:sz w:val="20"/>
                <w:szCs w:val="20"/>
                <w:lang w:val="pt-BR"/>
              </w:rPr>
              <w:footnoteReference w:id="2"/>
            </w:r>
          </w:p>
        </w:tc>
      </w:tr>
      <w:tr w:rsidR="003239B8" w:rsidRPr="00A75CC3" w14:paraId="3E62E1D3" w14:textId="77777777" w:rsidTr="0022736D">
        <w:tc>
          <w:tcPr>
            <w:tcW w:w="3600" w:type="dxa"/>
            <w:tcBorders>
              <w:top w:val="single" w:sz="6" w:space="0" w:color="auto"/>
              <w:bottom w:val="single" w:sz="6" w:space="0" w:color="auto"/>
            </w:tcBorders>
            <w:shd w:val="clear" w:color="auto" w:fill="FFC000"/>
            <w:vAlign w:val="center"/>
          </w:tcPr>
          <w:p w14:paraId="340B0F09" w14:textId="77777777" w:rsidR="003239B8" w:rsidRPr="00A75CC3" w:rsidRDefault="003239B8" w:rsidP="008D2290">
            <w:pPr>
              <w:jc w:val="center"/>
              <w:rPr>
                <w:rFonts w:ascii="Cambria" w:hAnsi="Cambria"/>
                <w:b/>
                <w:bCs/>
                <w:sz w:val="20"/>
                <w:szCs w:val="20"/>
                <w:lang w:val="pt-BR"/>
              </w:rPr>
            </w:pPr>
            <w:r w:rsidRPr="00A75CC3">
              <w:rPr>
                <w:rFonts w:ascii="Cambria" w:hAnsi="Cambria"/>
                <w:b/>
                <w:bCs/>
                <w:sz w:val="20"/>
                <w:szCs w:val="20"/>
                <w:lang w:val="pt-BR"/>
              </w:rPr>
              <w:t>Estado denunciado:</w:t>
            </w:r>
          </w:p>
        </w:tc>
        <w:tc>
          <w:tcPr>
            <w:tcW w:w="5760" w:type="dxa"/>
            <w:vAlign w:val="center"/>
          </w:tcPr>
          <w:p w14:paraId="274C8A50" w14:textId="0B30EFC8" w:rsidR="003239B8" w:rsidRPr="00A75CC3" w:rsidRDefault="006A20E7" w:rsidP="008D2290">
            <w:pPr>
              <w:jc w:val="both"/>
              <w:rPr>
                <w:rFonts w:ascii="Cambria" w:hAnsi="Cambria"/>
                <w:bCs/>
                <w:sz w:val="20"/>
                <w:szCs w:val="20"/>
                <w:lang w:val="pt-BR"/>
              </w:rPr>
            </w:pPr>
            <w:r>
              <w:rPr>
                <w:rFonts w:ascii="Cambria" w:hAnsi="Cambria"/>
                <w:bCs/>
                <w:sz w:val="20"/>
                <w:szCs w:val="20"/>
                <w:lang w:val="pt-BR"/>
              </w:rPr>
              <w:t>Brasil</w:t>
            </w:r>
            <w:r w:rsidR="004A6A54" w:rsidRPr="00A75CC3">
              <w:rPr>
                <w:rStyle w:val="FootnoteReference"/>
                <w:rFonts w:ascii="Cambria" w:hAnsi="Cambria"/>
                <w:bCs/>
                <w:sz w:val="20"/>
                <w:szCs w:val="20"/>
                <w:lang w:val="pt-BR"/>
              </w:rPr>
              <w:footnoteReference w:id="3"/>
            </w:r>
          </w:p>
        </w:tc>
      </w:tr>
      <w:tr w:rsidR="00223A29" w:rsidRPr="002F5290" w14:paraId="632511BC" w14:textId="77777777" w:rsidTr="0022736D">
        <w:tc>
          <w:tcPr>
            <w:tcW w:w="3600" w:type="dxa"/>
            <w:tcBorders>
              <w:top w:val="single" w:sz="6" w:space="0" w:color="auto"/>
              <w:bottom w:val="single" w:sz="6" w:space="0" w:color="auto"/>
            </w:tcBorders>
            <w:shd w:val="clear" w:color="auto" w:fill="FFC000"/>
            <w:vAlign w:val="center"/>
          </w:tcPr>
          <w:p w14:paraId="727E2F6B" w14:textId="2C1BB426" w:rsidR="00223A29" w:rsidRPr="00A75CC3" w:rsidRDefault="001B3A00" w:rsidP="007665A8">
            <w:pPr>
              <w:jc w:val="center"/>
              <w:rPr>
                <w:rFonts w:ascii="Cambria" w:hAnsi="Cambria"/>
                <w:b/>
                <w:bCs/>
                <w:sz w:val="20"/>
                <w:szCs w:val="20"/>
                <w:lang w:val="pt-BR"/>
              </w:rPr>
            </w:pPr>
            <w:r w:rsidRPr="00A75CC3">
              <w:rPr>
                <w:rFonts w:ascii="Cambria" w:hAnsi="Cambria"/>
                <w:b/>
                <w:bCs/>
                <w:sz w:val="20"/>
                <w:szCs w:val="20"/>
                <w:lang w:val="pt-BR"/>
              </w:rPr>
              <w:t>D</w:t>
            </w:r>
            <w:r w:rsidR="00A37F2E" w:rsidRPr="00A75CC3">
              <w:rPr>
                <w:rFonts w:ascii="Cambria" w:hAnsi="Cambria"/>
                <w:b/>
                <w:bCs/>
                <w:sz w:val="20"/>
                <w:szCs w:val="20"/>
                <w:lang w:val="pt-BR"/>
              </w:rPr>
              <w:t>ireitos</w:t>
            </w:r>
            <w:r w:rsidRPr="00A75CC3">
              <w:rPr>
                <w:rFonts w:ascii="Cambria" w:hAnsi="Cambria"/>
                <w:b/>
                <w:bCs/>
                <w:sz w:val="20"/>
                <w:szCs w:val="20"/>
                <w:lang w:val="pt-BR"/>
              </w:rPr>
              <w:t xml:space="preserve"> </w:t>
            </w:r>
            <w:r w:rsidR="007665A8">
              <w:rPr>
                <w:rFonts w:ascii="Cambria" w:hAnsi="Cambria"/>
                <w:b/>
                <w:bCs/>
                <w:sz w:val="20"/>
                <w:szCs w:val="20"/>
                <w:lang w:val="pt-BR"/>
              </w:rPr>
              <w:t>alegados</w:t>
            </w:r>
            <w:r w:rsidRPr="00A75CC3">
              <w:rPr>
                <w:rFonts w:ascii="Cambria" w:hAnsi="Cambria"/>
                <w:b/>
                <w:bCs/>
                <w:sz w:val="20"/>
                <w:szCs w:val="20"/>
                <w:lang w:val="pt-BR"/>
              </w:rPr>
              <w:t>:</w:t>
            </w:r>
          </w:p>
        </w:tc>
        <w:tc>
          <w:tcPr>
            <w:tcW w:w="5760" w:type="dxa"/>
            <w:vAlign w:val="center"/>
          </w:tcPr>
          <w:p w14:paraId="6DEE1EEB" w14:textId="05C64CD9" w:rsidR="00223A29" w:rsidRPr="00A75CC3" w:rsidRDefault="00241C9D" w:rsidP="008D2290">
            <w:pPr>
              <w:jc w:val="both"/>
              <w:rPr>
                <w:rFonts w:ascii="Cambria" w:hAnsi="Cambria"/>
                <w:bCs/>
                <w:sz w:val="20"/>
                <w:szCs w:val="20"/>
                <w:lang w:val="pt-BR"/>
              </w:rPr>
            </w:pPr>
            <w:r>
              <w:rPr>
                <w:rFonts w:ascii="Cambria" w:hAnsi="Cambria"/>
                <w:bCs/>
                <w:sz w:val="20"/>
                <w:szCs w:val="20"/>
                <w:lang w:val="pt-BR"/>
              </w:rPr>
              <w:t>Artigos 4 (vida), 5 (integridade pessoal), 8 (garantias judiciais) e 25 (proteção judicial), todos relacionados aos artigos 1.1 (obrigação de respeitar os direitos) e 2 (</w:t>
            </w:r>
            <w:r w:rsidR="00EB29C8">
              <w:rPr>
                <w:rFonts w:ascii="Cambria" w:hAnsi="Cambria"/>
                <w:bCs/>
                <w:sz w:val="20"/>
                <w:szCs w:val="20"/>
                <w:lang w:val="pt-BR"/>
              </w:rPr>
              <w:t xml:space="preserve">dever de </w:t>
            </w:r>
            <w:r>
              <w:rPr>
                <w:rFonts w:ascii="Cambria" w:hAnsi="Cambria"/>
                <w:bCs/>
                <w:sz w:val="20"/>
                <w:szCs w:val="20"/>
                <w:lang w:val="pt-BR"/>
              </w:rPr>
              <w:t>adotar disposições de direito interno) da Convenção Americana de Direitos Humanos</w:t>
            </w:r>
            <w:r>
              <w:rPr>
                <w:rStyle w:val="FootnoteReference"/>
                <w:rFonts w:ascii="Cambria" w:hAnsi="Cambria"/>
                <w:bCs/>
                <w:sz w:val="20"/>
                <w:szCs w:val="20"/>
                <w:lang w:val="pt-BR"/>
              </w:rPr>
              <w:footnoteReference w:id="4"/>
            </w:r>
          </w:p>
        </w:tc>
      </w:tr>
    </w:tbl>
    <w:p w14:paraId="20263696" w14:textId="4CE349DB" w:rsidR="003239B8" w:rsidRPr="00A75CC3" w:rsidRDefault="00A37F2E" w:rsidP="003239B8">
      <w:pPr>
        <w:spacing w:before="240" w:after="240"/>
        <w:ind w:firstLine="720"/>
        <w:jc w:val="both"/>
        <w:rPr>
          <w:rFonts w:asciiTheme="majorHAnsi" w:hAnsiTheme="majorHAnsi"/>
          <w:b/>
          <w:bCs/>
          <w:sz w:val="20"/>
          <w:szCs w:val="20"/>
          <w:lang w:val="pt-BR"/>
        </w:rPr>
      </w:pPr>
      <w:r w:rsidRPr="00A75CC3">
        <w:rPr>
          <w:rFonts w:asciiTheme="majorHAnsi" w:hAnsiTheme="majorHAnsi"/>
          <w:b/>
          <w:bCs/>
          <w:sz w:val="20"/>
          <w:szCs w:val="20"/>
          <w:lang w:val="pt-BR"/>
        </w:rPr>
        <w:t>II.</w:t>
      </w:r>
      <w:r w:rsidRPr="00A75CC3">
        <w:rPr>
          <w:rFonts w:asciiTheme="majorHAnsi" w:hAnsiTheme="majorHAnsi"/>
          <w:b/>
          <w:bCs/>
          <w:sz w:val="20"/>
          <w:szCs w:val="20"/>
          <w:lang w:val="pt-BR"/>
        </w:rPr>
        <w:tab/>
        <w:t>TRÂMITE ANTE A</w:t>
      </w:r>
      <w:r w:rsidR="003239B8" w:rsidRPr="00A75CC3">
        <w:rPr>
          <w:rFonts w:asciiTheme="majorHAnsi" w:hAnsiTheme="majorHAnsi"/>
          <w:b/>
          <w:bCs/>
          <w:sz w:val="20"/>
          <w:szCs w:val="20"/>
          <w:lang w:val="pt-BR"/>
        </w:rPr>
        <w:t xml:space="preserve"> CIDH</w:t>
      </w:r>
      <w:r w:rsidR="008E3BFE" w:rsidRPr="00A75CC3">
        <w:rPr>
          <w:rStyle w:val="FootnoteReference"/>
          <w:rFonts w:ascii="Cambria" w:hAnsi="Cambria"/>
          <w:b/>
          <w:sz w:val="20"/>
          <w:szCs w:val="20"/>
          <w:lang w:val="pt-BR"/>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A75CC3" w14:paraId="306EFCB0" w14:textId="77777777" w:rsidTr="0022736D">
        <w:tc>
          <w:tcPr>
            <w:tcW w:w="3600" w:type="dxa"/>
            <w:tcBorders>
              <w:top w:val="single" w:sz="6" w:space="0" w:color="auto"/>
              <w:bottom w:val="single" w:sz="6" w:space="0" w:color="auto"/>
            </w:tcBorders>
            <w:shd w:val="clear" w:color="auto" w:fill="FFC000"/>
            <w:vAlign w:val="center"/>
          </w:tcPr>
          <w:p w14:paraId="7508D16F" w14:textId="7F75E762" w:rsidR="004C2312" w:rsidRPr="00A75CC3" w:rsidRDefault="00A37F2E" w:rsidP="004A6A54">
            <w:pPr>
              <w:jc w:val="center"/>
              <w:rPr>
                <w:rFonts w:ascii="Cambria" w:hAnsi="Cambria"/>
                <w:b/>
                <w:bCs/>
                <w:sz w:val="20"/>
                <w:szCs w:val="20"/>
                <w:lang w:val="pt-BR"/>
              </w:rPr>
            </w:pPr>
            <w:r w:rsidRPr="00A75CC3">
              <w:rPr>
                <w:rFonts w:ascii="Cambria" w:hAnsi="Cambria"/>
                <w:b/>
                <w:bCs/>
                <w:sz w:val="20"/>
                <w:szCs w:val="20"/>
                <w:lang w:val="pt-BR"/>
              </w:rPr>
              <w:t>Apresentação da petição:</w:t>
            </w:r>
          </w:p>
        </w:tc>
        <w:tc>
          <w:tcPr>
            <w:tcW w:w="5760" w:type="dxa"/>
            <w:vAlign w:val="center"/>
          </w:tcPr>
          <w:p w14:paraId="6E579153" w14:textId="6CD0A4A6" w:rsidR="004C2312" w:rsidRPr="00A75CC3" w:rsidRDefault="00F86600" w:rsidP="002625EA">
            <w:pPr>
              <w:jc w:val="both"/>
              <w:rPr>
                <w:rFonts w:ascii="Cambria" w:hAnsi="Cambria"/>
                <w:bCs/>
                <w:sz w:val="20"/>
                <w:szCs w:val="20"/>
                <w:lang w:val="pt-BR"/>
              </w:rPr>
            </w:pPr>
            <w:r>
              <w:rPr>
                <w:rFonts w:ascii="Cambria" w:hAnsi="Cambria"/>
                <w:bCs/>
                <w:sz w:val="20"/>
                <w:szCs w:val="20"/>
                <w:lang w:val="pt-BR"/>
              </w:rPr>
              <w:t>4 de junho de 2012</w:t>
            </w:r>
          </w:p>
        </w:tc>
      </w:tr>
      <w:tr w:rsidR="004C2312" w:rsidRPr="006A20E7" w14:paraId="1BDCD5C6" w14:textId="77777777" w:rsidTr="0022736D">
        <w:tc>
          <w:tcPr>
            <w:tcW w:w="3600" w:type="dxa"/>
            <w:tcBorders>
              <w:top w:val="single" w:sz="6" w:space="0" w:color="auto"/>
              <w:bottom w:val="single" w:sz="6" w:space="0" w:color="auto"/>
            </w:tcBorders>
            <w:shd w:val="clear" w:color="auto" w:fill="FFC000"/>
            <w:vAlign w:val="center"/>
          </w:tcPr>
          <w:p w14:paraId="7A18664F" w14:textId="3D89493A" w:rsidR="004C2312" w:rsidRPr="00A75CC3" w:rsidRDefault="004A6A54" w:rsidP="00A37F2E">
            <w:pPr>
              <w:jc w:val="center"/>
              <w:rPr>
                <w:rFonts w:ascii="Cambria" w:hAnsi="Cambria"/>
                <w:b/>
                <w:sz w:val="20"/>
                <w:szCs w:val="20"/>
                <w:lang w:val="pt-BR"/>
              </w:rPr>
            </w:pPr>
            <w:r w:rsidRPr="00A75CC3">
              <w:rPr>
                <w:rFonts w:ascii="Cambria" w:hAnsi="Cambria"/>
                <w:b/>
                <w:sz w:val="20"/>
                <w:szCs w:val="20"/>
                <w:lang w:val="pt-BR"/>
              </w:rPr>
              <w:t>N</w:t>
            </w:r>
            <w:r w:rsidR="00A37F2E" w:rsidRPr="00A75CC3">
              <w:rPr>
                <w:rFonts w:ascii="Cambria" w:hAnsi="Cambria"/>
                <w:b/>
                <w:sz w:val="20"/>
                <w:szCs w:val="20"/>
                <w:lang w:val="pt-BR"/>
              </w:rPr>
              <w:t>otificação da petição ao</w:t>
            </w:r>
            <w:r w:rsidR="004C2312" w:rsidRPr="00A75CC3">
              <w:rPr>
                <w:rFonts w:ascii="Cambria" w:hAnsi="Cambria"/>
                <w:b/>
                <w:sz w:val="20"/>
                <w:szCs w:val="20"/>
                <w:lang w:val="pt-BR"/>
              </w:rPr>
              <w:t xml:space="preserve"> Estado:</w:t>
            </w:r>
          </w:p>
        </w:tc>
        <w:tc>
          <w:tcPr>
            <w:tcW w:w="5760" w:type="dxa"/>
            <w:vAlign w:val="center"/>
          </w:tcPr>
          <w:p w14:paraId="1519DA6A" w14:textId="4E534D7D" w:rsidR="004C2312" w:rsidRPr="00A75CC3" w:rsidRDefault="00F86600" w:rsidP="008D2290">
            <w:pPr>
              <w:jc w:val="both"/>
              <w:rPr>
                <w:rFonts w:ascii="Cambria" w:hAnsi="Cambria"/>
                <w:bCs/>
                <w:sz w:val="20"/>
                <w:szCs w:val="20"/>
                <w:lang w:val="pt-BR"/>
              </w:rPr>
            </w:pPr>
            <w:r>
              <w:rPr>
                <w:rFonts w:ascii="Cambria" w:hAnsi="Cambria"/>
                <w:bCs/>
                <w:sz w:val="20"/>
                <w:szCs w:val="20"/>
                <w:lang w:val="pt-BR"/>
              </w:rPr>
              <w:t>12 de novembro de 2015</w:t>
            </w:r>
          </w:p>
        </w:tc>
      </w:tr>
      <w:tr w:rsidR="004C2312" w:rsidRPr="00A75CC3" w14:paraId="6147A8D5" w14:textId="77777777" w:rsidTr="0022736D">
        <w:tc>
          <w:tcPr>
            <w:tcW w:w="3600" w:type="dxa"/>
            <w:tcBorders>
              <w:top w:val="single" w:sz="6" w:space="0" w:color="auto"/>
              <w:bottom w:val="single" w:sz="6" w:space="0" w:color="auto"/>
            </w:tcBorders>
            <w:shd w:val="clear" w:color="auto" w:fill="FFC000"/>
            <w:vAlign w:val="center"/>
          </w:tcPr>
          <w:p w14:paraId="0201C86D" w14:textId="569610F0" w:rsidR="004C2312" w:rsidRPr="00A75CC3" w:rsidRDefault="004A6A54" w:rsidP="004A6A54">
            <w:pPr>
              <w:jc w:val="center"/>
              <w:rPr>
                <w:rFonts w:ascii="Cambria" w:hAnsi="Cambria"/>
                <w:b/>
                <w:bCs/>
                <w:sz w:val="20"/>
                <w:szCs w:val="20"/>
                <w:lang w:val="pt-BR"/>
              </w:rPr>
            </w:pPr>
            <w:r w:rsidRPr="00A75CC3">
              <w:rPr>
                <w:rFonts w:ascii="Cambria" w:hAnsi="Cambria"/>
                <w:b/>
                <w:sz w:val="20"/>
                <w:szCs w:val="20"/>
                <w:lang w:val="pt-BR"/>
              </w:rPr>
              <w:t>P</w:t>
            </w:r>
            <w:r w:rsidR="004C2312" w:rsidRPr="00A75CC3">
              <w:rPr>
                <w:rFonts w:ascii="Cambria" w:hAnsi="Cambria"/>
                <w:b/>
                <w:sz w:val="20"/>
                <w:szCs w:val="20"/>
                <w:lang w:val="pt-BR"/>
              </w:rPr>
              <w:t>rime</w:t>
            </w:r>
            <w:r w:rsidR="00A37F2E" w:rsidRPr="00A75CC3">
              <w:rPr>
                <w:rFonts w:ascii="Cambria" w:hAnsi="Cambria"/>
                <w:b/>
                <w:sz w:val="20"/>
                <w:szCs w:val="20"/>
                <w:lang w:val="pt-BR"/>
              </w:rPr>
              <w:t xml:space="preserve">ira resposta do </w:t>
            </w:r>
            <w:r w:rsidR="004C2312" w:rsidRPr="00A75CC3">
              <w:rPr>
                <w:rFonts w:ascii="Cambria" w:hAnsi="Cambria"/>
                <w:b/>
                <w:sz w:val="20"/>
                <w:szCs w:val="20"/>
                <w:lang w:val="pt-BR"/>
              </w:rPr>
              <w:t>Estado:</w:t>
            </w:r>
          </w:p>
        </w:tc>
        <w:tc>
          <w:tcPr>
            <w:tcW w:w="5760" w:type="dxa"/>
            <w:vAlign w:val="center"/>
          </w:tcPr>
          <w:p w14:paraId="1972B99E" w14:textId="1B497842" w:rsidR="004C2312" w:rsidRPr="00A75CC3" w:rsidRDefault="00F86600" w:rsidP="008D2290">
            <w:pPr>
              <w:jc w:val="both"/>
              <w:rPr>
                <w:rFonts w:ascii="Cambria" w:hAnsi="Cambria"/>
                <w:bCs/>
                <w:sz w:val="20"/>
                <w:szCs w:val="20"/>
                <w:lang w:val="pt-BR"/>
              </w:rPr>
            </w:pPr>
            <w:r>
              <w:rPr>
                <w:rFonts w:ascii="Cambria" w:hAnsi="Cambria"/>
                <w:bCs/>
                <w:sz w:val="20"/>
                <w:szCs w:val="20"/>
                <w:lang w:val="pt-BR"/>
              </w:rPr>
              <w:t>12 de fevereiro de 2016</w:t>
            </w:r>
          </w:p>
        </w:tc>
      </w:tr>
    </w:tbl>
    <w:p w14:paraId="21DAA666" w14:textId="3B44E0DA" w:rsidR="003239B8" w:rsidRPr="00A75CC3" w:rsidRDefault="00D358AF" w:rsidP="003239B8">
      <w:pPr>
        <w:spacing w:before="240" w:after="240"/>
        <w:ind w:firstLine="720"/>
        <w:jc w:val="both"/>
        <w:rPr>
          <w:rFonts w:asciiTheme="majorHAnsi" w:hAnsiTheme="majorHAnsi"/>
          <w:b/>
          <w:bCs/>
          <w:sz w:val="20"/>
          <w:szCs w:val="20"/>
          <w:lang w:val="pt-BR"/>
        </w:rPr>
      </w:pPr>
      <w:r w:rsidRPr="00A75CC3">
        <w:rPr>
          <w:rFonts w:asciiTheme="majorHAnsi" w:hAnsiTheme="majorHAnsi"/>
          <w:b/>
          <w:bCs/>
          <w:sz w:val="20"/>
          <w:szCs w:val="20"/>
          <w:lang w:val="pt-BR"/>
        </w:rPr>
        <w:t xml:space="preserve">III. </w:t>
      </w:r>
      <w:r w:rsidRPr="00A75CC3">
        <w:rPr>
          <w:rFonts w:asciiTheme="majorHAnsi" w:hAnsiTheme="majorHAnsi"/>
          <w:b/>
          <w:bCs/>
          <w:sz w:val="20"/>
          <w:szCs w:val="20"/>
          <w:lang w:val="pt-BR"/>
        </w:rPr>
        <w:tab/>
        <w:t>COMPETÊ</w:t>
      </w:r>
      <w:r w:rsidR="003239B8" w:rsidRPr="00A75CC3">
        <w:rPr>
          <w:rFonts w:asciiTheme="majorHAnsi" w:hAnsiTheme="majorHAnsi"/>
          <w:b/>
          <w:bCs/>
          <w:sz w:val="20"/>
          <w:szCs w:val="20"/>
          <w:lang w:val="pt-BR"/>
        </w:rPr>
        <w:t>NCIA</w:t>
      </w:r>
      <w:r w:rsidR="00EE00E9" w:rsidRPr="00A75CC3">
        <w:rPr>
          <w:rFonts w:asciiTheme="majorHAnsi" w:hAnsiTheme="majorHAnsi"/>
          <w:b/>
          <w:bCs/>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A75CC3" w14:paraId="072532AD" w14:textId="77777777" w:rsidTr="0022736D">
        <w:trPr>
          <w:cantSplit/>
        </w:trPr>
        <w:tc>
          <w:tcPr>
            <w:tcW w:w="3600" w:type="dxa"/>
            <w:tcBorders>
              <w:top w:val="single" w:sz="4" w:space="0" w:color="auto"/>
              <w:bottom w:val="single" w:sz="6" w:space="0" w:color="auto"/>
            </w:tcBorders>
            <w:shd w:val="clear" w:color="auto" w:fill="FFC000"/>
            <w:vAlign w:val="center"/>
          </w:tcPr>
          <w:p w14:paraId="5C2E4B34" w14:textId="4428BC7E" w:rsidR="003239B8" w:rsidRPr="00A75CC3" w:rsidRDefault="00D21316" w:rsidP="008D2290">
            <w:pPr>
              <w:jc w:val="center"/>
              <w:rPr>
                <w:rFonts w:ascii="Cambria" w:hAnsi="Cambria"/>
                <w:b/>
                <w:bCs/>
                <w:i/>
                <w:sz w:val="20"/>
                <w:szCs w:val="20"/>
                <w:lang w:val="pt-BR"/>
              </w:rPr>
            </w:pPr>
            <w:r w:rsidRPr="00A75CC3">
              <w:rPr>
                <w:rFonts w:ascii="Cambria" w:hAnsi="Cambria"/>
                <w:b/>
                <w:bCs/>
                <w:sz w:val="20"/>
                <w:szCs w:val="20"/>
                <w:lang w:val="pt-BR"/>
              </w:rPr>
              <w:t>Competê</w:t>
            </w:r>
            <w:r w:rsidR="003239B8" w:rsidRPr="00A75CC3">
              <w:rPr>
                <w:rFonts w:ascii="Cambria" w:hAnsi="Cambria"/>
                <w:b/>
                <w:bCs/>
                <w:sz w:val="20"/>
                <w:szCs w:val="20"/>
                <w:lang w:val="pt-BR"/>
              </w:rPr>
              <w:t>ncia</w:t>
            </w:r>
            <w:r w:rsidR="003239B8" w:rsidRPr="00A75CC3">
              <w:rPr>
                <w:rFonts w:ascii="Cambria" w:hAnsi="Cambria"/>
                <w:b/>
                <w:bCs/>
                <w:i/>
                <w:sz w:val="20"/>
                <w:szCs w:val="20"/>
                <w:lang w:val="pt-BR"/>
              </w:rPr>
              <w:t xml:space="preserve"> Ratione personae:</w:t>
            </w:r>
          </w:p>
        </w:tc>
        <w:tc>
          <w:tcPr>
            <w:tcW w:w="5760" w:type="dxa"/>
            <w:vAlign w:val="center"/>
          </w:tcPr>
          <w:p w14:paraId="7707F3E9" w14:textId="2E49D33B" w:rsidR="003239B8" w:rsidRPr="00A75CC3" w:rsidRDefault="002418A2" w:rsidP="008D2290">
            <w:pPr>
              <w:rPr>
                <w:rFonts w:ascii="Cambria" w:hAnsi="Cambria"/>
                <w:bCs/>
                <w:sz w:val="20"/>
                <w:szCs w:val="20"/>
                <w:lang w:val="pt-BR"/>
              </w:rPr>
            </w:pPr>
            <w:r>
              <w:rPr>
                <w:rFonts w:ascii="Cambria" w:hAnsi="Cambria"/>
                <w:bCs/>
                <w:sz w:val="20"/>
                <w:szCs w:val="20"/>
                <w:lang w:val="pt-BR"/>
              </w:rPr>
              <w:t>Sim</w:t>
            </w:r>
          </w:p>
        </w:tc>
      </w:tr>
      <w:tr w:rsidR="003239B8" w:rsidRPr="00A75CC3" w14:paraId="4B8802DA" w14:textId="77777777" w:rsidTr="0022736D">
        <w:trPr>
          <w:cantSplit/>
        </w:trPr>
        <w:tc>
          <w:tcPr>
            <w:tcW w:w="3600" w:type="dxa"/>
            <w:tcBorders>
              <w:top w:val="single" w:sz="6" w:space="0" w:color="auto"/>
              <w:bottom w:val="single" w:sz="6" w:space="0" w:color="auto"/>
            </w:tcBorders>
            <w:shd w:val="clear" w:color="auto" w:fill="FFC000"/>
            <w:vAlign w:val="center"/>
          </w:tcPr>
          <w:p w14:paraId="3915C23B" w14:textId="5BC7D7BF" w:rsidR="003239B8" w:rsidRPr="00A75CC3" w:rsidRDefault="00D21316" w:rsidP="008D2290">
            <w:pPr>
              <w:jc w:val="center"/>
              <w:rPr>
                <w:rFonts w:ascii="Cambria" w:hAnsi="Cambria"/>
                <w:b/>
                <w:bCs/>
                <w:sz w:val="20"/>
                <w:szCs w:val="20"/>
                <w:lang w:val="pt-BR"/>
              </w:rPr>
            </w:pPr>
            <w:r w:rsidRPr="00A75CC3">
              <w:rPr>
                <w:rFonts w:ascii="Cambria" w:hAnsi="Cambria"/>
                <w:b/>
                <w:bCs/>
                <w:sz w:val="20"/>
                <w:szCs w:val="20"/>
                <w:lang w:val="pt-BR"/>
              </w:rPr>
              <w:t>Competê</w:t>
            </w:r>
            <w:r w:rsidR="003239B8" w:rsidRPr="00A75CC3">
              <w:rPr>
                <w:rFonts w:ascii="Cambria" w:hAnsi="Cambria"/>
                <w:b/>
                <w:bCs/>
                <w:sz w:val="20"/>
                <w:szCs w:val="20"/>
                <w:lang w:val="pt-BR"/>
              </w:rPr>
              <w:t>ncia</w:t>
            </w:r>
            <w:r w:rsidR="003239B8" w:rsidRPr="00A75CC3">
              <w:rPr>
                <w:rFonts w:ascii="Cambria" w:hAnsi="Cambria"/>
                <w:b/>
                <w:bCs/>
                <w:i/>
                <w:sz w:val="20"/>
                <w:szCs w:val="20"/>
                <w:lang w:val="pt-BR"/>
              </w:rPr>
              <w:t xml:space="preserve"> Ratione loci</w:t>
            </w:r>
            <w:r w:rsidR="003239B8" w:rsidRPr="00A75CC3">
              <w:rPr>
                <w:rFonts w:ascii="Cambria" w:hAnsi="Cambria"/>
                <w:b/>
                <w:bCs/>
                <w:sz w:val="20"/>
                <w:szCs w:val="20"/>
                <w:lang w:val="pt-BR"/>
              </w:rPr>
              <w:t>:</w:t>
            </w:r>
          </w:p>
        </w:tc>
        <w:tc>
          <w:tcPr>
            <w:tcW w:w="5760" w:type="dxa"/>
            <w:vAlign w:val="center"/>
          </w:tcPr>
          <w:p w14:paraId="12C931CB" w14:textId="613951FA" w:rsidR="003239B8" w:rsidRPr="00A75CC3" w:rsidRDefault="002418A2" w:rsidP="008D2290">
            <w:pPr>
              <w:rPr>
                <w:rFonts w:ascii="Cambria" w:hAnsi="Cambria"/>
                <w:bCs/>
                <w:sz w:val="20"/>
                <w:szCs w:val="20"/>
                <w:lang w:val="pt-BR"/>
              </w:rPr>
            </w:pPr>
            <w:r>
              <w:rPr>
                <w:rFonts w:ascii="Cambria" w:hAnsi="Cambria"/>
                <w:bCs/>
                <w:sz w:val="20"/>
                <w:szCs w:val="20"/>
                <w:lang w:val="pt-BR"/>
              </w:rPr>
              <w:t>Sim</w:t>
            </w:r>
          </w:p>
        </w:tc>
      </w:tr>
      <w:tr w:rsidR="003239B8" w:rsidRPr="00A75CC3" w14:paraId="4362FDF3" w14:textId="77777777" w:rsidTr="0022736D">
        <w:trPr>
          <w:cantSplit/>
        </w:trPr>
        <w:tc>
          <w:tcPr>
            <w:tcW w:w="3600" w:type="dxa"/>
            <w:tcBorders>
              <w:top w:val="single" w:sz="6" w:space="0" w:color="auto"/>
              <w:bottom w:val="single" w:sz="6" w:space="0" w:color="auto"/>
            </w:tcBorders>
            <w:shd w:val="clear" w:color="auto" w:fill="FFC000"/>
            <w:vAlign w:val="center"/>
          </w:tcPr>
          <w:p w14:paraId="3BE23153" w14:textId="0DA4396B" w:rsidR="003239B8" w:rsidRPr="00A75CC3" w:rsidRDefault="00D21316" w:rsidP="008D2290">
            <w:pPr>
              <w:jc w:val="center"/>
              <w:rPr>
                <w:rFonts w:ascii="Cambria" w:hAnsi="Cambria"/>
                <w:b/>
                <w:bCs/>
                <w:sz w:val="20"/>
                <w:szCs w:val="20"/>
                <w:lang w:val="pt-BR"/>
              </w:rPr>
            </w:pPr>
            <w:r w:rsidRPr="00A75CC3">
              <w:rPr>
                <w:rFonts w:ascii="Cambria" w:hAnsi="Cambria"/>
                <w:b/>
                <w:bCs/>
                <w:sz w:val="20"/>
                <w:szCs w:val="20"/>
                <w:lang w:val="pt-BR"/>
              </w:rPr>
              <w:t>Competê</w:t>
            </w:r>
            <w:r w:rsidR="003239B8" w:rsidRPr="00A75CC3">
              <w:rPr>
                <w:rFonts w:ascii="Cambria" w:hAnsi="Cambria"/>
                <w:b/>
                <w:bCs/>
                <w:sz w:val="20"/>
                <w:szCs w:val="20"/>
                <w:lang w:val="pt-BR"/>
              </w:rPr>
              <w:t>ncia</w:t>
            </w:r>
            <w:r w:rsidR="003239B8" w:rsidRPr="00A75CC3">
              <w:rPr>
                <w:rFonts w:ascii="Cambria" w:hAnsi="Cambria"/>
                <w:b/>
                <w:bCs/>
                <w:i/>
                <w:sz w:val="20"/>
                <w:szCs w:val="20"/>
                <w:lang w:val="pt-BR"/>
              </w:rPr>
              <w:t xml:space="preserve"> Ratione temporis</w:t>
            </w:r>
            <w:r w:rsidR="003239B8" w:rsidRPr="00A75CC3">
              <w:rPr>
                <w:rFonts w:ascii="Cambria" w:hAnsi="Cambria"/>
                <w:b/>
                <w:bCs/>
                <w:sz w:val="20"/>
                <w:szCs w:val="20"/>
                <w:lang w:val="pt-BR"/>
              </w:rPr>
              <w:t>:</w:t>
            </w:r>
          </w:p>
        </w:tc>
        <w:tc>
          <w:tcPr>
            <w:tcW w:w="5760" w:type="dxa"/>
            <w:vAlign w:val="center"/>
          </w:tcPr>
          <w:p w14:paraId="6F8B059B" w14:textId="6F0AD1F6" w:rsidR="003239B8" w:rsidRPr="00A75CC3" w:rsidRDefault="002418A2" w:rsidP="008D2290">
            <w:pPr>
              <w:rPr>
                <w:bCs/>
                <w:sz w:val="20"/>
                <w:szCs w:val="20"/>
                <w:lang w:val="pt-BR"/>
              </w:rPr>
            </w:pPr>
            <w:r>
              <w:rPr>
                <w:bCs/>
                <w:sz w:val="20"/>
                <w:szCs w:val="20"/>
                <w:lang w:val="pt-BR"/>
              </w:rPr>
              <w:t>Sim</w:t>
            </w:r>
          </w:p>
        </w:tc>
      </w:tr>
      <w:tr w:rsidR="003239B8" w:rsidRPr="002F5290" w14:paraId="30ABEC3E" w14:textId="77777777" w:rsidTr="0022736D">
        <w:trPr>
          <w:cantSplit/>
        </w:trPr>
        <w:tc>
          <w:tcPr>
            <w:tcW w:w="3600" w:type="dxa"/>
            <w:tcBorders>
              <w:top w:val="single" w:sz="6" w:space="0" w:color="auto"/>
              <w:bottom w:val="single" w:sz="6" w:space="0" w:color="auto"/>
            </w:tcBorders>
            <w:shd w:val="clear" w:color="auto" w:fill="FFC000"/>
            <w:vAlign w:val="center"/>
          </w:tcPr>
          <w:p w14:paraId="47B529D2" w14:textId="38F880CA" w:rsidR="003239B8" w:rsidRPr="00A75CC3" w:rsidRDefault="00D21316" w:rsidP="008D2290">
            <w:pPr>
              <w:jc w:val="center"/>
              <w:rPr>
                <w:rFonts w:ascii="Cambria" w:hAnsi="Cambria"/>
                <w:b/>
                <w:bCs/>
                <w:sz w:val="20"/>
                <w:szCs w:val="20"/>
                <w:lang w:val="pt-BR"/>
              </w:rPr>
            </w:pPr>
            <w:r w:rsidRPr="00A75CC3">
              <w:rPr>
                <w:rFonts w:ascii="Cambria" w:hAnsi="Cambria"/>
                <w:b/>
                <w:bCs/>
                <w:sz w:val="20"/>
                <w:szCs w:val="20"/>
                <w:lang w:val="pt-BR"/>
              </w:rPr>
              <w:t>Competê</w:t>
            </w:r>
            <w:r w:rsidR="003239B8" w:rsidRPr="00A75CC3">
              <w:rPr>
                <w:rFonts w:ascii="Cambria" w:hAnsi="Cambria"/>
                <w:b/>
                <w:bCs/>
                <w:sz w:val="20"/>
                <w:szCs w:val="20"/>
                <w:lang w:val="pt-BR"/>
              </w:rPr>
              <w:t>ncia</w:t>
            </w:r>
            <w:r w:rsidR="003239B8" w:rsidRPr="00A75CC3">
              <w:rPr>
                <w:rFonts w:ascii="Cambria" w:hAnsi="Cambria"/>
                <w:b/>
                <w:bCs/>
                <w:i/>
                <w:sz w:val="20"/>
                <w:szCs w:val="20"/>
                <w:lang w:val="pt-BR"/>
              </w:rPr>
              <w:t xml:space="preserve"> Ratione materia</w:t>
            </w:r>
            <w:r w:rsidR="00EE00E9" w:rsidRPr="00A75CC3">
              <w:rPr>
                <w:rFonts w:ascii="Cambria" w:hAnsi="Cambria"/>
                <w:b/>
                <w:bCs/>
                <w:i/>
                <w:sz w:val="20"/>
                <w:szCs w:val="20"/>
                <w:lang w:val="pt-BR"/>
              </w:rPr>
              <w:t>e</w:t>
            </w:r>
            <w:r w:rsidR="003239B8" w:rsidRPr="00A75CC3">
              <w:rPr>
                <w:rFonts w:ascii="Cambria" w:hAnsi="Cambria"/>
                <w:b/>
                <w:bCs/>
                <w:sz w:val="20"/>
                <w:szCs w:val="20"/>
                <w:lang w:val="pt-BR"/>
              </w:rPr>
              <w:t>:</w:t>
            </w:r>
          </w:p>
        </w:tc>
        <w:tc>
          <w:tcPr>
            <w:tcW w:w="5760" w:type="dxa"/>
            <w:vAlign w:val="center"/>
          </w:tcPr>
          <w:p w14:paraId="0C122F44" w14:textId="4D64EE07" w:rsidR="003239B8" w:rsidRPr="00A75CC3" w:rsidRDefault="002418A2" w:rsidP="008D2290">
            <w:pPr>
              <w:jc w:val="both"/>
              <w:rPr>
                <w:rFonts w:ascii="Cambria" w:hAnsi="Cambria"/>
                <w:bCs/>
                <w:sz w:val="20"/>
                <w:szCs w:val="20"/>
                <w:lang w:val="pt-BR"/>
              </w:rPr>
            </w:pPr>
            <w:r w:rsidRPr="000369D6">
              <w:rPr>
                <w:rFonts w:asciiTheme="majorHAnsi" w:hAnsiTheme="majorHAnsi"/>
                <w:bCs/>
                <w:sz w:val="20"/>
                <w:szCs w:val="20"/>
                <w:lang w:val="pt-BR"/>
              </w:rPr>
              <w:t>Sim, Convenção Americana (instrumento adotado no dia 25 de setembro de 1992)</w:t>
            </w:r>
          </w:p>
        </w:tc>
      </w:tr>
    </w:tbl>
    <w:p w14:paraId="4E92C444" w14:textId="32D2C3ED" w:rsidR="003239B8" w:rsidRPr="00A75CC3" w:rsidRDefault="003239B8" w:rsidP="003239B8">
      <w:pPr>
        <w:spacing w:before="240" w:after="240"/>
        <w:ind w:firstLine="720"/>
        <w:jc w:val="both"/>
        <w:rPr>
          <w:rFonts w:asciiTheme="majorHAnsi" w:hAnsiTheme="majorHAnsi"/>
          <w:b/>
          <w:bCs/>
          <w:sz w:val="20"/>
          <w:szCs w:val="20"/>
          <w:lang w:val="pt-BR"/>
        </w:rPr>
      </w:pPr>
      <w:r w:rsidRPr="00A75CC3">
        <w:rPr>
          <w:rFonts w:asciiTheme="majorHAnsi" w:hAnsiTheme="majorHAnsi"/>
          <w:b/>
          <w:bCs/>
          <w:sz w:val="20"/>
          <w:szCs w:val="20"/>
          <w:lang w:val="pt-BR"/>
        </w:rPr>
        <w:t xml:space="preserve">IV. </w:t>
      </w:r>
      <w:r w:rsidRPr="00A75CC3">
        <w:rPr>
          <w:rFonts w:asciiTheme="majorHAnsi" w:hAnsiTheme="majorHAnsi"/>
          <w:b/>
          <w:bCs/>
          <w:sz w:val="20"/>
          <w:szCs w:val="20"/>
          <w:lang w:val="pt-BR"/>
        </w:rPr>
        <w:tab/>
      </w:r>
      <w:r w:rsidR="00D21316" w:rsidRPr="00A75CC3">
        <w:rPr>
          <w:rFonts w:asciiTheme="majorHAnsi" w:hAnsiTheme="majorHAnsi"/>
          <w:b/>
          <w:bCs/>
          <w:sz w:val="20"/>
          <w:szCs w:val="20"/>
          <w:lang w:val="pt-BR"/>
        </w:rPr>
        <w:t>DUPLICAÇÃO</w:t>
      </w:r>
      <w:r w:rsidR="00EE00E9" w:rsidRPr="00A75CC3">
        <w:rPr>
          <w:rFonts w:asciiTheme="majorHAnsi" w:hAnsiTheme="majorHAnsi"/>
          <w:b/>
          <w:bCs/>
          <w:color w:val="FFFFFF" w:themeColor="background1"/>
          <w:sz w:val="20"/>
          <w:szCs w:val="20"/>
          <w:lang w:val="pt-BR"/>
        </w:rPr>
        <w:t xml:space="preserve"> </w:t>
      </w:r>
      <w:r w:rsidR="00D21316" w:rsidRPr="00A75CC3">
        <w:rPr>
          <w:rFonts w:asciiTheme="majorHAnsi" w:hAnsiTheme="majorHAnsi"/>
          <w:b/>
          <w:bCs/>
          <w:sz w:val="20"/>
          <w:szCs w:val="20"/>
          <w:lang w:val="pt-BR"/>
        </w:rPr>
        <w:t>DE PROCEDIMENTOS E</w:t>
      </w:r>
      <w:r w:rsidR="00EE00E9" w:rsidRPr="00A75CC3">
        <w:rPr>
          <w:rFonts w:asciiTheme="majorHAnsi" w:hAnsiTheme="majorHAnsi"/>
          <w:b/>
          <w:bCs/>
          <w:sz w:val="20"/>
          <w:szCs w:val="20"/>
          <w:lang w:val="pt-BR"/>
        </w:rPr>
        <w:t xml:space="preserve"> CO</w:t>
      </w:r>
      <w:r w:rsidR="00D21316" w:rsidRPr="00A75CC3">
        <w:rPr>
          <w:rFonts w:asciiTheme="majorHAnsi" w:hAnsiTheme="majorHAnsi"/>
          <w:b/>
          <w:bCs/>
          <w:sz w:val="20"/>
          <w:szCs w:val="20"/>
          <w:lang w:val="pt-BR"/>
        </w:rPr>
        <w:t>ISA JUL</w:t>
      </w:r>
      <w:r w:rsidR="00EE00E9" w:rsidRPr="00A75CC3">
        <w:rPr>
          <w:rFonts w:asciiTheme="majorHAnsi" w:hAnsiTheme="majorHAnsi"/>
          <w:b/>
          <w:bCs/>
          <w:sz w:val="20"/>
          <w:szCs w:val="20"/>
          <w:lang w:val="pt-BR"/>
        </w:rPr>
        <w:t>GADA</w:t>
      </w:r>
      <w:r w:rsidR="00EE00E9" w:rsidRPr="00A75CC3">
        <w:rPr>
          <w:rFonts w:asciiTheme="majorHAnsi" w:hAnsiTheme="majorHAnsi"/>
          <w:b/>
          <w:bCs/>
          <w:i/>
          <w:sz w:val="20"/>
          <w:szCs w:val="20"/>
          <w:lang w:val="pt-BR"/>
        </w:rPr>
        <w:t xml:space="preserve"> </w:t>
      </w:r>
      <w:r w:rsidR="00EE00E9" w:rsidRPr="00A75CC3">
        <w:rPr>
          <w:rFonts w:asciiTheme="majorHAnsi" w:hAnsiTheme="majorHAnsi"/>
          <w:b/>
          <w:bCs/>
          <w:sz w:val="20"/>
          <w:szCs w:val="20"/>
          <w:lang w:val="pt-BR"/>
        </w:rPr>
        <w:t xml:space="preserve">INTERNACIONAL, </w:t>
      </w:r>
      <w:r w:rsidR="00D21316" w:rsidRPr="00A75CC3">
        <w:rPr>
          <w:rFonts w:asciiTheme="majorHAnsi" w:hAnsiTheme="majorHAnsi"/>
          <w:b/>
          <w:bCs/>
          <w:sz w:val="20"/>
          <w:szCs w:val="20"/>
          <w:lang w:val="pt-BR"/>
        </w:rPr>
        <w:t xml:space="preserve"> CARACTERIZAÇÃO</w:t>
      </w:r>
      <w:r w:rsidRPr="00A75CC3">
        <w:rPr>
          <w:rFonts w:asciiTheme="majorHAnsi" w:hAnsiTheme="majorHAnsi"/>
          <w:b/>
          <w:bCs/>
          <w:sz w:val="20"/>
          <w:szCs w:val="20"/>
          <w:lang w:val="pt-BR"/>
        </w:rPr>
        <w:t xml:space="preserve">, </w:t>
      </w:r>
      <w:r w:rsidR="00D21316" w:rsidRPr="00A75CC3">
        <w:rPr>
          <w:rFonts w:asciiTheme="majorHAnsi" w:hAnsiTheme="majorHAnsi"/>
          <w:b/>
          <w:sz w:val="20"/>
          <w:szCs w:val="20"/>
          <w:lang w:val="pt-BR"/>
        </w:rPr>
        <w:t>ESGOTAM</w:t>
      </w:r>
      <w:r w:rsidRPr="00A75CC3">
        <w:rPr>
          <w:rFonts w:asciiTheme="majorHAnsi" w:hAnsiTheme="majorHAnsi"/>
          <w:b/>
          <w:sz w:val="20"/>
          <w:szCs w:val="20"/>
          <w:lang w:val="pt-BR"/>
        </w:rPr>
        <w:t>ENTO D</w:t>
      </w:r>
      <w:r w:rsidR="00D21316" w:rsidRPr="00A75CC3">
        <w:rPr>
          <w:rFonts w:asciiTheme="majorHAnsi" w:hAnsiTheme="majorHAnsi"/>
          <w:b/>
          <w:sz w:val="20"/>
          <w:szCs w:val="20"/>
          <w:lang w:val="pt-BR"/>
        </w:rPr>
        <w:t>OS RECURSOS INTERNOS E PR</w:t>
      </w:r>
      <w:r w:rsidRPr="00A75CC3">
        <w:rPr>
          <w:rFonts w:asciiTheme="majorHAnsi" w:hAnsiTheme="majorHAnsi"/>
          <w:b/>
          <w:sz w:val="20"/>
          <w:szCs w:val="20"/>
          <w:lang w:val="pt-BR"/>
        </w:rPr>
        <w:t xml:space="preserve">AZO DE </w:t>
      </w:r>
      <w:r w:rsidR="00D21316" w:rsidRPr="00A75CC3">
        <w:rPr>
          <w:rFonts w:asciiTheme="majorHAnsi" w:hAnsiTheme="majorHAnsi"/>
          <w:b/>
          <w:sz w:val="20"/>
          <w:szCs w:val="20"/>
          <w:lang w:val="pt-BR"/>
        </w:rPr>
        <w:t>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6A20E7" w14:paraId="1231C988" w14:textId="77777777" w:rsidTr="0022736D">
        <w:trPr>
          <w:cantSplit/>
        </w:trPr>
        <w:tc>
          <w:tcPr>
            <w:tcW w:w="3600" w:type="dxa"/>
            <w:tcBorders>
              <w:top w:val="single" w:sz="4" w:space="0" w:color="auto"/>
              <w:bottom w:val="single" w:sz="6" w:space="0" w:color="auto"/>
            </w:tcBorders>
            <w:shd w:val="clear" w:color="auto" w:fill="FFC000"/>
            <w:vAlign w:val="center"/>
          </w:tcPr>
          <w:p w14:paraId="6F8031F4" w14:textId="7F2FBF91" w:rsidR="00EE00E9" w:rsidRPr="00A75CC3" w:rsidRDefault="00D21316" w:rsidP="008D2290">
            <w:pPr>
              <w:jc w:val="center"/>
              <w:rPr>
                <w:rFonts w:ascii="Cambria" w:hAnsi="Cambria"/>
                <w:b/>
                <w:bCs/>
                <w:sz w:val="20"/>
                <w:szCs w:val="20"/>
                <w:lang w:val="pt-BR"/>
              </w:rPr>
            </w:pPr>
            <w:r w:rsidRPr="00A75CC3">
              <w:rPr>
                <w:rFonts w:ascii="Cambria" w:hAnsi="Cambria"/>
                <w:b/>
                <w:bCs/>
                <w:sz w:val="20"/>
                <w:szCs w:val="20"/>
                <w:lang w:val="pt-BR"/>
              </w:rPr>
              <w:t>Duplicação de procedimentos e</w:t>
            </w:r>
            <w:r w:rsidR="00EE00E9" w:rsidRPr="00A75CC3">
              <w:rPr>
                <w:rFonts w:ascii="Cambria" w:hAnsi="Cambria"/>
                <w:b/>
                <w:bCs/>
                <w:sz w:val="20"/>
                <w:szCs w:val="20"/>
                <w:lang w:val="pt-BR"/>
              </w:rPr>
              <w:t xml:space="preserve"> co</w:t>
            </w:r>
            <w:r w:rsidRPr="00A75CC3">
              <w:rPr>
                <w:rFonts w:ascii="Cambria" w:hAnsi="Cambria"/>
                <w:b/>
                <w:bCs/>
                <w:sz w:val="20"/>
                <w:szCs w:val="20"/>
                <w:lang w:val="pt-BR"/>
              </w:rPr>
              <w:t>isa jul</w:t>
            </w:r>
            <w:r w:rsidR="00EE00E9" w:rsidRPr="00A75CC3">
              <w:rPr>
                <w:rFonts w:ascii="Cambria" w:hAnsi="Cambria"/>
                <w:b/>
                <w:bCs/>
                <w:sz w:val="20"/>
                <w:szCs w:val="20"/>
                <w:lang w:val="pt-BR"/>
              </w:rPr>
              <w:t>gada internacional:</w:t>
            </w:r>
          </w:p>
        </w:tc>
        <w:tc>
          <w:tcPr>
            <w:tcW w:w="5760" w:type="dxa"/>
            <w:vAlign w:val="center"/>
          </w:tcPr>
          <w:p w14:paraId="240941E6" w14:textId="152B2F58" w:rsidR="00EE00E9" w:rsidRPr="00A75CC3" w:rsidRDefault="004B5D14" w:rsidP="008D2290">
            <w:pPr>
              <w:jc w:val="both"/>
              <w:rPr>
                <w:rFonts w:ascii="Cambria" w:hAnsi="Cambria"/>
                <w:bCs/>
                <w:sz w:val="20"/>
                <w:szCs w:val="20"/>
                <w:lang w:val="pt-BR"/>
              </w:rPr>
            </w:pPr>
            <w:r>
              <w:rPr>
                <w:rFonts w:ascii="Cambria" w:hAnsi="Cambria"/>
                <w:bCs/>
                <w:sz w:val="20"/>
                <w:szCs w:val="20"/>
                <w:lang w:val="pt-BR"/>
              </w:rPr>
              <w:t>Não</w:t>
            </w:r>
          </w:p>
        </w:tc>
      </w:tr>
      <w:tr w:rsidR="003239B8" w:rsidRPr="002F5290" w14:paraId="15FAA7D1" w14:textId="77777777" w:rsidTr="0022736D">
        <w:trPr>
          <w:cantSplit/>
        </w:trPr>
        <w:tc>
          <w:tcPr>
            <w:tcW w:w="3600" w:type="dxa"/>
            <w:tcBorders>
              <w:top w:val="single" w:sz="4" w:space="0" w:color="auto"/>
              <w:bottom w:val="single" w:sz="6" w:space="0" w:color="auto"/>
            </w:tcBorders>
            <w:shd w:val="clear" w:color="auto" w:fill="FFC000"/>
            <w:vAlign w:val="center"/>
          </w:tcPr>
          <w:p w14:paraId="1B0D29FF" w14:textId="577ED540" w:rsidR="003239B8" w:rsidRPr="00A75CC3" w:rsidRDefault="00D21316" w:rsidP="00D21316">
            <w:pPr>
              <w:jc w:val="center"/>
              <w:rPr>
                <w:rFonts w:ascii="Cambria" w:hAnsi="Cambria"/>
                <w:b/>
                <w:bCs/>
                <w:i/>
                <w:sz w:val="20"/>
                <w:szCs w:val="20"/>
                <w:lang w:val="pt-BR"/>
              </w:rPr>
            </w:pPr>
            <w:r w:rsidRPr="00A75CC3">
              <w:rPr>
                <w:rFonts w:ascii="Cambria" w:hAnsi="Cambria"/>
                <w:b/>
                <w:bCs/>
                <w:sz w:val="20"/>
                <w:szCs w:val="20"/>
                <w:lang w:val="pt-BR"/>
              </w:rPr>
              <w:t>Direitos</w:t>
            </w:r>
            <w:r w:rsidR="003239B8" w:rsidRPr="00A75CC3">
              <w:rPr>
                <w:rFonts w:ascii="Cambria" w:hAnsi="Cambria"/>
                <w:b/>
                <w:bCs/>
                <w:sz w:val="20"/>
                <w:szCs w:val="20"/>
                <w:lang w:val="pt-BR"/>
              </w:rPr>
              <w:t xml:space="preserve"> declarados </w:t>
            </w:r>
            <w:r w:rsidRPr="00A75CC3">
              <w:rPr>
                <w:rFonts w:ascii="Cambria" w:hAnsi="Cambria"/>
                <w:b/>
                <w:bCs/>
                <w:sz w:val="20"/>
                <w:szCs w:val="20"/>
                <w:lang w:val="pt-BR"/>
              </w:rPr>
              <w:t>admitidos</w:t>
            </w:r>
            <w:r w:rsidR="003239B8" w:rsidRPr="00A75CC3">
              <w:rPr>
                <w:rFonts w:ascii="Cambria" w:hAnsi="Cambria"/>
                <w:b/>
                <w:bCs/>
                <w:i/>
                <w:sz w:val="20"/>
                <w:szCs w:val="20"/>
                <w:lang w:val="pt-BR"/>
              </w:rPr>
              <w:t>:</w:t>
            </w:r>
          </w:p>
        </w:tc>
        <w:tc>
          <w:tcPr>
            <w:tcW w:w="5760" w:type="dxa"/>
            <w:vAlign w:val="center"/>
          </w:tcPr>
          <w:p w14:paraId="6310C8F7" w14:textId="5CB0E8FA" w:rsidR="003239B8" w:rsidRPr="00A75CC3" w:rsidRDefault="00932C73" w:rsidP="008D2290">
            <w:pPr>
              <w:jc w:val="both"/>
              <w:rPr>
                <w:rFonts w:ascii="Cambria" w:hAnsi="Cambria"/>
                <w:bCs/>
                <w:sz w:val="20"/>
                <w:szCs w:val="20"/>
                <w:lang w:val="pt-BR"/>
              </w:rPr>
            </w:pPr>
            <w:r>
              <w:rPr>
                <w:rFonts w:ascii="Cambria" w:hAnsi="Cambria"/>
                <w:bCs/>
                <w:sz w:val="20"/>
                <w:szCs w:val="20"/>
                <w:lang w:val="pt-BR"/>
              </w:rPr>
              <w:t>Artigos 4 (vida), 5 (integridade pessoal), 8 (garantias judiciais) e 25 (proteção judicial)</w:t>
            </w:r>
            <w:r w:rsidR="002404CD">
              <w:rPr>
                <w:rFonts w:ascii="Cambria" w:hAnsi="Cambria"/>
                <w:bCs/>
                <w:sz w:val="20"/>
                <w:szCs w:val="20"/>
                <w:lang w:val="pt-BR"/>
              </w:rPr>
              <w:t xml:space="preserve"> </w:t>
            </w:r>
            <w:r>
              <w:rPr>
                <w:rFonts w:ascii="Cambria" w:hAnsi="Cambria"/>
                <w:bCs/>
                <w:sz w:val="20"/>
                <w:szCs w:val="20"/>
                <w:lang w:val="pt-BR"/>
              </w:rPr>
              <w:t>da Convenção Americana</w:t>
            </w:r>
          </w:p>
        </w:tc>
      </w:tr>
      <w:tr w:rsidR="003239B8" w:rsidRPr="006A20E7" w14:paraId="4EFD141E" w14:textId="77777777" w:rsidTr="0022736D">
        <w:trPr>
          <w:cantSplit/>
        </w:trPr>
        <w:tc>
          <w:tcPr>
            <w:tcW w:w="3600" w:type="dxa"/>
            <w:tcBorders>
              <w:top w:val="single" w:sz="6" w:space="0" w:color="auto"/>
              <w:bottom w:val="single" w:sz="6" w:space="0" w:color="auto"/>
            </w:tcBorders>
            <w:shd w:val="clear" w:color="auto" w:fill="FFC000"/>
            <w:vAlign w:val="center"/>
          </w:tcPr>
          <w:p w14:paraId="4C04A89C" w14:textId="4CDE326B" w:rsidR="003239B8" w:rsidRPr="00A75CC3" w:rsidRDefault="00D21316" w:rsidP="00D21316">
            <w:pPr>
              <w:jc w:val="center"/>
              <w:rPr>
                <w:rFonts w:ascii="Cambria" w:hAnsi="Cambria"/>
                <w:b/>
                <w:bCs/>
                <w:sz w:val="20"/>
                <w:szCs w:val="20"/>
                <w:lang w:val="pt-BR"/>
              </w:rPr>
            </w:pPr>
            <w:r w:rsidRPr="00A75CC3">
              <w:rPr>
                <w:rFonts w:ascii="Cambria" w:hAnsi="Cambria"/>
                <w:b/>
                <w:bCs/>
                <w:sz w:val="20"/>
                <w:szCs w:val="20"/>
                <w:lang w:val="pt-BR"/>
              </w:rPr>
              <w:t>Esgotamento dos</w:t>
            </w:r>
            <w:r w:rsidR="003239B8" w:rsidRPr="00A75CC3">
              <w:rPr>
                <w:rFonts w:ascii="Cambria" w:hAnsi="Cambria"/>
                <w:b/>
                <w:bCs/>
                <w:sz w:val="20"/>
                <w:szCs w:val="20"/>
                <w:lang w:val="pt-BR"/>
              </w:rPr>
              <w:t xml:space="preserve"> recursos internos</w:t>
            </w:r>
            <w:r w:rsidR="00EE00E9" w:rsidRPr="00A75CC3">
              <w:rPr>
                <w:rFonts w:ascii="Cambria" w:hAnsi="Cambria"/>
                <w:b/>
                <w:bCs/>
                <w:sz w:val="20"/>
                <w:szCs w:val="20"/>
                <w:lang w:val="pt-BR"/>
              </w:rPr>
              <w:t xml:space="preserve"> o</w:t>
            </w:r>
            <w:r w:rsidRPr="00A75CC3">
              <w:rPr>
                <w:rFonts w:ascii="Cambria" w:hAnsi="Cambria"/>
                <w:b/>
                <w:bCs/>
                <w:sz w:val="20"/>
                <w:szCs w:val="20"/>
                <w:lang w:val="pt-BR"/>
              </w:rPr>
              <w:t>u procedência de um</w:t>
            </w:r>
            <w:r w:rsidR="00EE00E9" w:rsidRPr="00A75CC3">
              <w:rPr>
                <w:rFonts w:ascii="Cambria" w:hAnsi="Cambria"/>
                <w:b/>
                <w:bCs/>
                <w:sz w:val="20"/>
                <w:szCs w:val="20"/>
                <w:lang w:val="pt-BR"/>
              </w:rPr>
              <w:t xml:space="preserve">a </w:t>
            </w:r>
            <w:r w:rsidRPr="00A75CC3">
              <w:rPr>
                <w:rFonts w:ascii="Cambria" w:hAnsi="Cambria"/>
                <w:b/>
                <w:bCs/>
                <w:sz w:val="20"/>
                <w:szCs w:val="20"/>
                <w:lang w:val="pt-BR"/>
              </w:rPr>
              <w:t>exceção</w:t>
            </w:r>
            <w:r w:rsidR="003239B8" w:rsidRPr="00A75CC3">
              <w:rPr>
                <w:rFonts w:ascii="Cambria" w:hAnsi="Cambria"/>
                <w:b/>
                <w:bCs/>
                <w:sz w:val="20"/>
                <w:szCs w:val="20"/>
                <w:lang w:val="pt-BR"/>
              </w:rPr>
              <w:t>:</w:t>
            </w:r>
          </w:p>
        </w:tc>
        <w:tc>
          <w:tcPr>
            <w:tcW w:w="5760" w:type="dxa"/>
            <w:vAlign w:val="center"/>
          </w:tcPr>
          <w:p w14:paraId="69C53E8A" w14:textId="3567AA7E" w:rsidR="003239B8" w:rsidRPr="00450BD7" w:rsidRDefault="00450BD7" w:rsidP="00450BD7">
            <w:pPr>
              <w:rPr>
                <w:rFonts w:ascii="Cambria" w:hAnsi="Cambria"/>
                <w:bCs/>
                <w:sz w:val="20"/>
                <w:szCs w:val="20"/>
                <w:lang w:val="pt-BR"/>
              </w:rPr>
            </w:pPr>
            <w:r w:rsidRPr="00450BD7">
              <w:rPr>
                <w:rFonts w:ascii="Cambria" w:hAnsi="Cambria"/>
                <w:bCs/>
                <w:sz w:val="20"/>
                <w:szCs w:val="20"/>
                <w:lang w:val="pt-BR"/>
              </w:rPr>
              <w:t>Sim, conforme sessão VI</w:t>
            </w:r>
          </w:p>
        </w:tc>
      </w:tr>
      <w:tr w:rsidR="003239B8" w:rsidRPr="00A75CC3" w14:paraId="52B5BA17" w14:textId="77777777" w:rsidTr="0022736D">
        <w:trPr>
          <w:cantSplit/>
        </w:trPr>
        <w:tc>
          <w:tcPr>
            <w:tcW w:w="3600" w:type="dxa"/>
            <w:tcBorders>
              <w:top w:val="single" w:sz="6" w:space="0" w:color="auto"/>
              <w:bottom w:val="single" w:sz="6" w:space="0" w:color="auto"/>
            </w:tcBorders>
            <w:shd w:val="clear" w:color="auto" w:fill="FFC000"/>
            <w:vAlign w:val="center"/>
          </w:tcPr>
          <w:p w14:paraId="5DF99086" w14:textId="35473084" w:rsidR="003239B8" w:rsidRPr="00A75CC3" w:rsidRDefault="00D21316" w:rsidP="008D2290">
            <w:pPr>
              <w:jc w:val="center"/>
              <w:rPr>
                <w:rFonts w:ascii="Cambria" w:hAnsi="Cambria"/>
                <w:b/>
                <w:bCs/>
                <w:sz w:val="20"/>
                <w:szCs w:val="20"/>
                <w:lang w:val="pt-BR"/>
              </w:rPr>
            </w:pPr>
            <w:r w:rsidRPr="00A75CC3">
              <w:rPr>
                <w:rFonts w:ascii="Cambria" w:hAnsi="Cambria"/>
                <w:b/>
                <w:bCs/>
                <w:sz w:val="20"/>
                <w:szCs w:val="20"/>
                <w:lang w:val="pt-BR"/>
              </w:rPr>
              <w:t>Apresentação dentro do pr</w:t>
            </w:r>
            <w:r w:rsidR="003239B8" w:rsidRPr="00A75CC3">
              <w:rPr>
                <w:rFonts w:ascii="Cambria" w:hAnsi="Cambria"/>
                <w:b/>
                <w:bCs/>
                <w:sz w:val="20"/>
                <w:szCs w:val="20"/>
                <w:lang w:val="pt-BR"/>
              </w:rPr>
              <w:t>azo:</w:t>
            </w:r>
          </w:p>
        </w:tc>
        <w:tc>
          <w:tcPr>
            <w:tcW w:w="5760" w:type="dxa"/>
            <w:vAlign w:val="center"/>
          </w:tcPr>
          <w:p w14:paraId="4A2A4569" w14:textId="7EE07960" w:rsidR="003239B8" w:rsidRPr="00450BD7" w:rsidRDefault="000A7E6B" w:rsidP="008D2290">
            <w:pPr>
              <w:rPr>
                <w:bCs/>
                <w:sz w:val="20"/>
                <w:szCs w:val="20"/>
                <w:lang w:val="pt-BR"/>
              </w:rPr>
            </w:pPr>
            <w:r w:rsidRPr="00450BD7">
              <w:rPr>
                <w:rFonts w:ascii="Cambria" w:hAnsi="Cambria"/>
                <w:bCs/>
                <w:sz w:val="20"/>
                <w:szCs w:val="20"/>
                <w:lang w:val="pt-BR"/>
              </w:rPr>
              <w:t>Sim, conforme sessão VI</w:t>
            </w:r>
          </w:p>
        </w:tc>
      </w:tr>
    </w:tbl>
    <w:p w14:paraId="18E6423B" w14:textId="476F88C0" w:rsidR="003239B8" w:rsidRPr="00487A47" w:rsidRDefault="00223A29" w:rsidP="003239B8">
      <w:pPr>
        <w:spacing w:before="240" w:after="240"/>
        <w:ind w:firstLine="720"/>
        <w:jc w:val="both"/>
        <w:rPr>
          <w:rFonts w:asciiTheme="majorHAnsi" w:hAnsiTheme="majorHAnsi"/>
          <w:b/>
          <w:sz w:val="20"/>
          <w:szCs w:val="20"/>
          <w:lang w:val="pt-BR"/>
        </w:rPr>
      </w:pPr>
      <w:r w:rsidRPr="00A75CC3">
        <w:rPr>
          <w:rFonts w:asciiTheme="majorHAnsi" w:hAnsiTheme="majorHAnsi"/>
          <w:b/>
          <w:sz w:val="20"/>
          <w:szCs w:val="20"/>
          <w:lang w:val="pt-BR"/>
        </w:rPr>
        <w:t xml:space="preserve">V. </w:t>
      </w:r>
      <w:r w:rsidRPr="00487A47">
        <w:rPr>
          <w:rFonts w:asciiTheme="majorHAnsi" w:hAnsiTheme="majorHAnsi"/>
          <w:b/>
          <w:sz w:val="20"/>
          <w:szCs w:val="20"/>
          <w:lang w:val="pt-BR"/>
        </w:rPr>
        <w:tab/>
      </w:r>
      <w:r w:rsidR="00D21316" w:rsidRPr="00487A47">
        <w:rPr>
          <w:rFonts w:asciiTheme="majorHAnsi" w:hAnsiTheme="majorHAnsi"/>
          <w:b/>
          <w:sz w:val="20"/>
          <w:szCs w:val="20"/>
          <w:lang w:val="pt-BR"/>
        </w:rPr>
        <w:t>FATOS</w:t>
      </w:r>
      <w:r w:rsidR="003239B8" w:rsidRPr="00487A47">
        <w:rPr>
          <w:rFonts w:asciiTheme="majorHAnsi" w:hAnsiTheme="majorHAnsi"/>
          <w:b/>
          <w:sz w:val="20"/>
          <w:szCs w:val="20"/>
          <w:lang w:val="pt-BR"/>
        </w:rPr>
        <w:t xml:space="preserve"> ALEGADOS </w:t>
      </w:r>
    </w:p>
    <w:p w14:paraId="6DC3CD51" w14:textId="0B8B5792" w:rsidR="00487A47" w:rsidRPr="00487A47" w:rsidRDefault="00487A47" w:rsidP="00487A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487A47">
        <w:rPr>
          <w:rFonts w:ascii="Cambria" w:hAnsi="Cambria"/>
          <w:sz w:val="20"/>
          <w:szCs w:val="20"/>
          <w:lang w:val="pt-BR"/>
        </w:rPr>
        <w:t xml:space="preserve">Os peticionários </w:t>
      </w:r>
      <w:r w:rsidRPr="00487A47">
        <w:rPr>
          <w:rFonts w:asciiTheme="majorHAnsi" w:hAnsiTheme="majorHAnsi"/>
          <w:sz w:val="20"/>
          <w:szCs w:val="20"/>
          <w:lang w:val="pt-BR"/>
        </w:rPr>
        <w:t>alegam que o Estado brasileiro é responsável pela viola</w:t>
      </w:r>
      <w:r w:rsidRPr="00487A47">
        <w:rPr>
          <w:rFonts w:asciiTheme="majorHAnsi" w:hAnsiTheme="majorHAnsi"/>
          <w:bCs/>
          <w:sz w:val="20"/>
          <w:szCs w:val="20"/>
          <w:lang w:val="pt-BR"/>
        </w:rPr>
        <w:t>ção</w:t>
      </w:r>
      <w:r w:rsidRPr="00487A47">
        <w:rPr>
          <w:rFonts w:asciiTheme="majorHAnsi" w:hAnsiTheme="majorHAnsi"/>
          <w:sz w:val="20"/>
          <w:szCs w:val="20"/>
          <w:lang w:val="pt-BR"/>
        </w:rPr>
        <w:t xml:space="preserve"> aos direitos </w:t>
      </w:r>
      <w:r w:rsidRPr="00487A47">
        <w:rPr>
          <w:rFonts w:asciiTheme="majorHAnsi" w:hAnsiTheme="majorHAnsi" w:cs="Arial"/>
          <w:sz w:val="20"/>
          <w:szCs w:val="20"/>
          <w:shd w:val="clear" w:color="auto" w:fill="FFFFFF"/>
          <w:lang w:val="pt-BR"/>
        </w:rPr>
        <w:t>à</w:t>
      </w:r>
      <w:r w:rsidRPr="00487A47">
        <w:rPr>
          <w:rFonts w:asciiTheme="majorHAnsi" w:hAnsiTheme="majorHAnsi"/>
          <w:sz w:val="20"/>
          <w:szCs w:val="20"/>
          <w:lang w:val="pt-BR"/>
        </w:rPr>
        <w:t xml:space="preserve"> vida, </w:t>
      </w:r>
      <w:r w:rsidRPr="00487A47">
        <w:rPr>
          <w:rFonts w:asciiTheme="majorHAnsi" w:hAnsiTheme="majorHAnsi" w:cs="Arial"/>
          <w:sz w:val="20"/>
          <w:szCs w:val="20"/>
          <w:shd w:val="clear" w:color="auto" w:fill="FFFFFF"/>
          <w:lang w:val="pt-BR"/>
        </w:rPr>
        <w:t>à</w:t>
      </w:r>
      <w:r w:rsidRPr="00487A47">
        <w:rPr>
          <w:rFonts w:asciiTheme="majorHAnsi" w:hAnsiTheme="majorHAnsi"/>
          <w:sz w:val="20"/>
          <w:szCs w:val="20"/>
          <w:lang w:val="pt-BR"/>
        </w:rPr>
        <w:t xml:space="preserve"> integridade, </w:t>
      </w:r>
      <w:r w:rsidRPr="00487A47">
        <w:rPr>
          <w:rFonts w:asciiTheme="majorHAnsi" w:hAnsiTheme="majorHAnsi" w:cs="Arial"/>
          <w:sz w:val="20"/>
          <w:szCs w:val="20"/>
          <w:shd w:val="clear" w:color="auto" w:fill="FFFFFF"/>
          <w:lang w:val="pt-BR"/>
        </w:rPr>
        <w:t>à</w:t>
      </w:r>
      <w:r w:rsidRPr="00487A47">
        <w:rPr>
          <w:rFonts w:asciiTheme="majorHAnsi" w:hAnsiTheme="majorHAnsi"/>
          <w:sz w:val="20"/>
          <w:szCs w:val="20"/>
          <w:lang w:val="pt-BR"/>
        </w:rPr>
        <w:t xml:space="preserve">s garantias judicial e </w:t>
      </w:r>
      <w:r w:rsidRPr="00487A47">
        <w:rPr>
          <w:rFonts w:asciiTheme="majorHAnsi" w:hAnsiTheme="majorHAnsi" w:cs="Arial"/>
          <w:sz w:val="20"/>
          <w:szCs w:val="20"/>
          <w:shd w:val="clear" w:color="auto" w:fill="FFFFFF"/>
          <w:lang w:val="pt-BR"/>
        </w:rPr>
        <w:t>à</w:t>
      </w:r>
      <w:r w:rsidRPr="00487A47">
        <w:rPr>
          <w:rFonts w:asciiTheme="majorHAnsi" w:hAnsiTheme="majorHAnsi"/>
          <w:sz w:val="20"/>
          <w:szCs w:val="20"/>
          <w:lang w:val="pt-BR"/>
        </w:rPr>
        <w:t xml:space="preserve"> </w:t>
      </w:r>
      <w:r w:rsidRPr="00487A47">
        <w:rPr>
          <w:rFonts w:asciiTheme="majorHAnsi" w:hAnsiTheme="majorHAnsi"/>
          <w:bCs/>
          <w:sz w:val="20"/>
          <w:szCs w:val="20"/>
          <w:lang w:val="pt-BR"/>
        </w:rPr>
        <w:t>proteção</w:t>
      </w:r>
      <w:r w:rsidRPr="00487A47">
        <w:rPr>
          <w:rFonts w:asciiTheme="majorHAnsi" w:hAnsiTheme="majorHAnsi"/>
          <w:sz w:val="20"/>
          <w:szCs w:val="20"/>
          <w:lang w:val="pt-BR"/>
        </w:rPr>
        <w:t xml:space="preserve"> judicial d</w:t>
      </w:r>
      <w:r w:rsidR="006B033A">
        <w:rPr>
          <w:rFonts w:asciiTheme="majorHAnsi" w:hAnsiTheme="majorHAnsi"/>
          <w:sz w:val="20"/>
          <w:szCs w:val="20"/>
          <w:lang w:val="pt-BR"/>
        </w:rPr>
        <w:t>a</w:t>
      </w:r>
      <w:r w:rsidR="006D22F2">
        <w:rPr>
          <w:rFonts w:asciiTheme="majorHAnsi" w:hAnsiTheme="majorHAnsi"/>
          <w:sz w:val="20"/>
          <w:szCs w:val="20"/>
          <w:lang w:val="pt-BR"/>
        </w:rPr>
        <w:t xml:space="preserve"> </w:t>
      </w:r>
      <w:r w:rsidRPr="00487A47">
        <w:rPr>
          <w:rFonts w:asciiTheme="majorHAnsi" w:hAnsiTheme="majorHAnsi"/>
          <w:sz w:val="20"/>
          <w:szCs w:val="20"/>
          <w:lang w:val="pt-BR"/>
        </w:rPr>
        <w:t>suposta vítima, assassinado em 31 de julho de 2004, na fazenda Santa Filomena, município de Guairaçá, no estado do Paraná, sem que tenha havido a identifica</w:t>
      </w:r>
      <w:r w:rsidRPr="00487A47">
        <w:rPr>
          <w:rFonts w:asciiTheme="majorHAnsi" w:hAnsiTheme="majorHAnsi"/>
          <w:bCs/>
          <w:sz w:val="20"/>
          <w:szCs w:val="20"/>
          <w:lang w:val="pt-BR"/>
        </w:rPr>
        <w:t xml:space="preserve">ção </w:t>
      </w:r>
      <w:r w:rsidRPr="00487A47">
        <w:rPr>
          <w:rFonts w:asciiTheme="majorHAnsi" w:hAnsiTheme="majorHAnsi"/>
          <w:sz w:val="20"/>
          <w:szCs w:val="20"/>
          <w:lang w:val="pt-BR"/>
        </w:rPr>
        <w:t>e responsabiliza</w:t>
      </w:r>
      <w:r w:rsidRPr="00487A47">
        <w:rPr>
          <w:rFonts w:asciiTheme="majorHAnsi" w:hAnsiTheme="majorHAnsi"/>
          <w:bCs/>
          <w:sz w:val="20"/>
          <w:szCs w:val="20"/>
          <w:lang w:val="pt-BR"/>
        </w:rPr>
        <w:t>ção</w:t>
      </w:r>
      <w:r w:rsidRPr="00487A47">
        <w:rPr>
          <w:rFonts w:asciiTheme="majorHAnsi" w:hAnsiTheme="majorHAnsi"/>
          <w:sz w:val="20"/>
          <w:szCs w:val="20"/>
          <w:lang w:val="pt-BR"/>
        </w:rPr>
        <w:t xml:space="preserve"> d</w:t>
      </w:r>
      <w:r w:rsidR="00703741">
        <w:rPr>
          <w:rFonts w:asciiTheme="majorHAnsi" w:hAnsiTheme="majorHAnsi"/>
          <w:sz w:val="20"/>
          <w:szCs w:val="20"/>
          <w:lang w:val="pt-BR"/>
        </w:rPr>
        <w:t>e todos os</w:t>
      </w:r>
      <w:r w:rsidRPr="00487A47">
        <w:rPr>
          <w:rFonts w:asciiTheme="majorHAnsi" w:hAnsiTheme="majorHAnsi"/>
          <w:sz w:val="20"/>
          <w:szCs w:val="20"/>
          <w:lang w:val="pt-BR"/>
        </w:rPr>
        <w:t xml:space="preserve"> autores do delito.</w:t>
      </w:r>
    </w:p>
    <w:p w14:paraId="7942B300" w14:textId="76C96C24" w:rsidR="002E489F" w:rsidRPr="001B6375" w:rsidRDefault="00487A47" w:rsidP="001B63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Pr>
          <w:rFonts w:ascii="Cambria" w:hAnsi="Cambria"/>
          <w:sz w:val="20"/>
          <w:szCs w:val="20"/>
          <w:lang w:val="pt-BR"/>
        </w:rPr>
        <w:t>Os peticionários i</w:t>
      </w:r>
      <w:r w:rsidR="006E61DF">
        <w:rPr>
          <w:rFonts w:ascii="Cambria" w:hAnsi="Cambria"/>
          <w:sz w:val="20"/>
          <w:szCs w:val="20"/>
          <w:lang w:val="pt-BR"/>
        </w:rPr>
        <w:t>formam que em outubro de 1997, o Instituto Nacional de Colonização e Reforma Agrária (adiante “INCRA”) considerou a</w:t>
      </w:r>
      <w:r w:rsidR="00F2185D">
        <w:rPr>
          <w:rFonts w:ascii="Cambria" w:hAnsi="Cambria"/>
          <w:sz w:val="20"/>
          <w:szCs w:val="20"/>
          <w:lang w:val="pt-BR"/>
        </w:rPr>
        <w:t xml:space="preserve"> mencionada</w:t>
      </w:r>
      <w:r w:rsidR="006E61DF">
        <w:rPr>
          <w:rFonts w:ascii="Cambria" w:hAnsi="Cambria"/>
          <w:sz w:val="20"/>
          <w:szCs w:val="20"/>
          <w:lang w:val="pt-BR"/>
        </w:rPr>
        <w:t xml:space="preserve"> fazenda como improdutiva a partir de indicadores estabelecidos em lei. O reconhecimento da improdutividade da fazenda implicaria sua </w:t>
      </w:r>
      <w:r w:rsidR="006E61DF">
        <w:rPr>
          <w:rFonts w:ascii="Cambria" w:hAnsi="Cambria"/>
          <w:sz w:val="20"/>
          <w:szCs w:val="20"/>
          <w:lang w:val="pt-BR"/>
        </w:rPr>
        <w:lastRenderedPageBreak/>
        <w:t>desapropriação p</w:t>
      </w:r>
      <w:r w:rsidR="000A6CFE">
        <w:rPr>
          <w:rFonts w:ascii="Cambria" w:hAnsi="Cambria"/>
          <w:sz w:val="20"/>
          <w:szCs w:val="20"/>
          <w:lang w:val="pt-BR"/>
        </w:rPr>
        <w:t>ara fins de reforma agrária e</w:t>
      </w:r>
      <w:r w:rsidR="006E61DF">
        <w:rPr>
          <w:rFonts w:ascii="Cambria" w:hAnsi="Cambria"/>
          <w:sz w:val="20"/>
          <w:szCs w:val="20"/>
          <w:lang w:val="pt-BR"/>
        </w:rPr>
        <w:t xml:space="preserve"> consequente assentamento das famílias ali acampadas.</w:t>
      </w:r>
      <w:r w:rsidR="002E489F">
        <w:rPr>
          <w:rFonts w:ascii="Cambria" w:hAnsi="Cambria"/>
          <w:sz w:val="20"/>
          <w:szCs w:val="20"/>
          <w:lang w:val="pt-BR"/>
        </w:rPr>
        <w:t xml:space="preserve"> </w:t>
      </w:r>
      <w:r w:rsidR="000A6CFE">
        <w:rPr>
          <w:rFonts w:ascii="Cambria" w:hAnsi="Cambria"/>
          <w:sz w:val="20"/>
          <w:szCs w:val="20"/>
          <w:lang w:val="pt-BR"/>
        </w:rPr>
        <w:t>Em julho</w:t>
      </w:r>
      <w:r w:rsidR="002E489F">
        <w:rPr>
          <w:rFonts w:ascii="Cambria" w:hAnsi="Cambria"/>
          <w:sz w:val="20"/>
          <w:szCs w:val="20"/>
          <w:lang w:val="pt-BR"/>
        </w:rPr>
        <w:t xml:space="preserve"> de 2004, 400 </w:t>
      </w:r>
      <w:r w:rsidR="00B979BA">
        <w:rPr>
          <w:rFonts w:ascii="Cambria" w:hAnsi="Cambria"/>
          <w:sz w:val="20"/>
          <w:szCs w:val="20"/>
          <w:lang w:val="pt-BR"/>
        </w:rPr>
        <w:t xml:space="preserve">camponeses </w:t>
      </w:r>
      <w:r w:rsidR="002E489F">
        <w:rPr>
          <w:rFonts w:ascii="Cambria" w:hAnsi="Cambria"/>
          <w:sz w:val="20"/>
          <w:szCs w:val="20"/>
          <w:lang w:val="pt-BR"/>
        </w:rPr>
        <w:t>integrantes do MST</w:t>
      </w:r>
      <w:r w:rsidR="0026157B">
        <w:rPr>
          <w:rStyle w:val="FootnoteReference"/>
          <w:rFonts w:ascii="Cambria" w:hAnsi="Cambria"/>
          <w:sz w:val="20"/>
          <w:szCs w:val="20"/>
          <w:lang w:val="pt-BR"/>
        </w:rPr>
        <w:footnoteReference w:id="6"/>
      </w:r>
      <w:r w:rsidR="002E489F">
        <w:rPr>
          <w:rFonts w:ascii="Cambria" w:hAnsi="Cambria"/>
          <w:sz w:val="20"/>
          <w:szCs w:val="20"/>
          <w:lang w:val="pt-BR"/>
        </w:rPr>
        <w:t xml:space="preserve"> deslocaram-se até a propriedade com o objetivo de montar acampamento à sua entrada buscando, assim, acelerar o processo de desapropriação. Contudo, no momento em que estacionavam seus veículos para iniciar o acampamento, teriam sido recebidos com disparos de arma de fogo, provenientes da sede da fazenda.</w:t>
      </w:r>
      <w:r w:rsidR="00A65349">
        <w:rPr>
          <w:rFonts w:ascii="Cambria" w:hAnsi="Cambria"/>
          <w:sz w:val="20"/>
          <w:szCs w:val="20"/>
          <w:lang w:val="pt-BR"/>
        </w:rPr>
        <w:t xml:space="preserve"> Os peticionários afirmam que além da suposta vítima, também foram atingidos Eleandro</w:t>
      </w:r>
      <w:r w:rsidR="00EA2EBE">
        <w:rPr>
          <w:rFonts w:ascii="Cambria" w:hAnsi="Cambria"/>
          <w:sz w:val="20"/>
          <w:szCs w:val="20"/>
          <w:lang w:val="pt-BR"/>
        </w:rPr>
        <w:t xml:space="preserve"> Lima Rodrigues</w:t>
      </w:r>
      <w:r w:rsidR="00A65349">
        <w:rPr>
          <w:rFonts w:ascii="Cambria" w:hAnsi="Cambria"/>
          <w:sz w:val="20"/>
          <w:szCs w:val="20"/>
          <w:lang w:val="pt-BR"/>
        </w:rPr>
        <w:t>, Mário Iusten, Darci Ferreira Dias, Maria Tuti, Ant</w:t>
      </w:r>
      <w:r w:rsidR="00DD466A">
        <w:rPr>
          <w:rFonts w:ascii="Cambria" w:hAnsi="Cambria"/>
          <w:sz w:val="20"/>
          <w:szCs w:val="20"/>
          <w:lang w:val="pt-BR"/>
        </w:rPr>
        <w:t xml:space="preserve">ônio Cordeiro de Oliveira e </w:t>
      </w:r>
      <w:r w:rsidR="00A65349">
        <w:rPr>
          <w:rFonts w:ascii="Cambria" w:hAnsi="Cambria"/>
          <w:sz w:val="20"/>
          <w:szCs w:val="20"/>
          <w:lang w:val="pt-BR"/>
        </w:rPr>
        <w:t xml:space="preserve">Maria Luiza da Silva. </w:t>
      </w:r>
      <w:r w:rsidR="00EA2EBE">
        <w:rPr>
          <w:rFonts w:ascii="Cambria" w:hAnsi="Cambria"/>
          <w:sz w:val="20"/>
          <w:szCs w:val="20"/>
          <w:lang w:val="pt-BR"/>
        </w:rPr>
        <w:t>Elias Gonçalves de Meura</w:t>
      </w:r>
      <w:r w:rsidR="00B979BA">
        <w:rPr>
          <w:rFonts w:ascii="Cambria" w:hAnsi="Cambria"/>
          <w:sz w:val="20"/>
          <w:szCs w:val="20"/>
          <w:lang w:val="pt-BR"/>
        </w:rPr>
        <w:t xml:space="preserve"> teria falecido antes de chegar ao hospital em razão do disparo que atingiu sua coluna cervical. Afirmam que após o ataque</w:t>
      </w:r>
      <w:r w:rsidR="004C6C33">
        <w:rPr>
          <w:rFonts w:ascii="Cambria" w:hAnsi="Cambria"/>
          <w:sz w:val="20"/>
          <w:szCs w:val="20"/>
          <w:lang w:val="pt-BR"/>
        </w:rPr>
        <w:t xml:space="preserve"> que durou cerca de 3 horas</w:t>
      </w:r>
      <w:r w:rsidR="00B979BA">
        <w:rPr>
          <w:rFonts w:ascii="Cambria" w:hAnsi="Cambria"/>
          <w:sz w:val="20"/>
          <w:szCs w:val="20"/>
          <w:lang w:val="pt-BR"/>
        </w:rPr>
        <w:t>, os camponeses se revoltaram e decidiram ocupar a fazenda.</w:t>
      </w:r>
      <w:r w:rsidR="001B6375">
        <w:rPr>
          <w:rFonts w:ascii="Cambria" w:hAnsi="Cambria"/>
          <w:sz w:val="20"/>
          <w:szCs w:val="20"/>
          <w:lang w:val="pt-BR"/>
        </w:rPr>
        <w:t xml:space="preserve"> Os peticionários indicam que as famílias seguiram acampadas na fazenda por reconhecerem a idoneidade e a qualidade de suas atividades produtivas, além de terem realizado diversas benfeitorias e instalado uma Escola Itinerante desde o início de 2006, com apoio do Programa Brasil Alfabetizado do Governo Federal.</w:t>
      </w:r>
    </w:p>
    <w:p w14:paraId="2494F898" w14:textId="1B9A156C" w:rsidR="00FF623C" w:rsidRPr="00E06F8E" w:rsidRDefault="00670B53" w:rsidP="00E06F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C102FB">
        <w:rPr>
          <w:rFonts w:ascii="Cambria" w:hAnsi="Cambria"/>
          <w:sz w:val="20"/>
          <w:szCs w:val="20"/>
          <w:lang w:val="pt-BR"/>
        </w:rPr>
        <w:t xml:space="preserve">Indicam que em 2 de agosto de 2004, foi instaurado um inquérito policial para investigar os crimes de homicídio, tentativa de homicídio, lesões corporais, porte e posse ilegal de armas de fogo e esbulho possessório. </w:t>
      </w:r>
      <w:r w:rsidR="00315F4C" w:rsidRPr="00C102FB">
        <w:rPr>
          <w:rFonts w:ascii="Cambria" w:hAnsi="Cambria"/>
          <w:sz w:val="20"/>
          <w:szCs w:val="20"/>
          <w:lang w:val="pt-BR"/>
        </w:rPr>
        <w:t xml:space="preserve">Foram apontados como suspeito Francisco Carvalho Gomes </w:t>
      </w:r>
      <w:r w:rsidR="004274F1" w:rsidRPr="00C102FB">
        <w:rPr>
          <w:rFonts w:ascii="Cambria" w:hAnsi="Cambria"/>
          <w:sz w:val="20"/>
          <w:szCs w:val="20"/>
          <w:lang w:val="pt-BR"/>
        </w:rPr>
        <w:t xml:space="preserve">Filho </w:t>
      </w:r>
      <w:r w:rsidR="00315F4C" w:rsidRPr="00C102FB">
        <w:rPr>
          <w:rFonts w:ascii="Cambria" w:hAnsi="Cambria"/>
          <w:sz w:val="20"/>
          <w:szCs w:val="20"/>
          <w:lang w:val="pt-BR"/>
        </w:rPr>
        <w:t>(adiante “Sr. Gomes”), o</w:t>
      </w:r>
      <w:r w:rsidRPr="00C102FB">
        <w:rPr>
          <w:rFonts w:ascii="Cambria" w:hAnsi="Cambria"/>
          <w:sz w:val="20"/>
          <w:szCs w:val="20"/>
          <w:lang w:val="pt-BR"/>
        </w:rPr>
        <w:t xml:space="preserve"> dono da fazenda</w:t>
      </w:r>
      <w:r w:rsidR="00315F4C" w:rsidRPr="00C102FB">
        <w:rPr>
          <w:rFonts w:ascii="Cambria" w:hAnsi="Cambria"/>
          <w:sz w:val="20"/>
          <w:szCs w:val="20"/>
          <w:lang w:val="pt-BR"/>
        </w:rPr>
        <w:t>,</w:t>
      </w:r>
      <w:r w:rsidRPr="00C102FB">
        <w:rPr>
          <w:rFonts w:ascii="Cambria" w:hAnsi="Cambria"/>
          <w:sz w:val="20"/>
          <w:szCs w:val="20"/>
          <w:lang w:val="pt-BR"/>
        </w:rPr>
        <w:t xml:space="preserve"> e cinco funcionários seus.</w:t>
      </w:r>
      <w:r w:rsidR="00954A2D" w:rsidRPr="00C102FB">
        <w:rPr>
          <w:rFonts w:ascii="Cambria" w:hAnsi="Cambria"/>
          <w:sz w:val="20"/>
          <w:szCs w:val="20"/>
          <w:lang w:val="pt-BR"/>
        </w:rPr>
        <w:t xml:space="preserve"> </w:t>
      </w:r>
      <w:r w:rsidR="00EA2EBE">
        <w:rPr>
          <w:rFonts w:ascii="Cambria" w:hAnsi="Cambria"/>
          <w:sz w:val="20"/>
          <w:szCs w:val="20"/>
          <w:lang w:val="pt-BR"/>
        </w:rPr>
        <w:t xml:space="preserve">Como consequência </w:t>
      </w:r>
      <w:r w:rsidR="008C2240">
        <w:rPr>
          <w:rFonts w:ascii="Cambria" w:hAnsi="Cambria"/>
          <w:sz w:val="20"/>
          <w:szCs w:val="20"/>
          <w:lang w:val="pt-BR"/>
        </w:rPr>
        <w:t>dos fatos</w:t>
      </w:r>
      <w:r w:rsidR="00954A2D" w:rsidRPr="00C102FB">
        <w:rPr>
          <w:rFonts w:ascii="Cambria" w:hAnsi="Cambria"/>
          <w:sz w:val="20"/>
          <w:szCs w:val="20"/>
          <w:lang w:val="pt-BR"/>
        </w:rPr>
        <w:t>, a Polícia Federal teria iniciado uma operação no estado do Paraná</w:t>
      </w:r>
      <w:r w:rsidR="00FF623C" w:rsidRPr="00C102FB">
        <w:rPr>
          <w:rFonts w:ascii="Cambria" w:hAnsi="Cambria"/>
          <w:sz w:val="20"/>
          <w:szCs w:val="20"/>
          <w:lang w:val="pt-BR"/>
        </w:rPr>
        <w:t xml:space="preserve"> chamada “Operação Março Branco”, </w:t>
      </w:r>
      <w:r w:rsidR="00954A2D" w:rsidRPr="00C102FB">
        <w:rPr>
          <w:rFonts w:ascii="Cambria" w:hAnsi="Cambria"/>
          <w:sz w:val="20"/>
          <w:szCs w:val="20"/>
          <w:lang w:val="pt-BR"/>
        </w:rPr>
        <w:t>resultando na prisão de uma quadrilha especializada no patrulhamento armado de fazendas ocupadas por membros do MST e sua subsequente desocupação forçada e ilegal, além de tráfico internacional de armas e violações diversas de direitos humanos.</w:t>
      </w:r>
      <w:r w:rsidR="00315F4C" w:rsidRPr="00C102FB">
        <w:rPr>
          <w:rFonts w:ascii="Cambria" w:hAnsi="Cambria"/>
          <w:sz w:val="20"/>
          <w:szCs w:val="20"/>
          <w:lang w:val="pt-BR"/>
        </w:rPr>
        <w:t xml:space="preserve"> Alegam que no curso do processo, foram encontrados indícios sobre a possível participação do Sr. Gomes e </w:t>
      </w:r>
      <w:r w:rsidR="008C2240">
        <w:rPr>
          <w:rFonts w:ascii="Cambria" w:hAnsi="Cambria"/>
          <w:sz w:val="20"/>
          <w:szCs w:val="20"/>
          <w:lang w:val="pt-BR"/>
        </w:rPr>
        <w:t>policiais militares</w:t>
      </w:r>
      <w:r w:rsidR="00315F4C" w:rsidRPr="00C102FB">
        <w:rPr>
          <w:rFonts w:ascii="Cambria" w:hAnsi="Cambria"/>
          <w:sz w:val="20"/>
          <w:szCs w:val="20"/>
          <w:lang w:val="pt-BR"/>
        </w:rPr>
        <w:t>.</w:t>
      </w:r>
      <w:r w:rsidR="003F209A" w:rsidRPr="00C102FB">
        <w:rPr>
          <w:rFonts w:ascii="Cambria" w:hAnsi="Cambria"/>
          <w:sz w:val="20"/>
          <w:szCs w:val="20"/>
          <w:lang w:val="pt-BR"/>
        </w:rPr>
        <w:t xml:space="preserve"> Os</w:t>
      </w:r>
      <w:r w:rsidR="00FF623C" w:rsidRPr="00C102FB">
        <w:rPr>
          <w:rFonts w:ascii="Cambria" w:hAnsi="Cambria"/>
          <w:sz w:val="20"/>
          <w:szCs w:val="20"/>
          <w:lang w:val="pt-BR"/>
        </w:rPr>
        <w:t xml:space="preserve"> peticionários relatam </w:t>
      </w:r>
      <w:r w:rsidR="003F209A" w:rsidRPr="00C102FB">
        <w:rPr>
          <w:rFonts w:ascii="Cambria" w:hAnsi="Cambria"/>
          <w:sz w:val="20"/>
          <w:szCs w:val="20"/>
          <w:lang w:val="pt-BR"/>
        </w:rPr>
        <w:t xml:space="preserve">que a </w:t>
      </w:r>
      <w:r w:rsidR="00D465BA">
        <w:rPr>
          <w:rFonts w:ascii="Cambria" w:hAnsi="Cambria"/>
          <w:sz w:val="20"/>
          <w:szCs w:val="20"/>
          <w:lang w:val="pt-BR"/>
        </w:rPr>
        <w:t>polícia</w:t>
      </w:r>
      <w:r w:rsidR="003F209A" w:rsidRPr="00C102FB">
        <w:rPr>
          <w:rFonts w:ascii="Cambria" w:hAnsi="Cambria"/>
          <w:sz w:val="20"/>
          <w:szCs w:val="20"/>
          <w:lang w:val="pt-BR"/>
        </w:rPr>
        <w:t xml:space="preserve"> solicitou diversas dilações de prazo ao Ministério Público para concluir as investigações, todas concedidas. No entanto, apesar dos prazos emendados, </w:t>
      </w:r>
      <w:r w:rsidR="00762830" w:rsidRPr="00C102FB">
        <w:rPr>
          <w:rFonts w:ascii="Cambria" w:hAnsi="Cambria"/>
          <w:sz w:val="20"/>
          <w:szCs w:val="20"/>
          <w:lang w:val="pt-BR"/>
        </w:rPr>
        <w:t xml:space="preserve">alegam que até 5 de abril de 2011, o inquérito seguia </w:t>
      </w:r>
      <w:r w:rsidR="008C2240">
        <w:rPr>
          <w:rFonts w:ascii="Cambria" w:hAnsi="Cambria"/>
          <w:sz w:val="20"/>
          <w:szCs w:val="20"/>
          <w:lang w:val="pt-BR"/>
        </w:rPr>
        <w:t>sem resultado</w:t>
      </w:r>
      <w:r w:rsidR="00762830" w:rsidRPr="00C102FB">
        <w:rPr>
          <w:rFonts w:ascii="Cambria" w:hAnsi="Cambria"/>
          <w:sz w:val="20"/>
          <w:szCs w:val="20"/>
          <w:lang w:val="pt-BR"/>
        </w:rPr>
        <w:t>.</w:t>
      </w:r>
      <w:r w:rsidR="00C102FB">
        <w:rPr>
          <w:rFonts w:ascii="Cambria" w:hAnsi="Cambria"/>
          <w:sz w:val="20"/>
          <w:szCs w:val="20"/>
          <w:lang w:val="pt-BR"/>
        </w:rPr>
        <w:t xml:space="preserve"> </w:t>
      </w:r>
      <w:r w:rsidR="000E6696">
        <w:rPr>
          <w:rFonts w:ascii="Cambria" w:hAnsi="Cambria"/>
          <w:sz w:val="20"/>
          <w:szCs w:val="20"/>
          <w:lang w:val="pt-BR"/>
        </w:rPr>
        <w:t>Precisamente, ressaltam</w:t>
      </w:r>
      <w:r w:rsidR="00C102FB">
        <w:rPr>
          <w:rFonts w:ascii="Cambria" w:hAnsi="Cambria"/>
          <w:sz w:val="20"/>
          <w:szCs w:val="20"/>
          <w:lang w:val="pt-BR"/>
        </w:rPr>
        <w:t xml:space="preserve"> que a Operaç</w:t>
      </w:r>
      <w:r w:rsidR="000E6696">
        <w:rPr>
          <w:rFonts w:ascii="Cambria" w:hAnsi="Cambria"/>
          <w:sz w:val="20"/>
          <w:szCs w:val="20"/>
          <w:lang w:val="pt-BR"/>
        </w:rPr>
        <w:t>ão Março Branco chegou à conclusão de que o andamento das investigações do homicídio da suposta vítima restou prejudicado em razão da sua vinculação ao sistema de justiça do estado do Paraná, tendo em vista o envolvimento de policiais militares.</w:t>
      </w:r>
      <w:r w:rsidR="00D465BA">
        <w:rPr>
          <w:rFonts w:ascii="Cambria" w:hAnsi="Cambria"/>
          <w:sz w:val="20"/>
          <w:szCs w:val="20"/>
          <w:lang w:val="pt-BR"/>
        </w:rPr>
        <w:t xml:space="preserve"> Ressaltam que o ex-coronel Waldir Copetti Neves comandava a milícia, </w:t>
      </w:r>
      <w:r w:rsidR="008C2240">
        <w:rPr>
          <w:rFonts w:ascii="Cambria" w:hAnsi="Cambria"/>
          <w:sz w:val="20"/>
          <w:szCs w:val="20"/>
          <w:lang w:val="pt-BR"/>
        </w:rPr>
        <w:t>frisando</w:t>
      </w:r>
      <w:r w:rsidR="00E06F8E">
        <w:rPr>
          <w:rFonts w:ascii="Cambria" w:hAnsi="Cambria"/>
          <w:sz w:val="20"/>
          <w:szCs w:val="20"/>
          <w:lang w:val="pt-BR"/>
        </w:rPr>
        <w:t xml:space="preserve"> que</w:t>
      </w:r>
      <w:r w:rsidR="00D465BA">
        <w:rPr>
          <w:rFonts w:ascii="Cambria" w:hAnsi="Cambria"/>
          <w:sz w:val="20"/>
          <w:szCs w:val="20"/>
          <w:lang w:val="pt-BR"/>
        </w:rPr>
        <w:t xml:space="preserve"> ele </w:t>
      </w:r>
      <w:r w:rsidR="00E06F8E">
        <w:rPr>
          <w:rFonts w:ascii="Cambria" w:hAnsi="Cambria"/>
          <w:sz w:val="20"/>
          <w:szCs w:val="20"/>
          <w:lang w:val="pt-BR"/>
        </w:rPr>
        <w:t xml:space="preserve">foi considerado </w:t>
      </w:r>
      <w:r w:rsidR="00D465BA">
        <w:rPr>
          <w:rFonts w:ascii="Cambria" w:hAnsi="Cambria"/>
          <w:sz w:val="20"/>
          <w:szCs w:val="20"/>
          <w:lang w:val="pt-BR"/>
        </w:rPr>
        <w:t xml:space="preserve">responsável </w:t>
      </w:r>
      <w:r w:rsidR="00E06F8E">
        <w:rPr>
          <w:rFonts w:ascii="Cambria" w:hAnsi="Cambria"/>
          <w:sz w:val="20"/>
          <w:szCs w:val="20"/>
          <w:lang w:val="pt-BR"/>
        </w:rPr>
        <w:t>em relação aos</w:t>
      </w:r>
      <w:r w:rsidR="00D465BA">
        <w:rPr>
          <w:rFonts w:ascii="Cambria" w:hAnsi="Cambria"/>
          <w:sz w:val="20"/>
          <w:szCs w:val="20"/>
          <w:lang w:val="pt-BR"/>
        </w:rPr>
        <w:t xml:space="preserve"> fatos envolvendo a condenação do Brasil no caso Escher e outros, julgado pela Corte Int</w:t>
      </w:r>
      <w:r w:rsidR="00E06F8E">
        <w:rPr>
          <w:rFonts w:ascii="Cambria" w:hAnsi="Cambria"/>
          <w:sz w:val="20"/>
          <w:szCs w:val="20"/>
          <w:lang w:val="pt-BR"/>
        </w:rPr>
        <w:t xml:space="preserve">eramericana de Direitos Humanos em 6 de julho de 2009. </w:t>
      </w:r>
      <w:r w:rsidR="000E6696" w:rsidRPr="00E06F8E">
        <w:rPr>
          <w:rFonts w:ascii="Cambria" w:hAnsi="Cambria"/>
          <w:sz w:val="20"/>
          <w:szCs w:val="20"/>
          <w:lang w:val="pt-BR"/>
        </w:rPr>
        <w:t xml:space="preserve">Pugnam os peticionários, </w:t>
      </w:r>
      <w:r w:rsidR="00AC5785" w:rsidRPr="00E06F8E">
        <w:rPr>
          <w:rFonts w:ascii="Cambria" w:hAnsi="Cambria"/>
          <w:sz w:val="20"/>
          <w:szCs w:val="20"/>
          <w:lang w:val="pt-BR"/>
        </w:rPr>
        <w:t>dessa forma</w:t>
      </w:r>
      <w:r w:rsidR="00E06F8E">
        <w:rPr>
          <w:rFonts w:ascii="Cambria" w:hAnsi="Cambria"/>
          <w:sz w:val="20"/>
          <w:szCs w:val="20"/>
          <w:lang w:val="pt-BR"/>
        </w:rPr>
        <w:t>, pela federalização do caso no âmbito interno.</w:t>
      </w:r>
    </w:p>
    <w:p w14:paraId="32FFEA0C" w14:textId="13E33E18" w:rsidR="004C6C33" w:rsidRDefault="001B6375"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Pr>
          <w:rFonts w:ascii="Cambria" w:hAnsi="Cambria"/>
          <w:sz w:val="20"/>
          <w:szCs w:val="20"/>
          <w:lang w:val="pt-BR"/>
        </w:rPr>
        <w:t>Adicionalmente, i</w:t>
      </w:r>
      <w:r w:rsidR="00811BA4">
        <w:rPr>
          <w:rFonts w:ascii="Cambria" w:hAnsi="Cambria"/>
          <w:sz w:val="20"/>
          <w:szCs w:val="20"/>
          <w:lang w:val="pt-BR"/>
        </w:rPr>
        <w:t xml:space="preserve">ndicam que em 2003, foi constituída a Comissão Parlamentar Mista de Inquérito da Terra no âmbito do Congresso Nacional cujo objetivo foi identificar os problemas relacionados à distribuição </w:t>
      </w:r>
      <w:r w:rsidR="00CF2603">
        <w:rPr>
          <w:rFonts w:ascii="Cambria" w:hAnsi="Cambria"/>
          <w:sz w:val="20"/>
          <w:szCs w:val="20"/>
          <w:lang w:val="pt-BR"/>
        </w:rPr>
        <w:t xml:space="preserve">de terra </w:t>
      </w:r>
      <w:r w:rsidR="00811BA4">
        <w:rPr>
          <w:rFonts w:ascii="Cambria" w:hAnsi="Cambria"/>
          <w:sz w:val="20"/>
          <w:szCs w:val="20"/>
          <w:lang w:val="pt-BR"/>
        </w:rPr>
        <w:t xml:space="preserve">e conflitos </w:t>
      </w:r>
      <w:r w:rsidR="00CF2603">
        <w:rPr>
          <w:rFonts w:ascii="Cambria" w:hAnsi="Cambria"/>
          <w:sz w:val="20"/>
          <w:szCs w:val="20"/>
          <w:lang w:val="pt-BR"/>
        </w:rPr>
        <w:t>agrários</w:t>
      </w:r>
      <w:r w:rsidR="00811BA4">
        <w:rPr>
          <w:rFonts w:ascii="Cambria" w:hAnsi="Cambria"/>
          <w:sz w:val="20"/>
          <w:szCs w:val="20"/>
          <w:lang w:val="pt-BR"/>
        </w:rPr>
        <w:t xml:space="preserve"> no Brasil, buscando apresentar </w:t>
      </w:r>
      <w:r w:rsidR="00CF2603">
        <w:rPr>
          <w:rFonts w:ascii="Cambria" w:hAnsi="Cambria"/>
          <w:sz w:val="20"/>
          <w:szCs w:val="20"/>
          <w:lang w:val="pt-BR"/>
        </w:rPr>
        <w:t xml:space="preserve">possíveis </w:t>
      </w:r>
      <w:r w:rsidR="00811BA4">
        <w:rPr>
          <w:rFonts w:ascii="Cambria" w:hAnsi="Cambria"/>
          <w:sz w:val="20"/>
          <w:szCs w:val="20"/>
          <w:lang w:val="pt-BR"/>
        </w:rPr>
        <w:t>soluções</w:t>
      </w:r>
      <w:r w:rsidR="00811BA4">
        <w:rPr>
          <w:rStyle w:val="FootnoteReference"/>
          <w:rFonts w:ascii="Cambria" w:hAnsi="Cambria"/>
          <w:sz w:val="20"/>
          <w:szCs w:val="20"/>
          <w:lang w:val="pt-BR"/>
        </w:rPr>
        <w:footnoteReference w:id="7"/>
      </w:r>
      <w:r w:rsidR="00811BA4">
        <w:rPr>
          <w:rFonts w:ascii="Cambria" w:hAnsi="Cambria"/>
          <w:sz w:val="20"/>
          <w:szCs w:val="20"/>
          <w:lang w:val="pt-BR"/>
        </w:rPr>
        <w:t>.</w:t>
      </w:r>
      <w:r w:rsidR="00CF2603">
        <w:rPr>
          <w:rFonts w:ascii="Cambria" w:hAnsi="Cambria"/>
          <w:sz w:val="20"/>
          <w:szCs w:val="20"/>
          <w:lang w:val="pt-BR"/>
        </w:rPr>
        <w:t xml:space="preserve"> Dentre os casos estudados estava o da suposta vítima, sendo ouvidas pessoas potencialmente envolvidas e produzidas provas.</w:t>
      </w:r>
    </w:p>
    <w:p w14:paraId="2EF91AD8" w14:textId="1EBAC80B" w:rsidR="0091239F" w:rsidRPr="00ED3F98" w:rsidRDefault="00586737" w:rsidP="006735C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Pr>
          <w:rFonts w:ascii="Cambria" w:hAnsi="Cambria"/>
          <w:sz w:val="20"/>
          <w:szCs w:val="20"/>
          <w:lang w:val="pt-BR"/>
        </w:rPr>
        <w:t>O Estado, por sua vez, a</w:t>
      </w:r>
      <w:r w:rsidR="00AC5785" w:rsidRPr="00ED3F98">
        <w:rPr>
          <w:rFonts w:ascii="Cambria" w:hAnsi="Cambria"/>
          <w:sz w:val="20"/>
          <w:szCs w:val="20"/>
          <w:lang w:val="pt-BR"/>
        </w:rPr>
        <w:t>lega que os peticionários não interpuseram e esgotaram todos os recursos internos disponíveis</w:t>
      </w:r>
      <w:r w:rsidR="00541B3F">
        <w:rPr>
          <w:rFonts w:ascii="Cambria" w:hAnsi="Cambria"/>
          <w:sz w:val="20"/>
          <w:szCs w:val="20"/>
          <w:lang w:val="pt-BR"/>
        </w:rPr>
        <w:t xml:space="preserve"> </w:t>
      </w:r>
      <w:r w:rsidR="00733E27">
        <w:rPr>
          <w:rFonts w:ascii="Cambria" w:hAnsi="Cambria"/>
          <w:sz w:val="20"/>
          <w:szCs w:val="20"/>
          <w:lang w:val="pt-BR"/>
        </w:rPr>
        <w:t xml:space="preserve">em </w:t>
      </w:r>
      <w:r w:rsidR="00AC5785" w:rsidRPr="00ED3F98">
        <w:rPr>
          <w:rFonts w:ascii="Cambria" w:hAnsi="Cambria"/>
          <w:sz w:val="20"/>
          <w:szCs w:val="20"/>
          <w:lang w:val="pt-BR"/>
        </w:rPr>
        <w:t>relação à reparação pecuniária solicitada na petição</w:t>
      </w:r>
      <w:r w:rsidR="00EB2B1F">
        <w:rPr>
          <w:rFonts w:ascii="Cambria" w:hAnsi="Cambria"/>
          <w:sz w:val="20"/>
          <w:szCs w:val="20"/>
          <w:lang w:val="pt-BR"/>
        </w:rPr>
        <w:t>. Em</w:t>
      </w:r>
      <w:r w:rsidR="00AC5785" w:rsidRPr="00ED3F98">
        <w:rPr>
          <w:rFonts w:ascii="Cambria" w:hAnsi="Cambria"/>
          <w:sz w:val="20"/>
          <w:szCs w:val="20"/>
          <w:lang w:val="pt-BR"/>
        </w:rPr>
        <w:t xml:space="preserve"> nenhum momento as supostas vítimas </w:t>
      </w:r>
      <w:r w:rsidR="00EB2B1F">
        <w:rPr>
          <w:rFonts w:ascii="Cambria" w:hAnsi="Cambria"/>
          <w:sz w:val="20"/>
          <w:szCs w:val="20"/>
          <w:lang w:val="pt-BR"/>
        </w:rPr>
        <w:t>teriam buscado</w:t>
      </w:r>
      <w:r w:rsidR="00AC5785" w:rsidRPr="00ED3F98">
        <w:rPr>
          <w:rFonts w:ascii="Cambria" w:hAnsi="Cambria"/>
          <w:sz w:val="20"/>
          <w:szCs w:val="20"/>
          <w:lang w:val="pt-BR"/>
        </w:rPr>
        <w:t xml:space="preserve"> a jurisdição interna com essa finalidade, </w:t>
      </w:r>
      <w:r w:rsidR="0091239F" w:rsidRPr="00ED3F98">
        <w:rPr>
          <w:rFonts w:ascii="Cambria" w:hAnsi="Cambria"/>
          <w:sz w:val="20"/>
          <w:szCs w:val="20"/>
          <w:lang w:val="pt-BR"/>
        </w:rPr>
        <w:t>mesmo quando a lei não exige a conclusão da ação penal para fazê-lo</w:t>
      </w:r>
      <w:r w:rsidR="00541B3F">
        <w:rPr>
          <w:rFonts w:ascii="Cambria" w:hAnsi="Cambria"/>
          <w:sz w:val="20"/>
          <w:szCs w:val="20"/>
          <w:lang w:val="pt-BR"/>
        </w:rPr>
        <w:t xml:space="preserve">. </w:t>
      </w:r>
      <w:r w:rsidR="00733E27">
        <w:rPr>
          <w:rFonts w:ascii="Cambria" w:hAnsi="Cambria"/>
          <w:sz w:val="20"/>
          <w:szCs w:val="20"/>
          <w:lang w:val="pt-BR"/>
        </w:rPr>
        <w:t>Ainda</w:t>
      </w:r>
      <w:r w:rsidR="0091239F" w:rsidRPr="00ED3F98">
        <w:rPr>
          <w:rFonts w:ascii="Cambria" w:hAnsi="Cambria"/>
          <w:sz w:val="20"/>
          <w:szCs w:val="20"/>
          <w:lang w:val="pt-BR"/>
        </w:rPr>
        <w:t xml:space="preserve"> </w:t>
      </w:r>
      <w:r w:rsidR="00541B3F">
        <w:rPr>
          <w:rFonts w:ascii="Cambria" w:hAnsi="Cambria"/>
          <w:sz w:val="20"/>
          <w:szCs w:val="20"/>
          <w:lang w:val="pt-BR"/>
        </w:rPr>
        <w:t>adiciona</w:t>
      </w:r>
      <w:r w:rsidR="0091239F" w:rsidRPr="00ED3F98">
        <w:rPr>
          <w:rFonts w:ascii="Cambria" w:hAnsi="Cambria"/>
          <w:sz w:val="20"/>
          <w:szCs w:val="20"/>
          <w:lang w:val="pt-BR"/>
        </w:rPr>
        <w:t xml:space="preserve"> que mesmo se as supostas vítimas alegassem hipossuficiência, poderiam tê-lo feito com auxílio da Defensoria Pública do Estado do Paraná.</w:t>
      </w:r>
      <w:r w:rsidR="00ED3F98" w:rsidRPr="00ED3F98">
        <w:rPr>
          <w:rFonts w:ascii="Cambria" w:hAnsi="Cambria"/>
          <w:sz w:val="20"/>
          <w:szCs w:val="20"/>
          <w:lang w:val="pt-BR"/>
        </w:rPr>
        <w:t xml:space="preserve"> </w:t>
      </w:r>
      <w:r w:rsidR="0091239F" w:rsidRPr="00ED3F98">
        <w:rPr>
          <w:rFonts w:ascii="Cambria" w:hAnsi="Cambria"/>
          <w:sz w:val="20"/>
          <w:szCs w:val="20"/>
          <w:lang w:val="pt-BR"/>
        </w:rPr>
        <w:t xml:space="preserve">Em relação </w:t>
      </w:r>
      <w:r w:rsidR="00351695" w:rsidRPr="00ED3F98">
        <w:rPr>
          <w:rFonts w:ascii="Cambria" w:hAnsi="Cambria"/>
          <w:sz w:val="20"/>
          <w:szCs w:val="20"/>
          <w:lang w:val="pt-BR"/>
        </w:rPr>
        <w:t xml:space="preserve">à solicitação de investigação e punição das milícias privadas atuantes, </w:t>
      </w:r>
      <w:r w:rsidR="00EB2B1F">
        <w:rPr>
          <w:rFonts w:ascii="Cambria" w:hAnsi="Cambria"/>
          <w:sz w:val="20"/>
          <w:szCs w:val="20"/>
          <w:lang w:val="pt-BR"/>
        </w:rPr>
        <w:t>alega</w:t>
      </w:r>
      <w:r w:rsidR="00351695" w:rsidRPr="00ED3F98">
        <w:rPr>
          <w:rFonts w:ascii="Cambria" w:hAnsi="Cambria"/>
          <w:sz w:val="20"/>
          <w:szCs w:val="20"/>
          <w:lang w:val="pt-BR"/>
        </w:rPr>
        <w:t xml:space="preserve"> </w:t>
      </w:r>
      <w:r w:rsidR="00733E27">
        <w:rPr>
          <w:rFonts w:ascii="Cambria" w:hAnsi="Cambria"/>
          <w:sz w:val="20"/>
          <w:szCs w:val="20"/>
          <w:lang w:val="pt-BR"/>
        </w:rPr>
        <w:t>que tampouco</w:t>
      </w:r>
      <w:r w:rsidR="00351695" w:rsidRPr="00ED3F98">
        <w:rPr>
          <w:rFonts w:ascii="Cambria" w:hAnsi="Cambria"/>
          <w:sz w:val="20"/>
          <w:szCs w:val="20"/>
          <w:lang w:val="pt-BR"/>
        </w:rPr>
        <w:t xml:space="preserve"> foram esgotados os recursos internos, tendo em vista que</w:t>
      </w:r>
      <w:r w:rsidR="00ED3F98">
        <w:rPr>
          <w:rFonts w:ascii="Cambria" w:hAnsi="Cambria"/>
          <w:sz w:val="20"/>
          <w:szCs w:val="20"/>
          <w:lang w:val="pt-BR"/>
        </w:rPr>
        <w:t xml:space="preserve"> a Operação Março Branco prendeu alguns dos integrantes do grupo que enfren</w:t>
      </w:r>
      <w:r w:rsidR="00733E27">
        <w:rPr>
          <w:rFonts w:ascii="Cambria" w:hAnsi="Cambria"/>
          <w:sz w:val="20"/>
          <w:szCs w:val="20"/>
          <w:lang w:val="pt-BR"/>
        </w:rPr>
        <w:t xml:space="preserve">tava o MST, culminando </w:t>
      </w:r>
      <w:r w:rsidR="00ED3F98">
        <w:rPr>
          <w:rFonts w:ascii="Cambria" w:hAnsi="Cambria"/>
          <w:sz w:val="20"/>
          <w:szCs w:val="20"/>
          <w:lang w:val="pt-BR"/>
        </w:rPr>
        <w:t xml:space="preserve">em </w:t>
      </w:r>
      <w:r w:rsidR="003F0835">
        <w:rPr>
          <w:rFonts w:ascii="Cambria" w:hAnsi="Cambria"/>
          <w:sz w:val="20"/>
          <w:szCs w:val="20"/>
          <w:lang w:val="pt-BR"/>
        </w:rPr>
        <w:t xml:space="preserve">uma </w:t>
      </w:r>
      <w:r w:rsidR="00EB2B1F">
        <w:rPr>
          <w:rFonts w:ascii="Cambria" w:hAnsi="Cambria"/>
          <w:sz w:val="20"/>
          <w:szCs w:val="20"/>
          <w:lang w:val="pt-BR"/>
        </w:rPr>
        <w:t>ação penal iniciada em 2005, todavia não concluída.</w:t>
      </w:r>
    </w:p>
    <w:p w14:paraId="5528FD7E" w14:textId="79FE968B" w:rsidR="001B6375" w:rsidRPr="006735C7" w:rsidRDefault="003F0835" w:rsidP="006735C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Pr>
          <w:rFonts w:ascii="Cambria" w:hAnsi="Cambria"/>
          <w:sz w:val="20"/>
          <w:szCs w:val="20"/>
          <w:lang w:val="pt-BR"/>
        </w:rPr>
        <w:t>Em relação à investigação do homicídio da sup</w:t>
      </w:r>
      <w:r w:rsidR="00EB2B1F">
        <w:rPr>
          <w:rFonts w:ascii="Cambria" w:hAnsi="Cambria"/>
          <w:sz w:val="20"/>
          <w:szCs w:val="20"/>
          <w:lang w:val="pt-BR"/>
        </w:rPr>
        <w:t>osta vítima, o Estado alega que</w:t>
      </w:r>
      <w:r>
        <w:rPr>
          <w:rFonts w:ascii="Cambria" w:hAnsi="Cambria"/>
          <w:sz w:val="20"/>
          <w:szCs w:val="20"/>
          <w:lang w:val="pt-BR"/>
        </w:rPr>
        <w:t xml:space="preserve"> apesar </w:t>
      </w:r>
      <w:r w:rsidR="00EB2B1F">
        <w:rPr>
          <w:rFonts w:ascii="Cambria" w:hAnsi="Cambria"/>
          <w:sz w:val="20"/>
          <w:szCs w:val="20"/>
          <w:lang w:val="pt-BR"/>
        </w:rPr>
        <w:t>da demora</w:t>
      </w:r>
      <w:r>
        <w:rPr>
          <w:rFonts w:ascii="Cambria" w:hAnsi="Cambria"/>
          <w:sz w:val="20"/>
          <w:szCs w:val="20"/>
          <w:lang w:val="pt-BR"/>
        </w:rPr>
        <w:t xml:space="preserve">, houve </w:t>
      </w:r>
      <w:r w:rsidR="00EB2B1F">
        <w:rPr>
          <w:rFonts w:ascii="Cambria" w:hAnsi="Cambria"/>
          <w:sz w:val="20"/>
          <w:szCs w:val="20"/>
          <w:lang w:val="pt-BR"/>
        </w:rPr>
        <w:t xml:space="preserve">a </w:t>
      </w:r>
      <w:r>
        <w:rPr>
          <w:rFonts w:ascii="Cambria" w:hAnsi="Cambria"/>
          <w:sz w:val="20"/>
          <w:szCs w:val="20"/>
          <w:lang w:val="pt-BR"/>
        </w:rPr>
        <w:t xml:space="preserve">devida apuração dos fatos a partir de oitiva de testemunhas e realização de perícias. Alega que após </w:t>
      </w:r>
      <w:r w:rsidR="00EB2B1F">
        <w:rPr>
          <w:rFonts w:ascii="Cambria" w:hAnsi="Cambria"/>
          <w:sz w:val="20"/>
          <w:szCs w:val="20"/>
          <w:lang w:val="pt-BR"/>
        </w:rPr>
        <w:t>a investigação</w:t>
      </w:r>
      <w:r>
        <w:rPr>
          <w:rFonts w:ascii="Cambria" w:hAnsi="Cambria"/>
          <w:sz w:val="20"/>
          <w:szCs w:val="20"/>
          <w:lang w:val="pt-BR"/>
        </w:rPr>
        <w:t>, o Ministério Público concluiu que não ficou devidamente comprovada a autoria do crime e que, mesmo que ficasse, estaria presente a excludente de ilicitude por legítima defesa, tendo em vista que houve confronto entre as partes. Com base neste parecer</w:t>
      </w:r>
      <w:r w:rsidR="00356ECF">
        <w:rPr>
          <w:rFonts w:ascii="Cambria" w:hAnsi="Cambria"/>
          <w:sz w:val="20"/>
          <w:szCs w:val="20"/>
          <w:lang w:val="pt-BR"/>
        </w:rPr>
        <w:t xml:space="preserve"> de 8 de novembro de 2010</w:t>
      </w:r>
      <w:r>
        <w:rPr>
          <w:rFonts w:ascii="Cambria" w:hAnsi="Cambria"/>
          <w:sz w:val="20"/>
          <w:szCs w:val="20"/>
          <w:lang w:val="pt-BR"/>
        </w:rPr>
        <w:t>, o juiz decidiu arquivar os autos</w:t>
      </w:r>
      <w:r w:rsidR="00356ECF">
        <w:rPr>
          <w:rFonts w:ascii="Cambria" w:hAnsi="Cambria"/>
          <w:sz w:val="20"/>
          <w:szCs w:val="20"/>
          <w:lang w:val="pt-BR"/>
        </w:rPr>
        <w:t xml:space="preserve"> em 16 de novembro de 2010</w:t>
      </w:r>
      <w:r>
        <w:rPr>
          <w:rFonts w:ascii="Cambria" w:hAnsi="Cambria"/>
          <w:sz w:val="20"/>
          <w:szCs w:val="20"/>
          <w:lang w:val="pt-BR"/>
        </w:rPr>
        <w:t xml:space="preserve">. </w:t>
      </w:r>
      <w:r w:rsidR="00026D73">
        <w:rPr>
          <w:rFonts w:ascii="Cambria" w:hAnsi="Cambria"/>
          <w:sz w:val="20"/>
          <w:szCs w:val="20"/>
          <w:lang w:val="pt-BR"/>
        </w:rPr>
        <w:t xml:space="preserve">Diante disso, o Estado afirma que o exame do resultado das investigações </w:t>
      </w:r>
      <w:r w:rsidR="00026D73">
        <w:rPr>
          <w:rFonts w:ascii="Cambria" w:hAnsi="Cambria"/>
          <w:sz w:val="20"/>
          <w:szCs w:val="20"/>
          <w:lang w:val="pt-BR"/>
        </w:rPr>
        <w:lastRenderedPageBreak/>
        <w:t>por parte da Comissão seria violar a fórmula da quarta instância, tendo em vista que os peticionários encontra</w:t>
      </w:r>
      <w:r w:rsidR="00586737">
        <w:rPr>
          <w:rFonts w:ascii="Cambria" w:hAnsi="Cambria"/>
          <w:sz w:val="20"/>
          <w:szCs w:val="20"/>
          <w:lang w:val="pt-BR"/>
        </w:rPr>
        <w:t>m</w:t>
      </w:r>
      <w:r w:rsidR="00026D73">
        <w:rPr>
          <w:rFonts w:ascii="Cambria" w:hAnsi="Cambria"/>
          <w:sz w:val="20"/>
          <w:szCs w:val="20"/>
          <w:lang w:val="pt-BR"/>
        </w:rPr>
        <w:t xml:space="preserve">-se </w:t>
      </w:r>
      <w:r w:rsidR="00586737">
        <w:rPr>
          <w:rFonts w:ascii="Cambria" w:hAnsi="Cambria"/>
          <w:sz w:val="20"/>
          <w:szCs w:val="20"/>
          <w:lang w:val="pt-BR"/>
        </w:rPr>
        <w:t>insatisfeitos</w:t>
      </w:r>
      <w:r w:rsidR="00026D73">
        <w:rPr>
          <w:rFonts w:ascii="Cambria" w:hAnsi="Cambria"/>
          <w:sz w:val="20"/>
          <w:szCs w:val="20"/>
          <w:lang w:val="pt-BR"/>
        </w:rPr>
        <w:t xml:space="preserve"> com o resultado do procedimento.</w:t>
      </w:r>
      <w:r w:rsidR="00586737">
        <w:rPr>
          <w:rFonts w:ascii="Cambria" w:hAnsi="Cambria"/>
          <w:sz w:val="20"/>
          <w:szCs w:val="20"/>
          <w:lang w:val="pt-BR"/>
        </w:rPr>
        <w:t xml:space="preserve"> Por fim, </w:t>
      </w:r>
      <w:r w:rsidR="00586737" w:rsidRPr="00ED3F98">
        <w:rPr>
          <w:rFonts w:ascii="Cambria" w:hAnsi="Cambria"/>
          <w:sz w:val="20"/>
          <w:szCs w:val="20"/>
          <w:lang w:val="pt-BR"/>
        </w:rPr>
        <w:t xml:space="preserve">afirma que a Comissão não possui competência </w:t>
      </w:r>
      <w:r w:rsidR="00586737" w:rsidRPr="00ED3F98">
        <w:rPr>
          <w:rFonts w:ascii="Cambria" w:hAnsi="Cambria"/>
          <w:i/>
          <w:sz w:val="20"/>
          <w:szCs w:val="20"/>
          <w:lang w:val="pt-BR"/>
        </w:rPr>
        <w:t>ratione materiae</w:t>
      </w:r>
      <w:r w:rsidR="00586737" w:rsidRPr="00ED3F98">
        <w:rPr>
          <w:rFonts w:ascii="Cambria" w:hAnsi="Cambria"/>
          <w:sz w:val="20"/>
          <w:szCs w:val="20"/>
          <w:lang w:val="pt-BR"/>
        </w:rPr>
        <w:t xml:space="preserve"> para recomendar a federalização da persecução penal, </w:t>
      </w:r>
      <w:r w:rsidR="00EB2B1F">
        <w:rPr>
          <w:rFonts w:ascii="Cambria" w:hAnsi="Cambria"/>
          <w:sz w:val="20"/>
          <w:szCs w:val="20"/>
          <w:lang w:val="pt-BR"/>
        </w:rPr>
        <w:t xml:space="preserve">e </w:t>
      </w:r>
      <w:r w:rsidR="00586737" w:rsidRPr="00ED3F98">
        <w:rPr>
          <w:rFonts w:ascii="Cambria" w:hAnsi="Cambria"/>
          <w:sz w:val="20"/>
          <w:szCs w:val="20"/>
          <w:lang w:val="pt-BR"/>
        </w:rPr>
        <w:t>tampouco a desapropriação de imóveis, tendo em vista que tais decisões fazem parte da</w:t>
      </w:r>
      <w:r w:rsidR="00586737">
        <w:rPr>
          <w:rFonts w:ascii="Cambria" w:hAnsi="Cambria"/>
          <w:sz w:val="20"/>
          <w:szCs w:val="20"/>
          <w:lang w:val="pt-BR"/>
        </w:rPr>
        <w:t xml:space="preserve"> sua</w:t>
      </w:r>
      <w:r w:rsidR="0059087A">
        <w:rPr>
          <w:rFonts w:ascii="Cambria" w:hAnsi="Cambria"/>
          <w:sz w:val="20"/>
          <w:szCs w:val="20"/>
          <w:lang w:val="pt-BR"/>
        </w:rPr>
        <w:t xml:space="preserve"> margem de discricionariedade do Estado.</w:t>
      </w:r>
    </w:p>
    <w:p w14:paraId="6F4D4171" w14:textId="7761DC48" w:rsidR="003239B8" w:rsidRPr="00A75CC3" w:rsidRDefault="003239B8" w:rsidP="003239B8">
      <w:pPr>
        <w:spacing w:before="240" w:after="240"/>
        <w:ind w:firstLine="720"/>
        <w:jc w:val="both"/>
        <w:rPr>
          <w:rFonts w:ascii="Cambria" w:hAnsi="Cambria"/>
          <w:sz w:val="20"/>
          <w:szCs w:val="20"/>
          <w:lang w:val="pt-BR"/>
        </w:rPr>
      </w:pPr>
      <w:r w:rsidRPr="00A75CC3">
        <w:rPr>
          <w:rFonts w:asciiTheme="majorHAnsi" w:eastAsia="Cambria" w:hAnsiTheme="majorHAnsi" w:cs="Cambria"/>
          <w:b/>
          <w:bCs/>
          <w:color w:val="000000"/>
          <w:sz w:val="20"/>
          <w:szCs w:val="20"/>
          <w:u w:color="000000"/>
          <w:lang w:val="pt-BR" w:eastAsia="es-ES"/>
        </w:rPr>
        <w:t>VI.</w:t>
      </w:r>
      <w:r w:rsidRPr="00A75CC3">
        <w:rPr>
          <w:rFonts w:asciiTheme="majorHAnsi" w:eastAsia="Cambria" w:hAnsiTheme="majorHAnsi" w:cs="Cambria"/>
          <w:b/>
          <w:bCs/>
          <w:color w:val="000000"/>
          <w:sz w:val="20"/>
          <w:szCs w:val="20"/>
          <w:u w:color="000000"/>
          <w:lang w:val="pt-BR" w:eastAsia="es-ES"/>
        </w:rPr>
        <w:tab/>
      </w:r>
      <w:r w:rsidR="00D21316" w:rsidRPr="00A75CC3">
        <w:rPr>
          <w:rFonts w:asciiTheme="majorHAnsi" w:hAnsiTheme="majorHAnsi"/>
          <w:b/>
          <w:bCs/>
          <w:sz w:val="20"/>
          <w:szCs w:val="20"/>
          <w:lang w:val="pt-BR"/>
        </w:rPr>
        <w:t>ANÁLISE</w:t>
      </w:r>
      <w:r w:rsidR="004A6A54" w:rsidRPr="00A75CC3">
        <w:rPr>
          <w:rFonts w:asciiTheme="majorHAnsi" w:hAnsiTheme="majorHAnsi"/>
          <w:b/>
          <w:bCs/>
          <w:sz w:val="20"/>
          <w:szCs w:val="20"/>
          <w:lang w:val="pt-BR"/>
        </w:rPr>
        <w:t xml:space="preserve"> DE </w:t>
      </w:r>
      <w:r w:rsidR="00D21316" w:rsidRPr="00A75CC3">
        <w:rPr>
          <w:rFonts w:asciiTheme="majorHAnsi" w:hAnsiTheme="majorHAnsi"/>
          <w:b/>
          <w:sz w:val="20"/>
          <w:szCs w:val="20"/>
          <w:lang w:val="pt-BR"/>
        </w:rPr>
        <w:t>ESGOTAM</w:t>
      </w:r>
      <w:r w:rsidR="00C21FEF" w:rsidRPr="00A75CC3">
        <w:rPr>
          <w:rFonts w:asciiTheme="majorHAnsi" w:hAnsiTheme="majorHAnsi"/>
          <w:b/>
          <w:sz w:val="20"/>
          <w:szCs w:val="20"/>
          <w:lang w:val="pt-BR"/>
        </w:rPr>
        <w:t xml:space="preserve">ENTO </w:t>
      </w:r>
      <w:r w:rsidR="00D21316" w:rsidRPr="00A75CC3">
        <w:rPr>
          <w:rFonts w:asciiTheme="majorHAnsi" w:hAnsiTheme="majorHAnsi"/>
          <w:b/>
          <w:sz w:val="20"/>
          <w:szCs w:val="20"/>
          <w:lang w:val="pt-BR"/>
        </w:rPr>
        <w:t>DOS</w:t>
      </w:r>
      <w:r w:rsidR="00C21FEF" w:rsidRPr="00A75CC3">
        <w:rPr>
          <w:rFonts w:asciiTheme="majorHAnsi" w:hAnsiTheme="majorHAnsi"/>
          <w:b/>
          <w:sz w:val="20"/>
          <w:szCs w:val="20"/>
          <w:lang w:val="pt-BR"/>
        </w:rPr>
        <w:t xml:space="preserve"> RECURSOS INTERNOS</w:t>
      </w:r>
      <w:r w:rsidR="00D21316" w:rsidRPr="00A75CC3">
        <w:rPr>
          <w:rFonts w:asciiTheme="majorHAnsi" w:hAnsiTheme="majorHAnsi"/>
          <w:b/>
          <w:sz w:val="20"/>
          <w:szCs w:val="20"/>
          <w:lang w:val="pt-BR"/>
        </w:rPr>
        <w:t xml:space="preserve"> E PR</w:t>
      </w:r>
      <w:r w:rsidR="00C21FEF" w:rsidRPr="00A75CC3">
        <w:rPr>
          <w:rFonts w:asciiTheme="majorHAnsi" w:hAnsiTheme="majorHAnsi"/>
          <w:b/>
          <w:sz w:val="20"/>
          <w:szCs w:val="20"/>
          <w:lang w:val="pt-BR"/>
        </w:rPr>
        <w:t xml:space="preserve">AZO DE </w:t>
      </w:r>
      <w:r w:rsidR="00D21316" w:rsidRPr="00A75CC3">
        <w:rPr>
          <w:rFonts w:asciiTheme="majorHAnsi" w:hAnsiTheme="majorHAnsi"/>
          <w:b/>
          <w:sz w:val="20"/>
          <w:szCs w:val="20"/>
          <w:lang w:val="pt-BR"/>
        </w:rPr>
        <w:t>APRESENTAÇÃO</w:t>
      </w:r>
      <w:r w:rsidR="00C21FEF" w:rsidRPr="00A75CC3">
        <w:rPr>
          <w:rFonts w:asciiTheme="majorHAnsi" w:eastAsia="Cambria" w:hAnsiTheme="majorHAnsi" w:cs="Cambria"/>
          <w:b/>
          <w:bCs/>
          <w:color w:val="000000"/>
          <w:sz w:val="20"/>
          <w:szCs w:val="20"/>
          <w:u w:color="000000"/>
          <w:lang w:val="pt-BR" w:eastAsia="es-ES"/>
        </w:rPr>
        <w:t xml:space="preserve"> </w:t>
      </w:r>
    </w:p>
    <w:p w14:paraId="3F3F3EEE" w14:textId="71E7E2A1" w:rsidR="000A7E6B" w:rsidRDefault="00586737" w:rsidP="000A7E6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FB718E">
        <w:rPr>
          <w:rFonts w:ascii="Cambria" w:hAnsi="Cambria"/>
          <w:sz w:val="20"/>
          <w:szCs w:val="20"/>
          <w:lang w:val="pt-BR"/>
        </w:rPr>
        <w:t>Em relação ao esgotamento dos recursos internos, os peticionários a</w:t>
      </w:r>
      <w:r w:rsidR="001B6375" w:rsidRPr="00FB718E">
        <w:rPr>
          <w:rFonts w:ascii="Cambria" w:hAnsi="Cambria"/>
          <w:sz w:val="20"/>
          <w:szCs w:val="20"/>
          <w:lang w:val="pt-BR"/>
        </w:rPr>
        <w:t xml:space="preserve">firmam que </w:t>
      </w:r>
      <w:r w:rsidR="009134C8" w:rsidRPr="00FB718E">
        <w:rPr>
          <w:rFonts w:ascii="Cambria" w:hAnsi="Cambria"/>
          <w:sz w:val="20"/>
          <w:szCs w:val="20"/>
          <w:lang w:val="pt-BR"/>
        </w:rPr>
        <w:t xml:space="preserve">as investigações não foram realizadas de forma </w:t>
      </w:r>
      <w:r w:rsidR="00833441" w:rsidRPr="00FB718E">
        <w:rPr>
          <w:rFonts w:ascii="Cambria" w:hAnsi="Cambria"/>
          <w:sz w:val="20"/>
          <w:szCs w:val="20"/>
          <w:lang w:val="pt-BR"/>
        </w:rPr>
        <w:t xml:space="preserve">efetiva e </w:t>
      </w:r>
      <w:r w:rsidR="009134C8" w:rsidRPr="00FB718E">
        <w:rPr>
          <w:rFonts w:ascii="Cambria" w:hAnsi="Cambria"/>
          <w:sz w:val="20"/>
          <w:szCs w:val="20"/>
          <w:lang w:val="pt-BR"/>
        </w:rPr>
        <w:t>imparcial</w:t>
      </w:r>
      <w:r w:rsidR="00833441" w:rsidRPr="00FB718E">
        <w:rPr>
          <w:rFonts w:ascii="Cambria" w:hAnsi="Cambria"/>
          <w:sz w:val="20"/>
          <w:szCs w:val="20"/>
          <w:lang w:val="pt-BR"/>
        </w:rPr>
        <w:t>,</w:t>
      </w:r>
      <w:r w:rsidR="009134C8" w:rsidRPr="00FB718E">
        <w:rPr>
          <w:rFonts w:ascii="Cambria" w:hAnsi="Cambria"/>
          <w:sz w:val="20"/>
          <w:szCs w:val="20"/>
          <w:lang w:val="pt-BR"/>
        </w:rPr>
        <w:t xml:space="preserve"> tendo em vista o envolvimento d</w:t>
      </w:r>
      <w:r w:rsidR="00FB718E" w:rsidRPr="00FB718E">
        <w:rPr>
          <w:rFonts w:ascii="Cambria" w:hAnsi="Cambria"/>
          <w:sz w:val="20"/>
          <w:szCs w:val="20"/>
          <w:lang w:val="pt-BR"/>
        </w:rPr>
        <w:t xml:space="preserve">e agentes da polícia nos crimes, </w:t>
      </w:r>
      <w:r w:rsidR="00833441" w:rsidRPr="00FB718E">
        <w:rPr>
          <w:rFonts w:ascii="Cambria" w:hAnsi="Cambria"/>
          <w:sz w:val="20"/>
          <w:szCs w:val="20"/>
          <w:lang w:val="pt-BR"/>
        </w:rPr>
        <w:t xml:space="preserve">resultando no arquivamento da investigação. </w:t>
      </w:r>
      <w:r w:rsidR="009134C8" w:rsidRPr="00FB718E">
        <w:rPr>
          <w:rFonts w:ascii="Cambria" w:hAnsi="Cambria"/>
          <w:sz w:val="20"/>
          <w:szCs w:val="20"/>
          <w:lang w:val="pt-BR"/>
        </w:rPr>
        <w:t xml:space="preserve">Ademais, indicam que </w:t>
      </w:r>
      <w:r w:rsidR="001B6375" w:rsidRPr="00FB718E">
        <w:rPr>
          <w:rFonts w:ascii="Cambria" w:hAnsi="Cambria"/>
          <w:sz w:val="20"/>
          <w:szCs w:val="20"/>
          <w:lang w:val="pt-BR"/>
        </w:rPr>
        <w:t>depois de mais de dez anos de tramitação da ação judicial que discutia a desapropriação da fazenda Santa Filomena, um erro do Estado brasileiro teria inviabilizado a desapropriaç</w:t>
      </w:r>
      <w:r w:rsidR="00FB718E" w:rsidRPr="00FB718E">
        <w:rPr>
          <w:rFonts w:ascii="Cambria" w:hAnsi="Cambria"/>
          <w:sz w:val="20"/>
          <w:szCs w:val="20"/>
          <w:lang w:val="pt-BR"/>
        </w:rPr>
        <w:t xml:space="preserve">ão para fins de reforma agrária. </w:t>
      </w:r>
      <w:r w:rsidRPr="00FB718E">
        <w:rPr>
          <w:rFonts w:ascii="Cambria" w:hAnsi="Cambria"/>
          <w:sz w:val="20"/>
          <w:szCs w:val="20"/>
          <w:lang w:val="pt-BR"/>
        </w:rPr>
        <w:t xml:space="preserve">O Estado, </w:t>
      </w:r>
      <w:r w:rsidR="00FB718E" w:rsidRPr="00FB718E">
        <w:rPr>
          <w:rFonts w:ascii="Cambria" w:hAnsi="Cambria"/>
          <w:sz w:val="20"/>
          <w:szCs w:val="20"/>
          <w:lang w:val="pt-BR"/>
        </w:rPr>
        <w:t>por outro lado</w:t>
      </w:r>
      <w:r w:rsidRPr="00FB718E">
        <w:rPr>
          <w:rFonts w:ascii="Cambria" w:hAnsi="Cambria"/>
          <w:sz w:val="20"/>
          <w:szCs w:val="20"/>
          <w:lang w:val="pt-BR"/>
        </w:rPr>
        <w:t>, alega</w:t>
      </w:r>
      <w:r w:rsidR="006C3576" w:rsidRPr="00FB718E">
        <w:rPr>
          <w:rFonts w:ascii="Cambria" w:hAnsi="Cambria"/>
          <w:sz w:val="20"/>
          <w:szCs w:val="20"/>
          <w:lang w:val="pt-BR"/>
        </w:rPr>
        <w:t xml:space="preserve"> que quando da apresentação da petição à Comissão, os recursos internos ainda não haviam sido esgotados na esfera penal</w:t>
      </w:r>
      <w:r w:rsidR="00D465BA" w:rsidRPr="00FB718E">
        <w:rPr>
          <w:rFonts w:ascii="Cambria" w:hAnsi="Cambria"/>
          <w:sz w:val="20"/>
          <w:szCs w:val="20"/>
          <w:lang w:val="pt-BR"/>
        </w:rPr>
        <w:t>, tendo em vista que seguiria pendente até a presente data</w:t>
      </w:r>
      <w:r w:rsidR="00FB718E" w:rsidRPr="00FB718E">
        <w:rPr>
          <w:rFonts w:ascii="Cambria" w:hAnsi="Cambria"/>
          <w:sz w:val="20"/>
          <w:szCs w:val="20"/>
          <w:lang w:val="pt-BR"/>
        </w:rPr>
        <w:t xml:space="preserve"> a ação penal desencadeada da “Operação Março Bra</w:t>
      </w:r>
      <w:r w:rsidR="00FB718E">
        <w:rPr>
          <w:rFonts w:ascii="Cambria" w:hAnsi="Cambria"/>
          <w:sz w:val="20"/>
          <w:szCs w:val="20"/>
          <w:lang w:val="pt-BR"/>
        </w:rPr>
        <w:t>n</w:t>
      </w:r>
      <w:r w:rsidR="00FB718E" w:rsidRPr="00FB718E">
        <w:rPr>
          <w:rFonts w:ascii="Cambria" w:hAnsi="Cambria"/>
          <w:sz w:val="20"/>
          <w:szCs w:val="20"/>
          <w:lang w:val="pt-BR"/>
        </w:rPr>
        <w:t xml:space="preserve">co”. </w:t>
      </w:r>
      <w:r w:rsidR="006C3576" w:rsidRPr="00FB718E">
        <w:rPr>
          <w:rFonts w:ascii="Cambria" w:hAnsi="Cambria"/>
          <w:sz w:val="20"/>
          <w:szCs w:val="20"/>
          <w:lang w:val="pt-BR"/>
        </w:rPr>
        <w:t>Adicionalmente, afirma a falta de esgotamento dos recursos internos em relação à pretensão de indenização apresentada pelos peticionários, tendo em vista que nem a suposta vítima, nem sua família, buscou fazê-lo primeiramente na jurisdição interna.</w:t>
      </w:r>
    </w:p>
    <w:p w14:paraId="01D47E3F" w14:textId="241F3042" w:rsidR="003239B8" w:rsidRDefault="00341602" w:rsidP="000A7E6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341602">
        <w:rPr>
          <w:rFonts w:ascii="Cambria" w:hAnsi="Cambria"/>
          <w:sz w:val="20"/>
          <w:szCs w:val="20"/>
          <w:lang w:val="pt-BR"/>
        </w:rPr>
        <w:t>A Comissão observa que em situações que incluem delitos contra a vida e a integridade, como</w:t>
      </w:r>
      <w:r w:rsidR="00932C73">
        <w:rPr>
          <w:rFonts w:ascii="Cambria" w:hAnsi="Cambria"/>
          <w:sz w:val="20"/>
          <w:szCs w:val="20"/>
          <w:lang w:val="pt-BR"/>
        </w:rPr>
        <w:t xml:space="preserve"> a</w:t>
      </w:r>
      <w:r w:rsidRPr="00341602">
        <w:rPr>
          <w:rFonts w:ascii="Cambria" w:hAnsi="Cambria"/>
          <w:sz w:val="20"/>
          <w:szCs w:val="20"/>
          <w:lang w:val="pt-BR"/>
        </w:rPr>
        <w:t xml:space="preserve"> narrada na </w:t>
      </w:r>
      <w:r w:rsidR="00932C73">
        <w:rPr>
          <w:rFonts w:ascii="Cambria" w:hAnsi="Cambria"/>
          <w:sz w:val="20"/>
          <w:szCs w:val="20"/>
          <w:lang w:val="pt-BR"/>
        </w:rPr>
        <w:t xml:space="preserve">presente </w:t>
      </w:r>
      <w:r w:rsidRPr="00341602">
        <w:rPr>
          <w:rFonts w:ascii="Cambria" w:hAnsi="Cambria"/>
          <w:sz w:val="20"/>
          <w:szCs w:val="20"/>
          <w:lang w:val="pt-BR"/>
        </w:rPr>
        <w:t>petição, os recursos internos que devem ser tomados em conta para efeitos da admissibilidade de petições são os relacionados com a investigação penal e a punição dos responsáveis</w:t>
      </w:r>
      <w:r w:rsidR="000612F5" w:rsidRPr="00341602">
        <w:rPr>
          <w:rStyle w:val="FootnoteReference"/>
          <w:rFonts w:cs="Calibri"/>
          <w:sz w:val="20"/>
          <w:szCs w:val="20"/>
        </w:rPr>
        <w:footnoteReference w:id="8"/>
      </w:r>
      <w:r w:rsidRPr="00487A47">
        <w:rPr>
          <w:rFonts w:cs="Calibri"/>
          <w:sz w:val="20"/>
          <w:szCs w:val="20"/>
          <w:lang w:val="pt-BR"/>
        </w:rPr>
        <w:t>. Dessa forma, s</w:t>
      </w:r>
      <w:r w:rsidR="00E06F8E" w:rsidRPr="00341602">
        <w:rPr>
          <w:rFonts w:ascii="Cambria" w:hAnsi="Cambria"/>
          <w:sz w:val="20"/>
          <w:szCs w:val="20"/>
          <w:lang w:val="pt-BR"/>
        </w:rPr>
        <w:t xml:space="preserve">obre a necessidade de esgotar os recursos internos em relação à reparação civil em casos de graves violações de direitos humanos, as supostas vítimas não necessitam acudir à esfera </w:t>
      </w:r>
      <w:r w:rsidR="00932C73">
        <w:rPr>
          <w:rFonts w:ascii="Cambria" w:hAnsi="Cambria"/>
          <w:sz w:val="20"/>
          <w:szCs w:val="20"/>
          <w:lang w:val="pt-BR"/>
        </w:rPr>
        <w:t>civil</w:t>
      </w:r>
      <w:r w:rsidR="00E06F8E" w:rsidRPr="00341602">
        <w:rPr>
          <w:rFonts w:ascii="Cambria" w:hAnsi="Cambria"/>
          <w:sz w:val="20"/>
          <w:szCs w:val="20"/>
          <w:lang w:val="pt-BR"/>
        </w:rPr>
        <w:t xml:space="preserve"> em busca de reparação antes de acessar o sistema interamericano, tendo em vista que esse tipo de remédio não responderia ao pedido principal da petição</w:t>
      </w:r>
      <w:r w:rsidR="00E06F8E">
        <w:rPr>
          <w:rStyle w:val="FootnoteReference"/>
          <w:rFonts w:ascii="Cambria" w:hAnsi="Cambria"/>
          <w:sz w:val="20"/>
          <w:szCs w:val="20"/>
          <w:lang w:val="pt-BR"/>
        </w:rPr>
        <w:footnoteReference w:id="9"/>
      </w:r>
      <w:r w:rsidR="00E06F8E" w:rsidRPr="00341602">
        <w:rPr>
          <w:rFonts w:ascii="Cambria" w:hAnsi="Cambria"/>
          <w:sz w:val="20"/>
          <w:szCs w:val="20"/>
          <w:lang w:val="pt-BR"/>
        </w:rPr>
        <w:t>.</w:t>
      </w:r>
    </w:p>
    <w:p w14:paraId="6C36F5FC" w14:textId="3DE039FC" w:rsidR="007500C8" w:rsidRDefault="007500C8" w:rsidP="007500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7500C8">
        <w:rPr>
          <w:rFonts w:asciiTheme="majorHAnsi" w:hAnsiTheme="majorHAnsi"/>
          <w:sz w:val="20"/>
          <w:szCs w:val="20"/>
          <w:lang w:val="pt-BR"/>
        </w:rPr>
        <w:t>Além disso, a Comissão entende que em se tratando de casos que envolvem possíveis violações de direitos humanos perseguíveis de ofício pelo Ministério Público e, principalmente, quando agentes estatais estariam envolvidos nos fatos, o Estado tem a obrigação de investigar os fatos diligentemente. Essa carga deve ser assumida pelo Estado como um deve jurídico próprio e não como uma gestão de interesses particulares ou que dependa da iniciativa ou aporte de provas por parte das supostas vítimas</w:t>
      </w:r>
      <w:r>
        <w:rPr>
          <w:rStyle w:val="FootnoteReference"/>
          <w:rFonts w:asciiTheme="majorHAnsi" w:hAnsiTheme="majorHAnsi"/>
          <w:sz w:val="20"/>
          <w:szCs w:val="20"/>
          <w:lang w:val="pt-BR"/>
        </w:rPr>
        <w:footnoteReference w:id="10"/>
      </w:r>
      <w:r>
        <w:rPr>
          <w:rFonts w:asciiTheme="majorHAnsi" w:hAnsiTheme="majorHAnsi"/>
          <w:sz w:val="20"/>
          <w:szCs w:val="20"/>
          <w:lang w:val="pt-BR"/>
        </w:rPr>
        <w:t>.</w:t>
      </w:r>
    </w:p>
    <w:p w14:paraId="57C0AF41" w14:textId="04830958" w:rsidR="007500C8" w:rsidRPr="002404CD" w:rsidRDefault="00703741" w:rsidP="002404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703741">
        <w:rPr>
          <w:rFonts w:asciiTheme="majorHAnsi" w:hAnsiTheme="majorHAnsi"/>
          <w:sz w:val="20"/>
          <w:szCs w:val="20"/>
          <w:lang w:val="pt-BR"/>
        </w:rPr>
        <w:t>Neste caso, a Comissão observa que</w:t>
      </w:r>
      <w:r w:rsidR="002404CD">
        <w:rPr>
          <w:rFonts w:asciiTheme="majorHAnsi" w:hAnsiTheme="majorHAnsi"/>
          <w:sz w:val="20"/>
          <w:szCs w:val="20"/>
          <w:lang w:val="pt-BR"/>
        </w:rPr>
        <w:t xml:space="preserve">, </w:t>
      </w:r>
      <w:r w:rsidRPr="00703741">
        <w:rPr>
          <w:rFonts w:asciiTheme="majorHAnsi" w:hAnsiTheme="majorHAnsi"/>
          <w:sz w:val="20"/>
          <w:szCs w:val="20"/>
          <w:lang w:val="pt-BR"/>
        </w:rPr>
        <w:t>de acordo com a informação apresentada, tendo decorrido mais de dezessete anos desde a data dos fatos, ainda o Estado não teria investigado nem sancionado todos os supostos responsáveis. Principalmente, o Estado não teria esclarecido diligentemente a possível participação dos membros das forças armadas. Por isso, a Comissão conclui que no presente caso é aplicável a exceção ao esgotamento dos recursos internos prevista no artigo. 46.2.c da Convenção.</w:t>
      </w:r>
      <w:r w:rsidR="002404CD">
        <w:rPr>
          <w:rFonts w:asciiTheme="majorHAnsi" w:hAnsiTheme="majorHAnsi"/>
          <w:sz w:val="20"/>
          <w:szCs w:val="20"/>
          <w:lang w:val="pt-BR"/>
        </w:rPr>
        <w:t xml:space="preserve"> </w:t>
      </w:r>
      <w:r w:rsidRPr="002404CD">
        <w:rPr>
          <w:rFonts w:asciiTheme="majorHAnsi" w:hAnsiTheme="majorHAnsi"/>
          <w:sz w:val="20"/>
          <w:szCs w:val="20"/>
          <w:lang w:val="pt-BR"/>
        </w:rPr>
        <w:t>Em relação ao prazo de apresentação, a Comissão verifica que ainda que os fatos tenham ocorrido em 2004 e a petição tenha sido recebida em 2012, alguns dos seus efeitos, como a falta de investigação dos responsáveis pela morte da suposta, se estenderiam até o presente momento. Por isso, tendo em vista o contexto e as características dos fatos narrados no presente relatório, a Comissão considera que a petição foi apresentada dentro de um prazo razoável, nos termos do artigo 32.2 do seu Regulamento, em concordância com o artigo 46.2 da Convenção Americana</w:t>
      </w:r>
      <w:r w:rsidR="002404CD">
        <w:rPr>
          <w:rFonts w:asciiTheme="majorHAnsi" w:hAnsiTheme="majorHAnsi"/>
          <w:sz w:val="20"/>
          <w:szCs w:val="20"/>
          <w:lang w:val="pt-BR"/>
        </w:rPr>
        <w:t>.</w:t>
      </w:r>
    </w:p>
    <w:p w14:paraId="4FFBE378" w14:textId="59C438B7" w:rsidR="003239B8" w:rsidRPr="00207350" w:rsidRDefault="003239B8" w:rsidP="003239B8">
      <w:pPr>
        <w:pStyle w:val="ListParagraph"/>
        <w:spacing w:before="240" w:after="240"/>
        <w:jc w:val="both"/>
        <w:rPr>
          <w:rFonts w:asciiTheme="majorHAnsi" w:hAnsiTheme="majorHAnsi"/>
          <w:b/>
          <w:color w:val="auto"/>
          <w:sz w:val="20"/>
          <w:szCs w:val="20"/>
          <w:lang w:val="pt-BR"/>
        </w:rPr>
      </w:pPr>
      <w:r w:rsidRPr="00A75CC3">
        <w:rPr>
          <w:rFonts w:asciiTheme="majorHAnsi" w:hAnsiTheme="majorHAnsi"/>
          <w:b/>
          <w:bCs/>
          <w:sz w:val="20"/>
          <w:szCs w:val="20"/>
          <w:lang w:val="pt-BR"/>
        </w:rPr>
        <w:t>VII.</w:t>
      </w:r>
      <w:r w:rsidRPr="00A75CC3">
        <w:rPr>
          <w:rFonts w:asciiTheme="majorHAnsi" w:hAnsiTheme="majorHAnsi"/>
          <w:b/>
          <w:bCs/>
          <w:sz w:val="20"/>
          <w:szCs w:val="20"/>
          <w:lang w:val="pt-BR"/>
        </w:rPr>
        <w:tab/>
      </w:r>
      <w:r w:rsidR="00D21316" w:rsidRPr="00207350">
        <w:rPr>
          <w:rFonts w:asciiTheme="majorHAnsi" w:hAnsiTheme="majorHAnsi"/>
          <w:b/>
          <w:bCs/>
          <w:color w:val="auto"/>
          <w:sz w:val="20"/>
          <w:szCs w:val="20"/>
          <w:lang w:val="pt-BR"/>
        </w:rPr>
        <w:t>ANÁLISE</w:t>
      </w:r>
      <w:r w:rsidR="004A6A54" w:rsidRPr="00207350">
        <w:rPr>
          <w:rFonts w:asciiTheme="majorHAnsi" w:hAnsiTheme="majorHAnsi"/>
          <w:b/>
          <w:bCs/>
          <w:color w:val="auto"/>
          <w:sz w:val="20"/>
          <w:szCs w:val="20"/>
          <w:lang w:val="pt-BR"/>
        </w:rPr>
        <w:t xml:space="preserve"> DE </w:t>
      </w:r>
      <w:r w:rsidR="00C21FEF" w:rsidRPr="00207350">
        <w:rPr>
          <w:rFonts w:asciiTheme="majorHAnsi" w:hAnsiTheme="majorHAnsi"/>
          <w:b/>
          <w:bCs/>
          <w:color w:val="auto"/>
          <w:sz w:val="20"/>
          <w:szCs w:val="20"/>
          <w:lang w:val="pt-BR"/>
        </w:rPr>
        <w:t>CARACTERIZA</w:t>
      </w:r>
      <w:r w:rsidR="00A53003" w:rsidRPr="00207350">
        <w:rPr>
          <w:rFonts w:asciiTheme="majorHAnsi" w:hAnsiTheme="majorHAnsi"/>
          <w:b/>
          <w:bCs/>
          <w:color w:val="auto"/>
          <w:sz w:val="20"/>
          <w:szCs w:val="20"/>
          <w:lang w:val="pt-BR"/>
        </w:rPr>
        <w:t>ÇÃO</w:t>
      </w:r>
      <w:r w:rsidR="00C21FEF" w:rsidRPr="00207350">
        <w:rPr>
          <w:rFonts w:asciiTheme="majorHAnsi" w:hAnsiTheme="majorHAnsi"/>
          <w:b/>
          <w:bCs/>
          <w:color w:val="auto"/>
          <w:sz w:val="20"/>
          <w:szCs w:val="20"/>
          <w:lang w:val="pt-BR"/>
        </w:rPr>
        <w:t xml:space="preserve"> DOS </w:t>
      </w:r>
      <w:r w:rsidR="00A53003" w:rsidRPr="00207350">
        <w:rPr>
          <w:rFonts w:asciiTheme="majorHAnsi" w:hAnsiTheme="majorHAnsi"/>
          <w:b/>
          <w:bCs/>
          <w:color w:val="auto"/>
          <w:sz w:val="20"/>
          <w:szCs w:val="20"/>
          <w:lang w:val="pt-BR"/>
        </w:rPr>
        <w:t>FATOS</w:t>
      </w:r>
      <w:r w:rsidR="00C21FEF" w:rsidRPr="00207350">
        <w:rPr>
          <w:rFonts w:asciiTheme="majorHAnsi" w:hAnsiTheme="majorHAnsi"/>
          <w:b/>
          <w:bCs/>
          <w:color w:val="auto"/>
          <w:sz w:val="20"/>
          <w:szCs w:val="20"/>
          <w:lang w:val="pt-BR"/>
        </w:rPr>
        <w:t xml:space="preserve"> ALEGADOS</w:t>
      </w:r>
    </w:p>
    <w:p w14:paraId="09F8288E" w14:textId="36B76962" w:rsidR="00487A47" w:rsidRPr="00207350" w:rsidRDefault="00487A47" w:rsidP="00487A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Style w:val="Emphasis"/>
          <w:rFonts w:asciiTheme="majorHAnsi" w:hAnsiTheme="majorHAnsi"/>
          <w:i w:val="0"/>
          <w:iCs w:val="0"/>
          <w:color w:val="C0504D" w:themeColor="accent2"/>
          <w:sz w:val="20"/>
          <w:szCs w:val="20"/>
          <w:lang w:val="pt-BR"/>
        </w:rPr>
      </w:pPr>
      <w:r w:rsidRPr="00207350">
        <w:rPr>
          <w:rFonts w:asciiTheme="majorHAnsi" w:hAnsiTheme="majorHAnsi"/>
          <w:sz w:val="20"/>
          <w:szCs w:val="20"/>
          <w:lang w:val="pt-BR"/>
        </w:rPr>
        <w:t>A Comissão considera que a presente pretição inclui alega</w:t>
      </w:r>
      <w:r w:rsidRPr="00207350">
        <w:rPr>
          <w:rStyle w:val="Emphasis"/>
          <w:rFonts w:asciiTheme="majorHAnsi" w:hAnsiTheme="majorHAnsi" w:cs="Arial"/>
          <w:bCs/>
          <w:i w:val="0"/>
          <w:sz w:val="20"/>
          <w:szCs w:val="20"/>
          <w:shd w:val="clear" w:color="auto" w:fill="FFFFFF"/>
          <w:lang w:val="pt-BR"/>
        </w:rPr>
        <w:t>ções a respeito da viola</w:t>
      </w:r>
      <w:r w:rsidRPr="00207350">
        <w:rPr>
          <w:rFonts w:asciiTheme="majorHAnsi" w:hAnsiTheme="majorHAnsi"/>
          <w:sz w:val="20"/>
          <w:szCs w:val="20"/>
          <w:lang w:val="pt-BR"/>
        </w:rPr>
        <w:t>ção</w:t>
      </w:r>
      <w:r w:rsidRPr="00207350">
        <w:rPr>
          <w:rStyle w:val="Emphasis"/>
          <w:rFonts w:asciiTheme="majorHAnsi" w:hAnsiTheme="majorHAnsi" w:cs="Arial"/>
          <w:bCs/>
          <w:i w:val="0"/>
          <w:sz w:val="20"/>
          <w:szCs w:val="20"/>
          <w:shd w:val="clear" w:color="auto" w:fill="FFFFFF"/>
          <w:lang w:val="pt-BR"/>
        </w:rPr>
        <w:t xml:space="preserve"> ao direito </w:t>
      </w:r>
      <w:r w:rsidR="00207350" w:rsidRPr="00207350">
        <w:rPr>
          <w:rStyle w:val="Emphasis"/>
          <w:rFonts w:asciiTheme="majorHAnsi" w:hAnsiTheme="majorHAnsi" w:cs="Arial"/>
          <w:bCs/>
          <w:i w:val="0"/>
          <w:sz w:val="20"/>
          <w:szCs w:val="20"/>
          <w:shd w:val="clear" w:color="auto" w:fill="FFFFFF"/>
          <w:lang w:val="pt-BR"/>
        </w:rPr>
        <w:t xml:space="preserve">a vida, a integridade pessoal, as garantias judiciais e a protecao de judicial de </w:t>
      </w:r>
      <w:r w:rsidR="00207350" w:rsidRPr="00207350">
        <w:rPr>
          <w:rFonts w:asciiTheme="majorHAnsi" w:hAnsiTheme="majorHAnsi"/>
          <w:sz w:val="20"/>
          <w:szCs w:val="20"/>
          <w:lang w:val="pt-BR"/>
        </w:rPr>
        <w:t xml:space="preserve">Elias Gonçalves de Meura, assassinado em 2004, em uma ocupação do MST, sem que tenha havido as identificação e eventual </w:t>
      </w:r>
      <w:r w:rsidR="00207350" w:rsidRPr="00207350">
        <w:rPr>
          <w:rFonts w:asciiTheme="majorHAnsi" w:hAnsiTheme="majorHAnsi"/>
          <w:sz w:val="20"/>
          <w:szCs w:val="20"/>
          <w:lang w:val="pt-BR"/>
        </w:rPr>
        <w:lastRenderedPageBreak/>
        <w:t>responsabilziação d</w:t>
      </w:r>
      <w:r w:rsidR="00703741">
        <w:rPr>
          <w:rFonts w:asciiTheme="majorHAnsi" w:hAnsiTheme="majorHAnsi"/>
          <w:sz w:val="20"/>
          <w:szCs w:val="20"/>
          <w:lang w:val="pt-BR"/>
        </w:rPr>
        <w:t>e todos os</w:t>
      </w:r>
      <w:r w:rsidR="00207350" w:rsidRPr="00207350">
        <w:rPr>
          <w:rFonts w:asciiTheme="majorHAnsi" w:hAnsiTheme="majorHAnsi"/>
          <w:sz w:val="20"/>
          <w:szCs w:val="20"/>
          <w:lang w:val="pt-BR"/>
        </w:rPr>
        <w:t xml:space="preserve"> responsáveis pelo delito, que fariam parte de um grupo privado que fazia o “patrulhamento armado” de fazendas no estado do Paraná. </w:t>
      </w:r>
      <w:r w:rsidRPr="00207350">
        <w:rPr>
          <w:rStyle w:val="Emphasis"/>
          <w:rFonts w:asciiTheme="majorHAnsi" w:hAnsiTheme="majorHAnsi" w:cs="Arial"/>
          <w:bCs/>
          <w:i w:val="0"/>
          <w:sz w:val="20"/>
          <w:szCs w:val="20"/>
          <w:shd w:val="clear" w:color="auto" w:fill="FFFFFF"/>
          <w:lang w:val="pt-BR"/>
        </w:rPr>
        <w:t xml:space="preserve"> </w:t>
      </w:r>
    </w:p>
    <w:p w14:paraId="6D3BB5BF" w14:textId="2D7F15CD" w:rsidR="000A7E6B" w:rsidRPr="002404CD" w:rsidRDefault="00487A47" w:rsidP="00487A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pt-BR"/>
        </w:rPr>
      </w:pPr>
      <w:r w:rsidRPr="002404CD">
        <w:rPr>
          <w:rFonts w:asciiTheme="majorHAnsi" w:hAnsiTheme="majorHAnsi"/>
          <w:sz w:val="20"/>
          <w:szCs w:val="20"/>
          <w:lang w:val="pt-BR"/>
        </w:rPr>
        <w:t>Em atenção a estas considera</w:t>
      </w:r>
      <w:r w:rsidRPr="002404CD">
        <w:rPr>
          <w:rStyle w:val="Emphasis"/>
          <w:rFonts w:asciiTheme="majorHAnsi" w:hAnsiTheme="majorHAnsi" w:cs="Arial"/>
          <w:bCs/>
          <w:i w:val="0"/>
          <w:iCs w:val="0"/>
          <w:sz w:val="20"/>
          <w:szCs w:val="20"/>
          <w:shd w:val="clear" w:color="auto" w:fill="FFFFFF"/>
          <w:lang w:val="pt-BR"/>
        </w:rPr>
        <w:t>ções</w:t>
      </w:r>
      <w:r w:rsidRPr="002404CD">
        <w:rPr>
          <w:rFonts w:asciiTheme="majorHAnsi" w:hAnsiTheme="majorHAnsi"/>
          <w:sz w:val="20"/>
          <w:szCs w:val="20"/>
          <w:lang w:val="pt-BR"/>
        </w:rPr>
        <w:t xml:space="preserve"> e após examinar os elementos de fato e de direito expostos pelas partes, a Comissão estima que as alega</w:t>
      </w:r>
      <w:r w:rsidRPr="002404CD">
        <w:rPr>
          <w:rStyle w:val="Emphasis"/>
          <w:rFonts w:asciiTheme="majorHAnsi" w:hAnsiTheme="majorHAnsi" w:cs="Arial"/>
          <w:bCs/>
          <w:i w:val="0"/>
          <w:iCs w:val="0"/>
          <w:sz w:val="20"/>
          <w:szCs w:val="20"/>
          <w:shd w:val="clear" w:color="auto" w:fill="FFFFFF"/>
          <w:lang w:val="pt-BR"/>
        </w:rPr>
        <w:t>çõe</w:t>
      </w:r>
      <w:r w:rsidRPr="002404CD">
        <w:rPr>
          <w:rStyle w:val="Emphasis"/>
          <w:rFonts w:asciiTheme="majorHAnsi" w:hAnsiTheme="majorHAnsi" w:cs="Arial"/>
          <w:bCs/>
          <w:sz w:val="20"/>
          <w:szCs w:val="20"/>
          <w:shd w:val="clear" w:color="auto" w:fill="FFFFFF"/>
          <w:lang w:val="pt-BR"/>
        </w:rPr>
        <w:t>s</w:t>
      </w:r>
      <w:r w:rsidRPr="002404CD">
        <w:rPr>
          <w:rFonts w:asciiTheme="majorHAnsi" w:hAnsiTheme="majorHAnsi"/>
          <w:sz w:val="20"/>
          <w:szCs w:val="20"/>
          <w:lang w:val="pt-BR"/>
        </w:rPr>
        <w:t xml:space="preserve"> da parte peticionária não são manifestamente infundada e requerem um estudo de mérito, pois os fatos alegados, se corroborados como certos, podem caracterizar </w:t>
      </w:r>
      <w:r w:rsidRPr="002404CD">
        <w:rPr>
          <w:rFonts w:asciiTheme="majorHAnsi" w:hAnsiTheme="majorHAnsi"/>
          <w:bCs/>
          <w:sz w:val="20"/>
          <w:szCs w:val="20"/>
          <w:lang w:val="pt-BR"/>
        </w:rPr>
        <w:t>v</w:t>
      </w:r>
      <w:r w:rsidRPr="002404CD">
        <w:rPr>
          <w:rStyle w:val="Emphasis"/>
          <w:rFonts w:asciiTheme="majorHAnsi" w:hAnsiTheme="majorHAnsi" w:cs="Arial"/>
          <w:bCs/>
          <w:sz w:val="20"/>
          <w:szCs w:val="20"/>
          <w:shd w:val="clear" w:color="auto" w:fill="FFFFFF"/>
          <w:lang w:val="pt-BR"/>
        </w:rPr>
        <w:t>iolações</w:t>
      </w:r>
      <w:r w:rsidRPr="002404CD">
        <w:rPr>
          <w:rFonts w:asciiTheme="majorHAnsi" w:hAnsiTheme="majorHAnsi"/>
          <w:sz w:val="20"/>
          <w:szCs w:val="20"/>
          <w:lang w:val="pt-BR"/>
        </w:rPr>
        <w:t xml:space="preserve"> aos direitos protegidos</w:t>
      </w:r>
      <w:r w:rsidRPr="002404CD">
        <w:rPr>
          <w:rFonts w:asciiTheme="majorHAnsi" w:hAnsiTheme="majorHAnsi"/>
          <w:b/>
          <w:bCs/>
          <w:sz w:val="20"/>
          <w:szCs w:val="20"/>
          <w:lang w:val="pt-BR"/>
        </w:rPr>
        <w:t xml:space="preserve"> </w:t>
      </w:r>
      <w:r w:rsidRPr="002404CD">
        <w:rPr>
          <w:rFonts w:asciiTheme="majorHAnsi" w:hAnsiTheme="majorHAnsi"/>
          <w:bCs/>
          <w:sz w:val="20"/>
          <w:szCs w:val="20"/>
          <w:lang w:val="pt-BR"/>
        </w:rPr>
        <w:t>n</w:t>
      </w:r>
      <w:r w:rsidR="00E06F8E" w:rsidRPr="002404CD">
        <w:rPr>
          <w:rFonts w:asciiTheme="majorHAnsi" w:hAnsiTheme="majorHAnsi"/>
          <w:sz w:val="20"/>
          <w:szCs w:val="20"/>
          <w:lang w:val="pt-BR"/>
        </w:rPr>
        <w:t xml:space="preserve">os artigos </w:t>
      </w:r>
      <w:r w:rsidR="000A7E6B" w:rsidRPr="002404CD">
        <w:rPr>
          <w:rFonts w:ascii="Cambria" w:hAnsi="Cambria"/>
          <w:bCs/>
          <w:sz w:val="20"/>
          <w:szCs w:val="20"/>
          <w:lang w:val="pt-BR"/>
        </w:rPr>
        <w:t>4 (vida), 5 (integridade pessoal), 8 (garantias judiciais) e 25 (proteção judicial), todos relacionados ao artigo 1.1 (obrigação de respeitar os direitos) da Convenção Americana.</w:t>
      </w:r>
    </w:p>
    <w:p w14:paraId="54C52EC6" w14:textId="74E69EA9" w:rsidR="00487A47" w:rsidRPr="00703741" w:rsidRDefault="00487A47" w:rsidP="007037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341602">
        <w:rPr>
          <w:rFonts w:asciiTheme="majorHAnsi" w:hAnsiTheme="majorHAnsi"/>
          <w:sz w:val="20"/>
          <w:szCs w:val="20"/>
          <w:lang w:val="pt-BR"/>
        </w:rPr>
        <w:t>Por fim, em relação à alegação do Estado de caracterização de quarta instância, a Comissão atenta que ao admitir essa petição não pretende suplantar a competência das autoridades judiciais domésticas. Irá, contudo, analisar na etapa de mérito se os processos judiciais internos cumpriram com as garantias de devido processo e proteção judiciais, oferecendo às supostas vítimas as devidas garantias de acesso à justiça nos termos da Convenção Americana.</w:t>
      </w:r>
    </w:p>
    <w:p w14:paraId="29BB41F5" w14:textId="26B84564" w:rsidR="003239B8" w:rsidRPr="000A7E6B" w:rsidRDefault="003239B8" w:rsidP="000A7E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pt-BR"/>
        </w:rPr>
      </w:pPr>
      <w:r w:rsidRPr="000A7E6B">
        <w:rPr>
          <w:rFonts w:asciiTheme="majorHAnsi" w:hAnsiTheme="majorHAnsi"/>
          <w:b/>
          <w:bCs/>
          <w:sz w:val="20"/>
          <w:szCs w:val="20"/>
          <w:lang w:val="pt-BR"/>
        </w:rPr>
        <w:t xml:space="preserve">VIII. </w:t>
      </w:r>
      <w:r w:rsidRPr="000A7E6B">
        <w:rPr>
          <w:rFonts w:asciiTheme="majorHAnsi" w:hAnsiTheme="majorHAnsi"/>
          <w:b/>
          <w:bCs/>
          <w:sz w:val="20"/>
          <w:szCs w:val="20"/>
          <w:lang w:val="pt-BR"/>
        </w:rPr>
        <w:tab/>
      </w:r>
      <w:r w:rsidR="00A53003" w:rsidRPr="000A7E6B">
        <w:rPr>
          <w:rFonts w:asciiTheme="majorHAnsi" w:hAnsiTheme="majorHAnsi"/>
          <w:b/>
          <w:bCs/>
          <w:sz w:val="20"/>
          <w:szCs w:val="20"/>
          <w:lang w:val="pt-BR"/>
        </w:rPr>
        <w:t>DECISÃO</w:t>
      </w:r>
    </w:p>
    <w:p w14:paraId="0FDE1D10" w14:textId="66D92E12" w:rsidR="003239B8" w:rsidRPr="00A75CC3"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A75CC3">
        <w:rPr>
          <w:rFonts w:asciiTheme="majorHAnsi" w:hAnsiTheme="majorHAnsi"/>
          <w:sz w:val="20"/>
          <w:szCs w:val="20"/>
          <w:lang w:val="pt-BR"/>
        </w:rPr>
        <w:t xml:space="preserve">Declarar </w:t>
      </w:r>
      <w:r w:rsidR="00A53003" w:rsidRPr="00A75CC3">
        <w:rPr>
          <w:rFonts w:asciiTheme="majorHAnsi" w:hAnsiTheme="majorHAnsi"/>
          <w:sz w:val="20"/>
          <w:szCs w:val="20"/>
          <w:lang w:val="pt-BR"/>
        </w:rPr>
        <w:t>admitida</w:t>
      </w:r>
      <w:r w:rsidRPr="00A75CC3">
        <w:rPr>
          <w:rFonts w:asciiTheme="majorHAnsi" w:hAnsiTheme="majorHAnsi"/>
          <w:sz w:val="20"/>
          <w:szCs w:val="20"/>
          <w:lang w:val="pt-BR"/>
        </w:rPr>
        <w:t xml:space="preserve"> a presente </w:t>
      </w:r>
      <w:r w:rsidR="00A53003" w:rsidRPr="00A75CC3">
        <w:rPr>
          <w:rFonts w:asciiTheme="majorHAnsi" w:hAnsiTheme="majorHAnsi"/>
          <w:sz w:val="20"/>
          <w:szCs w:val="20"/>
          <w:lang w:val="pt-BR"/>
        </w:rPr>
        <w:t>petição</w:t>
      </w:r>
      <w:r w:rsidRPr="00A75CC3">
        <w:rPr>
          <w:rFonts w:asciiTheme="majorHAnsi" w:hAnsiTheme="majorHAnsi"/>
          <w:sz w:val="20"/>
          <w:szCs w:val="20"/>
          <w:lang w:val="pt-BR"/>
        </w:rPr>
        <w:t xml:space="preserve"> e</w:t>
      </w:r>
      <w:r w:rsidR="00A53003" w:rsidRPr="00A75CC3">
        <w:rPr>
          <w:rFonts w:asciiTheme="majorHAnsi" w:hAnsiTheme="majorHAnsi"/>
          <w:sz w:val="20"/>
          <w:szCs w:val="20"/>
          <w:lang w:val="pt-BR"/>
        </w:rPr>
        <w:t>m</w:t>
      </w:r>
      <w:r w:rsidRPr="00A75CC3">
        <w:rPr>
          <w:rFonts w:asciiTheme="majorHAnsi" w:hAnsiTheme="majorHAnsi"/>
          <w:sz w:val="20"/>
          <w:szCs w:val="20"/>
          <w:lang w:val="pt-BR"/>
        </w:rPr>
        <w:t xml:space="preserve"> </w:t>
      </w:r>
      <w:r w:rsidR="00A53003" w:rsidRPr="00A75CC3">
        <w:rPr>
          <w:rFonts w:asciiTheme="majorHAnsi" w:hAnsiTheme="majorHAnsi"/>
          <w:sz w:val="20"/>
          <w:szCs w:val="20"/>
          <w:lang w:val="pt-BR"/>
        </w:rPr>
        <w:t xml:space="preserve">relação </w:t>
      </w:r>
      <w:r w:rsidR="000A7E6B">
        <w:rPr>
          <w:rFonts w:asciiTheme="majorHAnsi" w:hAnsiTheme="majorHAnsi"/>
          <w:sz w:val="20"/>
          <w:szCs w:val="20"/>
          <w:lang w:val="pt-BR"/>
        </w:rPr>
        <w:t xml:space="preserve">aos artigos </w:t>
      </w:r>
      <w:r w:rsidR="00207350" w:rsidRPr="00487A47">
        <w:rPr>
          <w:rFonts w:ascii="Cambria" w:hAnsi="Cambria"/>
          <w:bCs/>
          <w:sz w:val="20"/>
          <w:szCs w:val="20"/>
          <w:lang w:val="pt-BR"/>
        </w:rPr>
        <w:t>4 (vida), 5 (integridade pessoal), 8 (garantias judiciais) e 25 (proteção judicial)</w:t>
      </w:r>
      <w:r w:rsidR="002404CD">
        <w:rPr>
          <w:rFonts w:ascii="Cambria" w:hAnsi="Cambria"/>
          <w:bCs/>
          <w:sz w:val="20"/>
          <w:szCs w:val="20"/>
          <w:lang w:val="pt-BR"/>
        </w:rPr>
        <w:t xml:space="preserve"> </w:t>
      </w:r>
      <w:r w:rsidR="00207350" w:rsidRPr="00487A47">
        <w:rPr>
          <w:rFonts w:ascii="Cambria" w:hAnsi="Cambria"/>
          <w:bCs/>
          <w:sz w:val="20"/>
          <w:szCs w:val="20"/>
          <w:lang w:val="pt-BR"/>
        </w:rPr>
        <w:t>da Convenção Americana</w:t>
      </w:r>
      <w:r w:rsidR="000A7E6B">
        <w:rPr>
          <w:rFonts w:asciiTheme="majorHAnsi" w:hAnsiTheme="majorHAnsi"/>
          <w:sz w:val="20"/>
          <w:szCs w:val="20"/>
          <w:lang w:val="pt-BR"/>
        </w:rPr>
        <w:t>.</w:t>
      </w:r>
    </w:p>
    <w:p w14:paraId="6AC80CA6" w14:textId="4C387B81" w:rsidR="00722C9F" w:rsidRDefault="00A53003"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A75CC3">
        <w:rPr>
          <w:rFonts w:asciiTheme="majorHAnsi" w:hAnsiTheme="majorHAnsi"/>
          <w:sz w:val="20"/>
          <w:szCs w:val="20"/>
          <w:lang w:val="pt-BR"/>
        </w:rPr>
        <w:t xml:space="preserve">Notificar </w:t>
      </w:r>
      <w:r w:rsidR="0022736D" w:rsidRPr="00A75CC3">
        <w:rPr>
          <w:rFonts w:asciiTheme="majorHAnsi" w:hAnsiTheme="majorHAnsi"/>
          <w:sz w:val="20"/>
          <w:szCs w:val="20"/>
          <w:lang w:val="pt-BR"/>
        </w:rPr>
        <w:t>a</w:t>
      </w:r>
      <w:r w:rsidR="004A6A54" w:rsidRPr="00A75CC3">
        <w:rPr>
          <w:rFonts w:asciiTheme="majorHAnsi" w:hAnsiTheme="majorHAnsi"/>
          <w:sz w:val="20"/>
          <w:szCs w:val="20"/>
          <w:lang w:val="pt-BR"/>
        </w:rPr>
        <w:t xml:space="preserve">s partes </w:t>
      </w:r>
      <w:r w:rsidR="0022736D" w:rsidRPr="00A75CC3">
        <w:rPr>
          <w:rFonts w:asciiTheme="majorHAnsi" w:hAnsiTheme="majorHAnsi"/>
          <w:sz w:val="20"/>
          <w:szCs w:val="20"/>
          <w:lang w:val="pt-BR"/>
        </w:rPr>
        <w:t xml:space="preserve">sobre </w:t>
      </w:r>
      <w:r w:rsidRPr="00A75CC3">
        <w:rPr>
          <w:rFonts w:asciiTheme="majorHAnsi" w:hAnsiTheme="majorHAnsi"/>
          <w:sz w:val="20"/>
          <w:szCs w:val="20"/>
          <w:lang w:val="pt-BR"/>
        </w:rPr>
        <w:t>a presente decisão; continuar com a análise de mérito</w:t>
      </w:r>
      <w:r w:rsidR="004A6A54" w:rsidRPr="00A75CC3">
        <w:rPr>
          <w:rFonts w:asciiTheme="majorHAnsi" w:hAnsiTheme="majorHAnsi"/>
          <w:sz w:val="20"/>
          <w:szCs w:val="20"/>
          <w:lang w:val="pt-BR"/>
        </w:rPr>
        <w:t xml:space="preserve"> </w:t>
      </w:r>
      <w:r w:rsidRPr="00A75CC3">
        <w:rPr>
          <w:rFonts w:asciiTheme="majorHAnsi" w:hAnsiTheme="majorHAnsi"/>
          <w:sz w:val="20"/>
          <w:szCs w:val="20"/>
          <w:lang w:val="pt-BR"/>
        </w:rPr>
        <w:t>d</w:t>
      </w:r>
      <w:r w:rsidR="004A6A54" w:rsidRPr="00A75CC3">
        <w:rPr>
          <w:rFonts w:asciiTheme="majorHAnsi" w:hAnsiTheme="majorHAnsi"/>
          <w:sz w:val="20"/>
          <w:szCs w:val="20"/>
          <w:lang w:val="pt-BR"/>
        </w:rPr>
        <w:t xml:space="preserve">a </w:t>
      </w:r>
      <w:r w:rsidRPr="00A75CC3">
        <w:rPr>
          <w:rFonts w:asciiTheme="majorHAnsi" w:hAnsiTheme="majorHAnsi"/>
          <w:sz w:val="20"/>
          <w:szCs w:val="20"/>
          <w:lang w:val="pt-BR"/>
        </w:rPr>
        <w:t>questão; e</w:t>
      </w:r>
      <w:r w:rsidR="004A6A54" w:rsidRPr="00A75CC3">
        <w:rPr>
          <w:rFonts w:asciiTheme="majorHAnsi" w:hAnsiTheme="majorHAnsi"/>
          <w:sz w:val="20"/>
          <w:szCs w:val="20"/>
          <w:lang w:val="pt-BR"/>
        </w:rPr>
        <w:t xml:space="preserve"> publicar esta </w:t>
      </w:r>
      <w:r w:rsidRPr="00A75CC3">
        <w:rPr>
          <w:rFonts w:asciiTheme="majorHAnsi" w:hAnsiTheme="majorHAnsi"/>
          <w:sz w:val="20"/>
          <w:szCs w:val="20"/>
          <w:lang w:val="pt-BR"/>
        </w:rPr>
        <w:t>decisão</w:t>
      </w:r>
      <w:r w:rsidR="007665A8">
        <w:rPr>
          <w:rFonts w:asciiTheme="majorHAnsi" w:hAnsiTheme="majorHAnsi"/>
          <w:sz w:val="20"/>
          <w:szCs w:val="20"/>
          <w:lang w:val="pt-BR"/>
        </w:rPr>
        <w:t xml:space="preserve"> e inclui</w:t>
      </w:r>
      <w:r w:rsidRPr="00A75CC3">
        <w:rPr>
          <w:rFonts w:asciiTheme="majorHAnsi" w:hAnsiTheme="majorHAnsi"/>
          <w:sz w:val="20"/>
          <w:szCs w:val="20"/>
          <w:lang w:val="pt-BR"/>
        </w:rPr>
        <w:t>-</w:t>
      </w:r>
      <w:r w:rsidR="004A6A54" w:rsidRPr="00A75CC3">
        <w:rPr>
          <w:rFonts w:asciiTheme="majorHAnsi" w:hAnsiTheme="majorHAnsi"/>
          <w:sz w:val="20"/>
          <w:szCs w:val="20"/>
          <w:lang w:val="pt-BR"/>
        </w:rPr>
        <w:t xml:space="preserve">la </w:t>
      </w:r>
      <w:r w:rsidRPr="00A75CC3">
        <w:rPr>
          <w:rFonts w:asciiTheme="majorHAnsi" w:hAnsiTheme="majorHAnsi"/>
          <w:sz w:val="20"/>
          <w:szCs w:val="20"/>
          <w:lang w:val="pt-BR"/>
        </w:rPr>
        <w:t xml:space="preserve">em seu Relatório Anual à Assembleia Geral da Organização dos Estados Americanos. </w:t>
      </w:r>
    </w:p>
    <w:p w14:paraId="61588717" w14:textId="27E00BF2" w:rsidR="003308CD" w:rsidRPr="0014757F" w:rsidRDefault="003308CD" w:rsidP="003308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Pr>
          <w:rFonts w:asciiTheme="majorHAnsi" w:hAnsiTheme="majorHAnsi"/>
          <w:sz w:val="20"/>
          <w:szCs w:val="20"/>
          <w:lang w:val="pt-BR"/>
        </w:rPr>
        <w:tab/>
      </w:r>
      <w:r w:rsidRPr="0014757F">
        <w:rPr>
          <w:rFonts w:asciiTheme="majorHAnsi" w:hAnsiTheme="majorHAnsi"/>
          <w:sz w:val="20"/>
          <w:szCs w:val="20"/>
          <w:lang w:val="pt-BR"/>
        </w:rPr>
        <w:t xml:space="preserve">Aprovado pela Comissão Interamericana de Direitos Humanos ao </w:t>
      </w:r>
      <w:r>
        <w:rPr>
          <w:rFonts w:asciiTheme="majorHAnsi" w:hAnsiTheme="majorHAnsi"/>
          <w:sz w:val="20"/>
          <w:szCs w:val="20"/>
          <w:lang w:val="pt-BR"/>
        </w:rPr>
        <w:t>primeiro</w:t>
      </w:r>
      <w:r w:rsidRPr="0014757F">
        <w:rPr>
          <w:rFonts w:asciiTheme="majorHAnsi" w:hAnsiTheme="majorHAnsi"/>
          <w:sz w:val="20"/>
          <w:szCs w:val="20"/>
          <w:lang w:val="pt-BR"/>
        </w:rPr>
        <w:t xml:space="preserve"> dia do mês de </w:t>
      </w:r>
      <w:r>
        <w:rPr>
          <w:rFonts w:asciiTheme="majorHAnsi" w:hAnsiTheme="majorHAnsi"/>
          <w:sz w:val="20"/>
          <w:szCs w:val="20"/>
          <w:lang w:val="pt-BR"/>
        </w:rPr>
        <w:t>dez</w:t>
      </w:r>
      <w:r w:rsidRPr="0014757F">
        <w:rPr>
          <w:rFonts w:asciiTheme="majorHAnsi" w:hAnsiTheme="majorHAnsi"/>
          <w:sz w:val="20"/>
          <w:szCs w:val="20"/>
          <w:lang w:val="pt-BR"/>
        </w:rPr>
        <w:t>embro de 202</w:t>
      </w:r>
      <w:r>
        <w:rPr>
          <w:rFonts w:asciiTheme="majorHAnsi" w:hAnsiTheme="majorHAnsi"/>
          <w:sz w:val="20"/>
          <w:szCs w:val="20"/>
          <w:lang w:val="pt-BR"/>
        </w:rPr>
        <w:t>1</w:t>
      </w:r>
      <w:r w:rsidRPr="0014757F">
        <w:rPr>
          <w:rFonts w:asciiTheme="majorHAnsi" w:hAnsiTheme="majorHAnsi"/>
          <w:sz w:val="20"/>
          <w:szCs w:val="20"/>
          <w:lang w:val="pt-BR"/>
        </w:rPr>
        <w:t>.</w:t>
      </w:r>
      <w:r>
        <w:rPr>
          <w:rFonts w:asciiTheme="majorHAnsi" w:hAnsiTheme="majorHAnsi"/>
          <w:sz w:val="20"/>
          <w:szCs w:val="20"/>
          <w:lang w:val="pt-BR"/>
        </w:rPr>
        <w:t xml:space="preserve"> </w:t>
      </w:r>
      <w:r w:rsidRPr="0014757F">
        <w:rPr>
          <w:rFonts w:asciiTheme="majorHAnsi" w:hAnsiTheme="majorHAnsi"/>
          <w:sz w:val="20"/>
          <w:szCs w:val="20"/>
          <w:lang w:val="pt-BR"/>
        </w:rPr>
        <w:t xml:space="preserve">(Assinado): </w:t>
      </w:r>
      <w:r w:rsidRPr="00092A72">
        <w:rPr>
          <w:rFonts w:asciiTheme="majorHAnsi" w:hAnsiTheme="majorHAnsi"/>
          <w:spacing w:val="-2"/>
          <w:sz w:val="20"/>
          <w:szCs w:val="20"/>
          <w:lang w:val="pt-BR"/>
        </w:rPr>
        <w:t>Antonia Urrejola</w:t>
      </w:r>
      <w:r w:rsidRPr="0014757F">
        <w:rPr>
          <w:rFonts w:asciiTheme="majorHAnsi" w:hAnsiTheme="majorHAnsi"/>
          <w:sz w:val="20"/>
          <w:szCs w:val="20"/>
          <w:lang w:val="pt-BR"/>
        </w:rPr>
        <w:t>, President</w:t>
      </w:r>
      <w:r>
        <w:rPr>
          <w:rFonts w:asciiTheme="majorHAnsi" w:hAnsiTheme="majorHAnsi"/>
          <w:sz w:val="20"/>
          <w:szCs w:val="20"/>
          <w:lang w:val="pt-BR"/>
        </w:rPr>
        <w:t>a</w:t>
      </w:r>
      <w:r w:rsidRPr="0014757F">
        <w:rPr>
          <w:rFonts w:asciiTheme="majorHAnsi" w:hAnsiTheme="majorHAnsi"/>
          <w:sz w:val="20"/>
          <w:szCs w:val="20"/>
          <w:lang w:val="pt-BR"/>
        </w:rPr>
        <w:t>;</w:t>
      </w:r>
      <w:r>
        <w:rPr>
          <w:rFonts w:asciiTheme="majorHAnsi" w:hAnsiTheme="majorHAnsi"/>
          <w:sz w:val="20"/>
          <w:szCs w:val="20"/>
          <w:lang w:val="pt-BR"/>
        </w:rPr>
        <w:t xml:space="preserve"> </w:t>
      </w:r>
      <w:r w:rsidRPr="0014757F">
        <w:rPr>
          <w:rFonts w:asciiTheme="majorHAnsi" w:hAnsiTheme="majorHAnsi"/>
          <w:sz w:val="20"/>
          <w:szCs w:val="20"/>
          <w:lang w:val="pt-BR"/>
        </w:rPr>
        <w:t>Esmeralda E. Arosemena Bernal de Troitiño</w:t>
      </w:r>
      <w:r>
        <w:rPr>
          <w:rFonts w:asciiTheme="majorHAnsi" w:hAnsiTheme="majorHAnsi"/>
          <w:sz w:val="20"/>
          <w:szCs w:val="20"/>
          <w:lang w:val="pt-BR"/>
        </w:rPr>
        <w:t xml:space="preserve">, </w:t>
      </w:r>
      <w:r w:rsidRPr="0070084E">
        <w:rPr>
          <w:rFonts w:asciiTheme="majorHAnsi" w:hAnsiTheme="majorHAnsi" w:cs="Arial"/>
          <w:noProof/>
          <w:spacing w:val="-2"/>
          <w:sz w:val="20"/>
          <w:szCs w:val="20"/>
          <w:lang w:val="pt-BR"/>
        </w:rPr>
        <w:t>Joel Hernández</w:t>
      </w:r>
      <w:r w:rsidRPr="0014757F">
        <w:rPr>
          <w:rFonts w:asciiTheme="majorHAnsi" w:hAnsiTheme="majorHAnsi"/>
          <w:sz w:val="20"/>
          <w:szCs w:val="20"/>
          <w:lang w:val="pt-BR"/>
        </w:rPr>
        <w:t xml:space="preserve"> e Stuardo Ralón Orellana, membros da Comissão.</w:t>
      </w:r>
    </w:p>
    <w:sectPr w:rsidR="003308CD" w:rsidRPr="0014757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E159C" w14:textId="77777777" w:rsidR="00331593" w:rsidRDefault="00331593">
      <w:r>
        <w:separator/>
      </w:r>
    </w:p>
  </w:endnote>
  <w:endnote w:type="continuationSeparator" w:id="0">
    <w:p w14:paraId="70F74F1F" w14:textId="77777777" w:rsidR="00331593" w:rsidRDefault="0033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6F784CDC"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07350">
          <w:rPr>
            <w:noProof/>
            <w:sz w:val="16"/>
            <w:szCs w:val="22"/>
          </w:rPr>
          <w:t>4</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86EE5" w14:textId="77777777" w:rsidR="00331593" w:rsidRPr="000F35ED" w:rsidRDefault="0033159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E486C4F" w14:textId="77777777" w:rsidR="00331593" w:rsidRPr="000F35ED" w:rsidRDefault="00331593" w:rsidP="000F35ED">
      <w:pPr>
        <w:rPr>
          <w:rFonts w:asciiTheme="majorHAnsi" w:hAnsiTheme="majorHAnsi"/>
          <w:sz w:val="16"/>
          <w:szCs w:val="16"/>
        </w:rPr>
      </w:pPr>
      <w:r w:rsidRPr="000F35ED">
        <w:rPr>
          <w:rFonts w:asciiTheme="majorHAnsi" w:hAnsiTheme="majorHAnsi"/>
          <w:sz w:val="16"/>
          <w:szCs w:val="16"/>
        </w:rPr>
        <w:separator/>
      </w:r>
    </w:p>
    <w:p w14:paraId="3B700F3B" w14:textId="77777777" w:rsidR="00331593" w:rsidRPr="000F35ED" w:rsidRDefault="00331593"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0AC6A58" w14:textId="77777777" w:rsidR="00331593" w:rsidRPr="000F35ED" w:rsidRDefault="0033159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B5D0088" w14:textId="552AFE48" w:rsidR="00223CF9" w:rsidRPr="00932C73" w:rsidRDefault="00223CF9" w:rsidP="006B033A">
      <w:pPr>
        <w:pStyle w:val="FootnoteText"/>
        <w:ind w:firstLine="720"/>
        <w:jc w:val="both"/>
        <w:rPr>
          <w:rFonts w:asciiTheme="majorHAnsi" w:hAnsiTheme="majorHAnsi"/>
          <w:sz w:val="16"/>
          <w:szCs w:val="16"/>
          <w:lang w:val="pt-BR"/>
        </w:rPr>
      </w:pPr>
      <w:r w:rsidRPr="00932C73">
        <w:rPr>
          <w:rStyle w:val="FootnoteReference"/>
          <w:rFonts w:asciiTheme="majorHAnsi" w:hAnsiTheme="majorHAnsi"/>
          <w:sz w:val="16"/>
          <w:szCs w:val="16"/>
          <w:lang w:val="pt-BR"/>
        </w:rPr>
        <w:footnoteRef/>
      </w:r>
      <w:r w:rsidRPr="00932C73">
        <w:rPr>
          <w:rFonts w:asciiTheme="majorHAnsi" w:hAnsiTheme="majorHAnsi"/>
          <w:sz w:val="16"/>
          <w:szCs w:val="16"/>
          <w:lang w:val="pt-BR"/>
        </w:rPr>
        <w:t xml:space="preserve"> São também consideradas supostas vítimas: </w:t>
      </w:r>
      <w:r w:rsidR="00A65349" w:rsidRPr="00932C73">
        <w:rPr>
          <w:rFonts w:asciiTheme="majorHAnsi" w:hAnsiTheme="majorHAnsi"/>
          <w:sz w:val="16"/>
          <w:szCs w:val="16"/>
          <w:lang w:val="pt-BR"/>
        </w:rPr>
        <w:t>Eleandro</w:t>
      </w:r>
      <w:r w:rsidR="001875E8" w:rsidRPr="00932C73">
        <w:rPr>
          <w:rFonts w:asciiTheme="majorHAnsi" w:hAnsiTheme="majorHAnsi"/>
          <w:sz w:val="16"/>
          <w:szCs w:val="16"/>
          <w:lang w:val="pt-BR"/>
        </w:rPr>
        <w:t xml:space="preserve"> Lima Rodrigues</w:t>
      </w:r>
      <w:r w:rsidRPr="00932C73">
        <w:rPr>
          <w:rFonts w:asciiTheme="majorHAnsi" w:hAnsiTheme="majorHAnsi"/>
          <w:sz w:val="16"/>
          <w:szCs w:val="16"/>
          <w:lang w:val="pt-BR"/>
        </w:rPr>
        <w:t xml:space="preserve">, </w:t>
      </w:r>
      <w:r w:rsidR="00A65349" w:rsidRPr="00932C73">
        <w:rPr>
          <w:rFonts w:asciiTheme="majorHAnsi" w:hAnsiTheme="majorHAnsi"/>
          <w:sz w:val="16"/>
          <w:szCs w:val="16"/>
          <w:lang w:val="pt-BR"/>
        </w:rPr>
        <w:t>Antônio</w:t>
      </w:r>
      <w:r w:rsidRPr="00932C73">
        <w:rPr>
          <w:rFonts w:asciiTheme="majorHAnsi" w:hAnsiTheme="majorHAnsi"/>
          <w:sz w:val="16"/>
          <w:szCs w:val="16"/>
          <w:lang w:val="pt-BR"/>
        </w:rPr>
        <w:t xml:space="preserve"> Cordeiro de Oliveira, Darci Ferreira Dias, Maria Luiza da Silva, Maria Tuti e Mario Iusten.</w:t>
      </w:r>
      <w:r w:rsidR="00C25D94" w:rsidRPr="00932C73">
        <w:rPr>
          <w:rFonts w:asciiTheme="majorHAnsi" w:hAnsiTheme="majorHAnsi"/>
          <w:sz w:val="16"/>
          <w:szCs w:val="16"/>
          <w:lang w:val="pt-BR"/>
        </w:rPr>
        <w:t xml:space="preserve"> Ademar Krug, Cássio Rodrigues de Souza.</w:t>
      </w:r>
    </w:p>
  </w:footnote>
  <w:footnote w:id="3">
    <w:p w14:paraId="06C1BEFA" w14:textId="69DE4796" w:rsidR="004A6A54" w:rsidRPr="00932C73" w:rsidRDefault="004A6A54" w:rsidP="006B033A">
      <w:pPr>
        <w:pStyle w:val="FootnoteText"/>
        <w:ind w:firstLine="720"/>
        <w:jc w:val="both"/>
        <w:rPr>
          <w:rFonts w:asciiTheme="majorHAnsi" w:hAnsiTheme="majorHAnsi"/>
          <w:sz w:val="16"/>
          <w:szCs w:val="16"/>
          <w:lang w:val="pt-BR"/>
        </w:rPr>
      </w:pPr>
      <w:r w:rsidRPr="00932C73">
        <w:rPr>
          <w:rStyle w:val="FootnoteReference"/>
          <w:rFonts w:asciiTheme="majorHAnsi" w:hAnsiTheme="majorHAnsi"/>
          <w:sz w:val="16"/>
          <w:szCs w:val="16"/>
          <w:lang w:val="pt-BR"/>
        </w:rPr>
        <w:footnoteRef/>
      </w:r>
      <w:r w:rsidRPr="00932C73">
        <w:rPr>
          <w:rFonts w:asciiTheme="majorHAnsi" w:hAnsiTheme="majorHAnsi"/>
          <w:sz w:val="16"/>
          <w:szCs w:val="16"/>
          <w:lang w:val="pt-BR"/>
        </w:rPr>
        <w:t xml:space="preserve"> </w:t>
      </w:r>
      <w:r w:rsidR="006B5EE6" w:rsidRPr="00932C73">
        <w:rPr>
          <w:rFonts w:asciiTheme="majorHAnsi" w:hAnsiTheme="majorHAnsi"/>
          <w:sz w:val="16"/>
          <w:szCs w:val="16"/>
          <w:lang w:val="pt-BR"/>
        </w:rPr>
        <w:t>Conforme</w:t>
      </w:r>
      <w:r w:rsidRPr="00932C73">
        <w:rPr>
          <w:rFonts w:asciiTheme="majorHAnsi" w:hAnsiTheme="majorHAnsi"/>
          <w:sz w:val="16"/>
          <w:szCs w:val="16"/>
          <w:lang w:val="pt-BR"/>
        </w:rPr>
        <w:t xml:space="preserve"> </w:t>
      </w:r>
      <w:r w:rsidR="00D21316" w:rsidRPr="00932C73">
        <w:rPr>
          <w:rFonts w:asciiTheme="majorHAnsi" w:hAnsiTheme="majorHAnsi"/>
          <w:sz w:val="16"/>
          <w:szCs w:val="16"/>
          <w:lang w:val="pt-BR"/>
        </w:rPr>
        <w:t>disposto</w:t>
      </w:r>
      <w:r w:rsidRPr="00932C73">
        <w:rPr>
          <w:rFonts w:asciiTheme="majorHAnsi" w:hAnsiTheme="majorHAnsi"/>
          <w:sz w:val="16"/>
          <w:szCs w:val="16"/>
          <w:lang w:val="pt-BR"/>
        </w:rPr>
        <w:t xml:space="preserve"> </w:t>
      </w:r>
      <w:r w:rsidR="00D21316" w:rsidRPr="00932C73">
        <w:rPr>
          <w:rFonts w:asciiTheme="majorHAnsi" w:hAnsiTheme="majorHAnsi"/>
          <w:sz w:val="16"/>
          <w:szCs w:val="16"/>
          <w:lang w:val="pt-BR"/>
        </w:rPr>
        <w:t>no artigo 17.2.a do</w:t>
      </w:r>
      <w:r w:rsidRPr="00932C73">
        <w:rPr>
          <w:rFonts w:asciiTheme="majorHAnsi" w:hAnsiTheme="majorHAnsi"/>
          <w:sz w:val="16"/>
          <w:szCs w:val="16"/>
          <w:lang w:val="pt-BR"/>
        </w:rPr>
        <w:t xml:space="preserve"> Reg</w:t>
      </w:r>
      <w:r w:rsidR="00D21316" w:rsidRPr="00932C73">
        <w:rPr>
          <w:rFonts w:asciiTheme="majorHAnsi" w:hAnsiTheme="majorHAnsi"/>
          <w:sz w:val="16"/>
          <w:szCs w:val="16"/>
          <w:lang w:val="pt-BR"/>
        </w:rPr>
        <w:t>u</w:t>
      </w:r>
      <w:r w:rsidRPr="00932C73">
        <w:rPr>
          <w:rFonts w:asciiTheme="majorHAnsi" w:hAnsiTheme="majorHAnsi"/>
          <w:sz w:val="16"/>
          <w:szCs w:val="16"/>
          <w:lang w:val="pt-BR"/>
        </w:rPr>
        <w:t xml:space="preserve">lamento da </w:t>
      </w:r>
      <w:r w:rsidR="00D21316" w:rsidRPr="00932C73">
        <w:rPr>
          <w:rFonts w:asciiTheme="majorHAnsi" w:hAnsiTheme="majorHAnsi"/>
          <w:sz w:val="16"/>
          <w:szCs w:val="16"/>
          <w:lang w:val="pt-BR"/>
        </w:rPr>
        <w:t>Comissão</w:t>
      </w:r>
      <w:r w:rsidR="00A53003" w:rsidRPr="00932C73">
        <w:rPr>
          <w:rFonts w:asciiTheme="majorHAnsi" w:hAnsiTheme="majorHAnsi"/>
          <w:sz w:val="16"/>
          <w:szCs w:val="16"/>
          <w:lang w:val="pt-BR"/>
        </w:rPr>
        <w:t xml:space="preserve">, </w:t>
      </w:r>
      <w:r w:rsidR="00D21316" w:rsidRPr="00932C73">
        <w:rPr>
          <w:rFonts w:asciiTheme="majorHAnsi" w:hAnsiTheme="majorHAnsi"/>
          <w:sz w:val="16"/>
          <w:szCs w:val="16"/>
          <w:lang w:val="pt-BR"/>
        </w:rPr>
        <w:t>a</w:t>
      </w:r>
      <w:r w:rsidRPr="00932C73">
        <w:rPr>
          <w:rFonts w:asciiTheme="majorHAnsi" w:hAnsiTheme="majorHAnsi"/>
          <w:sz w:val="16"/>
          <w:szCs w:val="16"/>
          <w:lang w:val="pt-BR"/>
        </w:rPr>
        <w:t xml:space="preserve"> </w:t>
      </w:r>
      <w:r w:rsidR="00A53003" w:rsidRPr="00932C73">
        <w:rPr>
          <w:rFonts w:asciiTheme="majorHAnsi" w:hAnsiTheme="majorHAnsi"/>
          <w:sz w:val="16"/>
          <w:szCs w:val="16"/>
          <w:lang w:val="pt-BR"/>
        </w:rPr>
        <w:t>Comissária</w:t>
      </w:r>
      <w:r w:rsidRPr="00932C73">
        <w:rPr>
          <w:rFonts w:asciiTheme="majorHAnsi" w:hAnsiTheme="majorHAnsi"/>
          <w:sz w:val="16"/>
          <w:szCs w:val="16"/>
          <w:lang w:val="pt-BR"/>
        </w:rPr>
        <w:t xml:space="preserve"> </w:t>
      </w:r>
      <w:r w:rsidR="006A20E7" w:rsidRPr="00932C73">
        <w:rPr>
          <w:rFonts w:asciiTheme="majorHAnsi" w:hAnsiTheme="majorHAnsi"/>
          <w:sz w:val="16"/>
          <w:szCs w:val="16"/>
          <w:lang w:val="pt-BR"/>
        </w:rPr>
        <w:t>Flávia Piovesan</w:t>
      </w:r>
      <w:r w:rsidRPr="00932C73">
        <w:rPr>
          <w:rFonts w:asciiTheme="majorHAnsi" w:hAnsiTheme="majorHAnsi"/>
          <w:sz w:val="16"/>
          <w:szCs w:val="16"/>
          <w:lang w:val="pt-BR"/>
        </w:rPr>
        <w:t>, de nacionalidad</w:t>
      </w:r>
      <w:r w:rsidR="00B51266" w:rsidRPr="00932C73">
        <w:rPr>
          <w:rFonts w:asciiTheme="majorHAnsi" w:hAnsiTheme="majorHAnsi"/>
          <w:sz w:val="16"/>
          <w:szCs w:val="16"/>
          <w:lang w:val="pt-BR"/>
        </w:rPr>
        <w:t>e</w:t>
      </w:r>
      <w:r w:rsidRPr="00932C73">
        <w:rPr>
          <w:rFonts w:asciiTheme="majorHAnsi" w:hAnsiTheme="majorHAnsi"/>
          <w:sz w:val="16"/>
          <w:szCs w:val="16"/>
          <w:lang w:val="pt-BR"/>
        </w:rPr>
        <w:t xml:space="preserve"> </w:t>
      </w:r>
      <w:r w:rsidR="006A20E7" w:rsidRPr="00932C73">
        <w:rPr>
          <w:rFonts w:asciiTheme="majorHAnsi" w:hAnsiTheme="majorHAnsi"/>
          <w:sz w:val="16"/>
          <w:szCs w:val="16"/>
          <w:lang w:val="pt-BR"/>
        </w:rPr>
        <w:t>brasileira</w:t>
      </w:r>
      <w:r w:rsidR="00A53003" w:rsidRPr="00932C73">
        <w:rPr>
          <w:rFonts w:asciiTheme="majorHAnsi" w:hAnsiTheme="majorHAnsi"/>
          <w:sz w:val="16"/>
          <w:szCs w:val="16"/>
          <w:lang w:val="pt-BR"/>
        </w:rPr>
        <w:t>, não participou no</w:t>
      </w:r>
      <w:r w:rsidRPr="00932C73">
        <w:rPr>
          <w:rFonts w:asciiTheme="majorHAnsi" w:hAnsiTheme="majorHAnsi"/>
          <w:sz w:val="16"/>
          <w:szCs w:val="16"/>
          <w:lang w:val="pt-BR"/>
        </w:rPr>
        <w:t xml:space="preserve"> debate </w:t>
      </w:r>
      <w:r w:rsidR="00A53003" w:rsidRPr="00932C73">
        <w:rPr>
          <w:rFonts w:asciiTheme="majorHAnsi" w:hAnsiTheme="majorHAnsi"/>
          <w:sz w:val="16"/>
          <w:szCs w:val="16"/>
          <w:lang w:val="pt-BR"/>
        </w:rPr>
        <w:t>nem na decisão do</w:t>
      </w:r>
      <w:r w:rsidRPr="00932C73">
        <w:rPr>
          <w:rFonts w:asciiTheme="majorHAnsi" w:hAnsiTheme="majorHAnsi"/>
          <w:sz w:val="16"/>
          <w:szCs w:val="16"/>
          <w:lang w:val="pt-BR"/>
        </w:rPr>
        <w:t xml:space="preserve"> presente a</w:t>
      </w:r>
      <w:r w:rsidR="00A53003" w:rsidRPr="00932C73">
        <w:rPr>
          <w:rFonts w:asciiTheme="majorHAnsi" w:hAnsiTheme="majorHAnsi"/>
          <w:sz w:val="16"/>
          <w:szCs w:val="16"/>
          <w:lang w:val="pt-BR"/>
        </w:rPr>
        <w:t>s</w:t>
      </w:r>
      <w:r w:rsidRPr="00932C73">
        <w:rPr>
          <w:rFonts w:asciiTheme="majorHAnsi" w:hAnsiTheme="majorHAnsi"/>
          <w:sz w:val="16"/>
          <w:szCs w:val="16"/>
          <w:lang w:val="pt-BR"/>
        </w:rPr>
        <w:t>sunto.</w:t>
      </w:r>
    </w:p>
  </w:footnote>
  <w:footnote w:id="4">
    <w:p w14:paraId="2A7F7936" w14:textId="1054350C" w:rsidR="00241C9D" w:rsidRPr="00932C73" w:rsidRDefault="00241C9D" w:rsidP="006B033A">
      <w:pPr>
        <w:pStyle w:val="FootnoteText"/>
        <w:ind w:firstLine="720"/>
        <w:jc w:val="both"/>
        <w:rPr>
          <w:rFonts w:asciiTheme="majorHAnsi" w:hAnsiTheme="majorHAnsi"/>
          <w:sz w:val="16"/>
          <w:szCs w:val="16"/>
          <w:lang w:val="pt-BR"/>
        </w:rPr>
      </w:pPr>
      <w:r w:rsidRPr="00932C73">
        <w:rPr>
          <w:rStyle w:val="FootnoteReference"/>
          <w:rFonts w:asciiTheme="majorHAnsi" w:hAnsiTheme="majorHAnsi"/>
          <w:sz w:val="16"/>
          <w:szCs w:val="16"/>
          <w:lang w:val="pt-BR"/>
        </w:rPr>
        <w:footnoteRef/>
      </w:r>
      <w:r w:rsidRPr="00932C73">
        <w:rPr>
          <w:rFonts w:asciiTheme="majorHAnsi" w:hAnsiTheme="majorHAnsi"/>
          <w:sz w:val="16"/>
          <w:szCs w:val="16"/>
          <w:lang w:val="pt-BR"/>
        </w:rPr>
        <w:t xml:space="preserve"> Adiante “Convenção” ou “Convenção Americana”.</w:t>
      </w:r>
    </w:p>
  </w:footnote>
  <w:footnote w:id="5">
    <w:p w14:paraId="79F07139" w14:textId="59ADAE8B" w:rsidR="008E3BFE" w:rsidRPr="00932C73" w:rsidRDefault="008E3BFE" w:rsidP="006B033A">
      <w:pPr>
        <w:pStyle w:val="FootnoteText"/>
        <w:ind w:firstLine="720"/>
        <w:jc w:val="both"/>
        <w:rPr>
          <w:rFonts w:asciiTheme="majorHAnsi" w:hAnsiTheme="majorHAnsi"/>
          <w:sz w:val="16"/>
          <w:szCs w:val="16"/>
          <w:lang w:val="pt-BR"/>
        </w:rPr>
      </w:pPr>
      <w:r w:rsidRPr="00932C73">
        <w:rPr>
          <w:rStyle w:val="FootnoteReference"/>
          <w:rFonts w:asciiTheme="majorHAnsi" w:hAnsiTheme="majorHAnsi"/>
          <w:sz w:val="16"/>
          <w:szCs w:val="16"/>
          <w:lang w:val="pt-BR"/>
        </w:rPr>
        <w:footnoteRef/>
      </w:r>
      <w:r w:rsidRPr="00932C73">
        <w:rPr>
          <w:rFonts w:asciiTheme="majorHAnsi" w:hAnsiTheme="majorHAnsi"/>
          <w:sz w:val="16"/>
          <w:szCs w:val="16"/>
          <w:lang w:val="pt-BR"/>
        </w:rPr>
        <w:t xml:space="preserve"> </w:t>
      </w:r>
      <w:r w:rsidR="00A53003" w:rsidRPr="00932C73">
        <w:rPr>
          <w:rFonts w:asciiTheme="majorHAnsi" w:hAnsiTheme="majorHAnsi"/>
          <w:sz w:val="16"/>
          <w:szCs w:val="16"/>
          <w:lang w:val="pt-BR"/>
        </w:rPr>
        <w:t>As observações de cada parte foram dev</w:t>
      </w:r>
      <w:r w:rsidRPr="00932C73">
        <w:rPr>
          <w:rFonts w:asciiTheme="majorHAnsi" w:hAnsiTheme="majorHAnsi"/>
          <w:sz w:val="16"/>
          <w:szCs w:val="16"/>
          <w:lang w:val="pt-BR"/>
        </w:rPr>
        <w:t>idamente tra</w:t>
      </w:r>
      <w:r w:rsidR="00A53003" w:rsidRPr="00932C73">
        <w:rPr>
          <w:rFonts w:asciiTheme="majorHAnsi" w:hAnsiTheme="majorHAnsi"/>
          <w:sz w:val="16"/>
          <w:szCs w:val="16"/>
          <w:lang w:val="pt-BR"/>
        </w:rPr>
        <w:t>n</w:t>
      </w:r>
      <w:r w:rsidRPr="00932C73">
        <w:rPr>
          <w:rFonts w:asciiTheme="majorHAnsi" w:hAnsiTheme="majorHAnsi"/>
          <w:sz w:val="16"/>
          <w:szCs w:val="16"/>
          <w:lang w:val="pt-BR"/>
        </w:rPr>
        <w:t xml:space="preserve">sladadas </w:t>
      </w:r>
      <w:r w:rsidR="00A53003" w:rsidRPr="00932C73">
        <w:rPr>
          <w:rFonts w:asciiTheme="majorHAnsi" w:hAnsiTheme="majorHAnsi"/>
          <w:sz w:val="16"/>
          <w:szCs w:val="16"/>
          <w:lang w:val="pt-BR"/>
        </w:rPr>
        <w:t>à parte contrá</w:t>
      </w:r>
      <w:r w:rsidRPr="00932C73">
        <w:rPr>
          <w:rFonts w:asciiTheme="majorHAnsi" w:hAnsiTheme="majorHAnsi"/>
          <w:sz w:val="16"/>
          <w:szCs w:val="16"/>
          <w:lang w:val="pt-BR"/>
        </w:rPr>
        <w:t>ria.</w:t>
      </w:r>
    </w:p>
  </w:footnote>
  <w:footnote w:id="6">
    <w:p w14:paraId="464F136F" w14:textId="1FB1A308" w:rsidR="0026157B" w:rsidRPr="00932C73" w:rsidRDefault="0026157B" w:rsidP="006B033A">
      <w:pPr>
        <w:pStyle w:val="FootnoteText"/>
        <w:ind w:firstLine="720"/>
        <w:jc w:val="both"/>
        <w:rPr>
          <w:rFonts w:asciiTheme="majorHAnsi" w:hAnsiTheme="majorHAnsi"/>
          <w:sz w:val="16"/>
          <w:szCs w:val="16"/>
          <w:lang w:val="pt-BR"/>
        </w:rPr>
      </w:pPr>
      <w:r w:rsidRPr="00932C73">
        <w:rPr>
          <w:rStyle w:val="FootnoteReference"/>
          <w:rFonts w:asciiTheme="majorHAnsi" w:hAnsiTheme="majorHAnsi"/>
          <w:sz w:val="16"/>
          <w:szCs w:val="16"/>
          <w:lang w:val="pt-BR"/>
        </w:rPr>
        <w:footnoteRef/>
      </w:r>
      <w:r w:rsidRPr="00932C73">
        <w:rPr>
          <w:rFonts w:asciiTheme="majorHAnsi" w:hAnsiTheme="majorHAnsi"/>
          <w:sz w:val="16"/>
          <w:szCs w:val="16"/>
          <w:lang w:val="pt-BR"/>
        </w:rPr>
        <w:t xml:space="preserve"> Os peticionários afirmam que entre eles existiam 139 crianças de 0 a 6 anos, 14 pessoas com deficiência física e/ou mental, 250 jovens, 46 gestantes e 120 pessoas com mais de 50 anos.</w:t>
      </w:r>
    </w:p>
  </w:footnote>
  <w:footnote w:id="7">
    <w:p w14:paraId="70F45EE4" w14:textId="4490F4D4" w:rsidR="00811BA4" w:rsidRPr="00932C73" w:rsidRDefault="00811BA4" w:rsidP="006B033A">
      <w:pPr>
        <w:pStyle w:val="FootnoteText"/>
        <w:ind w:firstLine="720"/>
        <w:jc w:val="both"/>
        <w:rPr>
          <w:rFonts w:asciiTheme="majorHAnsi" w:hAnsiTheme="majorHAnsi"/>
          <w:sz w:val="16"/>
          <w:szCs w:val="16"/>
          <w:lang w:val="pt-BR"/>
        </w:rPr>
      </w:pPr>
      <w:r w:rsidRPr="00932C73">
        <w:rPr>
          <w:rStyle w:val="FootnoteReference"/>
          <w:rFonts w:asciiTheme="majorHAnsi" w:hAnsiTheme="majorHAnsi"/>
          <w:sz w:val="16"/>
          <w:szCs w:val="16"/>
          <w:lang w:val="pt-BR"/>
        </w:rPr>
        <w:footnoteRef/>
      </w:r>
      <w:r w:rsidRPr="00932C73">
        <w:rPr>
          <w:rFonts w:asciiTheme="majorHAnsi" w:hAnsiTheme="majorHAnsi"/>
          <w:sz w:val="16"/>
          <w:szCs w:val="16"/>
          <w:lang w:val="pt-BR"/>
        </w:rPr>
        <w:t xml:space="preserve"> Congresso Nacional. Requerimento nº 13, 2003.</w:t>
      </w:r>
    </w:p>
  </w:footnote>
  <w:footnote w:id="8">
    <w:p w14:paraId="2965ECF4" w14:textId="2615BEAE" w:rsidR="000612F5" w:rsidRPr="00932C73" w:rsidRDefault="000612F5" w:rsidP="002404CD">
      <w:pPr>
        <w:pStyle w:val="FootnoteText"/>
        <w:ind w:firstLine="720"/>
        <w:jc w:val="both"/>
        <w:rPr>
          <w:rFonts w:asciiTheme="majorHAnsi" w:hAnsiTheme="majorHAnsi"/>
          <w:sz w:val="16"/>
          <w:szCs w:val="16"/>
          <w:lang w:val="pt-BR"/>
        </w:rPr>
      </w:pPr>
      <w:r w:rsidRPr="00932C73">
        <w:rPr>
          <w:rStyle w:val="FootnoteReference"/>
          <w:rFonts w:asciiTheme="majorHAnsi" w:hAnsiTheme="majorHAnsi"/>
          <w:sz w:val="16"/>
          <w:szCs w:val="16"/>
          <w:lang w:val="pt-BR"/>
        </w:rPr>
        <w:footnoteRef/>
      </w:r>
      <w:r w:rsidRPr="00932C73">
        <w:rPr>
          <w:rFonts w:asciiTheme="majorHAnsi" w:hAnsiTheme="majorHAnsi"/>
          <w:sz w:val="16"/>
          <w:szCs w:val="16"/>
          <w:lang w:val="pt-BR"/>
        </w:rPr>
        <w:t xml:space="preserve"> CIDH, </w:t>
      </w:r>
      <w:r w:rsidR="00932C73" w:rsidRPr="00932C73">
        <w:rPr>
          <w:rFonts w:asciiTheme="majorHAnsi" w:hAnsiTheme="majorHAnsi"/>
          <w:sz w:val="16"/>
          <w:szCs w:val="16"/>
          <w:lang w:val="pt-BR"/>
        </w:rPr>
        <w:t>Relatório nº</w:t>
      </w:r>
      <w:r w:rsidRPr="00932C73">
        <w:rPr>
          <w:rFonts w:asciiTheme="majorHAnsi" w:hAnsiTheme="majorHAnsi"/>
          <w:sz w:val="16"/>
          <w:szCs w:val="16"/>
          <w:lang w:val="pt-BR"/>
        </w:rPr>
        <w:t xml:space="preserve"> 72/18. </w:t>
      </w:r>
      <w:r w:rsidR="00932C73" w:rsidRPr="00932C73">
        <w:rPr>
          <w:rFonts w:asciiTheme="majorHAnsi" w:hAnsiTheme="majorHAnsi"/>
          <w:sz w:val="16"/>
          <w:szCs w:val="16"/>
          <w:lang w:val="pt-BR"/>
        </w:rPr>
        <w:t>Petição</w:t>
      </w:r>
      <w:r w:rsidRPr="00932C73">
        <w:rPr>
          <w:rFonts w:asciiTheme="majorHAnsi" w:hAnsiTheme="majorHAnsi"/>
          <w:sz w:val="16"/>
          <w:szCs w:val="16"/>
          <w:lang w:val="pt-BR"/>
        </w:rPr>
        <w:t xml:space="preserve"> 1131-08. </w:t>
      </w:r>
      <w:r w:rsidR="00932C73" w:rsidRPr="00932C73">
        <w:rPr>
          <w:rFonts w:asciiTheme="majorHAnsi" w:hAnsiTheme="majorHAnsi"/>
          <w:sz w:val="16"/>
          <w:szCs w:val="16"/>
          <w:lang w:val="pt-BR"/>
        </w:rPr>
        <w:t>Admissibilidade</w:t>
      </w:r>
      <w:r w:rsidRPr="00932C73">
        <w:rPr>
          <w:rFonts w:asciiTheme="majorHAnsi" w:hAnsiTheme="majorHAnsi"/>
          <w:sz w:val="16"/>
          <w:szCs w:val="16"/>
          <w:lang w:val="pt-BR"/>
        </w:rPr>
        <w:t xml:space="preserve">. Moisés de Jesús Hernández Pinto y familia. Guatemala  20 de </w:t>
      </w:r>
      <w:r w:rsidR="00932C73" w:rsidRPr="00932C73">
        <w:rPr>
          <w:rFonts w:asciiTheme="majorHAnsi" w:hAnsiTheme="majorHAnsi"/>
          <w:sz w:val="16"/>
          <w:szCs w:val="16"/>
          <w:lang w:val="pt-BR"/>
        </w:rPr>
        <w:t>junho</w:t>
      </w:r>
      <w:r w:rsidRPr="00932C73">
        <w:rPr>
          <w:rFonts w:asciiTheme="majorHAnsi" w:hAnsiTheme="majorHAnsi"/>
          <w:sz w:val="16"/>
          <w:szCs w:val="16"/>
          <w:lang w:val="pt-BR"/>
        </w:rPr>
        <w:t xml:space="preserve"> de 2018, </w:t>
      </w:r>
      <w:r w:rsidR="00932C73" w:rsidRPr="00932C73">
        <w:rPr>
          <w:rFonts w:asciiTheme="majorHAnsi" w:hAnsiTheme="majorHAnsi"/>
          <w:sz w:val="16"/>
          <w:szCs w:val="16"/>
          <w:lang w:val="pt-BR"/>
        </w:rPr>
        <w:t>par</w:t>
      </w:r>
      <w:r w:rsidRPr="00932C73">
        <w:rPr>
          <w:rFonts w:asciiTheme="majorHAnsi" w:hAnsiTheme="majorHAnsi"/>
          <w:sz w:val="16"/>
          <w:szCs w:val="16"/>
          <w:lang w:val="pt-BR"/>
        </w:rPr>
        <w:t>. 10.</w:t>
      </w:r>
    </w:p>
  </w:footnote>
  <w:footnote w:id="9">
    <w:p w14:paraId="08AB86C9" w14:textId="77777777" w:rsidR="00E06F8E" w:rsidRPr="00932C73" w:rsidRDefault="00E06F8E" w:rsidP="002404CD">
      <w:pPr>
        <w:pStyle w:val="FootnoteText"/>
        <w:ind w:firstLine="720"/>
        <w:jc w:val="both"/>
        <w:rPr>
          <w:rFonts w:asciiTheme="majorHAnsi" w:hAnsiTheme="majorHAnsi"/>
          <w:sz w:val="16"/>
          <w:szCs w:val="16"/>
          <w:lang w:val="pt-BR"/>
        </w:rPr>
      </w:pPr>
      <w:r w:rsidRPr="00932C73">
        <w:rPr>
          <w:rStyle w:val="FootnoteReference"/>
          <w:rFonts w:asciiTheme="majorHAnsi" w:hAnsiTheme="majorHAnsi"/>
          <w:sz w:val="16"/>
          <w:szCs w:val="16"/>
          <w:lang w:val="pt-BR"/>
        </w:rPr>
        <w:footnoteRef/>
      </w:r>
      <w:r w:rsidRPr="00932C73">
        <w:rPr>
          <w:rFonts w:asciiTheme="majorHAnsi" w:hAnsiTheme="majorHAnsi"/>
          <w:sz w:val="16"/>
          <w:szCs w:val="16"/>
          <w:lang w:val="pt-BR"/>
        </w:rPr>
        <w:t xml:space="preserve"> CIDH. Relatório nº 105/17. Petição 798-07. Admissibilidade. David Valderrama Opazo e outros. Chile. 7 de setembro de 2017, par. 11; CIDH, Relatório nº 78/16. Petição 1170-09. Admissibilidade. Amir Muniz da Silva. Brasil. 30 de dezembro de 2016, par. 32.</w:t>
      </w:r>
    </w:p>
  </w:footnote>
  <w:footnote w:id="10">
    <w:p w14:paraId="18DB9536" w14:textId="59277519" w:rsidR="007500C8" w:rsidRPr="00703741" w:rsidRDefault="007500C8" w:rsidP="002404CD">
      <w:pPr>
        <w:pStyle w:val="FootnoteText"/>
        <w:ind w:firstLine="720"/>
        <w:jc w:val="both"/>
        <w:rPr>
          <w:rFonts w:asciiTheme="majorHAnsi" w:hAnsiTheme="majorHAnsi"/>
          <w:sz w:val="16"/>
          <w:szCs w:val="16"/>
          <w:lang w:val="es-ES"/>
        </w:rPr>
      </w:pPr>
      <w:r w:rsidRPr="00703741">
        <w:rPr>
          <w:rStyle w:val="FootnoteReference"/>
          <w:rFonts w:asciiTheme="majorHAnsi" w:hAnsiTheme="majorHAnsi"/>
          <w:sz w:val="16"/>
          <w:szCs w:val="16"/>
        </w:rPr>
        <w:footnoteRef/>
      </w:r>
      <w:r w:rsidRPr="00703741">
        <w:rPr>
          <w:rFonts w:asciiTheme="majorHAnsi" w:hAnsiTheme="majorHAnsi"/>
          <w:sz w:val="16"/>
          <w:szCs w:val="16"/>
          <w:lang w:val="pt-BR"/>
        </w:rPr>
        <w:t xml:space="preserve"> CIDH. Relatório nº 159/17. Admissibilidade. Sebastián Larroza Velásquez e família. Paraguai. 30 de novembro de 2017, par.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pt-BR" w:eastAsia="pt-BR"/>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331593"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F044E5B2"/>
    <w:lvl w:ilvl="0" w:tplc="5DC48298">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c3NDYzNjM0M7YwNTZQ0lEKTi0uzszPAymwqAUAi+0JbywAAAA="/>
  </w:docVars>
  <w:rsids>
    <w:rsidRoot w:val="006B2D5C"/>
    <w:rsid w:val="0000036F"/>
    <w:rsid w:val="00000CDA"/>
    <w:rsid w:val="00006E1F"/>
    <w:rsid w:val="000070D7"/>
    <w:rsid w:val="0001788C"/>
    <w:rsid w:val="00026D73"/>
    <w:rsid w:val="000337EF"/>
    <w:rsid w:val="00040C3A"/>
    <w:rsid w:val="000419AD"/>
    <w:rsid w:val="000433C9"/>
    <w:rsid w:val="000612F5"/>
    <w:rsid w:val="000716C5"/>
    <w:rsid w:val="00075E23"/>
    <w:rsid w:val="0009344A"/>
    <w:rsid w:val="000A392E"/>
    <w:rsid w:val="000A575F"/>
    <w:rsid w:val="000A6CFE"/>
    <w:rsid w:val="000A7E6B"/>
    <w:rsid w:val="000B4F18"/>
    <w:rsid w:val="000D10DB"/>
    <w:rsid w:val="000E5EB5"/>
    <w:rsid w:val="000E6696"/>
    <w:rsid w:val="000F35ED"/>
    <w:rsid w:val="00107131"/>
    <w:rsid w:val="0010736F"/>
    <w:rsid w:val="00113F73"/>
    <w:rsid w:val="00121CC2"/>
    <w:rsid w:val="00126384"/>
    <w:rsid w:val="00133EE5"/>
    <w:rsid w:val="00164EE6"/>
    <w:rsid w:val="00167A34"/>
    <w:rsid w:val="001875E8"/>
    <w:rsid w:val="001A7870"/>
    <w:rsid w:val="001B3A00"/>
    <w:rsid w:val="001B6375"/>
    <w:rsid w:val="001C1B41"/>
    <w:rsid w:val="001D65EF"/>
    <w:rsid w:val="001E49E7"/>
    <w:rsid w:val="001F7201"/>
    <w:rsid w:val="00207350"/>
    <w:rsid w:val="00223A29"/>
    <w:rsid w:val="00223CF9"/>
    <w:rsid w:val="002250A3"/>
    <w:rsid w:val="0022736D"/>
    <w:rsid w:val="002317A7"/>
    <w:rsid w:val="00235217"/>
    <w:rsid w:val="002404CD"/>
    <w:rsid w:val="002418A2"/>
    <w:rsid w:val="00241C9D"/>
    <w:rsid w:val="00246D1F"/>
    <w:rsid w:val="00247403"/>
    <w:rsid w:val="00247542"/>
    <w:rsid w:val="0026157B"/>
    <w:rsid w:val="00266B61"/>
    <w:rsid w:val="0026712A"/>
    <w:rsid w:val="002704DB"/>
    <w:rsid w:val="002A0AAE"/>
    <w:rsid w:val="002A5820"/>
    <w:rsid w:val="002D2B26"/>
    <w:rsid w:val="002D7EA2"/>
    <w:rsid w:val="002E187C"/>
    <w:rsid w:val="002E489F"/>
    <w:rsid w:val="002F5290"/>
    <w:rsid w:val="00302733"/>
    <w:rsid w:val="00314078"/>
    <w:rsid w:val="0031535D"/>
    <w:rsid w:val="00315F4C"/>
    <w:rsid w:val="003239B8"/>
    <w:rsid w:val="003308CD"/>
    <w:rsid w:val="00331593"/>
    <w:rsid w:val="0033169F"/>
    <w:rsid w:val="00341602"/>
    <w:rsid w:val="00344977"/>
    <w:rsid w:val="00346C95"/>
    <w:rsid w:val="00351695"/>
    <w:rsid w:val="00356185"/>
    <w:rsid w:val="00356ECF"/>
    <w:rsid w:val="00360380"/>
    <w:rsid w:val="0037519E"/>
    <w:rsid w:val="003856D4"/>
    <w:rsid w:val="00386CF0"/>
    <w:rsid w:val="0038709A"/>
    <w:rsid w:val="003A461C"/>
    <w:rsid w:val="003B70FB"/>
    <w:rsid w:val="003C676B"/>
    <w:rsid w:val="003D3BC2"/>
    <w:rsid w:val="003E6CA1"/>
    <w:rsid w:val="003F0835"/>
    <w:rsid w:val="003F209A"/>
    <w:rsid w:val="004065A8"/>
    <w:rsid w:val="004165C2"/>
    <w:rsid w:val="004274F1"/>
    <w:rsid w:val="00441ECB"/>
    <w:rsid w:val="00445193"/>
    <w:rsid w:val="00450BD7"/>
    <w:rsid w:val="00462C1B"/>
    <w:rsid w:val="00467B7E"/>
    <w:rsid w:val="00473BB4"/>
    <w:rsid w:val="00477592"/>
    <w:rsid w:val="00486F1C"/>
    <w:rsid w:val="00487A47"/>
    <w:rsid w:val="0049419D"/>
    <w:rsid w:val="004A6A54"/>
    <w:rsid w:val="004B5D14"/>
    <w:rsid w:val="004C20D2"/>
    <w:rsid w:val="004C2312"/>
    <w:rsid w:val="004C4B62"/>
    <w:rsid w:val="004C54C9"/>
    <w:rsid w:val="004C6C33"/>
    <w:rsid w:val="004D4ABA"/>
    <w:rsid w:val="004D6025"/>
    <w:rsid w:val="004E2649"/>
    <w:rsid w:val="00501399"/>
    <w:rsid w:val="0050633D"/>
    <w:rsid w:val="00507BC4"/>
    <w:rsid w:val="0051155E"/>
    <w:rsid w:val="005128E4"/>
    <w:rsid w:val="005133DB"/>
    <w:rsid w:val="00520069"/>
    <w:rsid w:val="00525560"/>
    <w:rsid w:val="00541B3F"/>
    <w:rsid w:val="00544C49"/>
    <w:rsid w:val="005516A1"/>
    <w:rsid w:val="00563557"/>
    <w:rsid w:val="0057402A"/>
    <w:rsid w:val="005771D0"/>
    <w:rsid w:val="00586737"/>
    <w:rsid w:val="0059087A"/>
    <w:rsid w:val="0059191A"/>
    <w:rsid w:val="005921FF"/>
    <w:rsid w:val="005A24ED"/>
    <w:rsid w:val="005A6D0E"/>
    <w:rsid w:val="005B52B0"/>
    <w:rsid w:val="005B6806"/>
    <w:rsid w:val="005C2461"/>
    <w:rsid w:val="005C4225"/>
    <w:rsid w:val="005F0DAD"/>
    <w:rsid w:val="005F0F33"/>
    <w:rsid w:val="00600DEB"/>
    <w:rsid w:val="00627C9F"/>
    <w:rsid w:val="006311E9"/>
    <w:rsid w:val="00632354"/>
    <w:rsid w:val="00642810"/>
    <w:rsid w:val="00652333"/>
    <w:rsid w:val="00670B53"/>
    <w:rsid w:val="006735C7"/>
    <w:rsid w:val="00676C76"/>
    <w:rsid w:val="0068009E"/>
    <w:rsid w:val="00692219"/>
    <w:rsid w:val="006A17D2"/>
    <w:rsid w:val="006A20E7"/>
    <w:rsid w:val="006A73E6"/>
    <w:rsid w:val="006B033A"/>
    <w:rsid w:val="006B2D5C"/>
    <w:rsid w:val="006B5EE6"/>
    <w:rsid w:val="006C3576"/>
    <w:rsid w:val="006C4EB1"/>
    <w:rsid w:val="006D22F2"/>
    <w:rsid w:val="006E0166"/>
    <w:rsid w:val="006E61DF"/>
    <w:rsid w:val="006E7B34"/>
    <w:rsid w:val="00703741"/>
    <w:rsid w:val="0070697F"/>
    <w:rsid w:val="0072199C"/>
    <w:rsid w:val="00722C9F"/>
    <w:rsid w:val="007253B8"/>
    <w:rsid w:val="00733E27"/>
    <w:rsid w:val="0073741F"/>
    <w:rsid w:val="007500C8"/>
    <w:rsid w:val="00762830"/>
    <w:rsid w:val="0076643F"/>
    <w:rsid w:val="007665A8"/>
    <w:rsid w:val="00777F63"/>
    <w:rsid w:val="007A5817"/>
    <w:rsid w:val="007B05C4"/>
    <w:rsid w:val="007B60E9"/>
    <w:rsid w:val="007B6CC3"/>
    <w:rsid w:val="007B76D3"/>
    <w:rsid w:val="007C2DFB"/>
    <w:rsid w:val="007C3334"/>
    <w:rsid w:val="007D2B98"/>
    <w:rsid w:val="007E21BC"/>
    <w:rsid w:val="007E7C82"/>
    <w:rsid w:val="007F588D"/>
    <w:rsid w:val="00803F1C"/>
    <w:rsid w:val="0080600E"/>
    <w:rsid w:val="00811BA4"/>
    <w:rsid w:val="00817612"/>
    <w:rsid w:val="00833441"/>
    <w:rsid w:val="008338A4"/>
    <w:rsid w:val="00834D49"/>
    <w:rsid w:val="00837C45"/>
    <w:rsid w:val="00844730"/>
    <w:rsid w:val="008457C2"/>
    <w:rsid w:val="00856BCC"/>
    <w:rsid w:val="00857A19"/>
    <w:rsid w:val="00857A82"/>
    <w:rsid w:val="00873836"/>
    <w:rsid w:val="00885737"/>
    <w:rsid w:val="00890650"/>
    <w:rsid w:val="00897E12"/>
    <w:rsid w:val="008A7E0F"/>
    <w:rsid w:val="008B12F5"/>
    <w:rsid w:val="008C2240"/>
    <w:rsid w:val="008D768D"/>
    <w:rsid w:val="008E3759"/>
    <w:rsid w:val="008E3BFE"/>
    <w:rsid w:val="008F1912"/>
    <w:rsid w:val="0090270B"/>
    <w:rsid w:val="009041DC"/>
    <w:rsid w:val="0091239F"/>
    <w:rsid w:val="009134C8"/>
    <w:rsid w:val="00917B5A"/>
    <w:rsid w:val="00920A58"/>
    <w:rsid w:val="00920A8C"/>
    <w:rsid w:val="00932C73"/>
    <w:rsid w:val="00934A2C"/>
    <w:rsid w:val="00954557"/>
    <w:rsid w:val="00954A2D"/>
    <w:rsid w:val="0096706E"/>
    <w:rsid w:val="00974491"/>
    <w:rsid w:val="00975C4E"/>
    <w:rsid w:val="00981FBA"/>
    <w:rsid w:val="00997BC5"/>
    <w:rsid w:val="009A4F41"/>
    <w:rsid w:val="009B381B"/>
    <w:rsid w:val="009B7F64"/>
    <w:rsid w:val="009D1753"/>
    <w:rsid w:val="009D7611"/>
    <w:rsid w:val="009E0B61"/>
    <w:rsid w:val="009E53DE"/>
    <w:rsid w:val="00A11212"/>
    <w:rsid w:val="00A11E44"/>
    <w:rsid w:val="00A328B3"/>
    <w:rsid w:val="00A37F2E"/>
    <w:rsid w:val="00A50FCF"/>
    <w:rsid w:val="00A528D1"/>
    <w:rsid w:val="00A53003"/>
    <w:rsid w:val="00A610CD"/>
    <w:rsid w:val="00A65349"/>
    <w:rsid w:val="00A657A7"/>
    <w:rsid w:val="00A758AA"/>
    <w:rsid w:val="00A75CC3"/>
    <w:rsid w:val="00AA09A2"/>
    <w:rsid w:val="00AA7996"/>
    <w:rsid w:val="00AC19CB"/>
    <w:rsid w:val="00AC5785"/>
    <w:rsid w:val="00AE5488"/>
    <w:rsid w:val="00AE6F91"/>
    <w:rsid w:val="00AF5571"/>
    <w:rsid w:val="00B07341"/>
    <w:rsid w:val="00B30539"/>
    <w:rsid w:val="00B314DB"/>
    <w:rsid w:val="00B361F2"/>
    <w:rsid w:val="00B3718B"/>
    <w:rsid w:val="00B4632A"/>
    <w:rsid w:val="00B51266"/>
    <w:rsid w:val="00B530F1"/>
    <w:rsid w:val="00B771C0"/>
    <w:rsid w:val="00B979BA"/>
    <w:rsid w:val="00BA276C"/>
    <w:rsid w:val="00BB306F"/>
    <w:rsid w:val="00BD4B89"/>
    <w:rsid w:val="00BD5922"/>
    <w:rsid w:val="00BF02CB"/>
    <w:rsid w:val="00BF6FD8"/>
    <w:rsid w:val="00C03680"/>
    <w:rsid w:val="00C054DF"/>
    <w:rsid w:val="00C102FB"/>
    <w:rsid w:val="00C21762"/>
    <w:rsid w:val="00C21FEF"/>
    <w:rsid w:val="00C24543"/>
    <w:rsid w:val="00C256A2"/>
    <w:rsid w:val="00C25D94"/>
    <w:rsid w:val="00C51515"/>
    <w:rsid w:val="00C5660B"/>
    <w:rsid w:val="00C66B72"/>
    <w:rsid w:val="00C87AC4"/>
    <w:rsid w:val="00C9567A"/>
    <w:rsid w:val="00C96FE1"/>
    <w:rsid w:val="00CB212D"/>
    <w:rsid w:val="00CB2660"/>
    <w:rsid w:val="00CC5E90"/>
    <w:rsid w:val="00CD046C"/>
    <w:rsid w:val="00CE076C"/>
    <w:rsid w:val="00CE5199"/>
    <w:rsid w:val="00CE66D5"/>
    <w:rsid w:val="00CF2603"/>
    <w:rsid w:val="00CF637A"/>
    <w:rsid w:val="00D059DE"/>
    <w:rsid w:val="00D05ABD"/>
    <w:rsid w:val="00D13FCE"/>
    <w:rsid w:val="00D21316"/>
    <w:rsid w:val="00D306D1"/>
    <w:rsid w:val="00D30800"/>
    <w:rsid w:val="00D34786"/>
    <w:rsid w:val="00D358AF"/>
    <w:rsid w:val="00D37BFC"/>
    <w:rsid w:val="00D465BA"/>
    <w:rsid w:val="00D47A8E"/>
    <w:rsid w:val="00D52D14"/>
    <w:rsid w:val="00D712D3"/>
    <w:rsid w:val="00D71422"/>
    <w:rsid w:val="00D72DC6"/>
    <w:rsid w:val="00D7558D"/>
    <w:rsid w:val="00D81D92"/>
    <w:rsid w:val="00D876F9"/>
    <w:rsid w:val="00DA2224"/>
    <w:rsid w:val="00DA356D"/>
    <w:rsid w:val="00DA7B5F"/>
    <w:rsid w:val="00DC11E7"/>
    <w:rsid w:val="00DC7023"/>
    <w:rsid w:val="00DC769A"/>
    <w:rsid w:val="00DD3D86"/>
    <w:rsid w:val="00DD466A"/>
    <w:rsid w:val="00DD4AD2"/>
    <w:rsid w:val="00DD7874"/>
    <w:rsid w:val="00DE06DF"/>
    <w:rsid w:val="00DE692F"/>
    <w:rsid w:val="00DF1EC4"/>
    <w:rsid w:val="00E0340B"/>
    <w:rsid w:val="00E04A90"/>
    <w:rsid w:val="00E0551F"/>
    <w:rsid w:val="00E06F8E"/>
    <w:rsid w:val="00E219C7"/>
    <w:rsid w:val="00E4118C"/>
    <w:rsid w:val="00E43157"/>
    <w:rsid w:val="00E461CE"/>
    <w:rsid w:val="00E57951"/>
    <w:rsid w:val="00E720CA"/>
    <w:rsid w:val="00E84EB5"/>
    <w:rsid w:val="00E85662"/>
    <w:rsid w:val="00E8789F"/>
    <w:rsid w:val="00E95E02"/>
    <w:rsid w:val="00E97B71"/>
    <w:rsid w:val="00EA2EBE"/>
    <w:rsid w:val="00EA3D34"/>
    <w:rsid w:val="00EB29C8"/>
    <w:rsid w:val="00EB2B1F"/>
    <w:rsid w:val="00EB454D"/>
    <w:rsid w:val="00EB5397"/>
    <w:rsid w:val="00ED3F98"/>
    <w:rsid w:val="00ED549D"/>
    <w:rsid w:val="00ED76BE"/>
    <w:rsid w:val="00EE00E9"/>
    <w:rsid w:val="00EF619B"/>
    <w:rsid w:val="00F00B55"/>
    <w:rsid w:val="00F02AD1"/>
    <w:rsid w:val="00F2185D"/>
    <w:rsid w:val="00F253CC"/>
    <w:rsid w:val="00F37106"/>
    <w:rsid w:val="00F519CF"/>
    <w:rsid w:val="00F56BA5"/>
    <w:rsid w:val="00F60E22"/>
    <w:rsid w:val="00F81395"/>
    <w:rsid w:val="00F81BB8"/>
    <w:rsid w:val="00F86600"/>
    <w:rsid w:val="00F917D1"/>
    <w:rsid w:val="00F9653B"/>
    <w:rsid w:val="00FB62CF"/>
    <w:rsid w:val="00FB718E"/>
    <w:rsid w:val="00FD3C3B"/>
    <w:rsid w:val="00FE07DD"/>
    <w:rsid w:val="00FE6B45"/>
    <w:rsid w:val="00FF55F3"/>
    <w:rsid w:val="00FF5851"/>
    <w:rsid w:val="00FF623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87A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image" Target="media/image30.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g"/><Relationship Id="rId17"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F0BF9-9123-4498-A811-8B5DE8121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1953</Words>
  <Characters>10860</Characters>
  <Application>Microsoft Office Word</Application>
  <DocSecurity>0</DocSecurity>
  <Lines>231</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nº 360/21</dc:title>
  <dc:creator/>
  <cp:lastModifiedBy/>
  <cp:revision>1</cp:revision>
  <dcterms:created xsi:type="dcterms:W3CDTF">2022-02-09T16:53:00Z</dcterms:created>
  <dcterms:modified xsi:type="dcterms:W3CDTF">2022-02-09T16:53:00Z</dcterms:modified>
</cp:coreProperties>
</file>