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560E0D" w:rsidRDefault="00D306D1" w:rsidP="006513C0">
      <w:pPr>
        <w:jc w:val="both"/>
        <w:rPr>
          <w:rFonts w:ascii="Cambria" w:hAnsi="Cambria" w:cs="Univers"/>
          <w:b/>
          <w:bCs/>
          <w:sz w:val="22"/>
          <w:szCs w:val="22"/>
        </w:rPr>
      </w:pPr>
      <w:r w:rsidRPr="00560E0D">
        <w:rPr>
          <w:rFonts w:ascii="Cambria" w:hAnsi="Cambria"/>
          <w:noProof/>
          <w:sz w:val="22"/>
          <w:szCs w:val="22"/>
          <w:lang w:val="en-US" w:eastAsia="en-US"/>
        </w:rPr>
        <mc:AlternateContent>
          <mc:Choice Requires="wps">
            <w:drawing>
              <wp:anchor distT="0" distB="0" distL="114300" distR="114300" simplePos="0" relativeHeight="251661311" behindDoc="0" locked="0" layoutInCell="1" allowOverlap="1" wp14:anchorId="179A3F0F" wp14:editId="2578C0E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B18515"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" fillcolor="#ffc000" stroked="f" strokeweight="2pt"/>
            </w:pict>
          </mc:Fallback>
        </mc:AlternateContent>
      </w:r>
      <w:r w:rsidR="003E6CA1" w:rsidRPr="00560E0D">
        <w:rPr>
          <w:rFonts w:ascii="Cambria" w:hAnsi="Cambria"/>
          <w:noProof/>
          <w:sz w:val="22"/>
          <w:szCs w:val="22"/>
          <w:lang w:val="en-US" w:eastAsia="en-US"/>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lang w:val="en-US" w:eastAsia="en-US"/>
                              </w:rPr>
                              <w:drawing>
                                <wp:inline distT="0" distB="0" distL="0" distR="0" wp14:anchorId="7A21157D" wp14:editId="7554D5B3">
                                  <wp:extent cx="2164258" cy="510765"/>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164258"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" filled="f" stroked="f" strokeweight=".5pt">
                <v:textbox>
                  <w:txbxContent>
                    <w:p w14:paraId="349218F2" w14:textId="77777777" w:rsidR="00CB2660" w:rsidRDefault="00AE5488" w:rsidP="00AE5488">
                      <w:r>
                        <w:rPr>
                          <w:noProof/>
                          <w:lang w:val="en-US" w:eastAsia="en-US"/>
                        </w:rPr>
                        <w:drawing>
                          <wp:inline distT="0" distB="0" distL="0" distR="0" wp14:anchorId="7A21157D" wp14:editId="7554D5B3">
                            <wp:extent cx="2164258" cy="510765"/>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164258"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560E0D" w:rsidRDefault="00040C3A" w:rsidP="006513C0">
      <w:pPr>
        <w:tabs>
          <w:tab w:val="center" w:pos="5400"/>
        </w:tabs>
        <w:suppressAutoHyphens/>
        <w:jc w:val="both"/>
        <w:rPr>
          <w:rFonts w:ascii="Cambria" w:hAnsi="Cambria"/>
          <w:sz w:val="22"/>
          <w:szCs w:val="22"/>
        </w:rPr>
      </w:pPr>
    </w:p>
    <w:p w14:paraId="5A87E141" w14:textId="77777777" w:rsidR="00040C3A" w:rsidRPr="00560E0D" w:rsidRDefault="00040C3A" w:rsidP="006513C0">
      <w:pPr>
        <w:tabs>
          <w:tab w:val="center" w:pos="5400"/>
        </w:tabs>
        <w:suppressAutoHyphens/>
        <w:jc w:val="both"/>
        <w:rPr>
          <w:rFonts w:ascii="Cambria" w:hAnsi="Cambria"/>
          <w:sz w:val="22"/>
          <w:szCs w:val="22"/>
        </w:rPr>
      </w:pPr>
    </w:p>
    <w:p w14:paraId="29D95BCC" w14:textId="77777777" w:rsidR="005128E4" w:rsidRPr="00560E0D" w:rsidRDefault="005128E4" w:rsidP="006513C0">
      <w:pPr>
        <w:tabs>
          <w:tab w:val="center" w:pos="5400"/>
        </w:tabs>
        <w:suppressAutoHyphens/>
        <w:rPr>
          <w:rFonts w:ascii="Cambria" w:hAnsi="Cambria"/>
          <w:sz w:val="22"/>
          <w:szCs w:val="22"/>
        </w:rPr>
      </w:pPr>
    </w:p>
    <w:p w14:paraId="12A36B24" w14:textId="77777777" w:rsidR="005128E4" w:rsidRPr="00560E0D" w:rsidRDefault="005128E4" w:rsidP="006513C0">
      <w:pPr>
        <w:tabs>
          <w:tab w:val="center" w:pos="5400"/>
        </w:tabs>
        <w:suppressAutoHyphens/>
        <w:rPr>
          <w:rFonts w:ascii="Cambria" w:hAnsi="Cambria"/>
          <w:sz w:val="22"/>
          <w:szCs w:val="22"/>
        </w:rPr>
      </w:pPr>
    </w:p>
    <w:p w14:paraId="2252093D" w14:textId="77777777" w:rsidR="005128E4" w:rsidRPr="00560E0D" w:rsidRDefault="005128E4" w:rsidP="006513C0">
      <w:pPr>
        <w:tabs>
          <w:tab w:val="center" w:pos="5400"/>
        </w:tabs>
        <w:suppressAutoHyphens/>
        <w:rPr>
          <w:rFonts w:ascii="Cambria" w:hAnsi="Cambria"/>
          <w:sz w:val="22"/>
          <w:szCs w:val="22"/>
        </w:rPr>
      </w:pPr>
    </w:p>
    <w:p w14:paraId="403935BD" w14:textId="77777777" w:rsidR="00040C3A" w:rsidRPr="00560E0D" w:rsidRDefault="00040C3A" w:rsidP="006513C0">
      <w:pPr>
        <w:tabs>
          <w:tab w:val="center" w:pos="5400"/>
        </w:tabs>
        <w:suppressAutoHyphens/>
        <w:jc w:val="center"/>
        <w:rPr>
          <w:rFonts w:ascii="Cambria" w:hAnsi="Cambria"/>
          <w:sz w:val="22"/>
          <w:szCs w:val="22"/>
        </w:rPr>
      </w:pPr>
    </w:p>
    <w:p w14:paraId="6DCF5F8F" w14:textId="77777777" w:rsidR="00040C3A" w:rsidRPr="00560E0D" w:rsidRDefault="00040C3A" w:rsidP="006513C0">
      <w:pPr>
        <w:tabs>
          <w:tab w:val="center" w:pos="5400"/>
        </w:tabs>
        <w:suppressAutoHyphens/>
        <w:jc w:val="center"/>
        <w:rPr>
          <w:rFonts w:ascii="Cambria" w:hAnsi="Cambria"/>
          <w:sz w:val="22"/>
          <w:szCs w:val="22"/>
        </w:rPr>
      </w:pPr>
    </w:p>
    <w:p w14:paraId="4791F13A" w14:textId="77777777" w:rsidR="005B52B0" w:rsidRPr="00560E0D" w:rsidRDefault="005B52B0" w:rsidP="006513C0">
      <w:pPr>
        <w:tabs>
          <w:tab w:val="center" w:pos="5400"/>
        </w:tabs>
        <w:suppressAutoHyphens/>
        <w:jc w:val="center"/>
        <w:rPr>
          <w:rFonts w:ascii="Cambria" w:hAnsi="Cambria"/>
          <w:sz w:val="22"/>
          <w:szCs w:val="22"/>
        </w:rPr>
      </w:pPr>
    </w:p>
    <w:p w14:paraId="44E016B6" w14:textId="77777777" w:rsidR="005B52B0" w:rsidRPr="00560E0D" w:rsidRDefault="005B52B0" w:rsidP="006513C0">
      <w:pPr>
        <w:tabs>
          <w:tab w:val="center" w:pos="5400"/>
        </w:tabs>
        <w:suppressAutoHyphens/>
        <w:jc w:val="center"/>
        <w:rPr>
          <w:rFonts w:ascii="Cambria" w:hAnsi="Cambria"/>
          <w:sz w:val="22"/>
          <w:szCs w:val="22"/>
        </w:rPr>
      </w:pPr>
    </w:p>
    <w:p w14:paraId="63D41962" w14:textId="77777777" w:rsidR="005B52B0" w:rsidRPr="00560E0D" w:rsidRDefault="005B52B0" w:rsidP="006513C0">
      <w:pPr>
        <w:tabs>
          <w:tab w:val="center" w:pos="5400"/>
        </w:tabs>
        <w:suppressAutoHyphens/>
        <w:jc w:val="center"/>
        <w:rPr>
          <w:rFonts w:ascii="Cambria" w:hAnsi="Cambria"/>
          <w:sz w:val="22"/>
          <w:szCs w:val="22"/>
        </w:rPr>
      </w:pPr>
    </w:p>
    <w:p w14:paraId="5ADEB990" w14:textId="77777777" w:rsidR="00040C3A" w:rsidRPr="00560E0D" w:rsidRDefault="00040C3A" w:rsidP="006513C0">
      <w:pPr>
        <w:tabs>
          <w:tab w:val="center" w:pos="5400"/>
        </w:tabs>
        <w:suppressAutoHyphens/>
        <w:jc w:val="center"/>
        <w:rPr>
          <w:rFonts w:ascii="Cambria" w:hAnsi="Cambria"/>
          <w:sz w:val="22"/>
          <w:szCs w:val="22"/>
        </w:rPr>
      </w:pPr>
    </w:p>
    <w:p w14:paraId="2D81B7E8" w14:textId="77777777" w:rsidR="00040C3A" w:rsidRPr="00560E0D" w:rsidRDefault="00040C3A" w:rsidP="006513C0">
      <w:pPr>
        <w:tabs>
          <w:tab w:val="center" w:pos="5400"/>
        </w:tabs>
        <w:suppressAutoHyphens/>
        <w:jc w:val="center"/>
        <w:rPr>
          <w:rFonts w:ascii="Cambria" w:hAnsi="Cambria"/>
          <w:sz w:val="22"/>
          <w:szCs w:val="22"/>
        </w:rPr>
      </w:pPr>
    </w:p>
    <w:p w14:paraId="64791D04" w14:textId="77777777" w:rsidR="00040C3A" w:rsidRPr="00560E0D" w:rsidRDefault="003D3BC2" w:rsidP="006513C0">
      <w:pPr>
        <w:tabs>
          <w:tab w:val="center" w:pos="5400"/>
        </w:tabs>
        <w:suppressAutoHyphens/>
        <w:jc w:val="center"/>
        <w:rPr>
          <w:rFonts w:ascii="Cambria" w:hAnsi="Cambria"/>
          <w:sz w:val="22"/>
          <w:szCs w:val="22"/>
        </w:rPr>
      </w:pPr>
      <w:r w:rsidRPr="00560E0D">
        <w:rPr>
          <w:rFonts w:ascii="Cambria" w:hAnsi="Cambria"/>
          <w:noProof/>
          <w:sz w:val="22"/>
          <w:szCs w:val="22"/>
          <w:lang w:val="en-US" w:eastAsia="en-US"/>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2EC55C2F" w:rsidR="005B52B0" w:rsidRPr="007665A8" w:rsidRDefault="00DA2224" w:rsidP="00997BC5">
                            <w:pPr>
                              <w:spacing w:line="276" w:lineRule="auto"/>
                              <w:rPr>
                                <w:rFonts w:asciiTheme="majorHAnsi" w:hAnsiTheme="majorHAnsi" w:cs="Arial"/>
                                <w:b/>
                                <w:bCs/>
                                <w:color w:val="0D0D0D" w:themeColor="text1" w:themeTint="F2"/>
                                <w:sz w:val="36"/>
                                <w:szCs w:val="22"/>
                              </w:rPr>
                            </w:pPr>
                            <w:r w:rsidRPr="007665A8">
                              <w:rPr>
                                <w:rFonts w:asciiTheme="majorHAnsi" w:hAnsiTheme="majorHAnsi" w:cs="Arial"/>
                                <w:b/>
                                <w:bCs/>
                                <w:color w:val="0D0D0D" w:themeColor="text1" w:themeTint="F2"/>
                                <w:sz w:val="36"/>
                                <w:szCs w:val="22"/>
                              </w:rPr>
                              <w:t>RELA</w:t>
                            </w:r>
                            <w:r>
                              <w:rPr>
                                <w:rFonts w:asciiTheme="majorHAnsi" w:hAnsiTheme="majorHAnsi" w:cs="Arial"/>
                                <w:b/>
                                <w:bCs/>
                                <w:color w:val="0D0D0D" w:themeColor="text1" w:themeTint="F2"/>
                                <w:sz w:val="36"/>
                                <w:szCs w:val="22"/>
                              </w:rPr>
                              <w:t>TÓRIO</w:t>
                            </w:r>
                            <w:r w:rsidR="005B52B0" w:rsidRPr="007665A8">
                              <w:rPr>
                                <w:rFonts w:asciiTheme="majorHAnsi" w:hAnsiTheme="majorHAnsi" w:cs="Arial"/>
                                <w:b/>
                                <w:bCs/>
                                <w:color w:val="0D0D0D" w:themeColor="text1" w:themeTint="F2"/>
                                <w:sz w:val="36"/>
                                <w:szCs w:val="22"/>
                              </w:rPr>
                              <w:t xml:space="preserve"> </w:t>
                            </w:r>
                            <w:r w:rsidR="00477592" w:rsidRPr="007665A8">
                              <w:rPr>
                                <w:rFonts w:asciiTheme="majorHAnsi" w:hAnsiTheme="majorHAnsi" w:cs="Arial"/>
                                <w:b/>
                                <w:bCs/>
                                <w:color w:val="0D0D0D" w:themeColor="text1" w:themeTint="F2"/>
                                <w:sz w:val="36"/>
                                <w:szCs w:val="40"/>
                              </w:rPr>
                              <w:t>No.</w:t>
                            </w:r>
                            <w:r w:rsidR="007B05C4" w:rsidRPr="007665A8">
                              <w:rPr>
                                <w:rFonts w:asciiTheme="majorHAnsi" w:hAnsiTheme="majorHAnsi" w:cs="Arial"/>
                                <w:b/>
                                <w:bCs/>
                                <w:color w:val="0D0D0D" w:themeColor="text1" w:themeTint="F2"/>
                                <w:sz w:val="36"/>
                                <w:szCs w:val="22"/>
                              </w:rPr>
                              <w:t xml:space="preserve"> </w:t>
                            </w:r>
                            <w:r w:rsidR="005F3908">
                              <w:rPr>
                                <w:rFonts w:asciiTheme="majorHAnsi" w:hAnsiTheme="majorHAnsi" w:cs="Arial"/>
                                <w:b/>
                                <w:bCs/>
                                <w:color w:val="0D0D0D" w:themeColor="text1" w:themeTint="F2"/>
                                <w:sz w:val="36"/>
                                <w:szCs w:val="22"/>
                              </w:rPr>
                              <w:t>358</w:t>
                            </w:r>
                            <w:r w:rsidR="007B05C4" w:rsidRPr="007665A8">
                              <w:rPr>
                                <w:rFonts w:asciiTheme="majorHAnsi" w:hAnsiTheme="majorHAnsi" w:cs="Arial"/>
                                <w:b/>
                                <w:bCs/>
                                <w:color w:val="0D0D0D" w:themeColor="text1" w:themeTint="F2"/>
                                <w:sz w:val="36"/>
                                <w:szCs w:val="22"/>
                              </w:rPr>
                              <w:t>/</w:t>
                            </w:r>
                            <w:r w:rsidR="003B686B">
                              <w:rPr>
                                <w:rFonts w:asciiTheme="majorHAnsi" w:hAnsiTheme="majorHAnsi" w:cs="Arial"/>
                                <w:b/>
                                <w:bCs/>
                                <w:color w:val="0D0D0D" w:themeColor="text1" w:themeTint="F2"/>
                                <w:sz w:val="36"/>
                                <w:szCs w:val="22"/>
                              </w:rPr>
                              <w:t>2</w:t>
                            </w:r>
                            <w:r w:rsidR="005F3908">
                              <w:rPr>
                                <w:rFonts w:asciiTheme="majorHAnsi" w:hAnsiTheme="majorHAnsi" w:cs="Arial"/>
                                <w:b/>
                                <w:bCs/>
                                <w:color w:val="0D0D0D" w:themeColor="text1" w:themeTint="F2"/>
                                <w:sz w:val="36"/>
                                <w:szCs w:val="22"/>
                              </w:rPr>
                              <w:t>1</w:t>
                            </w:r>
                          </w:p>
                          <w:p w14:paraId="09C54AB3" w14:textId="187317E3" w:rsidR="007B05C4" w:rsidRPr="00DA2224" w:rsidRDefault="00DA2224" w:rsidP="00997BC5">
                            <w:pPr>
                              <w:spacing w:line="276" w:lineRule="auto"/>
                              <w:rPr>
                                <w:rFonts w:asciiTheme="majorHAnsi" w:hAnsiTheme="majorHAnsi" w:cs="Arial"/>
                                <w:b/>
                                <w:color w:val="0D0D0D" w:themeColor="text1" w:themeTint="F2"/>
                                <w:sz w:val="36"/>
                                <w:szCs w:val="22"/>
                              </w:rPr>
                            </w:pPr>
                            <w:r w:rsidRPr="00DA2224">
                              <w:rPr>
                                <w:rFonts w:asciiTheme="majorHAnsi" w:hAnsiTheme="majorHAnsi" w:cs="Arial"/>
                                <w:b/>
                                <w:color w:val="0D0D0D" w:themeColor="text1" w:themeTint="F2"/>
                                <w:sz w:val="36"/>
                                <w:szCs w:val="22"/>
                              </w:rPr>
                              <w:t>PETIÇÃO</w:t>
                            </w:r>
                            <w:r w:rsidR="005B52B0" w:rsidRPr="00DA2224">
                              <w:rPr>
                                <w:rFonts w:asciiTheme="majorHAnsi" w:hAnsiTheme="majorHAnsi" w:cs="Arial"/>
                                <w:b/>
                                <w:color w:val="0D0D0D" w:themeColor="text1" w:themeTint="F2"/>
                                <w:sz w:val="36"/>
                                <w:szCs w:val="22"/>
                              </w:rPr>
                              <w:t xml:space="preserve"> </w:t>
                            </w:r>
                            <w:r w:rsidR="004C4E99">
                              <w:rPr>
                                <w:rFonts w:asciiTheme="majorHAnsi" w:hAnsiTheme="majorHAnsi" w:cs="Arial"/>
                                <w:b/>
                                <w:color w:val="0D0D0D" w:themeColor="text1" w:themeTint="F2"/>
                                <w:sz w:val="36"/>
                                <w:szCs w:val="22"/>
                              </w:rPr>
                              <w:t>724</w:t>
                            </w:r>
                            <w:r w:rsidR="00B921FD">
                              <w:rPr>
                                <w:rFonts w:asciiTheme="majorHAnsi" w:hAnsiTheme="majorHAnsi" w:cs="Arial"/>
                                <w:b/>
                                <w:color w:val="0D0D0D" w:themeColor="text1" w:themeTint="F2"/>
                                <w:sz w:val="36"/>
                                <w:szCs w:val="22"/>
                              </w:rPr>
                              <w:t>-1</w:t>
                            </w:r>
                            <w:r w:rsidR="00A12802">
                              <w:rPr>
                                <w:rFonts w:asciiTheme="majorHAnsi" w:hAnsiTheme="majorHAnsi" w:cs="Arial"/>
                                <w:b/>
                                <w:color w:val="0D0D0D" w:themeColor="text1" w:themeTint="F2"/>
                                <w:sz w:val="36"/>
                                <w:szCs w:val="22"/>
                              </w:rPr>
                              <w:t>3</w:t>
                            </w:r>
                            <w:r w:rsidR="00246D1F" w:rsidRPr="00DA2224">
                              <w:rPr>
                                <w:rFonts w:asciiTheme="majorHAnsi" w:hAnsiTheme="majorHAnsi" w:cs="Arial"/>
                                <w:b/>
                                <w:color w:val="0D0D0D" w:themeColor="text1" w:themeTint="F2"/>
                                <w:sz w:val="36"/>
                                <w:szCs w:val="22"/>
                              </w:rPr>
                              <w:t xml:space="preserve"> </w:t>
                            </w:r>
                          </w:p>
                          <w:p w14:paraId="70CF6833" w14:textId="0CEA14F8" w:rsidR="00CD046C" w:rsidRPr="00DA2224" w:rsidRDefault="00DA2224" w:rsidP="00997BC5">
                            <w:pPr>
                              <w:spacing w:line="276" w:lineRule="auto"/>
                              <w:rPr>
                                <w:rFonts w:asciiTheme="majorHAnsi" w:hAnsiTheme="majorHAnsi" w:cs="Arial"/>
                                <w:color w:val="0D0D0D" w:themeColor="text1" w:themeTint="F2"/>
                                <w:szCs w:val="22"/>
                              </w:rPr>
                            </w:pPr>
                            <w:r w:rsidRPr="00DA2224">
                              <w:rPr>
                                <w:rFonts w:asciiTheme="majorHAnsi" w:hAnsiTheme="majorHAnsi" w:cs="Arial"/>
                                <w:color w:val="0D0D0D" w:themeColor="text1" w:themeTint="F2"/>
                                <w:szCs w:val="22"/>
                              </w:rPr>
                              <w:t>RELATÓRIO</w:t>
                            </w:r>
                            <w:r w:rsidR="005B52B0" w:rsidRPr="00DA2224">
                              <w:rPr>
                                <w:rFonts w:asciiTheme="majorHAnsi" w:hAnsiTheme="majorHAnsi" w:cs="Arial"/>
                                <w:color w:val="0D0D0D" w:themeColor="text1" w:themeTint="F2"/>
                                <w:szCs w:val="22"/>
                              </w:rPr>
                              <w:t xml:space="preserve"> DE ADMIS</w:t>
                            </w:r>
                            <w:r w:rsidRPr="00DA2224">
                              <w:rPr>
                                <w:rFonts w:asciiTheme="majorHAnsi" w:hAnsiTheme="majorHAnsi" w:cs="Arial"/>
                                <w:color w:val="0D0D0D" w:themeColor="text1" w:themeTint="F2"/>
                                <w:szCs w:val="22"/>
                              </w:rPr>
                              <w:t>S</w:t>
                            </w:r>
                            <w:r w:rsidR="005B52B0" w:rsidRPr="00DA2224">
                              <w:rPr>
                                <w:rFonts w:asciiTheme="majorHAnsi" w:hAnsiTheme="majorHAnsi" w:cs="Arial"/>
                                <w:color w:val="0D0D0D" w:themeColor="text1" w:themeTint="F2"/>
                                <w:szCs w:val="22"/>
                              </w:rPr>
                              <w:t>IBILIDAD</w:t>
                            </w:r>
                            <w:r w:rsidRPr="00DA2224">
                              <w:rPr>
                                <w:rFonts w:asciiTheme="majorHAnsi" w:hAnsiTheme="majorHAnsi" w:cs="Arial"/>
                                <w:color w:val="0D0D0D" w:themeColor="text1" w:themeTint="F2"/>
                                <w:szCs w:val="22"/>
                              </w:rPr>
                              <w:t>E</w:t>
                            </w:r>
                          </w:p>
                          <w:p w14:paraId="5FDD6F0D" w14:textId="77777777" w:rsidR="008F1912" w:rsidRPr="00DA2224" w:rsidRDefault="008F1912" w:rsidP="00997BC5">
                            <w:pPr>
                              <w:spacing w:line="276" w:lineRule="auto"/>
                              <w:rPr>
                                <w:rFonts w:asciiTheme="majorHAnsi" w:hAnsiTheme="majorHAnsi" w:cs="Arial"/>
                                <w:color w:val="0D0D0D" w:themeColor="text1" w:themeTint="F2"/>
                                <w:szCs w:val="22"/>
                              </w:rPr>
                            </w:pPr>
                            <w:bookmarkStart w:id="0" w:name="_ftnref1"/>
                          </w:p>
                          <w:bookmarkEnd w:id="0"/>
                          <w:p w14:paraId="1C4AF7CB" w14:textId="0E6774C5" w:rsidR="00B51650" w:rsidRPr="00B51650" w:rsidRDefault="004C4E99" w:rsidP="00997BC5">
                            <w:pPr>
                              <w:spacing w:line="276" w:lineRule="auto"/>
                              <w:rPr>
                                <w:rFonts w:asciiTheme="majorHAnsi" w:hAnsiTheme="majorHAnsi" w:cs="Arial"/>
                                <w:color w:val="0D0D0D" w:themeColor="text1" w:themeTint="F2"/>
                              </w:rPr>
                            </w:pPr>
                            <w:r>
                              <w:rPr>
                                <w:rFonts w:ascii="Cambria" w:hAnsi="Cambria"/>
                                <w:bCs/>
                              </w:rPr>
                              <w:t>DANIEL NITZSCHE STARLING</w:t>
                            </w:r>
                          </w:p>
                          <w:p w14:paraId="35068D0D" w14:textId="0310ED42" w:rsidR="005B52B0" w:rsidRPr="007665A8" w:rsidRDefault="006A20E7"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BRASIL</w:t>
                            </w:r>
                          </w:p>
                          <w:p w14:paraId="575DFD52" w14:textId="77777777" w:rsidR="005B52B0" w:rsidRPr="007665A8" w:rsidRDefault="005B52B0" w:rsidP="007A5817">
                            <w:pPr>
                              <w:rPr>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2EC55C2F" w:rsidR="005B52B0" w:rsidRPr="007665A8" w:rsidRDefault="00DA2224" w:rsidP="00997BC5">
                      <w:pPr>
                        <w:spacing w:line="276" w:lineRule="auto"/>
                        <w:rPr>
                          <w:rFonts w:asciiTheme="majorHAnsi" w:hAnsiTheme="majorHAnsi" w:cs="Arial"/>
                          <w:b/>
                          <w:bCs/>
                          <w:color w:val="0D0D0D" w:themeColor="text1" w:themeTint="F2"/>
                          <w:sz w:val="36"/>
                          <w:szCs w:val="22"/>
                        </w:rPr>
                      </w:pPr>
                      <w:r w:rsidRPr="007665A8">
                        <w:rPr>
                          <w:rFonts w:asciiTheme="majorHAnsi" w:hAnsiTheme="majorHAnsi" w:cs="Arial"/>
                          <w:b/>
                          <w:bCs/>
                          <w:color w:val="0D0D0D" w:themeColor="text1" w:themeTint="F2"/>
                          <w:sz w:val="36"/>
                          <w:szCs w:val="22"/>
                        </w:rPr>
                        <w:t>RELA</w:t>
                      </w:r>
                      <w:r>
                        <w:rPr>
                          <w:rFonts w:asciiTheme="majorHAnsi" w:hAnsiTheme="majorHAnsi" w:cs="Arial"/>
                          <w:b/>
                          <w:bCs/>
                          <w:color w:val="0D0D0D" w:themeColor="text1" w:themeTint="F2"/>
                          <w:sz w:val="36"/>
                          <w:szCs w:val="22"/>
                        </w:rPr>
                        <w:t>TÓRIO</w:t>
                      </w:r>
                      <w:r w:rsidR="005B52B0" w:rsidRPr="007665A8">
                        <w:rPr>
                          <w:rFonts w:asciiTheme="majorHAnsi" w:hAnsiTheme="majorHAnsi" w:cs="Arial"/>
                          <w:b/>
                          <w:bCs/>
                          <w:color w:val="0D0D0D" w:themeColor="text1" w:themeTint="F2"/>
                          <w:sz w:val="36"/>
                          <w:szCs w:val="22"/>
                        </w:rPr>
                        <w:t xml:space="preserve"> </w:t>
                      </w:r>
                      <w:r w:rsidR="00477592" w:rsidRPr="007665A8">
                        <w:rPr>
                          <w:rFonts w:asciiTheme="majorHAnsi" w:hAnsiTheme="majorHAnsi" w:cs="Arial"/>
                          <w:b/>
                          <w:bCs/>
                          <w:color w:val="0D0D0D" w:themeColor="text1" w:themeTint="F2"/>
                          <w:sz w:val="36"/>
                          <w:szCs w:val="40"/>
                        </w:rPr>
                        <w:t>No.</w:t>
                      </w:r>
                      <w:r w:rsidR="007B05C4" w:rsidRPr="007665A8">
                        <w:rPr>
                          <w:rFonts w:asciiTheme="majorHAnsi" w:hAnsiTheme="majorHAnsi" w:cs="Arial"/>
                          <w:b/>
                          <w:bCs/>
                          <w:color w:val="0D0D0D" w:themeColor="text1" w:themeTint="F2"/>
                          <w:sz w:val="36"/>
                          <w:szCs w:val="22"/>
                        </w:rPr>
                        <w:t xml:space="preserve"> </w:t>
                      </w:r>
                      <w:r w:rsidR="005F3908">
                        <w:rPr>
                          <w:rFonts w:asciiTheme="majorHAnsi" w:hAnsiTheme="majorHAnsi" w:cs="Arial"/>
                          <w:b/>
                          <w:bCs/>
                          <w:color w:val="0D0D0D" w:themeColor="text1" w:themeTint="F2"/>
                          <w:sz w:val="36"/>
                          <w:szCs w:val="22"/>
                        </w:rPr>
                        <w:t>358</w:t>
                      </w:r>
                      <w:r w:rsidR="007B05C4" w:rsidRPr="007665A8">
                        <w:rPr>
                          <w:rFonts w:asciiTheme="majorHAnsi" w:hAnsiTheme="majorHAnsi" w:cs="Arial"/>
                          <w:b/>
                          <w:bCs/>
                          <w:color w:val="0D0D0D" w:themeColor="text1" w:themeTint="F2"/>
                          <w:sz w:val="36"/>
                          <w:szCs w:val="22"/>
                        </w:rPr>
                        <w:t>/</w:t>
                      </w:r>
                      <w:r w:rsidR="003B686B">
                        <w:rPr>
                          <w:rFonts w:asciiTheme="majorHAnsi" w:hAnsiTheme="majorHAnsi" w:cs="Arial"/>
                          <w:b/>
                          <w:bCs/>
                          <w:color w:val="0D0D0D" w:themeColor="text1" w:themeTint="F2"/>
                          <w:sz w:val="36"/>
                          <w:szCs w:val="22"/>
                        </w:rPr>
                        <w:t>2</w:t>
                      </w:r>
                      <w:r w:rsidR="005F3908">
                        <w:rPr>
                          <w:rFonts w:asciiTheme="majorHAnsi" w:hAnsiTheme="majorHAnsi" w:cs="Arial"/>
                          <w:b/>
                          <w:bCs/>
                          <w:color w:val="0D0D0D" w:themeColor="text1" w:themeTint="F2"/>
                          <w:sz w:val="36"/>
                          <w:szCs w:val="22"/>
                        </w:rPr>
                        <w:t>1</w:t>
                      </w:r>
                    </w:p>
                    <w:p w14:paraId="09C54AB3" w14:textId="187317E3" w:rsidR="007B05C4" w:rsidRPr="00DA2224" w:rsidRDefault="00DA2224" w:rsidP="00997BC5">
                      <w:pPr>
                        <w:spacing w:line="276" w:lineRule="auto"/>
                        <w:rPr>
                          <w:rFonts w:asciiTheme="majorHAnsi" w:hAnsiTheme="majorHAnsi" w:cs="Arial"/>
                          <w:b/>
                          <w:color w:val="0D0D0D" w:themeColor="text1" w:themeTint="F2"/>
                          <w:sz w:val="36"/>
                          <w:szCs w:val="22"/>
                        </w:rPr>
                      </w:pPr>
                      <w:r w:rsidRPr="00DA2224">
                        <w:rPr>
                          <w:rFonts w:asciiTheme="majorHAnsi" w:hAnsiTheme="majorHAnsi" w:cs="Arial"/>
                          <w:b/>
                          <w:color w:val="0D0D0D" w:themeColor="text1" w:themeTint="F2"/>
                          <w:sz w:val="36"/>
                          <w:szCs w:val="22"/>
                        </w:rPr>
                        <w:t>PETIÇÃO</w:t>
                      </w:r>
                      <w:r w:rsidR="005B52B0" w:rsidRPr="00DA2224">
                        <w:rPr>
                          <w:rFonts w:asciiTheme="majorHAnsi" w:hAnsiTheme="majorHAnsi" w:cs="Arial"/>
                          <w:b/>
                          <w:color w:val="0D0D0D" w:themeColor="text1" w:themeTint="F2"/>
                          <w:sz w:val="36"/>
                          <w:szCs w:val="22"/>
                        </w:rPr>
                        <w:t xml:space="preserve"> </w:t>
                      </w:r>
                      <w:r w:rsidR="004C4E99">
                        <w:rPr>
                          <w:rFonts w:asciiTheme="majorHAnsi" w:hAnsiTheme="majorHAnsi" w:cs="Arial"/>
                          <w:b/>
                          <w:color w:val="0D0D0D" w:themeColor="text1" w:themeTint="F2"/>
                          <w:sz w:val="36"/>
                          <w:szCs w:val="22"/>
                        </w:rPr>
                        <w:t>724</w:t>
                      </w:r>
                      <w:r w:rsidR="00B921FD">
                        <w:rPr>
                          <w:rFonts w:asciiTheme="majorHAnsi" w:hAnsiTheme="majorHAnsi" w:cs="Arial"/>
                          <w:b/>
                          <w:color w:val="0D0D0D" w:themeColor="text1" w:themeTint="F2"/>
                          <w:sz w:val="36"/>
                          <w:szCs w:val="22"/>
                        </w:rPr>
                        <w:t>-1</w:t>
                      </w:r>
                      <w:r w:rsidR="00A12802">
                        <w:rPr>
                          <w:rFonts w:asciiTheme="majorHAnsi" w:hAnsiTheme="majorHAnsi" w:cs="Arial"/>
                          <w:b/>
                          <w:color w:val="0D0D0D" w:themeColor="text1" w:themeTint="F2"/>
                          <w:sz w:val="36"/>
                          <w:szCs w:val="22"/>
                        </w:rPr>
                        <w:t>3</w:t>
                      </w:r>
                      <w:r w:rsidR="00246D1F" w:rsidRPr="00DA2224">
                        <w:rPr>
                          <w:rFonts w:asciiTheme="majorHAnsi" w:hAnsiTheme="majorHAnsi" w:cs="Arial"/>
                          <w:b/>
                          <w:color w:val="0D0D0D" w:themeColor="text1" w:themeTint="F2"/>
                          <w:sz w:val="36"/>
                          <w:szCs w:val="22"/>
                        </w:rPr>
                        <w:t xml:space="preserve"> </w:t>
                      </w:r>
                    </w:p>
                    <w:p w14:paraId="70CF6833" w14:textId="0CEA14F8" w:rsidR="00CD046C" w:rsidRPr="00DA2224" w:rsidRDefault="00DA2224" w:rsidP="00997BC5">
                      <w:pPr>
                        <w:spacing w:line="276" w:lineRule="auto"/>
                        <w:rPr>
                          <w:rFonts w:asciiTheme="majorHAnsi" w:hAnsiTheme="majorHAnsi" w:cs="Arial"/>
                          <w:color w:val="0D0D0D" w:themeColor="text1" w:themeTint="F2"/>
                          <w:szCs w:val="22"/>
                        </w:rPr>
                      </w:pPr>
                      <w:r w:rsidRPr="00DA2224">
                        <w:rPr>
                          <w:rFonts w:asciiTheme="majorHAnsi" w:hAnsiTheme="majorHAnsi" w:cs="Arial"/>
                          <w:color w:val="0D0D0D" w:themeColor="text1" w:themeTint="F2"/>
                          <w:szCs w:val="22"/>
                        </w:rPr>
                        <w:t>RELATÓRIO</w:t>
                      </w:r>
                      <w:r w:rsidR="005B52B0" w:rsidRPr="00DA2224">
                        <w:rPr>
                          <w:rFonts w:asciiTheme="majorHAnsi" w:hAnsiTheme="majorHAnsi" w:cs="Arial"/>
                          <w:color w:val="0D0D0D" w:themeColor="text1" w:themeTint="F2"/>
                          <w:szCs w:val="22"/>
                        </w:rPr>
                        <w:t xml:space="preserve"> DE ADMIS</w:t>
                      </w:r>
                      <w:r w:rsidRPr="00DA2224">
                        <w:rPr>
                          <w:rFonts w:asciiTheme="majorHAnsi" w:hAnsiTheme="majorHAnsi" w:cs="Arial"/>
                          <w:color w:val="0D0D0D" w:themeColor="text1" w:themeTint="F2"/>
                          <w:szCs w:val="22"/>
                        </w:rPr>
                        <w:t>S</w:t>
                      </w:r>
                      <w:r w:rsidR="005B52B0" w:rsidRPr="00DA2224">
                        <w:rPr>
                          <w:rFonts w:asciiTheme="majorHAnsi" w:hAnsiTheme="majorHAnsi" w:cs="Arial"/>
                          <w:color w:val="0D0D0D" w:themeColor="text1" w:themeTint="F2"/>
                          <w:szCs w:val="22"/>
                        </w:rPr>
                        <w:t>IBILIDAD</w:t>
                      </w:r>
                      <w:r w:rsidRPr="00DA2224">
                        <w:rPr>
                          <w:rFonts w:asciiTheme="majorHAnsi" w:hAnsiTheme="majorHAnsi" w:cs="Arial"/>
                          <w:color w:val="0D0D0D" w:themeColor="text1" w:themeTint="F2"/>
                          <w:szCs w:val="22"/>
                        </w:rPr>
                        <w:t>E</w:t>
                      </w:r>
                    </w:p>
                    <w:p w14:paraId="5FDD6F0D" w14:textId="77777777" w:rsidR="008F1912" w:rsidRPr="00DA2224" w:rsidRDefault="008F1912" w:rsidP="00997BC5">
                      <w:pPr>
                        <w:spacing w:line="276" w:lineRule="auto"/>
                        <w:rPr>
                          <w:rFonts w:asciiTheme="majorHAnsi" w:hAnsiTheme="majorHAnsi" w:cs="Arial"/>
                          <w:color w:val="0D0D0D" w:themeColor="text1" w:themeTint="F2"/>
                          <w:szCs w:val="22"/>
                        </w:rPr>
                      </w:pPr>
                      <w:bookmarkStart w:id="1" w:name="_ftnref1"/>
                    </w:p>
                    <w:bookmarkEnd w:id="1"/>
                    <w:p w14:paraId="1C4AF7CB" w14:textId="0E6774C5" w:rsidR="00B51650" w:rsidRPr="00B51650" w:rsidRDefault="004C4E99" w:rsidP="00997BC5">
                      <w:pPr>
                        <w:spacing w:line="276" w:lineRule="auto"/>
                        <w:rPr>
                          <w:rFonts w:asciiTheme="majorHAnsi" w:hAnsiTheme="majorHAnsi" w:cs="Arial"/>
                          <w:color w:val="0D0D0D" w:themeColor="text1" w:themeTint="F2"/>
                        </w:rPr>
                      </w:pPr>
                      <w:r>
                        <w:rPr>
                          <w:rFonts w:ascii="Cambria" w:hAnsi="Cambria"/>
                          <w:bCs/>
                        </w:rPr>
                        <w:t>DANIEL NITZSCHE STARLING</w:t>
                      </w:r>
                    </w:p>
                    <w:p w14:paraId="35068D0D" w14:textId="0310ED42" w:rsidR="005B52B0" w:rsidRPr="007665A8" w:rsidRDefault="006A20E7"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BRASIL</w:t>
                      </w:r>
                    </w:p>
                    <w:p w14:paraId="575DFD52" w14:textId="77777777" w:rsidR="005B52B0" w:rsidRPr="007665A8" w:rsidRDefault="005B52B0" w:rsidP="007A5817">
                      <w:pPr>
                        <w:rPr>
                          <w:color w:val="0D0D0D" w:themeColor="text1" w:themeTint="F2"/>
                        </w:rPr>
                      </w:pPr>
                    </w:p>
                  </w:txbxContent>
                </v:textbox>
              </v:shape>
            </w:pict>
          </mc:Fallback>
        </mc:AlternateContent>
      </w:r>
      <w:r w:rsidR="004E2649" w:rsidRPr="00560E0D">
        <w:rPr>
          <w:rFonts w:ascii="Cambria" w:hAnsi="Cambria"/>
          <w:noProof/>
          <w:sz w:val="22"/>
          <w:szCs w:val="22"/>
          <w:lang w:val="en-US" w:eastAsia="en-US"/>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75D2A1CF" w:rsidR="00627C9F" w:rsidRPr="00A75CC3" w:rsidRDefault="00834D49" w:rsidP="007A5817">
                            <w:pPr>
                              <w:spacing w:line="276" w:lineRule="auto"/>
                              <w:jc w:val="right"/>
                              <w:rPr>
                                <w:rFonts w:asciiTheme="minorHAnsi" w:hAnsiTheme="minorHAnsi"/>
                                <w:sz w:val="22"/>
                              </w:rPr>
                            </w:pPr>
                            <w:r w:rsidRPr="00A75CC3">
                              <w:rPr>
                                <w:rFonts w:asciiTheme="minorHAnsi" w:hAnsiTheme="minorHAnsi"/>
                                <w:sz w:val="22"/>
                              </w:rPr>
                              <w:t>OEA/Ser.L/V/II</w:t>
                            </w:r>
                          </w:p>
                          <w:p w14:paraId="6A41611B" w14:textId="5D6D3D19" w:rsidR="00627C9F" w:rsidRPr="00A75CC3" w:rsidRDefault="00627C9F" w:rsidP="007A5817">
                            <w:pPr>
                              <w:spacing w:line="276" w:lineRule="auto"/>
                              <w:jc w:val="right"/>
                              <w:rPr>
                                <w:rFonts w:asciiTheme="minorHAnsi" w:hAnsiTheme="minorHAnsi"/>
                                <w:sz w:val="22"/>
                              </w:rPr>
                            </w:pPr>
                            <w:r w:rsidRPr="00A75CC3">
                              <w:rPr>
                                <w:rFonts w:asciiTheme="minorHAnsi" w:hAnsiTheme="minorHAnsi"/>
                                <w:sz w:val="22"/>
                              </w:rPr>
                              <w:t xml:space="preserve">Doc. </w:t>
                            </w:r>
                            <w:r w:rsidR="005F3908">
                              <w:rPr>
                                <w:rFonts w:asciiTheme="minorHAnsi" w:hAnsiTheme="minorHAnsi"/>
                                <w:sz w:val="22"/>
                              </w:rPr>
                              <w:t>368</w:t>
                            </w:r>
                          </w:p>
                          <w:p w14:paraId="69373ED2" w14:textId="05AD0D6F" w:rsidR="00627C9F" w:rsidRPr="007A209F" w:rsidRDefault="005F3908" w:rsidP="007A5817">
                            <w:pPr>
                              <w:spacing w:line="276" w:lineRule="auto"/>
                              <w:jc w:val="right"/>
                              <w:rPr>
                                <w:rFonts w:asciiTheme="minorHAnsi" w:hAnsiTheme="minorHAnsi"/>
                                <w:sz w:val="22"/>
                              </w:rPr>
                            </w:pPr>
                            <w:r w:rsidRPr="007A209F">
                              <w:rPr>
                                <w:rFonts w:asciiTheme="minorHAnsi" w:hAnsiTheme="minorHAnsi"/>
                                <w:sz w:val="22"/>
                              </w:rPr>
                              <w:t>1 dezembro</w:t>
                            </w:r>
                            <w:r w:rsidR="00627C9F" w:rsidRPr="007A209F">
                              <w:rPr>
                                <w:rFonts w:asciiTheme="minorHAnsi" w:hAnsiTheme="minorHAnsi"/>
                                <w:sz w:val="22"/>
                              </w:rPr>
                              <w:t xml:space="preserve"> 20</w:t>
                            </w:r>
                            <w:r w:rsidR="003B686B" w:rsidRPr="007A209F">
                              <w:rPr>
                                <w:rFonts w:asciiTheme="minorHAnsi" w:hAnsiTheme="minorHAnsi"/>
                                <w:sz w:val="22"/>
                              </w:rPr>
                              <w:t>2</w:t>
                            </w:r>
                            <w:r w:rsidRPr="007A209F">
                              <w:rPr>
                                <w:rFonts w:asciiTheme="minorHAnsi" w:hAnsiTheme="minorHAnsi"/>
                                <w:sz w:val="22"/>
                              </w:rPr>
                              <w:t>1</w:t>
                            </w:r>
                          </w:p>
                          <w:p w14:paraId="0771DB5B" w14:textId="40CA6718" w:rsidR="00627C9F" w:rsidRPr="00B445AC" w:rsidRDefault="00E0340B" w:rsidP="007A5817">
                            <w:pPr>
                              <w:spacing w:line="276" w:lineRule="auto"/>
                              <w:jc w:val="right"/>
                              <w:rPr>
                                <w:rFonts w:asciiTheme="minorHAnsi" w:hAnsiTheme="minorHAnsi"/>
                                <w:sz w:val="22"/>
                                <w:lang w:val="es-AR"/>
                              </w:rPr>
                            </w:pPr>
                            <w:r w:rsidRPr="00B445AC">
                              <w:rPr>
                                <w:rFonts w:asciiTheme="minorHAnsi" w:hAnsiTheme="minorHAnsi"/>
                                <w:sz w:val="22"/>
                                <w:lang w:val="es-AR"/>
                              </w:rPr>
                              <w:t xml:space="preserve">Original: </w:t>
                            </w:r>
                            <w:proofErr w:type="spellStart"/>
                            <w:r w:rsidR="00DA2224" w:rsidRPr="00B445AC">
                              <w:rPr>
                                <w:rFonts w:asciiTheme="minorHAnsi" w:hAnsiTheme="minorHAnsi"/>
                                <w:sz w:val="22"/>
                                <w:lang w:val="es-AR"/>
                              </w:rPr>
                              <w:t>português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BE5919"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75D2A1CF" w:rsidR="00627C9F" w:rsidRPr="00A75CC3" w:rsidRDefault="00834D49" w:rsidP="007A5817">
                      <w:pPr>
                        <w:spacing w:line="276" w:lineRule="auto"/>
                        <w:jc w:val="right"/>
                        <w:rPr>
                          <w:rFonts w:asciiTheme="minorHAnsi" w:hAnsiTheme="minorHAnsi"/>
                          <w:sz w:val="22"/>
                        </w:rPr>
                      </w:pPr>
                      <w:r w:rsidRPr="00A75CC3">
                        <w:rPr>
                          <w:rFonts w:asciiTheme="minorHAnsi" w:hAnsiTheme="minorHAnsi"/>
                          <w:sz w:val="22"/>
                        </w:rPr>
                        <w:t>OEA/Ser.L/V/II</w:t>
                      </w:r>
                    </w:p>
                    <w:p w14:paraId="6A41611B" w14:textId="5D6D3D19" w:rsidR="00627C9F" w:rsidRPr="00A75CC3" w:rsidRDefault="00627C9F" w:rsidP="007A5817">
                      <w:pPr>
                        <w:spacing w:line="276" w:lineRule="auto"/>
                        <w:jc w:val="right"/>
                        <w:rPr>
                          <w:rFonts w:asciiTheme="minorHAnsi" w:hAnsiTheme="minorHAnsi"/>
                          <w:sz w:val="22"/>
                        </w:rPr>
                      </w:pPr>
                      <w:r w:rsidRPr="00A75CC3">
                        <w:rPr>
                          <w:rFonts w:asciiTheme="minorHAnsi" w:hAnsiTheme="minorHAnsi"/>
                          <w:sz w:val="22"/>
                        </w:rPr>
                        <w:t xml:space="preserve">Doc. </w:t>
                      </w:r>
                      <w:r w:rsidR="005F3908">
                        <w:rPr>
                          <w:rFonts w:asciiTheme="minorHAnsi" w:hAnsiTheme="minorHAnsi"/>
                          <w:sz w:val="22"/>
                        </w:rPr>
                        <w:t>368</w:t>
                      </w:r>
                    </w:p>
                    <w:p w14:paraId="69373ED2" w14:textId="05AD0D6F" w:rsidR="00627C9F" w:rsidRPr="007A209F" w:rsidRDefault="005F3908" w:rsidP="007A5817">
                      <w:pPr>
                        <w:spacing w:line="276" w:lineRule="auto"/>
                        <w:jc w:val="right"/>
                        <w:rPr>
                          <w:rFonts w:asciiTheme="minorHAnsi" w:hAnsiTheme="minorHAnsi"/>
                          <w:sz w:val="22"/>
                        </w:rPr>
                      </w:pPr>
                      <w:r w:rsidRPr="007A209F">
                        <w:rPr>
                          <w:rFonts w:asciiTheme="minorHAnsi" w:hAnsiTheme="minorHAnsi"/>
                          <w:sz w:val="22"/>
                        </w:rPr>
                        <w:t>1 dezembro</w:t>
                      </w:r>
                      <w:r w:rsidR="00627C9F" w:rsidRPr="007A209F">
                        <w:rPr>
                          <w:rFonts w:asciiTheme="minorHAnsi" w:hAnsiTheme="minorHAnsi"/>
                          <w:sz w:val="22"/>
                        </w:rPr>
                        <w:t xml:space="preserve"> 20</w:t>
                      </w:r>
                      <w:r w:rsidR="003B686B" w:rsidRPr="007A209F">
                        <w:rPr>
                          <w:rFonts w:asciiTheme="minorHAnsi" w:hAnsiTheme="minorHAnsi"/>
                          <w:sz w:val="22"/>
                        </w:rPr>
                        <w:t>2</w:t>
                      </w:r>
                      <w:r w:rsidRPr="007A209F">
                        <w:rPr>
                          <w:rFonts w:asciiTheme="minorHAnsi" w:hAnsiTheme="minorHAnsi"/>
                          <w:sz w:val="22"/>
                        </w:rPr>
                        <w:t>1</w:t>
                      </w:r>
                    </w:p>
                    <w:p w14:paraId="0771DB5B" w14:textId="40CA6718" w:rsidR="00627C9F" w:rsidRPr="00B445AC" w:rsidRDefault="00E0340B" w:rsidP="007A5817">
                      <w:pPr>
                        <w:spacing w:line="276" w:lineRule="auto"/>
                        <w:jc w:val="right"/>
                        <w:rPr>
                          <w:rFonts w:asciiTheme="minorHAnsi" w:hAnsiTheme="minorHAnsi"/>
                          <w:sz w:val="22"/>
                          <w:lang w:val="es-AR"/>
                        </w:rPr>
                      </w:pPr>
                      <w:r w:rsidRPr="00B445AC">
                        <w:rPr>
                          <w:rFonts w:asciiTheme="minorHAnsi" w:hAnsiTheme="minorHAnsi"/>
                          <w:sz w:val="22"/>
                          <w:lang w:val="es-AR"/>
                        </w:rPr>
                        <w:t xml:space="preserve">Original: </w:t>
                      </w:r>
                      <w:r w:rsidR="00DA2224" w:rsidRPr="00B445AC">
                        <w:rPr>
                          <w:rFonts w:asciiTheme="minorHAnsi" w:hAnsiTheme="minorHAnsi"/>
                          <w:sz w:val="22"/>
                          <w:lang w:val="es-AR"/>
                        </w:rPr>
                        <w:t>português</w:t>
                      </w:r>
                    </w:p>
                  </w:txbxContent>
                </v:textbox>
              </v:shape>
            </w:pict>
          </mc:Fallback>
        </mc:AlternateContent>
      </w:r>
    </w:p>
    <w:p w14:paraId="155B0536" w14:textId="77777777" w:rsidR="00040C3A" w:rsidRPr="00560E0D" w:rsidRDefault="00040C3A" w:rsidP="006513C0">
      <w:pPr>
        <w:tabs>
          <w:tab w:val="center" w:pos="5400"/>
        </w:tabs>
        <w:suppressAutoHyphens/>
        <w:jc w:val="center"/>
        <w:rPr>
          <w:rFonts w:ascii="Cambria" w:hAnsi="Cambria"/>
          <w:sz w:val="22"/>
          <w:szCs w:val="22"/>
        </w:rPr>
      </w:pPr>
    </w:p>
    <w:p w14:paraId="5FE3AB87" w14:textId="77777777" w:rsidR="00040C3A" w:rsidRPr="00560E0D" w:rsidRDefault="00040C3A" w:rsidP="006513C0">
      <w:pPr>
        <w:tabs>
          <w:tab w:val="center" w:pos="5400"/>
        </w:tabs>
        <w:suppressAutoHyphens/>
        <w:jc w:val="center"/>
        <w:rPr>
          <w:rFonts w:ascii="Cambria" w:hAnsi="Cambria"/>
          <w:sz w:val="22"/>
          <w:szCs w:val="22"/>
        </w:rPr>
      </w:pPr>
    </w:p>
    <w:p w14:paraId="3C383BC0" w14:textId="77777777" w:rsidR="00040C3A" w:rsidRPr="00560E0D" w:rsidRDefault="00040C3A" w:rsidP="006513C0">
      <w:pPr>
        <w:tabs>
          <w:tab w:val="center" w:pos="5400"/>
        </w:tabs>
        <w:suppressAutoHyphens/>
        <w:jc w:val="center"/>
        <w:rPr>
          <w:rFonts w:ascii="Cambria" w:hAnsi="Cambria" w:cs="Arial"/>
          <w:sz w:val="22"/>
          <w:szCs w:val="22"/>
        </w:rPr>
      </w:pPr>
    </w:p>
    <w:p w14:paraId="54590931" w14:textId="77777777" w:rsidR="00040C3A" w:rsidRPr="00560E0D" w:rsidRDefault="00040C3A" w:rsidP="006513C0">
      <w:pPr>
        <w:tabs>
          <w:tab w:val="center" w:pos="5400"/>
        </w:tabs>
        <w:suppressAutoHyphens/>
        <w:jc w:val="center"/>
        <w:rPr>
          <w:rFonts w:ascii="Cambria" w:hAnsi="Cambria"/>
          <w:sz w:val="22"/>
          <w:szCs w:val="22"/>
        </w:rPr>
      </w:pPr>
    </w:p>
    <w:p w14:paraId="76C291D6" w14:textId="77777777" w:rsidR="00040C3A" w:rsidRPr="00560E0D" w:rsidRDefault="00040C3A" w:rsidP="006513C0">
      <w:pPr>
        <w:tabs>
          <w:tab w:val="center" w:pos="5400"/>
        </w:tabs>
        <w:suppressAutoHyphens/>
        <w:jc w:val="center"/>
        <w:rPr>
          <w:rFonts w:ascii="Cambria" w:hAnsi="Cambria"/>
          <w:sz w:val="22"/>
          <w:szCs w:val="22"/>
        </w:rPr>
      </w:pPr>
    </w:p>
    <w:p w14:paraId="2161B44F" w14:textId="77777777" w:rsidR="00040C3A" w:rsidRPr="00560E0D" w:rsidRDefault="00040C3A" w:rsidP="006513C0">
      <w:pPr>
        <w:tabs>
          <w:tab w:val="center" w:pos="5400"/>
        </w:tabs>
        <w:suppressAutoHyphens/>
        <w:jc w:val="center"/>
        <w:rPr>
          <w:rFonts w:ascii="Cambria" w:hAnsi="Cambria"/>
          <w:sz w:val="22"/>
          <w:szCs w:val="22"/>
        </w:rPr>
      </w:pPr>
    </w:p>
    <w:p w14:paraId="3C4EEE07" w14:textId="77777777" w:rsidR="00040C3A" w:rsidRPr="00560E0D" w:rsidRDefault="00040C3A" w:rsidP="006513C0">
      <w:pPr>
        <w:tabs>
          <w:tab w:val="center" w:pos="5400"/>
        </w:tabs>
        <w:suppressAutoHyphens/>
        <w:jc w:val="center"/>
        <w:rPr>
          <w:rFonts w:ascii="Cambria" w:hAnsi="Cambria"/>
          <w:sz w:val="22"/>
          <w:szCs w:val="22"/>
        </w:rPr>
      </w:pPr>
    </w:p>
    <w:p w14:paraId="3B0E4647" w14:textId="77777777" w:rsidR="005128E4" w:rsidRPr="00560E0D" w:rsidRDefault="005128E4" w:rsidP="006513C0">
      <w:pPr>
        <w:tabs>
          <w:tab w:val="center" w:pos="5400"/>
        </w:tabs>
        <w:suppressAutoHyphens/>
        <w:jc w:val="center"/>
        <w:rPr>
          <w:rFonts w:ascii="Cambria" w:hAnsi="Cambria"/>
          <w:sz w:val="22"/>
          <w:szCs w:val="22"/>
        </w:rPr>
      </w:pPr>
    </w:p>
    <w:p w14:paraId="2DAAF36D" w14:textId="77777777" w:rsidR="00040C3A" w:rsidRPr="00560E0D" w:rsidRDefault="00040C3A" w:rsidP="006513C0">
      <w:pPr>
        <w:tabs>
          <w:tab w:val="center" w:pos="5400"/>
        </w:tabs>
        <w:suppressAutoHyphens/>
        <w:jc w:val="center"/>
        <w:rPr>
          <w:rFonts w:ascii="Cambria" w:hAnsi="Cambria"/>
          <w:sz w:val="22"/>
          <w:szCs w:val="22"/>
        </w:rPr>
      </w:pPr>
    </w:p>
    <w:p w14:paraId="12496A14" w14:textId="77777777" w:rsidR="005128E4" w:rsidRPr="00560E0D" w:rsidRDefault="005128E4" w:rsidP="006513C0">
      <w:pPr>
        <w:tabs>
          <w:tab w:val="center" w:pos="5400"/>
        </w:tabs>
        <w:suppressAutoHyphens/>
        <w:jc w:val="center"/>
        <w:rPr>
          <w:rFonts w:ascii="Cambria" w:hAnsi="Cambria"/>
          <w:sz w:val="22"/>
          <w:szCs w:val="22"/>
        </w:rPr>
      </w:pPr>
    </w:p>
    <w:p w14:paraId="25772DB3" w14:textId="77777777" w:rsidR="005128E4" w:rsidRPr="00560E0D" w:rsidRDefault="005128E4" w:rsidP="006513C0">
      <w:pPr>
        <w:tabs>
          <w:tab w:val="center" w:pos="5400"/>
        </w:tabs>
        <w:suppressAutoHyphens/>
        <w:jc w:val="center"/>
        <w:rPr>
          <w:rFonts w:ascii="Cambria" w:hAnsi="Cambria"/>
          <w:sz w:val="22"/>
          <w:szCs w:val="22"/>
        </w:rPr>
      </w:pPr>
    </w:p>
    <w:p w14:paraId="6820FADA" w14:textId="77777777" w:rsidR="005128E4" w:rsidRPr="00560E0D" w:rsidRDefault="005128E4" w:rsidP="006513C0">
      <w:pPr>
        <w:tabs>
          <w:tab w:val="center" w:pos="5400"/>
        </w:tabs>
        <w:suppressAutoHyphens/>
        <w:jc w:val="center"/>
        <w:rPr>
          <w:rFonts w:ascii="Cambria" w:hAnsi="Cambria"/>
          <w:sz w:val="22"/>
          <w:szCs w:val="22"/>
        </w:rPr>
      </w:pPr>
    </w:p>
    <w:p w14:paraId="54445A55" w14:textId="77777777" w:rsidR="00040C3A" w:rsidRPr="00560E0D" w:rsidRDefault="00040C3A" w:rsidP="006513C0">
      <w:pPr>
        <w:tabs>
          <w:tab w:val="center" w:pos="5400"/>
        </w:tabs>
        <w:suppressAutoHyphens/>
        <w:jc w:val="center"/>
        <w:rPr>
          <w:rFonts w:ascii="Cambria" w:hAnsi="Cambria"/>
          <w:sz w:val="22"/>
          <w:szCs w:val="22"/>
        </w:rPr>
      </w:pPr>
    </w:p>
    <w:p w14:paraId="5D4A4040" w14:textId="77777777" w:rsidR="00040C3A" w:rsidRPr="00560E0D" w:rsidRDefault="00040C3A" w:rsidP="006513C0">
      <w:pPr>
        <w:tabs>
          <w:tab w:val="center" w:pos="5400"/>
        </w:tabs>
        <w:suppressAutoHyphens/>
        <w:jc w:val="center"/>
        <w:rPr>
          <w:rFonts w:ascii="Cambria" w:hAnsi="Cambria"/>
          <w:sz w:val="22"/>
          <w:szCs w:val="22"/>
        </w:rPr>
      </w:pPr>
    </w:p>
    <w:p w14:paraId="048FBB22" w14:textId="77777777" w:rsidR="00A50FCF" w:rsidRPr="00560E0D" w:rsidRDefault="00A50FCF" w:rsidP="006513C0">
      <w:pPr>
        <w:tabs>
          <w:tab w:val="center" w:pos="5400"/>
        </w:tabs>
        <w:suppressAutoHyphens/>
        <w:jc w:val="center"/>
        <w:rPr>
          <w:rFonts w:ascii="Cambria" w:hAnsi="Cambria"/>
          <w:sz w:val="18"/>
          <w:szCs w:val="22"/>
        </w:rPr>
      </w:pPr>
    </w:p>
    <w:p w14:paraId="190ABFB3" w14:textId="77777777" w:rsidR="00A50FCF" w:rsidRPr="00560E0D" w:rsidRDefault="00A50FCF" w:rsidP="006513C0">
      <w:pPr>
        <w:tabs>
          <w:tab w:val="center" w:pos="5400"/>
        </w:tabs>
        <w:suppressAutoHyphens/>
        <w:jc w:val="center"/>
        <w:rPr>
          <w:rFonts w:ascii="Cambria" w:hAnsi="Cambria"/>
          <w:sz w:val="18"/>
          <w:szCs w:val="22"/>
        </w:rPr>
      </w:pPr>
    </w:p>
    <w:p w14:paraId="4C690048" w14:textId="77777777" w:rsidR="00A50FCF" w:rsidRPr="00560E0D" w:rsidRDefault="00A50FCF" w:rsidP="006513C0">
      <w:pPr>
        <w:tabs>
          <w:tab w:val="center" w:pos="5400"/>
        </w:tabs>
        <w:suppressAutoHyphens/>
        <w:jc w:val="center"/>
        <w:rPr>
          <w:rFonts w:ascii="Cambria" w:hAnsi="Cambria"/>
          <w:sz w:val="18"/>
          <w:szCs w:val="22"/>
        </w:rPr>
      </w:pPr>
    </w:p>
    <w:p w14:paraId="733CA438" w14:textId="77777777" w:rsidR="00A50FCF" w:rsidRPr="00560E0D" w:rsidRDefault="00A50FCF" w:rsidP="006513C0">
      <w:pPr>
        <w:tabs>
          <w:tab w:val="center" w:pos="5400"/>
        </w:tabs>
        <w:suppressAutoHyphens/>
        <w:jc w:val="center"/>
        <w:rPr>
          <w:rFonts w:ascii="Cambria" w:hAnsi="Cambria"/>
          <w:sz w:val="18"/>
          <w:szCs w:val="22"/>
        </w:rPr>
      </w:pPr>
    </w:p>
    <w:p w14:paraId="7874DEEB" w14:textId="77777777" w:rsidR="00A50FCF" w:rsidRPr="00560E0D" w:rsidRDefault="00A50FCF" w:rsidP="006513C0">
      <w:pPr>
        <w:tabs>
          <w:tab w:val="center" w:pos="5400"/>
        </w:tabs>
        <w:suppressAutoHyphens/>
        <w:jc w:val="center"/>
        <w:rPr>
          <w:rFonts w:ascii="Cambria" w:hAnsi="Cambria"/>
          <w:sz w:val="18"/>
          <w:szCs w:val="22"/>
        </w:rPr>
      </w:pPr>
    </w:p>
    <w:p w14:paraId="3698D0D6" w14:textId="77777777" w:rsidR="00A50FCF" w:rsidRPr="00560E0D" w:rsidRDefault="00A50FCF" w:rsidP="006513C0">
      <w:pPr>
        <w:tabs>
          <w:tab w:val="center" w:pos="5400"/>
        </w:tabs>
        <w:suppressAutoHyphens/>
        <w:jc w:val="center"/>
        <w:rPr>
          <w:rFonts w:ascii="Cambria" w:hAnsi="Cambria"/>
          <w:sz w:val="18"/>
          <w:szCs w:val="22"/>
        </w:rPr>
      </w:pPr>
    </w:p>
    <w:p w14:paraId="1F907823" w14:textId="77777777" w:rsidR="00A50FCF" w:rsidRPr="00560E0D" w:rsidRDefault="00A50FCF" w:rsidP="006513C0">
      <w:pPr>
        <w:tabs>
          <w:tab w:val="center" w:pos="5400"/>
        </w:tabs>
        <w:suppressAutoHyphens/>
        <w:jc w:val="center"/>
        <w:rPr>
          <w:rFonts w:ascii="Cambria" w:hAnsi="Cambria"/>
          <w:sz w:val="18"/>
          <w:szCs w:val="22"/>
        </w:rPr>
      </w:pPr>
    </w:p>
    <w:p w14:paraId="045D9AC1" w14:textId="77777777" w:rsidR="00A50FCF" w:rsidRPr="00560E0D" w:rsidRDefault="00A50FCF" w:rsidP="006513C0">
      <w:pPr>
        <w:tabs>
          <w:tab w:val="center" w:pos="5400"/>
        </w:tabs>
        <w:suppressAutoHyphens/>
        <w:jc w:val="center"/>
        <w:rPr>
          <w:rFonts w:ascii="Cambria" w:hAnsi="Cambria"/>
          <w:sz w:val="18"/>
          <w:szCs w:val="22"/>
        </w:rPr>
      </w:pPr>
    </w:p>
    <w:p w14:paraId="16068EE5" w14:textId="77777777" w:rsidR="00A50FCF" w:rsidRPr="00560E0D" w:rsidRDefault="00A50FCF" w:rsidP="006513C0">
      <w:pPr>
        <w:tabs>
          <w:tab w:val="center" w:pos="5400"/>
        </w:tabs>
        <w:suppressAutoHyphens/>
        <w:jc w:val="center"/>
        <w:rPr>
          <w:rFonts w:ascii="Cambria" w:hAnsi="Cambria"/>
          <w:sz w:val="18"/>
          <w:szCs w:val="22"/>
        </w:rPr>
      </w:pPr>
    </w:p>
    <w:p w14:paraId="14A4A430" w14:textId="77777777" w:rsidR="00A50FCF" w:rsidRPr="00560E0D" w:rsidRDefault="00A50FCF" w:rsidP="006513C0">
      <w:pPr>
        <w:tabs>
          <w:tab w:val="center" w:pos="5400"/>
        </w:tabs>
        <w:suppressAutoHyphens/>
        <w:jc w:val="center"/>
        <w:rPr>
          <w:rFonts w:ascii="Cambria" w:hAnsi="Cambria"/>
          <w:sz w:val="18"/>
          <w:szCs w:val="22"/>
        </w:rPr>
      </w:pPr>
    </w:p>
    <w:p w14:paraId="0B3B735F" w14:textId="77777777" w:rsidR="00A50FCF" w:rsidRPr="00560E0D" w:rsidRDefault="00A50FCF" w:rsidP="006513C0">
      <w:pPr>
        <w:tabs>
          <w:tab w:val="center" w:pos="5400"/>
        </w:tabs>
        <w:suppressAutoHyphens/>
        <w:jc w:val="center"/>
        <w:rPr>
          <w:rFonts w:ascii="Cambria" w:hAnsi="Cambria"/>
          <w:sz w:val="18"/>
          <w:szCs w:val="22"/>
        </w:rPr>
      </w:pPr>
    </w:p>
    <w:p w14:paraId="02C5C441" w14:textId="77777777" w:rsidR="00A50FCF" w:rsidRPr="00560E0D" w:rsidRDefault="00A50FCF" w:rsidP="006513C0">
      <w:pPr>
        <w:tabs>
          <w:tab w:val="center" w:pos="5400"/>
        </w:tabs>
        <w:suppressAutoHyphens/>
        <w:jc w:val="center"/>
        <w:rPr>
          <w:rFonts w:ascii="Cambria" w:hAnsi="Cambria"/>
          <w:sz w:val="18"/>
          <w:szCs w:val="22"/>
        </w:rPr>
      </w:pPr>
    </w:p>
    <w:p w14:paraId="7806A2B0" w14:textId="77777777" w:rsidR="00A50FCF" w:rsidRPr="00560E0D" w:rsidRDefault="00A50FCF" w:rsidP="006513C0">
      <w:pPr>
        <w:tabs>
          <w:tab w:val="center" w:pos="5400"/>
        </w:tabs>
        <w:suppressAutoHyphens/>
        <w:jc w:val="center"/>
        <w:rPr>
          <w:rFonts w:ascii="Cambria" w:hAnsi="Cambria"/>
          <w:sz w:val="18"/>
          <w:szCs w:val="22"/>
        </w:rPr>
      </w:pPr>
    </w:p>
    <w:p w14:paraId="319C392B" w14:textId="77777777" w:rsidR="00A50FCF" w:rsidRPr="00560E0D" w:rsidRDefault="00A50FCF" w:rsidP="006513C0">
      <w:pPr>
        <w:tabs>
          <w:tab w:val="center" w:pos="5400"/>
        </w:tabs>
        <w:suppressAutoHyphens/>
        <w:jc w:val="center"/>
        <w:rPr>
          <w:rFonts w:ascii="Cambria" w:hAnsi="Cambria"/>
          <w:sz w:val="18"/>
          <w:szCs w:val="22"/>
        </w:rPr>
      </w:pPr>
    </w:p>
    <w:p w14:paraId="514A0182" w14:textId="77777777" w:rsidR="00A50FCF" w:rsidRPr="00560E0D" w:rsidRDefault="0090270B" w:rsidP="006513C0">
      <w:pPr>
        <w:tabs>
          <w:tab w:val="center" w:pos="5400"/>
        </w:tabs>
        <w:suppressAutoHyphens/>
        <w:jc w:val="center"/>
        <w:rPr>
          <w:rFonts w:ascii="Cambria" w:hAnsi="Cambria"/>
          <w:sz w:val="18"/>
          <w:szCs w:val="22"/>
        </w:rPr>
      </w:pPr>
      <w:r w:rsidRPr="00560E0D">
        <w:rPr>
          <w:rFonts w:ascii="Cambria" w:hAnsi="Cambria"/>
          <w:noProof/>
          <w:sz w:val="22"/>
          <w:szCs w:val="22"/>
          <w:lang w:val="en-US" w:eastAsia="en-US"/>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76C87D93" w:rsidR="00DD3D86" w:rsidRPr="0038709A" w:rsidRDefault="0038709A" w:rsidP="00DD3D86">
                            <w:pPr>
                              <w:tabs>
                                <w:tab w:val="center" w:pos="5400"/>
                              </w:tabs>
                              <w:suppressAutoHyphens/>
                              <w:spacing w:before="60"/>
                              <w:rPr>
                                <w:rFonts w:asciiTheme="majorHAnsi" w:hAnsiTheme="majorHAnsi"/>
                                <w:color w:val="0D0D0D" w:themeColor="text1" w:themeTint="F2"/>
                                <w:sz w:val="18"/>
                                <w:szCs w:val="22"/>
                              </w:rPr>
                            </w:pPr>
                            <w:r w:rsidRPr="0038709A">
                              <w:rPr>
                                <w:rFonts w:asciiTheme="majorHAnsi" w:hAnsiTheme="majorHAnsi"/>
                                <w:color w:val="0D0D0D" w:themeColor="text1" w:themeTint="F2"/>
                                <w:sz w:val="18"/>
                                <w:szCs w:val="22"/>
                              </w:rPr>
                              <w:t>Aprovado</w:t>
                            </w:r>
                            <w:r w:rsidR="0022736D">
                              <w:rPr>
                                <w:rFonts w:asciiTheme="majorHAnsi" w:hAnsiTheme="majorHAnsi"/>
                                <w:color w:val="0D0D0D" w:themeColor="text1" w:themeTint="F2"/>
                                <w:sz w:val="18"/>
                                <w:szCs w:val="22"/>
                              </w:rPr>
                              <w:t xml:space="preserve"> ele</w:t>
                            </w:r>
                            <w:r w:rsidR="00DD3D86" w:rsidRPr="0038709A">
                              <w:rPr>
                                <w:rFonts w:asciiTheme="majorHAnsi" w:hAnsiTheme="majorHAnsi"/>
                                <w:color w:val="0D0D0D" w:themeColor="text1" w:themeTint="F2"/>
                                <w:sz w:val="18"/>
                                <w:szCs w:val="22"/>
                              </w:rPr>
                              <w:t>tr</w:t>
                            </w:r>
                            <w:r w:rsidRPr="0038709A">
                              <w:rPr>
                                <w:rFonts w:asciiTheme="majorHAnsi" w:hAnsiTheme="majorHAnsi"/>
                                <w:color w:val="0D0D0D" w:themeColor="text1" w:themeTint="F2"/>
                                <w:sz w:val="18"/>
                                <w:szCs w:val="22"/>
                              </w:rPr>
                              <w:t>o</w:t>
                            </w:r>
                            <w:r w:rsidR="00DD3D86" w:rsidRPr="0038709A">
                              <w:rPr>
                                <w:rFonts w:asciiTheme="majorHAnsi" w:hAnsiTheme="majorHAnsi"/>
                                <w:color w:val="0D0D0D" w:themeColor="text1" w:themeTint="F2"/>
                                <w:sz w:val="18"/>
                                <w:szCs w:val="22"/>
                              </w:rPr>
                              <w:t xml:space="preserve">nicamente </w:t>
                            </w:r>
                            <w:r w:rsidRPr="0038709A">
                              <w:rPr>
                                <w:rFonts w:asciiTheme="majorHAnsi" w:hAnsiTheme="majorHAnsi"/>
                                <w:color w:val="0D0D0D" w:themeColor="text1" w:themeTint="F2"/>
                                <w:sz w:val="18"/>
                                <w:szCs w:val="22"/>
                              </w:rPr>
                              <w:t>pel</w:t>
                            </w:r>
                            <w:r w:rsidR="00DD3D86" w:rsidRPr="0038709A">
                              <w:rPr>
                                <w:rFonts w:asciiTheme="majorHAnsi" w:hAnsiTheme="majorHAnsi"/>
                                <w:color w:val="0D0D0D" w:themeColor="text1" w:themeTint="F2"/>
                                <w:sz w:val="18"/>
                                <w:szCs w:val="22"/>
                              </w:rPr>
                              <w:t xml:space="preserve">a </w:t>
                            </w:r>
                            <w:r w:rsidRPr="0038709A">
                              <w:rPr>
                                <w:rFonts w:asciiTheme="majorHAnsi" w:hAnsiTheme="majorHAnsi"/>
                                <w:color w:val="0D0D0D" w:themeColor="text1" w:themeTint="F2"/>
                                <w:sz w:val="18"/>
                                <w:szCs w:val="22"/>
                              </w:rPr>
                              <w:t xml:space="preserve">Comissão em </w:t>
                            </w:r>
                            <w:r w:rsidR="005F3908">
                              <w:rPr>
                                <w:rFonts w:asciiTheme="majorHAnsi" w:hAnsiTheme="majorHAnsi"/>
                                <w:color w:val="0D0D0D" w:themeColor="text1" w:themeTint="F2"/>
                                <w:sz w:val="18"/>
                                <w:szCs w:val="22"/>
                              </w:rPr>
                              <w:t xml:space="preserve">1º </w:t>
                            </w:r>
                            <w:r w:rsidR="00DD3D86" w:rsidRPr="0038709A">
                              <w:rPr>
                                <w:rFonts w:asciiTheme="majorHAnsi" w:hAnsiTheme="majorHAnsi"/>
                                <w:color w:val="0D0D0D" w:themeColor="text1" w:themeTint="F2"/>
                                <w:sz w:val="18"/>
                                <w:szCs w:val="22"/>
                              </w:rPr>
                              <w:t xml:space="preserve">de </w:t>
                            </w:r>
                            <w:r w:rsidR="005F3908">
                              <w:rPr>
                                <w:rFonts w:asciiTheme="majorHAnsi" w:hAnsiTheme="majorHAnsi"/>
                                <w:color w:val="0D0D0D" w:themeColor="text1" w:themeTint="F2"/>
                                <w:sz w:val="18"/>
                                <w:szCs w:val="22"/>
                              </w:rPr>
                              <w:t>dezembro</w:t>
                            </w:r>
                            <w:r w:rsidR="00F81BB8" w:rsidRPr="0038709A">
                              <w:rPr>
                                <w:rFonts w:asciiTheme="majorHAnsi" w:hAnsiTheme="majorHAnsi"/>
                                <w:color w:val="0D0D0D" w:themeColor="text1" w:themeTint="F2"/>
                                <w:sz w:val="18"/>
                                <w:szCs w:val="22"/>
                              </w:rPr>
                              <w:t xml:space="preserve"> </w:t>
                            </w:r>
                            <w:r w:rsidR="00DD3D86" w:rsidRPr="0038709A">
                              <w:rPr>
                                <w:rFonts w:asciiTheme="majorHAnsi" w:hAnsiTheme="majorHAnsi"/>
                                <w:color w:val="0D0D0D" w:themeColor="text1" w:themeTint="F2"/>
                                <w:sz w:val="18"/>
                                <w:szCs w:val="22"/>
                              </w:rPr>
                              <w:t>de 20</w:t>
                            </w:r>
                            <w:r w:rsidR="003B686B">
                              <w:rPr>
                                <w:rFonts w:asciiTheme="majorHAnsi" w:hAnsiTheme="majorHAnsi"/>
                                <w:color w:val="0D0D0D" w:themeColor="text1" w:themeTint="F2"/>
                                <w:sz w:val="18"/>
                                <w:szCs w:val="22"/>
                              </w:rPr>
                              <w:t>2</w:t>
                            </w:r>
                            <w:r w:rsidR="005F3908">
                              <w:rPr>
                                <w:rFonts w:asciiTheme="majorHAnsi" w:hAnsiTheme="majorHAnsi"/>
                                <w:color w:val="0D0D0D" w:themeColor="text1" w:themeTint="F2"/>
                                <w:sz w:val="18"/>
                                <w:szCs w:val="22"/>
                              </w:rPr>
                              <w:t>1</w:t>
                            </w:r>
                            <w:r w:rsidR="005E6941">
                              <w:rPr>
                                <w:rFonts w:asciiTheme="majorHAnsi" w:hAnsiTheme="majorHAnsi"/>
                                <w:color w:val="0D0D0D" w:themeColor="text1" w:themeTint="F2"/>
                                <w:sz w:val="18"/>
                                <w:szCs w:val="22"/>
                              </w:rPr>
                              <w:t>.</w:t>
                            </w:r>
                          </w:p>
                          <w:p w14:paraId="4BDF3581" w14:textId="77777777" w:rsidR="00DD3D86" w:rsidRPr="0038709A"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4D148488" w14:textId="77777777" w:rsidR="005B52B0" w:rsidRPr="0038709A"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76C87D93" w:rsidR="00DD3D86" w:rsidRPr="0038709A" w:rsidRDefault="0038709A" w:rsidP="00DD3D86">
                      <w:pPr>
                        <w:tabs>
                          <w:tab w:val="center" w:pos="5400"/>
                        </w:tabs>
                        <w:suppressAutoHyphens/>
                        <w:spacing w:before="60"/>
                        <w:rPr>
                          <w:rFonts w:asciiTheme="majorHAnsi" w:hAnsiTheme="majorHAnsi"/>
                          <w:color w:val="0D0D0D" w:themeColor="text1" w:themeTint="F2"/>
                          <w:sz w:val="18"/>
                          <w:szCs w:val="22"/>
                        </w:rPr>
                      </w:pPr>
                      <w:r w:rsidRPr="0038709A">
                        <w:rPr>
                          <w:rFonts w:asciiTheme="majorHAnsi" w:hAnsiTheme="majorHAnsi"/>
                          <w:color w:val="0D0D0D" w:themeColor="text1" w:themeTint="F2"/>
                          <w:sz w:val="18"/>
                          <w:szCs w:val="22"/>
                        </w:rPr>
                        <w:t>Aprovado</w:t>
                      </w:r>
                      <w:r w:rsidR="0022736D">
                        <w:rPr>
                          <w:rFonts w:asciiTheme="majorHAnsi" w:hAnsiTheme="majorHAnsi"/>
                          <w:color w:val="0D0D0D" w:themeColor="text1" w:themeTint="F2"/>
                          <w:sz w:val="18"/>
                          <w:szCs w:val="22"/>
                        </w:rPr>
                        <w:t xml:space="preserve"> ele</w:t>
                      </w:r>
                      <w:r w:rsidR="00DD3D86" w:rsidRPr="0038709A">
                        <w:rPr>
                          <w:rFonts w:asciiTheme="majorHAnsi" w:hAnsiTheme="majorHAnsi"/>
                          <w:color w:val="0D0D0D" w:themeColor="text1" w:themeTint="F2"/>
                          <w:sz w:val="18"/>
                          <w:szCs w:val="22"/>
                        </w:rPr>
                        <w:t>tr</w:t>
                      </w:r>
                      <w:r w:rsidRPr="0038709A">
                        <w:rPr>
                          <w:rFonts w:asciiTheme="majorHAnsi" w:hAnsiTheme="majorHAnsi"/>
                          <w:color w:val="0D0D0D" w:themeColor="text1" w:themeTint="F2"/>
                          <w:sz w:val="18"/>
                          <w:szCs w:val="22"/>
                        </w:rPr>
                        <w:t>o</w:t>
                      </w:r>
                      <w:r w:rsidR="00DD3D86" w:rsidRPr="0038709A">
                        <w:rPr>
                          <w:rFonts w:asciiTheme="majorHAnsi" w:hAnsiTheme="majorHAnsi"/>
                          <w:color w:val="0D0D0D" w:themeColor="text1" w:themeTint="F2"/>
                          <w:sz w:val="18"/>
                          <w:szCs w:val="22"/>
                        </w:rPr>
                        <w:t xml:space="preserve">nicamente </w:t>
                      </w:r>
                      <w:r w:rsidRPr="0038709A">
                        <w:rPr>
                          <w:rFonts w:asciiTheme="majorHAnsi" w:hAnsiTheme="majorHAnsi"/>
                          <w:color w:val="0D0D0D" w:themeColor="text1" w:themeTint="F2"/>
                          <w:sz w:val="18"/>
                          <w:szCs w:val="22"/>
                        </w:rPr>
                        <w:t>pel</w:t>
                      </w:r>
                      <w:r w:rsidR="00DD3D86" w:rsidRPr="0038709A">
                        <w:rPr>
                          <w:rFonts w:asciiTheme="majorHAnsi" w:hAnsiTheme="majorHAnsi"/>
                          <w:color w:val="0D0D0D" w:themeColor="text1" w:themeTint="F2"/>
                          <w:sz w:val="18"/>
                          <w:szCs w:val="22"/>
                        </w:rPr>
                        <w:t xml:space="preserve">a </w:t>
                      </w:r>
                      <w:r w:rsidRPr="0038709A">
                        <w:rPr>
                          <w:rFonts w:asciiTheme="majorHAnsi" w:hAnsiTheme="majorHAnsi"/>
                          <w:color w:val="0D0D0D" w:themeColor="text1" w:themeTint="F2"/>
                          <w:sz w:val="18"/>
                          <w:szCs w:val="22"/>
                        </w:rPr>
                        <w:t xml:space="preserve">Comissão em </w:t>
                      </w:r>
                      <w:r w:rsidR="005F3908">
                        <w:rPr>
                          <w:rFonts w:asciiTheme="majorHAnsi" w:hAnsiTheme="majorHAnsi"/>
                          <w:color w:val="0D0D0D" w:themeColor="text1" w:themeTint="F2"/>
                          <w:sz w:val="18"/>
                          <w:szCs w:val="22"/>
                        </w:rPr>
                        <w:t xml:space="preserve">1º </w:t>
                      </w:r>
                      <w:r w:rsidR="00DD3D86" w:rsidRPr="0038709A">
                        <w:rPr>
                          <w:rFonts w:asciiTheme="majorHAnsi" w:hAnsiTheme="majorHAnsi"/>
                          <w:color w:val="0D0D0D" w:themeColor="text1" w:themeTint="F2"/>
                          <w:sz w:val="18"/>
                          <w:szCs w:val="22"/>
                        </w:rPr>
                        <w:t xml:space="preserve">de </w:t>
                      </w:r>
                      <w:r w:rsidR="005F3908">
                        <w:rPr>
                          <w:rFonts w:asciiTheme="majorHAnsi" w:hAnsiTheme="majorHAnsi"/>
                          <w:color w:val="0D0D0D" w:themeColor="text1" w:themeTint="F2"/>
                          <w:sz w:val="18"/>
                          <w:szCs w:val="22"/>
                        </w:rPr>
                        <w:t>dezembro</w:t>
                      </w:r>
                      <w:r w:rsidR="00F81BB8" w:rsidRPr="0038709A">
                        <w:rPr>
                          <w:rFonts w:asciiTheme="majorHAnsi" w:hAnsiTheme="majorHAnsi"/>
                          <w:color w:val="0D0D0D" w:themeColor="text1" w:themeTint="F2"/>
                          <w:sz w:val="18"/>
                          <w:szCs w:val="22"/>
                        </w:rPr>
                        <w:t xml:space="preserve"> </w:t>
                      </w:r>
                      <w:r w:rsidR="00DD3D86" w:rsidRPr="0038709A">
                        <w:rPr>
                          <w:rFonts w:asciiTheme="majorHAnsi" w:hAnsiTheme="majorHAnsi"/>
                          <w:color w:val="0D0D0D" w:themeColor="text1" w:themeTint="F2"/>
                          <w:sz w:val="18"/>
                          <w:szCs w:val="22"/>
                        </w:rPr>
                        <w:t>de 20</w:t>
                      </w:r>
                      <w:r w:rsidR="003B686B">
                        <w:rPr>
                          <w:rFonts w:asciiTheme="majorHAnsi" w:hAnsiTheme="majorHAnsi"/>
                          <w:color w:val="0D0D0D" w:themeColor="text1" w:themeTint="F2"/>
                          <w:sz w:val="18"/>
                          <w:szCs w:val="22"/>
                        </w:rPr>
                        <w:t>2</w:t>
                      </w:r>
                      <w:r w:rsidR="005F3908">
                        <w:rPr>
                          <w:rFonts w:asciiTheme="majorHAnsi" w:hAnsiTheme="majorHAnsi"/>
                          <w:color w:val="0D0D0D" w:themeColor="text1" w:themeTint="F2"/>
                          <w:sz w:val="18"/>
                          <w:szCs w:val="22"/>
                        </w:rPr>
                        <w:t>1</w:t>
                      </w:r>
                      <w:r w:rsidR="005E6941">
                        <w:rPr>
                          <w:rFonts w:asciiTheme="majorHAnsi" w:hAnsiTheme="majorHAnsi"/>
                          <w:color w:val="0D0D0D" w:themeColor="text1" w:themeTint="F2"/>
                          <w:sz w:val="18"/>
                          <w:szCs w:val="22"/>
                        </w:rPr>
                        <w:t>.</w:t>
                      </w:r>
                    </w:p>
                    <w:p w14:paraId="4BDF3581" w14:textId="77777777" w:rsidR="00DD3D86" w:rsidRPr="0038709A"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4D148488" w14:textId="77777777" w:rsidR="005B52B0" w:rsidRPr="0038709A"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1F28BEBB" w14:textId="77777777" w:rsidR="00A50FCF" w:rsidRPr="00560E0D" w:rsidRDefault="00A50FCF" w:rsidP="006513C0">
      <w:pPr>
        <w:tabs>
          <w:tab w:val="center" w:pos="5400"/>
        </w:tabs>
        <w:suppressAutoHyphens/>
        <w:jc w:val="center"/>
        <w:rPr>
          <w:rFonts w:ascii="Cambria" w:hAnsi="Cambria"/>
          <w:sz w:val="18"/>
          <w:szCs w:val="22"/>
        </w:rPr>
      </w:pPr>
    </w:p>
    <w:p w14:paraId="7929D1FD" w14:textId="77777777" w:rsidR="00A50FCF" w:rsidRPr="00560E0D" w:rsidRDefault="00A50FCF" w:rsidP="006513C0">
      <w:pPr>
        <w:tabs>
          <w:tab w:val="center" w:pos="5400"/>
        </w:tabs>
        <w:suppressAutoHyphens/>
        <w:jc w:val="center"/>
        <w:rPr>
          <w:rFonts w:ascii="Cambria" w:hAnsi="Cambria"/>
          <w:sz w:val="18"/>
          <w:szCs w:val="22"/>
        </w:rPr>
      </w:pPr>
    </w:p>
    <w:p w14:paraId="5469D0BE" w14:textId="77777777" w:rsidR="00A50FCF" w:rsidRPr="00560E0D" w:rsidRDefault="00A50FCF" w:rsidP="006513C0">
      <w:pPr>
        <w:tabs>
          <w:tab w:val="center" w:pos="5400"/>
        </w:tabs>
        <w:suppressAutoHyphens/>
        <w:jc w:val="center"/>
        <w:rPr>
          <w:rFonts w:ascii="Cambria" w:hAnsi="Cambria"/>
          <w:sz w:val="18"/>
          <w:szCs w:val="22"/>
        </w:rPr>
      </w:pPr>
    </w:p>
    <w:p w14:paraId="7A79F059" w14:textId="77777777" w:rsidR="00A50FCF" w:rsidRPr="00560E0D" w:rsidRDefault="00A50FCF" w:rsidP="006513C0">
      <w:pPr>
        <w:tabs>
          <w:tab w:val="center" w:pos="5400"/>
        </w:tabs>
        <w:suppressAutoHyphens/>
        <w:jc w:val="center"/>
        <w:rPr>
          <w:rFonts w:ascii="Cambria" w:hAnsi="Cambria"/>
          <w:sz w:val="18"/>
          <w:szCs w:val="22"/>
        </w:rPr>
      </w:pPr>
    </w:p>
    <w:p w14:paraId="330672AE" w14:textId="77777777" w:rsidR="00A50FCF" w:rsidRPr="00560E0D" w:rsidRDefault="0090270B" w:rsidP="006513C0">
      <w:pPr>
        <w:tabs>
          <w:tab w:val="center" w:pos="5400"/>
        </w:tabs>
        <w:suppressAutoHyphens/>
        <w:jc w:val="center"/>
        <w:rPr>
          <w:rFonts w:ascii="Cambria" w:hAnsi="Cambria"/>
          <w:sz w:val="18"/>
          <w:szCs w:val="22"/>
        </w:rPr>
      </w:pPr>
      <w:r w:rsidRPr="00560E0D">
        <w:rPr>
          <w:rFonts w:ascii="Cambria" w:hAnsi="Cambria"/>
          <w:noProof/>
          <w:sz w:val="18"/>
          <w:szCs w:val="22"/>
          <w:lang w:val="en-US" w:eastAsia="en-US"/>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048657E2" w:rsidR="00113F73" w:rsidRPr="0038709A" w:rsidRDefault="00113F73" w:rsidP="00113F73">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rPr>
                              <w:t>Citar como:</w:t>
                            </w:r>
                            <w:r w:rsidRPr="00890650">
                              <w:rPr>
                                <w:rFonts w:asciiTheme="majorHAnsi" w:hAnsiTheme="majorHAnsi"/>
                                <w:color w:val="595959" w:themeColor="text1" w:themeTint="A6"/>
                                <w:sz w:val="18"/>
                                <w:szCs w:val="18"/>
                              </w:rPr>
                              <w:t xml:space="preserve"> CIDH, </w:t>
                            </w:r>
                            <w:r w:rsidR="0038709A">
                              <w:rPr>
                                <w:rFonts w:asciiTheme="majorHAnsi" w:hAnsiTheme="majorHAnsi"/>
                                <w:color w:val="595959" w:themeColor="text1" w:themeTint="A6"/>
                                <w:sz w:val="18"/>
                                <w:szCs w:val="18"/>
                              </w:rPr>
                              <w:t>Relatório</w:t>
                            </w:r>
                            <w:r w:rsidRPr="00890650">
                              <w:rPr>
                                <w:rFonts w:asciiTheme="majorHAnsi" w:hAnsiTheme="majorHAnsi"/>
                                <w:color w:val="595959" w:themeColor="text1" w:themeTint="A6"/>
                                <w:sz w:val="18"/>
                                <w:szCs w:val="18"/>
                              </w:rPr>
                              <w:t xml:space="preserve"> No. </w:t>
                            </w:r>
                            <w:r w:rsidR="005F3908">
                              <w:rPr>
                                <w:rFonts w:asciiTheme="majorHAnsi" w:hAnsiTheme="majorHAnsi"/>
                                <w:color w:val="595959" w:themeColor="text1" w:themeTint="A6"/>
                                <w:sz w:val="18"/>
                                <w:szCs w:val="18"/>
                              </w:rPr>
                              <w:t>358</w:t>
                            </w:r>
                            <w:r w:rsidR="0038709A" w:rsidRPr="0038709A">
                              <w:rPr>
                                <w:rFonts w:asciiTheme="majorHAnsi" w:hAnsiTheme="majorHAnsi"/>
                                <w:color w:val="595959" w:themeColor="text1" w:themeTint="A6"/>
                                <w:sz w:val="18"/>
                                <w:szCs w:val="18"/>
                              </w:rPr>
                              <w:t>/</w:t>
                            </w:r>
                            <w:r w:rsidR="005F3908">
                              <w:rPr>
                                <w:rFonts w:asciiTheme="majorHAnsi" w:hAnsiTheme="majorHAnsi"/>
                                <w:color w:val="595959" w:themeColor="text1" w:themeTint="A6"/>
                                <w:sz w:val="18"/>
                                <w:szCs w:val="18"/>
                              </w:rPr>
                              <w:t>21</w:t>
                            </w:r>
                            <w:r w:rsidRPr="0038709A">
                              <w:rPr>
                                <w:rFonts w:asciiTheme="majorHAnsi" w:hAnsiTheme="majorHAnsi"/>
                                <w:color w:val="595959" w:themeColor="text1" w:themeTint="A6"/>
                                <w:sz w:val="18"/>
                                <w:szCs w:val="18"/>
                              </w:rPr>
                              <w:t xml:space="preserve">. </w:t>
                            </w:r>
                            <w:r w:rsidR="0038709A" w:rsidRPr="0038709A">
                              <w:rPr>
                                <w:rFonts w:asciiTheme="majorHAnsi" w:hAnsiTheme="majorHAnsi"/>
                                <w:color w:val="595959" w:themeColor="text1" w:themeTint="A6"/>
                                <w:sz w:val="18"/>
                                <w:szCs w:val="18"/>
                              </w:rPr>
                              <w:t>Petição</w:t>
                            </w:r>
                            <w:r w:rsidR="000433C9" w:rsidRPr="0038709A">
                              <w:rPr>
                                <w:rFonts w:asciiTheme="majorHAnsi" w:hAnsiTheme="majorHAnsi"/>
                                <w:color w:val="595959" w:themeColor="text1" w:themeTint="A6"/>
                                <w:sz w:val="18"/>
                                <w:szCs w:val="18"/>
                              </w:rPr>
                              <w:t xml:space="preserve"> </w:t>
                            </w:r>
                            <w:r w:rsidR="007A209F">
                              <w:rPr>
                                <w:rFonts w:asciiTheme="majorHAnsi" w:hAnsiTheme="majorHAnsi"/>
                                <w:color w:val="595959" w:themeColor="text1" w:themeTint="A6"/>
                                <w:sz w:val="18"/>
                                <w:szCs w:val="18"/>
                              </w:rPr>
                              <w:t>724</w:t>
                            </w:r>
                            <w:r w:rsidR="00B51650">
                              <w:rPr>
                                <w:rFonts w:asciiTheme="majorHAnsi" w:hAnsiTheme="majorHAnsi"/>
                                <w:color w:val="595959" w:themeColor="text1" w:themeTint="A6"/>
                                <w:sz w:val="18"/>
                                <w:szCs w:val="18"/>
                              </w:rPr>
                              <w:t>-1</w:t>
                            </w:r>
                            <w:r w:rsidR="007A209F">
                              <w:rPr>
                                <w:rFonts w:asciiTheme="majorHAnsi" w:hAnsiTheme="majorHAnsi"/>
                                <w:color w:val="595959" w:themeColor="text1" w:themeTint="A6"/>
                                <w:sz w:val="18"/>
                                <w:szCs w:val="18"/>
                              </w:rPr>
                              <w:t>3</w:t>
                            </w:r>
                            <w:r w:rsidR="00B51650">
                              <w:rPr>
                                <w:rFonts w:asciiTheme="majorHAnsi" w:hAnsiTheme="majorHAnsi"/>
                                <w:color w:val="595959" w:themeColor="text1" w:themeTint="A6"/>
                                <w:sz w:val="18"/>
                                <w:szCs w:val="18"/>
                              </w:rPr>
                              <w:t>.</w:t>
                            </w:r>
                            <w:r w:rsidR="000433C9" w:rsidRPr="0038709A">
                              <w:rPr>
                                <w:rFonts w:asciiTheme="majorHAnsi" w:hAnsiTheme="majorHAnsi"/>
                                <w:color w:val="595959" w:themeColor="text1" w:themeTint="A6"/>
                                <w:sz w:val="18"/>
                                <w:szCs w:val="18"/>
                              </w:rPr>
                              <w:t xml:space="preserve"> </w:t>
                            </w:r>
                            <w:r w:rsidRPr="0038709A">
                              <w:rPr>
                                <w:rFonts w:asciiTheme="majorHAnsi" w:hAnsiTheme="majorHAnsi"/>
                                <w:color w:val="595959" w:themeColor="text1" w:themeTint="A6"/>
                                <w:sz w:val="18"/>
                                <w:szCs w:val="18"/>
                              </w:rPr>
                              <w:t>Admi</w:t>
                            </w:r>
                            <w:r w:rsidR="0038709A" w:rsidRPr="0038709A">
                              <w:rPr>
                                <w:rFonts w:asciiTheme="majorHAnsi" w:hAnsiTheme="majorHAnsi"/>
                                <w:color w:val="595959" w:themeColor="text1" w:themeTint="A6"/>
                                <w:sz w:val="18"/>
                                <w:szCs w:val="18"/>
                              </w:rPr>
                              <w:t>s</w:t>
                            </w:r>
                            <w:r w:rsidRPr="0038709A">
                              <w:rPr>
                                <w:rFonts w:asciiTheme="majorHAnsi" w:hAnsiTheme="majorHAnsi"/>
                                <w:color w:val="595959" w:themeColor="text1" w:themeTint="A6"/>
                                <w:sz w:val="18"/>
                                <w:szCs w:val="18"/>
                              </w:rPr>
                              <w:t>sibilidad</w:t>
                            </w:r>
                            <w:r w:rsidR="0038709A" w:rsidRPr="0038709A">
                              <w:rPr>
                                <w:rFonts w:asciiTheme="majorHAnsi" w:hAnsiTheme="majorHAnsi"/>
                                <w:color w:val="595959" w:themeColor="text1" w:themeTint="A6"/>
                                <w:sz w:val="18"/>
                                <w:szCs w:val="18"/>
                              </w:rPr>
                              <w:t>e</w:t>
                            </w:r>
                            <w:r w:rsidR="00B51650">
                              <w:rPr>
                                <w:rFonts w:asciiTheme="majorHAnsi" w:hAnsiTheme="majorHAnsi"/>
                                <w:color w:val="595959" w:themeColor="text1" w:themeTint="A6"/>
                                <w:sz w:val="18"/>
                                <w:szCs w:val="18"/>
                              </w:rPr>
                              <w:t xml:space="preserve">. </w:t>
                            </w:r>
                            <w:r w:rsidR="005F3908">
                              <w:rPr>
                                <w:rFonts w:asciiTheme="majorHAnsi" w:hAnsiTheme="majorHAnsi"/>
                                <w:color w:val="595959" w:themeColor="text1" w:themeTint="A6"/>
                                <w:sz w:val="18"/>
                                <w:szCs w:val="18"/>
                              </w:rPr>
                              <w:t>Daniel Nitzsche Starling</w:t>
                            </w:r>
                            <w:r w:rsidR="006A20E7">
                              <w:rPr>
                                <w:rFonts w:asciiTheme="majorHAnsi" w:hAnsiTheme="majorHAnsi"/>
                                <w:color w:val="595959" w:themeColor="text1" w:themeTint="A6"/>
                                <w:sz w:val="18"/>
                                <w:szCs w:val="18"/>
                              </w:rPr>
                              <w:t>. Brasil</w:t>
                            </w:r>
                            <w:r w:rsidRPr="0038709A">
                              <w:rPr>
                                <w:rFonts w:asciiTheme="majorHAnsi" w:hAnsiTheme="majorHAnsi"/>
                                <w:color w:val="595959" w:themeColor="text1" w:themeTint="A6"/>
                                <w:sz w:val="18"/>
                                <w:szCs w:val="18"/>
                              </w:rPr>
                              <w:t xml:space="preserve">. </w:t>
                            </w:r>
                            <w:r w:rsidR="005F3908">
                              <w:rPr>
                                <w:rFonts w:asciiTheme="majorHAnsi" w:hAnsiTheme="majorHAnsi"/>
                                <w:color w:val="595959" w:themeColor="text1" w:themeTint="A6"/>
                                <w:sz w:val="18"/>
                                <w:szCs w:val="18"/>
                              </w:rPr>
                              <w:t>1º de dezembro de 2021</w:t>
                            </w:r>
                            <w:r w:rsidRPr="0038709A">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D1B22CF" w14:textId="048657E2" w:rsidR="00113F73" w:rsidRPr="0038709A" w:rsidRDefault="00113F73" w:rsidP="00113F73">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rPr>
                        <w:t>Citar como:</w:t>
                      </w:r>
                      <w:r w:rsidRPr="00890650">
                        <w:rPr>
                          <w:rFonts w:asciiTheme="majorHAnsi" w:hAnsiTheme="majorHAnsi"/>
                          <w:color w:val="595959" w:themeColor="text1" w:themeTint="A6"/>
                          <w:sz w:val="18"/>
                          <w:szCs w:val="18"/>
                        </w:rPr>
                        <w:t xml:space="preserve"> CIDH, </w:t>
                      </w:r>
                      <w:r w:rsidR="0038709A">
                        <w:rPr>
                          <w:rFonts w:asciiTheme="majorHAnsi" w:hAnsiTheme="majorHAnsi"/>
                          <w:color w:val="595959" w:themeColor="text1" w:themeTint="A6"/>
                          <w:sz w:val="18"/>
                          <w:szCs w:val="18"/>
                        </w:rPr>
                        <w:t>Relatório</w:t>
                      </w:r>
                      <w:r w:rsidRPr="00890650">
                        <w:rPr>
                          <w:rFonts w:asciiTheme="majorHAnsi" w:hAnsiTheme="majorHAnsi"/>
                          <w:color w:val="595959" w:themeColor="text1" w:themeTint="A6"/>
                          <w:sz w:val="18"/>
                          <w:szCs w:val="18"/>
                        </w:rPr>
                        <w:t xml:space="preserve"> No. </w:t>
                      </w:r>
                      <w:r w:rsidR="005F3908">
                        <w:rPr>
                          <w:rFonts w:asciiTheme="majorHAnsi" w:hAnsiTheme="majorHAnsi"/>
                          <w:color w:val="595959" w:themeColor="text1" w:themeTint="A6"/>
                          <w:sz w:val="18"/>
                          <w:szCs w:val="18"/>
                        </w:rPr>
                        <w:t>358</w:t>
                      </w:r>
                      <w:r w:rsidR="0038709A" w:rsidRPr="0038709A">
                        <w:rPr>
                          <w:rFonts w:asciiTheme="majorHAnsi" w:hAnsiTheme="majorHAnsi"/>
                          <w:color w:val="595959" w:themeColor="text1" w:themeTint="A6"/>
                          <w:sz w:val="18"/>
                          <w:szCs w:val="18"/>
                        </w:rPr>
                        <w:t>/</w:t>
                      </w:r>
                      <w:r w:rsidR="005F3908">
                        <w:rPr>
                          <w:rFonts w:asciiTheme="majorHAnsi" w:hAnsiTheme="majorHAnsi"/>
                          <w:color w:val="595959" w:themeColor="text1" w:themeTint="A6"/>
                          <w:sz w:val="18"/>
                          <w:szCs w:val="18"/>
                        </w:rPr>
                        <w:t>21</w:t>
                      </w:r>
                      <w:r w:rsidRPr="0038709A">
                        <w:rPr>
                          <w:rFonts w:asciiTheme="majorHAnsi" w:hAnsiTheme="majorHAnsi"/>
                          <w:color w:val="595959" w:themeColor="text1" w:themeTint="A6"/>
                          <w:sz w:val="18"/>
                          <w:szCs w:val="18"/>
                        </w:rPr>
                        <w:t xml:space="preserve">. </w:t>
                      </w:r>
                      <w:r w:rsidR="0038709A" w:rsidRPr="0038709A">
                        <w:rPr>
                          <w:rFonts w:asciiTheme="majorHAnsi" w:hAnsiTheme="majorHAnsi"/>
                          <w:color w:val="595959" w:themeColor="text1" w:themeTint="A6"/>
                          <w:sz w:val="18"/>
                          <w:szCs w:val="18"/>
                        </w:rPr>
                        <w:t>Petição</w:t>
                      </w:r>
                      <w:r w:rsidR="000433C9" w:rsidRPr="0038709A">
                        <w:rPr>
                          <w:rFonts w:asciiTheme="majorHAnsi" w:hAnsiTheme="majorHAnsi"/>
                          <w:color w:val="595959" w:themeColor="text1" w:themeTint="A6"/>
                          <w:sz w:val="18"/>
                          <w:szCs w:val="18"/>
                        </w:rPr>
                        <w:t xml:space="preserve"> </w:t>
                      </w:r>
                      <w:r w:rsidR="007A209F">
                        <w:rPr>
                          <w:rFonts w:asciiTheme="majorHAnsi" w:hAnsiTheme="majorHAnsi"/>
                          <w:color w:val="595959" w:themeColor="text1" w:themeTint="A6"/>
                          <w:sz w:val="18"/>
                          <w:szCs w:val="18"/>
                        </w:rPr>
                        <w:t>724</w:t>
                      </w:r>
                      <w:r w:rsidR="00B51650">
                        <w:rPr>
                          <w:rFonts w:asciiTheme="majorHAnsi" w:hAnsiTheme="majorHAnsi"/>
                          <w:color w:val="595959" w:themeColor="text1" w:themeTint="A6"/>
                          <w:sz w:val="18"/>
                          <w:szCs w:val="18"/>
                        </w:rPr>
                        <w:t>-1</w:t>
                      </w:r>
                      <w:r w:rsidR="007A209F">
                        <w:rPr>
                          <w:rFonts w:asciiTheme="majorHAnsi" w:hAnsiTheme="majorHAnsi"/>
                          <w:color w:val="595959" w:themeColor="text1" w:themeTint="A6"/>
                          <w:sz w:val="18"/>
                          <w:szCs w:val="18"/>
                        </w:rPr>
                        <w:t>3</w:t>
                      </w:r>
                      <w:r w:rsidR="00B51650">
                        <w:rPr>
                          <w:rFonts w:asciiTheme="majorHAnsi" w:hAnsiTheme="majorHAnsi"/>
                          <w:color w:val="595959" w:themeColor="text1" w:themeTint="A6"/>
                          <w:sz w:val="18"/>
                          <w:szCs w:val="18"/>
                        </w:rPr>
                        <w:t>.</w:t>
                      </w:r>
                      <w:r w:rsidR="000433C9" w:rsidRPr="0038709A">
                        <w:rPr>
                          <w:rFonts w:asciiTheme="majorHAnsi" w:hAnsiTheme="majorHAnsi"/>
                          <w:color w:val="595959" w:themeColor="text1" w:themeTint="A6"/>
                          <w:sz w:val="18"/>
                          <w:szCs w:val="18"/>
                        </w:rPr>
                        <w:t xml:space="preserve"> </w:t>
                      </w:r>
                      <w:r w:rsidRPr="0038709A">
                        <w:rPr>
                          <w:rFonts w:asciiTheme="majorHAnsi" w:hAnsiTheme="majorHAnsi"/>
                          <w:color w:val="595959" w:themeColor="text1" w:themeTint="A6"/>
                          <w:sz w:val="18"/>
                          <w:szCs w:val="18"/>
                        </w:rPr>
                        <w:t>Admi</w:t>
                      </w:r>
                      <w:r w:rsidR="0038709A" w:rsidRPr="0038709A">
                        <w:rPr>
                          <w:rFonts w:asciiTheme="majorHAnsi" w:hAnsiTheme="majorHAnsi"/>
                          <w:color w:val="595959" w:themeColor="text1" w:themeTint="A6"/>
                          <w:sz w:val="18"/>
                          <w:szCs w:val="18"/>
                        </w:rPr>
                        <w:t>s</w:t>
                      </w:r>
                      <w:r w:rsidRPr="0038709A">
                        <w:rPr>
                          <w:rFonts w:asciiTheme="majorHAnsi" w:hAnsiTheme="majorHAnsi"/>
                          <w:color w:val="595959" w:themeColor="text1" w:themeTint="A6"/>
                          <w:sz w:val="18"/>
                          <w:szCs w:val="18"/>
                        </w:rPr>
                        <w:t>sibilidad</w:t>
                      </w:r>
                      <w:r w:rsidR="0038709A" w:rsidRPr="0038709A">
                        <w:rPr>
                          <w:rFonts w:asciiTheme="majorHAnsi" w:hAnsiTheme="majorHAnsi"/>
                          <w:color w:val="595959" w:themeColor="text1" w:themeTint="A6"/>
                          <w:sz w:val="18"/>
                          <w:szCs w:val="18"/>
                        </w:rPr>
                        <w:t>e</w:t>
                      </w:r>
                      <w:r w:rsidR="00B51650">
                        <w:rPr>
                          <w:rFonts w:asciiTheme="majorHAnsi" w:hAnsiTheme="majorHAnsi"/>
                          <w:color w:val="595959" w:themeColor="text1" w:themeTint="A6"/>
                          <w:sz w:val="18"/>
                          <w:szCs w:val="18"/>
                        </w:rPr>
                        <w:t xml:space="preserve">. </w:t>
                      </w:r>
                      <w:r w:rsidR="005F3908">
                        <w:rPr>
                          <w:rFonts w:asciiTheme="majorHAnsi" w:hAnsiTheme="majorHAnsi"/>
                          <w:color w:val="595959" w:themeColor="text1" w:themeTint="A6"/>
                          <w:sz w:val="18"/>
                          <w:szCs w:val="18"/>
                        </w:rPr>
                        <w:t>Daniel Nitzsche Starling</w:t>
                      </w:r>
                      <w:r w:rsidR="006A20E7">
                        <w:rPr>
                          <w:rFonts w:asciiTheme="majorHAnsi" w:hAnsiTheme="majorHAnsi"/>
                          <w:color w:val="595959" w:themeColor="text1" w:themeTint="A6"/>
                          <w:sz w:val="18"/>
                          <w:szCs w:val="18"/>
                        </w:rPr>
                        <w:t>. Brasil</w:t>
                      </w:r>
                      <w:r w:rsidRPr="0038709A">
                        <w:rPr>
                          <w:rFonts w:asciiTheme="majorHAnsi" w:hAnsiTheme="majorHAnsi"/>
                          <w:color w:val="595959" w:themeColor="text1" w:themeTint="A6"/>
                          <w:sz w:val="18"/>
                          <w:szCs w:val="18"/>
                        </w:rPr>
                        <w:t xml:space="preserve">. </w:t>
                      </w:r>
                      <w:r w:rsidR="005F3908">
                        <w:rPr>
                          <w:rFonts w:asciiTheme="majorHAnsi" w:hAnsiTheme="majorHAnsi"/>
                          <w:color w:val="595959" w:themeColor="text1" w:themeTint="A6"/>
                          <w:sz w:val="18"/>
                          <w:szCs w:val="18"/>
                        </w:rPr>
                        <w:t>1º de dezembro de 2021</w:t>
                      </w:r>
                      <w:r w:rsidRPr="0038709A">
                        <w:rPr>
                          <w:rFonts w:asciiTheme="majorHAnsi" w:hAnsiTheme="majorHAnsi"/>
                          <w:color w:val="595959" w:themeColor="text1" w:themeTint="A6"/>
                          <w:sz w:val="18"/>
                          <w:szCs w:val="18"/>
                        </w:rPr>
                        <w:t>.</w:t>
                      </w:r>
                    </w:p>
                  </w:txbxContent>
                </v:textbox>
              </v:shape>
            </w:pict>
          </mc:Fallback>
        </mc:AlternateContent>
      </w:r>
    </w:p>
    <w:p w14:paraId="196A49DE" w14:textId="77777777" w:rsidR="00A50FCF" w:rsidRPr="00560E0D" w:rsidRDefault="00A50FCF" w:rsidP="006513C0">
      <w:pPr>
        <w:tabs>
          <w:tab w:val="center" w:pos="5400"/>
        </w:tabs>
        <w:suppressAutoHyphens/>
        <w:jc w:val="center"/>
        <w:rPr>
          <w:rFonts w:ascii="Cambria" w:hAnsi="Cambria"/>
          <w:sz w:val="18"/>
          <w:szCs w:val="22"/>
        </w:rPr>
      </w:pPr>
    </w:p>
    <w:p w14:paraId="1DA07629" w14:textId="0E49D841" w:rsidR="0090270B" w:rsidRPr="00560E0D" w:rsidRDefault="00D306D1" w:rsidP="006513C0">
      <w:pPr>
        <w:tabs>
          <w:tab w:val="center" w:pos="5400"/>
        </w:tabs>
        <w:suppressAutoHyphens/>
        <w:jc w:val="center"/>
        <w:rPr>
          <w:rFonts w:ascii="Cambria" w:hAnsi="Cambria"/>
          <w:b/>
          <w:sz w:val="20"/>
        </w:rPr>
      </w:pPr>
      <w:r w:rsidRPr="00560E0D">
        <w:rPr>
          <w:rFonts w:ascii="Cambria" w:hAnsi="Cambria"/>
          <w:noProof/>
          <w:sz w:val="22"/>
          <w:szCs w:val="22"/>
          <w:lang w:val="en-US" w:eastAsia="en-US"/>
        </w:rPr>
        <mc:AlternateContent>
          <mc:Choice Requires="wps">
            <w:drawing>
              <wp:anchor distT="0" distB="0" distL="114300" distR="114300" simplePos="0" relativeHeight="251682816" behindDoc="0" locked="0" layoutInCell="1" allowOverlap="1" wp14:anchorId="02EDA5EE" wp14:editId="2D4A33B1">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A75CC3" w:rsidRDefault="00D306D1" w:rsidP="00D306D1">
                            <w:pPr>
                              <w:jc w:val="center"/>
                              <w:rPr>
                                <w:rFonts w:asciiTheme="minorHAnsi" w:hAnsiTheme="minorHAnsi"/>
                                <w:b/>
                              </w:rPr>
                            </w:pPr>
                            <w:r w:rsidRPr="00A75CC3">
                              <w:rPr>
                                <w:rFonts w:asciiTheme="minorHAnsi" w:hAnsiTheme="minorHAnsi"/>
                                <w:b/>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A75CC3" w:rsidRDefault="00D306D1" w:rsidP="00D306D1">
                      <w:pPr>
                        <w:jc w:val="center"/>
                        <w:rPr>
                          <w:rFonts w:asciiTheme="minorHAnsi" w:hAnsiTheme="minorHAnsi"/>
                          <w:b/>
                        </w:rPr>
                      </w:pPr>
                      <w:r w:rsidRPr="00A75CC3">
                        <w:rPr>
                          <w:rFonts w:asciiTheme="minorHAnsi" w:hAnsiTheme="minorHAnsi"/>
                          <w:b/>
                        </w:rPr>
                        <w:t>www.cidh.org</w:t>
                      </w:r>
                    </w:p>
                  </w:txbxContent>
                </v:textbox>
              </v:shape>
            </w:pict>
          </mc:Fallback>
        </mc:AlternateContent>
      </w:r>
    </w:p>
    <w:p w14:paraId="2FE1B253" w14:textId="41F9F574" w:rsidR="0070697F" w:rsidRPr="00560E0D" w:rsidRDefault="005F3908" w:rsidP="006513C0">
      <w:pPr>
        <w:tabs>
          <w:tab w:val="center" w:pos="5400"/>
        </w:tabs>
        <w:suppressAutoHyphens/>
        <w:jc w:val="center"/>
        <w:rPr>
          <w:rFonts w:ascii="Cambria" w:hAnsi="Cambria"/>
          <w:b/>
          <w:sz w:val="20"/>
        </w:rPr>
        <w:sectPr w:rsidR="0070697F" w:rsidRPr="00560E0D"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sidRPr="00560E0D">
        <w:rPr>
          <w:rFonts w:ascii="Cambria" w:hAnsi="Cambria"/>
          <w:noProof/>
          <w:sz w:val="18"/>
          <w:szCs w:val="22"/>
          <w:lang w:val="en-US" w:eastAsia="en-US"/>
        </w:rPr>
        <mc:AlternateContent>
          <mc:Choice Requires="wps">
            <w:drawing>
              <wp:anchor distT="0" distB="0" distL="114300" distR="114300" simplePos="0" relativeHeight="251680768" behindDoc="0" locked="0" layoutInCell="1" allowOverlap="1" wp14:anchorId="50472543" wp14:editId="19C8FBE2">
                <wp:simplePos x="0" y="0"/>
                <wp:positionH relativeFrom="column">
                  <wp:posOffset>1329690</wp:posOffset>
                </wp:positionH>
                <wp:positionV relativeFrom="paragraph">
                  <wp:posOffset>555353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lang w:val="en-US" w:eastAsia="en-US"/>
                                <w14:textFill>
                                  <w14:noFill/>
                                </w14:textFill>
                              </w:rPr>
                              <w:drawing>
                                <wp:inline distT="0" distB="0" distL="0" distR="0" wp14:anchorId="266F0A37" wp14:editId="39B598BA">
                                  <wp:extent cx="1892723" cy="51806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1902166" cy="52065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4.7pt;margin-top:43.7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lang w:val="en-US" w:eastAsia="en-US"/>
                          <w14:textFill>
                            <w14:noFill/>
                          </w14:textFill>
                        </w:rPr>
                        <w:drawing>
                          <wp:inline distT="0" distB="0" distL="0" distR="0" wp14:anchorId="266F0A37" wp14:editId="39B598BA">
                            <wp:extent cx="1892723" cy="51806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1902166" cy="520654"/>
                                    </a:xfrm>
                                    <a:prstGeom prst="rect">
                                      <a:avLst/>
                                    </a:prstGeom>
                                    <a:noFill/>
                                    <a:ln>
                                      <a:noFill/>
                                    </a:ln>
                                  </pic:spPr>
                                </pic:pic>
                              </a:graphicData>
                            </a:graphic>
                          </wp:inline>
                        </w:drawing>
                      </w:r>
                    </w:p>
                  </w:txbxContent>
                </v:textbox>
              </v:shape>
            </w:pict>
          </mc:Fallback>
        </mc:AlternateContent>
      </w:r>
      <w:r w:rsidR="004A6A54" w:rsidRPr="00560E0D">
        <w:rPr>
          <w:rFonts w:ascii="Cambria" w:hAnsi="Cambria"/>
          <w:b/>
          <w:sz w:val="20"/>
        </w:rPr>
        <w:tab/>
      </w:r>
    </w:p>
    <w:p w14:paraId="376DDC8B" w14:textId="3DE6D8A8" w:rsidR="003239B8" w:rsidRDefault="00A37F2E" w:rsidP="006513C0">
      <w:pPr>
        <w:ind w:firstLine="720"/>
        <w:jc w:val="both"/>
        <w:rPr>
          <w:rFonts w:ascii="Cambria" w:hAnsi="Cambria"/>
          <w:b/>
          <w:bCs/>
          <w:sz w:val="20"/>
          <w:szCs w:val="20"/>
        </w:rPr>
      </w:pPr>
      <w:r w:rsidRPr="00560E0D">
        <w:rPr>
          <w:rFonts w:ascii="Cambria" w:hAnsi="Cambria"/>
          <w:b/>
          <w:bCs/>
          <w:sz w:val="20"/>
          <w:szCs w:val="20"/>
        </w:rPr>
        <w:lastRenderedPageBreak/>
        <w:t>I.</w:t>
      </w:r>
      <w:r w:rsidRPr="00560E0D">
        <w:rPr>
          <w:rFonts w:ascii="Cambria" w:hAnsi="Cambria"/>
          <w:b/>
          <w:bCs/>
          <w:sz w:val="20"/>
          <w:szCs w:val="20"/>
        </w:rPr>
        <w:tab/>
        <w:t>DAD</w:t>
      </w:r>
      <w:r w:rsidR="003239B8" w:rsidRPr="00560E0D">
        <w:rPr>
          <w:rFonts w:ascii="Cambria" w:hAnsi="Cambria"/>
          <w:b/>
          <w:bCs/>
          <w:sz w:val="20"/>
          <w:szCs w:val="20"/>
        </w:rPr>
        <w:t xml:space="preserve">OS </w:t>
      </w:r>
      <w:r w:rsidRPr="00560E0D">
        <w:rPr>
          <w:rFonts w:ascii="Cambria" w:hAnsi="Cambria"/>
          <w:b/>
          <w:bCs/>
          <w:sz w:val="20"/>
          <w:szCs w:val="20"/>
        </w:rPr>
        <w:t>DA PETIÇÃO</w:t>
      </w:r>
      <w:r w:rsidR="003239B8" w:rsidRPr="00560E0D">
        <w:rPr>
          <w:rFonts w:ascii="Cambria" w:hAnsi="Cambria"/>
          <w:b/>
          <w:bCs/>
          <w:sz w:val="20"/>
          <w:szCs w:val="20"/>
        </w:rPr>
        <w:t xml:space="preserve"> </w:t>
      </w:r>
    </w:p>
    <w:p w14:paraId="5C128563" w14:textId="77777777" w:rsidR="006513C0" w:rsidRPr="00560E0D" w:rsidRDefault="006513C0" w:rsidP="006513C0">
      <w:pPr>
        <w:ind w:firstLine="720"/>
        <w:jc w:val="both"/>
        <w:rPr>
          <w:rFonts w:ascii="Cambria" w:hAnsi="Cambria"/>
          <w:b/>
          <w:bCs/>
          <w:sz w:val="20"/>
          <w:szCs w:val="20"/>
        </w:rPr>
      </w:pP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6513C0" w:rsidRPr="00560E0D" w14:paraId="5A79D1F7" w14:textId="77777777" w:rsidTr="006513C0">
        <w:tc>
          <w:tcPr>
            <w:tcW w:w="3600" w:type="dxa"/>
            <w:tcBorders>
              <w:top w:val="single" w:sz="4" w:space="0" w:color="auto"/>
              <w:bottom w:val="single" w:sz="6" w:space="0" w:color="auto"/>
            </w:tcBorders>
            <w:shd w:val="clear" w:color="auto" w:fill="FFC000"/>
            <w:vAlign w:val="center"/>
          </w:tcPr>
          <w:p w14:paraId="0CB2A43B" w14:textId="2CA35E64" w:rsidR="006513C0" w:rsidRPr="00560E0D" w:rsidRDefault="006513C0" w:rsidP="006513C0">
            <w:pPr>
              <w:jc w:val="center"/>
              <w:rPr>
                <w:rFonts w:ascii="Cambria" w:hAnsi="Cambria"/>
                <w:b/>
                <w:bCs/>
                <w:sz w:val="20"/>
                <w:szCs w:val="20"/>
              </w:rPr>
            </w:pPr>
            <w:r w:rsidRPr="00560E0D">
              <w:rPr>
                <w:rFonts w:ascii="Cambria" w:hAnsi="Cambria"/>
                <w:b/>
                <w:bCs/>
                <w:sz w:val="20"/>
                <w:szCs w:val="20"/>
              </w:rPr>
              <w:t>Parte peticionária:</w:t>
            </w:r>
          </w:p>
        </w:tc>
        <w:tc>
          <w:tcPr>
            <w:tcW w:w="5647" w:type="dxa"/>
            <w:vAlign w:val="center"/>
          </w:tcPr>
          <w:p w14:paraId="3C5315D8" w14:textId="7948CBB8" w:rsidR="006513C0" w:rsidRPr="00560E0D" w:rsidRDefault="006513C0" w:rsidP="006513C0">
            <w:pPr>
              <w:jc w:val="both"/>
              <w:rPr>
                <w:rFonts w:ascii="Cambria" w:hAnsi="Cambria"/>
                <w:bCs/>
                <w:sz w:val="20"/>
                <w:szCs w:val="20"/>
              </w:rPr>
            </w:pPr>
            <w:r w:rsidRPr="00560E0D">
              <w:rPr>
                <w:rFonts w:ascii="Cambria" w:hAnsi="Cambria"/>
                <w:bCs/>
                <w:sz w:val="20"/>
                <w:szCs w:val="20"/>
              </w:rPr>
              <w:t>Defensoria Pública da União (“DPU”)</w:t>
            </w:r>
          </w:p>
        </w:tc>
      </w:tr>
      <w:tr w:rsidR="006513C0" w:rsidRPr="00560E0D" w14:paraId="593A7E45" w14:textId="77777777" w:rsidTr="006513C0">
        <w:tc>
          <w:tcPr>
            <w:tcW w:w="3600" w:type="dxa"/>
            <w:tcBorders>
              <w:top w:val="single" w:sz="6" w:space="0" w:color="auto"/>
              <w:bottom w:val="single" w:sz="6" w:space="0" w:color="auto"/>
            </w:tcBorders>
            <w:shd w:val="clear" w:color="auto" w:fill="FFC000"/>
            <w:vAlign w:val="center"/>
          </w:tcPr>
          <w:p w14:paraId="0E78CA0C" w14:textId="00586573" w:rsidR="006513C0" w:rsidRPr="00560E0D" w:rsidRDefault="006513C0" w:rsidP="006513C0">
            <w:pPr>
              <w:jc w:val="center"/>
              <w:rPr>
                <w:rFonts w:ascii="Cambria" w:hAnsi="Cambria"/>
                <w:b/>
                <w:bCs/>
                <w:sz w:val="20"/>
                <w:szCs w:val="20"/>
              </w:rPr>
            </w:pPr>
            <w:r w:rsidRPr="00560E0D">
              <w:rPr>
                <w:rFonts w:ascii="Cambria" w:hAnsi="Cambria"/>
                <w:b/>
                <w:bCs/>
                <w:sz w:val="20"/>
                <w:szCs w:val="20"/>
              </w:rPr>
              <w:t>Suposta vítima:</w:t>
            </w:r>
          </w:p>
        </w:tc>
        <w:tc>
          <w:tcPr>
            <w:tcW w:w="5647" w:type="dxa"/>
            <w:vAlign w:val="center"/>
          </w:tcPr>
          <w:p w14:paraId="4AEBF59E" w14:textId="6B036F59" w:rsidR="006513C0" w:rsidRPr="00560E0D" w:rsidRDefault="006513C0" w:rsidP="006513C0">
            <w:pPr>
              <w:jc w:val="both"/>
              <w:rPr>
                <w:rFonts w:ascii="Cambria" w:hAnsi="Cambria"/>
                <w:bCs/>
                <w:sz w:val="20"/>
                <w:szCs w:val="20"/>
              </w:rPr>
            </w:pPr>
            <w:r w:rsidRPr="00560E0D">
              <w:rPr>
                <w:rFonts w:ascii="Cambria" w:hAnsi="Cambria"/>
                <w:bCs/>
                <w:sz w:val="20"/>
                <w:szCs w:val="20"/>
              </w:rPr>
              <w:t>Daniel Nitzsche Starling</w:t>
            </w:r>
          </w:p>
        </w:tc>
      </w:tr>
      <w:tr w:rsidR="006513C0" w:rsidRPr="00560E0D" w14:paraId="3E62E1D3" w14:textId="77777777" w:rsidTr="006513C0">
        <w:tc>
          <w:tcPr>
            <w:tcW w:w="3600" w:type="dxa"/>
            <w:tcBorders>
              <w:top w:val="single" w:sz="6" w:space="0" w:color="auto"/>
              <w:bottom w:val="single" w:sz="6" w:space="0" w:color="auto"/>
            </w:tcBorders>
            <w:shd w:val="clear" w:color="auto" w:fill="FFC000"/>
            <w:vAlign w:val="center"/>
          </w:tcPr>
          <w:p w14:paraId="340B0F09" w14:textId="77777777" w:rsidR="006513C0" w:rsidRPr="00560E0D" w:rsidRDefault="006513C0" w:rsidP="006513C0">
            <w:pPr>
              <w:jc w:val="center"/>
              <w:rPr>
                <w:rFonts w:ascii="Cambria" w:hAnsi="Cambria"/>
                <w:b/>
                <w:bCs/>
                <w:sz w:val="20"/>
                <w:szCs w:val="20"/>
              </w:rPr>
            </w:pPr>
            <w:r w:rsidRPr="00560E0D">
              <w:rPr>
                <w:rFonts w:ascii="Cambria" w:hAnsi="Cambria"/>
                <w:b/>
                <w:bCs/>
                <w:sz w:val="20"/>
                <w:szCs w:val="20"/>
              </w:rPr>
              <w:t>Estado denunciado:</w:t>
            </w:r>
          </w:p>
        </w:tc>
        <w:tc>
          <w:tcPr>
            <w:tcW w:w="5647" w:type="dxa"/>
            <w:vAlign w:val="center"/>
          </w:tcPr>
          <w:p w14:paraId="274C8A50" w14:textId="376FF451" w:rsidR="006513C0" w:rsidRPr="00560E0D" w:rsidRDefault="006513C0" w:rsidP="006513C0">
            <w:pPr>
              <w:jc w:val="both"/>
              <w:rPr>
                <w:rFonts w:ascii="Cambria" w:hAnsi="Cambria"/>
                <w:bCs/>
                <w:sz w:val="20"/>
                <w:szCs w:val="20"/>
              </w:rPr>
            </w:pPr>
            <w:r w:rsidRPr="00560E0D">
              <w:rPr>
                <w:rFonts w:ascii="Cambria" w:hAnsi="Cambria"/>
                <w:bCs/>
                <w:sz w:val="20"/>
                <w:szCs w:val="20"/>
              </w:rPr>
              <w:t>Brasil</w:t>
            </w:r>
            <w:r w:rsidRPr="00560E0D">
              <w:rPr>
                <w:rStyle w:val="FootnoteReference"/>
                <w:rFonts w:ascii="Cambria" w:hAnsi="Cambria"/>
                <w:bCs/>
                <w:sz w:val="20"/>
                <w:szCs w:val="20"/>
              </w:rPr>
              <w:footnoteReference w:id="2"/>
            </w:r>
          </w:p>
        </w:tc>
      </w:tr>
      <w:tr w:rsidR="006513C0" w:rsidRPr="00560E0D" w14:paraId="632511BC" w14:textId="77777777" w:rsidTr="006513C0">
        <w:tc>
          <w:tcPr>
            <w:tcW w:w="3600" w:type="dxa"/>
            <w:tcBorders>
              <w:top w:val="single" w:sz="6" w:space="0" w:color="auto"/>
              <w:bottom w:val="single" w:sz="6" w:space="0" w:color="auto"/>
            </w:tcBorders>
            <w:shd w:val="clear" w:color="auto" w:fill="FFC000"/>
            <w:vAlign w:val="center"/>
          </w:tcPr>
          <w:p w14:paraId="727E2F6B" w14:textId="2C1BB426" w:rsidR="006513C0" w:rsidRPr="00560E0D" w:rsidRDefault="006513C0" w:rsidP="006513C0">
            <w:pPr>
              <w:jc w:val="center"/>
              <w:rPr>
                <w:rFonts w:ascii="Cambria" w:hAnsi="Cambria"/>
                <w:b/>
                <w:bCs/>
                <w:sz w:val="20"/>
                <w:szCs w:val="20"/>
              </w:rPr>
            </w:pPr>
            <w:r w:rsidRPr="00560E0D">
              <w:rPr>
                <w:rFonts w:ascii="Cambria" w:hAnsi="Cambria"/>
                <w:b/>
                <w:bCs/>
                <w:sz w:val="20"/>
                <w:szCs w:val="20"/>
              </w:rPr>
              <w:t>Direitos alegados:</w:t>
            </w:r>
          </w:p>
        </w:tc>
        <w:tc>
          <w:tcPr>
            <w:tcW w:w="5647" w:type="dxa"/>
            <w:vAlign w:val="center"/>
          </w:tcPr>
          <w:p w14:paraId="6DEE1EEB" w14:textId="61F488AF" w:rsidR="006513C0" w:rsidRPr="00560E0D" w:rsidRDefault="006513C0" w:rsidP="006513C0">
            <w:pPr>
              <w:jc w:val="both"/>
              <w:rPr>
                <w:rFonts w:ascii="Cambria" w:hAnsi="Cambria"/>
                <w:bCs/>
                <w:sz w:val="20"/>
                <w:szCs w:val="20"/>
              </w:rPr>
            </w:pPr>
            <w:r w:rsidRPr="00560E0D">
              <w:rPr>
                <w:rFonts w:ascii="Cambria" w:hAnsi="Cambria"/>
                <w:bCs/>
                <w:sz w:val="20"/>
                <w:szCs w:val="20"/>
              </w:rPr>
              <w:t>Artigos 5 (integridade pessoal), 7 (liberdade pessoal), 10 (indenização) e 13 (liberdade de pensamento e expressão) da Convenção Americana sobre Direitos Humanos</w:t>
            </w:r>
            <w:r w:rsidRPr="00560E0D">
              <w:rPr>
                <w:rStyle w:val="FootnoteReference"/>
                <w:rFonts w:ascii="Cambria" w:hAnsi="Cambria"/>
                <w:bCs/>
                <w:sz w:val="20"/>
                <w:szCs w:val="20"/>
              </w:rPr>
              <w:footnoteReference w:id="3"/>
            </w:r>
            <w:r w:rsidRPr="00560E0D">
              <w:rPr>
                <w:rFonts w:ascii="Cambria" w:hAnsi="Cambria"/>
                <w:bCs/>
                <w:sz w:val="20"/>
                <w:szCs w:val="20"/>
              </w:rPr>
              <w:t xml:space="preserve"> em relação ao seu artigo 2 (dever de adotar disposições de direito interno) </w:t>
            </w:r>
          </w:p>
        </w:tc>
      </w:tr>
    </w:tbl>
    <w:p w14:paraId="3082CCDC" w14:textId="77777777" w:rsidR="006513C0" w:rsidRDefault="006513C0" w:rsidP="006513C0">
      <w:pPr>
        <w:ind w:firstLine="720"/>
        <w:jc w:val="both"/>
        <w:rPr>
          <w:rFonts w:ascii="Cambria" w:hAnsi="Cambria"/>
          <w:b/>
          <w:bCs/>
          <w:sz w:val="20"/>
          <w:szCs w:val="20"/>
        </w:rPr>
      </w:pPr>
    </w:p>
    <w:p w14:paraId="20263696" w14:textId="24F9EA51" w:rsidR="003239B8" w:rsidRDefault="00A37F2E" w:rsidP="006513C0">
      <w:pPr>
        <w:ind w:firstLine="720"/>
        <w:jc w:val="both"/>
        <w:rPr>
          <w:rFonts w:ascii="Cambria" w:hAnsi="Cambria"/>
          <w:b/>
          <w:bCs/>
          <w:sz w:val="20"/>
          <w:szCs w:val="20"/>
        </w:rPr>
      </w:pPr>
      <w:r w:rsidRPr="00560E0D">
        <w:rPr>
          <w:rFonts w:ascii="Cambria" w:hAnsi="Cambria"/>
          <w:b/>
          <w:bCs/>
          <w:sz w:val="20"/>
          <w:szCs w:val="20"/>
        </w:rPr>
        <w:t>II.</w:t>
      </w:r>
      <w:r w:rsidRPr="00560E0D">
        <w:rPr>
          <w:rFonts w:ascii="Cambria" w:hAnsi="Cambria"/>
          <w:b/>
          <w:bCs/>
          <w:sz w:val="20"/>
          <w:szCs w:val="20"/>
        </w:rPr>
        <w:tab/>
        <w:t>TRÂMITE ANTE A</w:t>
      </w:r>
      <w:r w:rsidR="003239B8" w:rsidRPr="00560E0D">
        <w:rPr>
          <w:rFonts w:ascii="Cambria" w:hAnsi="Cambria"/>
          <w:b/>
          <w:bCs/>
          <w:sz w:val="20"/>
          <w:szCs w:val="20"/>
        </w:rPr>
        <w:t xml:space="preserve"> CIDH</w:t>
      </w:r>
      <w:r w:rsidR="008E3BFE" w:rsidRPr="00560E0D">
        <w:rPr>
          <w:rStyle w:val="FootnoteReference"/>
          <w:rFonts w:ascii="Cambria" w:hAnsi="Cambria"/>
          <w:b/>
          <w:sz w:val="20"/>
          <w:szCs w:val="20"/>
        </w:rPr>
        <w:footnoteReference w:id="4"/>
      </w:r>
    </w:p>
    <w:p w14:paraId="229EE976" w14:textId="77777777" w:rsidR="006513C0" w:rsidRPr="00560E0D" w:rsidRDefault="006513C0" w:rsidP="006513C0">
      <w:pPr>
        <w:ind w:firstLine="720"/>
        <w:jc w:val="both"/>
        <w:rPr>
          <w:rFonts w:ascii="Cambria" w:hAnsi="Cambria"/>
          <w:b/>
          <w:bCs/>
          <w:sz w:val="20"/>
          <w:szCs w:val="20"/>
        </w:rPr>
      </w:pP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560E0D" w14:paraId="306EFCB0" w14:textId="77777777" w:rsidTr="006513C0">
        <w:tc>
          <w:tcPr>
            <w:tcW w:w="3600" w:type="dxa"/>
            <w:tcBorders>
              <w:top w:val="single" w:sz="6" w:space="0" w:color="auto"/>
              <w:bottom w:val="single" w:sz="6" w:space="0" w:color="auto"/>
            </w:tcBorders>
            <w:shd w:val="clear" w:color="auto" w:fill="FFC000"/>
            <w:vAlign w:val="center"/>
          </w:tcPr>
          <w:p w14:paraId="7508D16F" w14:textId="7F75E762" w:rsidR="004C2312" w:rsidRPr="00560E0D" w:rsidRDefault="00A37F2E" w:rsidP="006513C0">
            <w:pPr>
              <w:jc w:val="center"/>
              <w:rPr>
                <w:rFonts w:ascii="Cambria" w:hAnsi="Cambria"/>
                <w:b/>
                <w:bCs/>
                <w:sz w:val="20"/>
                <w:szCs w:val="20"/>
              </w:rPr>
            </w:pPr>
            <w:r w:rsidRPr="00560E0D">
              <w:rPr>
                <w:rFonts w:ascii="Cambria" w:hAnsi="Cambria"/>
                <w:b/>
                <w:bCs/>
                <w:sz w:val="20"/>
                <w:szCs w:val="20"/>
              </w:rPr>
              <w:t>Apresentação da petição:</w:t>
            </w:r>
          </w:p>
        </w:tc>
        <w:tc>
          <w:tcPr>
            <w:tcW w:w="5647" w:type="dxa"/>
            <w:vAlign w:val="center"/>
          </w:tcPr>
          <w:p w14:paraId="6E579153" w14:textId="7733885D" w:rsidR="004C2312" w:rsidRPr="00560E0D" w:rsidRDefault="00F23F87" w:rsidP="006513C0">
            <w:pPr>
              <w:jc w:val="both"/>
              <w:rPr>
                <w:rFonts w:ascii="Cambria" w:hAnsi="Cambria"/>
                <w:bCs/>
                <w:sz w:val="20"/>
                <w:szCs w:val="20"/>
              </w:rPr>
            </w:pPr>
            <w:r w:rsidRPr="00560E0D">
              <w:rPr>
                <w:rFonts w:ascii="Cambria" w:hAnsi="Cambria"/>
                <w:bCs/>
                <w:sz w:val="20"/>
                <w:szCs w:val="20"/>
              </w:rPr>
              <w:t>3 de março de 2013</w:t>
            </w:r>
          </w:p>
        </w:tc>
      </w:tr>
      <w:tr w:rsidR="004C2312" w:rsidRPr="00560E0D" w14:paraId="1BDCD5C6" w14:textId="77777777" w:rsidTr="006513C0">
        <w:tc>
          <w:tcPr>
            <w:tcW w:w="3600" w:type="dxa"/>
            <w:tcBorders>
              <w:top w:val="single" w:sz="6" w:space="0" w:color="auto"/>
              <w:bottom w:val="single" w:sz="6" w:space="0" w:color="auto"/>
            </w:tcBorders>
            <w:shd w:val="clear" w:color="auto" w:fill="FFC000"/>
            <w:vAlign w:val="center"/>
          </w:tcPr>
          <w:p w14:paraId="7A18664F" w14:textId="3D89493A" w:rsidR="004C2312" w:rsidRPr="00560E0D" w:rsidRDefault="004A6A54" w:rsidP="006513C0">
            <w:pPr>
              <w:jc w:val="center"/>
              <w:rPr>
                <w:rFonts w:ascii="Cambria" w:hAnsi="Cambria"/>
                <w:b/>
                <w:sz w:val="20"/>
                <w:szCs w:val="20"/>
              </w:rPr>
            </w:pPr>
            <w:r w:rsidRPr="00560E0D">
              <w:rPr>
                <w:rFonts w:ascii="Cambria" w:hAnsi="Cambria"/>
                <w:b/>
                <w:sz w:val="20"/>
                <w:szCs w:val="20"/>
              </w:rPr>
              <w:t>N</w:t>
            </w:r>
            <w:r w:rsidR="00A37F2E" w:rsidRPr="00560E0D">
              <w:rPr>
                <w:rFonts w:ascii="Cambria" w:hAnsi="Cambria"/>
                <w:b/>
                <w:sz w:val="20"/>
                <w:szCs w:val="20"/>
              </w:rPr>
              <w:t>otificação da petição ao</w:t>
            </w:r>
            <w:r w:rsidR="004C2312" w:rsidRPr="00560E0D">
              <w:rPr>
                <w:rFonts w:ascii="Cambria" w:hAnsi="Cambria"/>
                <w:b/>
                <w:sz w:val="20"/>
                <w:szCs w:val="20"/>
              </w:rPr>
              <w:t xml:space="preserve"> Estado:</w:t>
            </w:r>
          </w:p>
        </w:tc>
        <w:tc>
          <w:tcPr>
            <w:tcW w:w="5647" w:type="dxa"/>
            <w:vAlign w:val="center"/>
          </w:tcPr>
          <w:p w14:paraId="1519DA6A" w14:textId="2517793A" w:rsidR="004C2312" w:rsidRPr="00560E0D" w:rsidRDefault="00F23F87" w:rsidP="006513C0">
            <w:pPr>
              <w:jc w:val="both"/>
              <w:rPr>
                <w:rFonts w:ascii="Cambria" w:hAnsi="Cambria"/>
                <w:bCs/>
                <w:sz w:val="20"/>
                <w:szCs w:val="20"/>
              </w:rPr>
            </w:pPr>
            <w:r w:rsidRPr="00560E0D">
              <w:rPr>
                <w:rFonts w:ascii="Cambria" w:hAnsi="Cambria"/>
                <w:bCs/>
                <w:sz w:val="20"/>
                <w:szCs w:val="20"/>
              </w:rPr>
              <w:t>15 de janeiro de 2016</w:t>
            </w:r>
          </w:p>
        </w:tc>
      </w:tr>
      <w:tr w:rsidR="004C2312" w:rsidRPr="00560E0D" w14:paraId="6147A8D5" w14:textId="77777777" w:rsidTr="006513C0">
        <w:tc>
          <w:tcPr>
            <w:tcW w:w="3600" w:type="dxa"/>
            <w:tcBorders>
              <w:top w:val="single" w:sz="6" w:space="0" w:color="auto"/>
              <w:bottom w:val="single" w:sz="6" w:space="0" w:color="auto"/>
            </w:tcBorders>
            <w:shd w:val="clear" w:color="auto" w:fill="FFC000"/>
            <w:vAlign w:val="center"/>
          </w:tcPr>
          <w:p w14:paraId="0201C86D" w14:textId="569610F0" w:rsidR="004C2312" w:rsidRPr="00560E0D" w:rsidRDefault="004A6A54" w:rsidP="006513C0">
            <w:pPr>
              <w:jc w:val="center"/>
              <w:rPr>
                <w:rFonts w:ascii="Cambria" w:hAnsi="Cambria"/>
                <w:b/>
                <w:bCs/>
                <w:sz w:val="20"/>
                <w:szCs w:val="20"/>
              </w:rPr>
            </w:pPr>
            <w:r w:rsidRPr="00560E0D">
              <w:rPr>
                <w:rFonts w:ascii="Cambria" w:hAnsi="Cambria"/>
                <w:b/>
                <w:sz w:val="20"/>
                <w:szCs w:val="20"/>
              </w:rPr>
              <w:t>P</w:t>
            </w:r>
            <w:r w:rsidR="004C2312" w:rsidRPr="00560E0D">
              <w:rPr>
                <w:rFonts w:ascii="Cambria" w:hAnsi="Cambria"/>
                <w:b/>
                <w:sz w:val="20"/>
                <w:szCs w:val="20"/>
              </w:rPr>
              <w:t>rime</w:t>
            </w:r>
            <w:r w:rsidR="00A37F2E" w:rsidRPr="00560E0D">
              <w:rPr>
                <w:rFonts w:ascii="Cambria" w:hAnsi="Cambria"/>
                <w:b/>
                <w:sz w:val="20"/>
                <w:szCs w:val="20"/>
              </w:rPr>
              <w:t xml:space="preserve">ira resposta do </w:t>
            </w:r>
            <w:r w:rsidR="004C2312" w:rsidRPr="00560E0D">
              <w:rPr>
                <w:rFonts w:ascii="Cambria" w:hAnsi="Cambria"/>
                <w:b/>
                <w:sz w:val="20"/>
                <w:szCs w:val="20"/>
              </w:rPr>
              <w:t>Estado:</w:t>
            </w:r>
          </w:p>
        </w:tc>
        <w:tc>
          <w:tcPr>
            <w:tcW w:w="5647" w:type="dxa"/>
            <w:vAlign w:val="center"/>
          </w:tcPr>
          <w:p w14:paraId="1972B99E" w14:textId="298A52C2" w:rsidR="004C2312" w:rsidRPr="00560E0D" w:rsidRDefault="00F23F87" w:rsidP="006513C0">
            <w:pPr>
              <w:jc w:val="both"/>
              <w:rPr>
                <w:rFonts w:ascii="Cambria" w:hAnsi="Cambria"/>
                <w:bCs/>
                <w:sz w:val="20"/>
                <w:szCs w:val="20"/>
              </w:rPr>
            </w:pPr>
            <w:r w:rsidRPr="00560E0D">
              <w:rPr>
                <w:rFonts w:ascii="Cambria" w:hAnsi="Cambria"/>
                <w:bCs/>
                <w:sz w:val="20"/>
                <w:szCs w:val="20"/>
              </w:rPr>
              <w:t>2 de junho de 2016</w:t>
            </w:r>
          </w:p>
        </w:tc>
      </w:tr>
      <w:tr w:rsidR="004C2312" w:rsidRPr="00560E0D" w14:paraId="322668B6" w14:textId="77777777" w:rsidTr="006513C0">
        <w:tc>
          <w:tcPr>
            <w:tcW w:w="3600" w:type="dxa"/>
            <w:tcBorders>
              <w:top w:val="single" w:sz="6" w:space="0" w:color="auto"/>
              <w:bottom w:val="single" w:sz="6" w:space="0" w:color="auto"/>
            </w:tcBorders>
            <w:shd w:val="clear" w:color="auto" w:fill="FFC000"/>
            <w:vAlign w:val="center"/>
          </w:tcPr>
          <w:p w14:paraId="1524DA55" w14:textId="785FF5B5" w:rsidR="004C2312" w:rsidRPr="00560E0D" w:rsidRDefault="00A37F2E" w:rsidP="006513C0">
            <w:pPr>
              <w:jc w:val="center"/>
              <w:rPr>
                <w:rFonts w:ascii="Cambria" w:hAnsi="Cambria"/>
                <w:b/>
                <w:bCs/>
                <w:sz w:val="20"/>
                <w:szCs w:val="20"/>
              </w:rPr>
            </w:pPr>
            <w:r w:rsidRPr="00560E0D">
              <w:rPr>
                <w:rFonts w:ascii="Cambria" w:hAnsi="Cambria"/>
                <w:b/>
                <w:bCs/>
                <w:sz w:val="20"/>
                <w:szCs w:val="20"/>
              </w:rPr>
              <w:t>Observações adicionais da parte peticioná</w:t>
            </w:r>
            <w:r w:rsidR="008E3BFE" w:rsidRPr="00560E0D">
              <w:rPr>
                <w:rFonts w:ascii="Cambria" w:hAnsi="Cambria"/>
                <w:b/>
                <w:bCs/>
                <w:sz w:val="20"/>
                <w:szCs w:val="20"/>
              </w:rPr>
              <w:t>ria:</w:t>
            </w:r>
          </w:p>
        </w:tc>
        <w:tc>
          <w:tcPr>
            <w:tcW w:w="5647" w:type="dxa"/>
            <w:vAlign w:val="center"/>
          </w:tcPr>
          <w:p w14:paraId="41D8B862" w14:textId="7CBBB6C6" w:rsidR="004C2312" w:rsidRPr="00560E0D" w:rsidRDefault="00F23F87" w:rsidP="006513C0">
            <w:pPr>
              <w:jc w:val="both"/>
              <w:rPr>
                <w:rFonts w:ascii="Cambria" w:hAnsi="Cambria"/>
                <w:bCs/>
                <w:sz w:val="20"/>
                <w:szCs w:val="20"/>
              </w:rPr>
            </w:pPr>
            <w:r w:rsidRPr="00560E0D">
              <w:rPr>
                <w:rFonts w:ascii="Cambria" w:hAnsi="Cambria"/>
                <w:bCs/>
                <w:sz w:val="20"/>
                <w:szCs w:val="20"/>
              </w:rPr>
              <w:t>27 de dezembro de 2018</w:t>
            </w:r>
          </w:p>
        </w:tc>
      </w:tr>
      <w:tr w:rsidR="004C2312" w:rsidRPr="00560E0D" w14:paraId="291ACE7A" w14:textId="77777777" w:rsidTr="006513C0">
        <w:tc>
          <w:tcPr>
            <w:tcW w:w="3600" w:type="dxa"/>
            <w:tcBorders>
              <w:top w:val="single" w:sz="6" w:space="0" w:color="auto"/>
              <w:bottom w:val="single" w:sz="6" w:space="0" w:color="auto"/>
            </w:tcBorders>
            <w:shd w:val="clear" w:color="auto" w:fill="FFC000"/>
            <w:vAlign w:val="center"/>
          </w:tcPr>
          <w:p w14:paraId="068BD12F" w14:textId="47EAE2EF" w:rsidR="004C2312" w:rsidRPr="00560E0D" w:rsidRDefault="00A37F2E" w:rsidP="006513C0">
            <w:pPr>
              <w:jc w:val="center"/>
              <w:rPr>
                <w:rFonts w:ascii="Cambria" w:hAnsi="Cambria"/>
                <w:b/>
                <w:bCs/>
                <w:sz w:val="20"/>
                <w:szCs w:val="20"/>
              </w:rPr>
            </w:pPr>
            <w:r w:rsidRPr="00560E0D">
              <w:rPr>
                <w:rFonts w:ascii="Cambria" w:hAnsi="Cambria"/>
                <w:b/>
                <w:bCs/>
                <w:sz w:val="20"/>
                <w:szCs w:val="20"/>
              </w:rPr>
              <w:t>Observações adicionais do</w:t>
            </w:r>
            <w:r w:rsidR="004C2312" w:rsidRPr="00560E0D">
              <w:rPr>
                <w:rFonts w:ascii="Cambria" w:hAnsi="Cambria"/>
                <w:b/>
                <w:bCs/>
                <w:sz w:val="20"/>
                <w:szCs w:val="20"/>
              </w:rPr>
              <w:t xml:space="preserve"> Estado:</w:t>
            </w:r>
          </w:p>
        </w:tc>
        <w:tc>
          <w:tcPr>
            <w:tcW w:w="5647" w:type="dxa"/>
            <w:vAlign w:val="center"/>
          </w:tcPr>
          <w:p w14:paraId="3CE49AFE" w14:textId="5AE1FBEE" w:rsidR="004C2312" w:rsidRPr="00560E0D" w:rsidRDefault="00F23F87" w:rsidP="006513C0">
            <w:pPr>
              <w:jc w:val="both"/>
              <w:rPr>
                <w:rFonts w:ascii="Cambria" w:hAnsi="Cambria"/>
                <w:bCs/>
                <w:sz w:val="20"/>
                <w:szCs w:val="20"/>
              </w:rPr>
            </w:pPr>
            <w:r w:rsidRPr="00560E0D">
              <w:rPr>
                <w:rFonts w:ascii="Cambria" w:hAnsi="Cambria"/>
                <w:bCs/>
                <w:sz w:val="20"/>
                <w:szCs w:val="20"/>
              </w:rPr>
              <w:t>30 de março de 2020</w:t>
            </w:r>
          </w:p>
        </w:tc>
      </w:tr>
    </w:tbl>
    <w:p w14:paraId="54D1CF15" w14:textId="77777777" w:rsidR="006513C0" w:rsidRDefault="006513C0" w:rsidP="006513C0">
      <w:pPr>
        <w:ind w:firstLine="720"/>
        <w:jc w:val="both"/>
        <w:rPr>
          <w:rFonts w:ascii="Cambria" w:hAnsi="Cambria"/>
          <w:b/>
          <w:bCs/>
          <w:sz w:val="20"/>
          <w:szCs w:val="20"/>
        </w:rPr>
      </w:pPr>
    </w:p>
    <w:p w14:paraId="21DAA666" w14:textId="10022CED" w:rsidR="003239B8" w:rsidRDefault="00D358AF" w:rsidP="006513C0">
      <w:pPr>
        <w:ind w:firstLine="720"/>
        <w:jc w:val="both"/>
        <w:rPr>
          <w:rFonts w:ascii="Cambria" w:hAnsi="Cambria"/>
          <w:b/>
          <w:bCs/>
          <w:sz w:val="20"/>
          <w:szCs w:val="20"/>
        </w:rPr>
      </w:pPr>
      <w:r w:rsidRPr="00560E0D">
        <w:rPr>
          <w:rFonts w:ascii="Cambria" w:hAnsi="Cambria"/>
          <w:b/>
          <w:bCs/>
          <w:sz w:val="20"/>
          <w:szCs w:val="20"/>
        </w:rPr>
        <w:t xml:space="preserve">III. </w:t>
      </w:r>
      <w:r w:rsidRPr="00560E0D">
        <w:rPr>
          <w:rFonts w:ascii="Cambria" w:hAnsi="Cambria"/>
          <w:b/>
          <w:bCs/>
          <w:sz w:val="20"/>
          <w:szCs w:val="20"/>
        </w:rPr>
        <w:tab/>
        <w:t>COMPETÊ</w:t>
      </w:r>
      <w:r w:rsidR="003239B8" w:rsidRPr="00560E0D">
        <w:rPr>
          <w:rFonts w:ascii="Cambria" w:hAnsi="Cambria"/>
          <w:b/>
          <w:bCs/>
          <w:sz w:val="20"/>
          <w:szCs w:val="20"/>
        </w:rPr>
        <w:t>NCIA</w:t>
      </w:r>
      <w:r w:rsidR="00EE00E9" w:rsidRPr="00560E0D">
        <w:rPr>
          <w:rFonts w:ascii="Cambria" w:hAnsi="Cambria"/>
          <w:b/>
          <w:bCs/>
          <w:sz w:val="20"/>
          <w:szCs w:val="20"/>
        </w:rPr>
        <w:t xml:space="preserve"> </w:t>
      </w:r>
    </w:p>
    <w:p w14:paraId="3E8240D6" w14:textId="77777777" w:rsidR="006513C0" w:rsidRPr="00560E0D" w:rsidRDefault="006513C0" w:rsidP="006513C0">
      <w:pPr>
        <w:ind w:firstLine="720"/>
        <w:jc w:val="both"/>
        <w:rPr>
          <w:rFonts w:ascii="Cambria" w:hAnsi="Cambria"/>
          <w:b/>
          <w:bCs/>
          <w:sz w:val="20"/>
          <w:szCs w:val="20"/>
        </w:rPr>
      </w:pP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60E0D" w14:paraId="072532AD" w14:textId="77777777" w:rsidTr="0022736D">
        <w:trPr>
          <w:cantSplit/>
        </w:trPr>
        <w:tc>
          <w:tcPr>
            <w:tcW w:w="3600" w:type="dxa"/>
            <w:tcBorders>
              <w:top w:val="single" w:sz="4" w:space="0" w:color="auto"/>
              <w:bottom w:val="single" w:sz="6" w:space="0" w:color="auto"/>
            </w:tcBorders>
            <w:shd w:val="clear" w:color="auto" w:fill="FFC000"/>
            <w:vAlign w:val="center"/>
          </w:tcPr>
          <w:p w14:paraId="5C2E4B34" w14:textId="4428BC7E" w:rsidR="003239B8" w:rsidRPr="00560E0D" w:rsidRDefault="00D21316" w:rsidP="006513C0">
            <w:pPr>
              <w:jc w:val="center"/>
              <w:rPr>
                <w:rFonts w:ascii="Cambria" w:hAnsi="Cambria"/>
                <w:b/>
                <w:bCs/>
                <w:i/>
                <w:sz w:val="20"/>
                <w:szCs w:val="20"/>
              </w:rPr>
            </w:pPr>
            <w:r w:rsidRPr="00560E0D">
              <w:rPr>
                <w:rFonts w:ascii="Cambria" w:hAnsi="Cambria"/>
                <w:b/>
                <w:bCs/>
                <w:sz w:val="20"/>
                <w:szCs w:val="20"/>
              </w:rPr>
              <w:t>Competê</w:t>
            </w:r>
            <w:r w:rsidR="003239B8" w:rsidRPr="00560E0D">
              <w:rPr>
                <w:rFonts w:ascii="Cambria" w:hAnsi="Cambria"/>
                <w:b/>
                <w:bCs/>
                <w:sz w:val="20"/>
                <w:szCs w:val="20"/>
              </w:rPr>
              <w:t>ncia</w:t>
            </w:r>
            <w:r w:rsidR="003239B8" w:rsidRPr="00560E0D">
              <w:rPr>
                <w:rFonts w:ascii="Cambria" w:hAnsi="Cambria"/>
                <w:b/>
                <w:bCs/>
                <w:i/>
                <w:sz w:val="20"/>
                <w:szCs w:val="20"/>
              </w:rPr>
              <w:t xml:space="preserve"> Ratione personae:</w:t>
            </w:r>
          </w:p>
        </w:tc>
        <w:tc>
          <w:tcPr>
            <w:tcW w:w="5760" w:type="dxa"/>
            <w:vAlign w:val="center"/>
          </w:tcPr>
          <w:p w14:paraId="7707F3E9" w14:textId="3FFD329A" w:rsidR="003239B8" w:rsidRPr="00560E0D" w:rsidRDefault="00856324" w:rsidP="006513C0">
            <w:pPr>
              <w:rPr>
                <w:rFonts w:ascii="Cambria" w:hAnsi="Cambria"/>
                <w:bCs/>
                <w:sz w:val="20"/>
                <w:szCs w:val="20"/>
              </w:rPr>
            </w:pPr>
            <w:r w:rsidRPr="00560E0D">
              <w:rPr>
                <w:rFonts w:ascii="Cambria" w:hAnsi="Cambria"/>
                <w:bCs/>
                <w:sz w:val="20"/>
                <w:szCs w:val="20"/>
              </w:rPr>
              <w:t>Sim</w:t>
            </w:r>
          </w:p>
        </w:tc>
      </w:tr>
      <w:tr w:rsidR="003239B8" w:rsidRPr="00560E0D" w14:paraId="4B8802DA" w14:textId="77777777" w:rsidTr="0022736D">
        <w:trPr>
          <w:cantSplit/>
        </w:trPr>
        <w:tc>
          <w:tcPr>
            <w:tcW w:w="3600" w:type="dxa"/>
            <w:tcBorders>
              <w:top w:val="single" w:sz="6" w:space="0" w:color="auto"/>
              <w:bottom w:val="single" w:sz="6" w:space="0" w:color="auto"/>
            </w:tcBorders>
            <w:shd w:val="clear" w:color="auto" w:fill="FFC000"/>
            <w:vAlign w:val="center"/>
          </w:tcPr>
          <w:p w14:paraId="3915C23B" w14:textId="5BC7D7BF" w:rsidR="003239B8" w:rsidRPr="00560E0D" w:rsidRDefault="00D21316" w:rsidP="006513C0">
            <w:pPr>
              <w:jc w:val="center"/>
              <w:rPr>
                <w:rFonts w:ascii="Cambria" w:hAnsi="Cambria"/>
                <w:b/>
                <w:bCs/>
                <w:sz w:val="20"/>
                <w:szCs w:val="20"/>
              </w:rPr>
            </w:pPr>
            <w:r w:rsidRPr="00560E0D">
              <w:rPr>
                <w:rFonts w:ascii="Cambria" w:hAnsi="Cambria"/>
                <w:b/>
                <w:bCs/>
                <w:sz w:val="20"/>
                <w:szCs w:val="20"/>
              </w:rPr>
              <w:t>Competê</w:t>
            </w:r>
            <w:r w:rsidR="003239B8" w:rsidRPr="00560E0D">
              <w:rPr>
                <w:rFonts w:ascii="Cambria" w:hAnsi="Cambria"/>
                <w:b/>
                <w:bCs/>
                <w:sz w:val="20"/>
                <w:szCs w:val="20"/>
              </w:rPr>
              <w:t>ncia</w:t>
            </w:r>
            <w:r w:rsidR="003239B8" w:rsidRPr="00560E0D">
              <w:rPr>
                <w:rFonts w:ascii="Cambria" w:hAnsi="Cambria"/>
                <w:b/>
                <w:bCs/>
                <w:i/>
                <w:sz w:val="20"/>
                <w:szCs w:val="20"/>
              </w:rPr>
              <w:t xml:space="preserve"> Ratione loci</w:t>
            </w:r>
            <w:r w:rsidR="003239B8" w:rsidRPr="00560E0D">
              <w:rPr>
                <w:rFonts w:ascii="Cambria" w:hAnsi="Cambria"/>
                <w:b/>
                <w:bCs/>
                <w:sz w:val="20"/>
                <w:szCs w:val="20"/>
              </w:rPr>
              <w:t>:</w:t>
            </w:r>
          </w:p>
        </w:tc>
        <w:tc>
          <w:tcPr>
            <w:tcW w:w="5760" w:type="dxa"/>
            <w:vAlign w:val="center"/>
          </w:tcPr>
          <w:p w14:paraId="12C931CB" w14:textId="6F8B110A" w:rsidR="003239B8" w:rsidRPr="00560E0D" w:rsidRDefault="00856324" w:rsidP="006513C0">
            <w:pPr>
              <w:rPr>
                <w:rFonts w:ascii="Cambria" w:hAnsi="Cambria"/>
                <w:bCs/>
                <w:sz w:val="20"/>
                <w:szCs w:val="20"/>
              </w:rPr>
            </w:pPr>
            <w:r w:rsidRPr="00560E0D">
              <w:rPr>
                <w:rFonts w:ascii="Cambria" w:hAnsi="Cambria"/>
                <w:bCs/>
                <w:sz w:val="20"/>
                <w:szCs w:val="20"/>
              </w:rPr>
              <w:t>Sim</w:t>
            </w:r>
          </w:p>
        </w:tc>
      </w:tr>
      <w:tr w:rsidR="003239B8" w:rsidRPr="00560E0D" w14:paraId="4362FDF3" w14:textId="77777777" w:rsidTr="0022736D">
        <w:trPr>
          <w:cantSplit/>
        </w:trPr>
        <w:tc>
          <w:tcPr>
            <w:tcW w:w="3600" w:type="dxa"/>
            <w:tcBorders>
              <w:top w:val="single" w:sz="6" w:space="0" w:color="auto"/>
              <w:bottom w:val="single" w:sz="6" w:space="0" w:color="auto"/>
            </w:tcBorders>
            <w:shd w:val="clear" w:color="auto" w:fill="FFC000"/>
            <w:vAlign w:val="center"/>
          </w:tcPr>
          <w:p w14:paraId="3BE23153" w14:textId="0DA4396B" w:rsidR="003239B8" w:rsidRPr="00560E0D" w:rsidRDefault="00D21316" w:rsidP="006513C0">
            <w:pPr>
              <w:jc w:val="center"/>
              <w:rPr>
                <w:rFonts w:ascii="Cambria" w:hAnsi="Cambria"/>
                <w:b/>
                <w:bCs/>
                <w:sz w:val="20"/>
                <w:szCs w:val="20"/>
              </w:rPr>
            </w:pPr>
            <w:r w:rsidRPr="00560E0D">
              <w:rPr>
                <w:rFonts w:ascii="Cambria" w:hAnsi="Cambria"/>
                <w:b/>
                <w:bCs/>
                <w:sz w:val="20"/>
                <w:szCs w:val="20"/>
              </w:rPr>
              <w:t>Competê</w:t>
            </w:r>
            <w:r w:rsidR="003239B8" w:rsidRPr="00560E0D">
              <w:rPr>
                <w:rFonts w:ascii="Cambria" w:hAnsi="Cambria"/>
                <w:b/>
                <w:bCs/>
                <w:sz w:val="20"/>
                <w:szCs w:val="20"/>
              </w:rPr>
              <w:t>ncia</w:t>
            </w:r>
            <w:r w:rsidR="003239B8" w:rsidRPr="00560E0D">
              <w:rPr>
                <w:rFonts w:ascii="Cambria" w:hAnsi="Cambria"/>
                <w:b/>
                <w:bCs/>
                <w:i/>
                <w:sz w:val="20"/>
                <w:szCs w:val="20"/>
              </w:rPr>
              <w:t xml:space="preserve"> Ratione temporis</w:t>
            </w:r>
            <w:r w:rsidR="003239B8" w:rsidRPr="00560E0D">
              <w:rPr>
                <w:rFonts w:ascii="Cambria" w:hAnsi="Cambria"/>
                <w:b/>
                <w:bCs/>
                <w:sz w:val="20"/>
                <w:szCs w:val="20"/>
              </w:rPr>
              <w:t>:</w:t>
            </w:r>
          </w:p>
        </w:tc>
        <w:tc>
          <w:tcPr>
            <w:tcW w:w="5760" w:type="dxa"/>
            <w:vAlign w:val="center"/>
          </w:tcPr>
          <w:p w14:paraId="6F8B059B" w14:textId="45199755" w:rsidR="003239B8" w:rsidRPr="00560E0D" w:rsidRDefault="00856324" w:rsidP="006513C0">
            <w:pPr>
              <w:rPr>
                <w:rFonts w:ascii="Cambria" w:hAnsi="Cambria"/>
                <w:bCs/>
                <w:sz w:val="20"/>
                <w:szCs w:val="20"/>
              </w:rPr>
            </w:pPr>
            <w:r w:rsidRPr="00560E0D">
              <w:rPr>
                <w:rFonts w:ascii="Cambria" w:hAnsi="Cambria"/>
                <w:bCs/>
                <w:sz w:val="20"/>
                <w:szCs w:val="20"/>
              </w:rPr>
              <w:t>Sim</w:t>
            </w:r>
          </w:p>
        </w:tc>
      </w:tr>
      <w:tr w:rsidR="003239B8" w:rsidRPr="00560E0D" w14:paraId="30ABEC3E" w14:textId="77777777" w:rsidTr="0022736D">
        <w:trPr>
          <w:cantSplit/>
        </w:trPr>
        <w:tc>
          <w:tcPr>
            <w:tcW w:w="3600" w:type="dxa"/>
            <w:tcBorders>
              <w:top w:val="single" w:sz="6" w:space="0" w:color="auto"/>
              <w:bottom w:val="single" w:sz="6" w:space="0" w:color="auto"/>
            </w:tcBorders>
            <w:shd w:val="clear" w:color="auto" w:fill="FFC000"/>
            <w:vAlign w:val="center"/>
          </w:tcPr>
          <w:p w14:paraId="47B529D2" w14:textId="38F880CA" w:rsidR="003239B8" w:rsidRPr="00560E0D" w:rsidRDefault="00D21316" w:rsidP="006513C0">
            <w:pPr>
              <w:jc w:val="center"/>
              <w:rPr>
                <w:rFonts w:ascii="Cambria" w:hAnsi="Cambria"/>
                <w:b/>
                <w:bCs/>
                <w:sz w:val="20"/>
                <w:szCs w:val="20"/>
              </w:rPr>
            </w:pPr>
            <w:r w:rsidRPr="00560E0D">
              <w:rPr>
                <w:rFonts w:ascii="Cambria" w:hAnsi="Cambria"/>
                <w:b/>
                <w:bCs/>
                <w:sz w:val="20"/>
                <w:szCs w:val="20"/>
              </w:rPr>
              <w:t>Competê</w:t>
            </w:r>
            <w:r w:rsidR="003239B8" w:rsidRPr="00560E0D">
              <w:rPr>
                <w:rFonts w:ascii="Cambria" w:hAnsi="Cambria"/>
                <w:b/>
                <w:bCs/>
                <w:sz w:val="20"/>
                <w:szCs w:val="20"/>
              </w:rPr>
              <w:t>ncia</w:t>
            </w:r>
            <w:r w:rsidR="003239B8" w:rsidRPr="00560E0D">
              <w:rPr>
                <w:rFonts w:ascii="Cambria" w:hAnsi="Cambria"/>
                <w:b/>
                <w:bCs/>
                <w:i/>
                <w:sz w:val="20"/>
                <w:szCs w:val="20"/>
              </w:rPr>
              <w:t xml:space="preserve"> Ratione materia</w:t>
            </w:r>
            <w:r w:rsidR="00EE00E9" w:rsidRPr="00560E0D">
              <w:rPr>
                <w:rFonts w:ascii="Cambria" w:hAnsi="Cambria"/>
                <w:b/>
                <w:bCs/>
                <w:i/>
                <w:sz w:val="20"/>
                <w:szCs w:val="20"/>
              </w:rPr>
              <w:t>e</w:t>
            </w:r>
            <w:r w:rsidR="003239B8" w:rsidRPr="00560E0D">
              <w:rPr>
                <w:rFonts w:ascii="Cambria" w:hAnsi="Cambria"/>
                <w:b/>
                <w:bCs/>
                <w:sz w:val="20"/>
                <w:szCs w:val="20"/>
              </w:rPr>
              <w:t>:</w:t>
            </w:r>
          </w:p>
        </w:tc>
        <w:tc>
          <w:tcPr>
            <w:tcW w:w="5760" w:type="dxa"/>
            <w:vAlign w:val="center"/>
          </w:tcPr>
          <w:p w14:paraId="0C122F44" w14:textId="6C38D449" w:rsidR="003239B8" w:rsidRPr="00560E0D" w:rsidRDefault="003911A2" w:rsidP="006513C0">
            <w:pPr>
              <w:jc w:val="both"/>
              <w:rPr>
                <w:rFonts w:ascii="Cambria" w:hAnsi="Cambria"/>
                <w:bCs/>
                <w:sz w:val="20"/>
                <w:szCs w:val="20"/>
              </w:rPr>
            </w:pPr>
            <w:r w:rsidRPr="00560E0D">
              <w:rPr>
                <w:rFonts w:ascii="Cambria" w:hAnsi="Cambria"/>
                <w:bCs/>
                <w:sz w:val="20"/>
                <w:szCs w:val="20"/>
              </w:rPr>
              <w:t xml:space="preserve">Sim, </w:t>
            </w:r>
            <w:r w:rsidR="00A12802" w:rsidRPr="00560E0D">
              <w:rPr>
                <w:rFonts w:ascii="Cambria" w:hAnsi="Cambria"/>
                <w:bCs/>
                <w:sz w:val="20"/>
                <w:szCs w:val="20"/>
              </w:rPr>
              <w:t xml:space="preserve">Convenção Americana </w:t>
            </w:r>
            <w:r w:rsidRPr="00560E0D">
              <w:rPr>
                <w:rFonts w:ascii="Cambria" w:hAnsi="Cambria"/>
                <w:bCs/>
                <w:sz w:val="20"/>
                <w:szCs w:val="20"/>
              </w:rPr>
              <w:t>(instrumento adotado no dia 25 de setembro de 1992)</w:t>
            </w:r>
          </w:p>
        </w:tc>
      </w:tr>
    </w:tbl>
    <w:p w14:paraId="227EC8F1" w14:textId="77777777" w:rsidR="006513C0" w:rsidRDefault="006513C0" w:rsidP="006513C0">
      <w:pPr>
        <w:ind w:firstLine="720"/>
        <w:jc w:val="both"/>
        <w:rPr>
          <w:rFonts w:ascii="Cambria" w:hAnsi="Cambria"/>
          <w:b/>
          <w:bCs/>
          <w:sz w:val="20"/>
          <w:szCs w:val="20"/>
        </w:rPr>
      </w:pPr>
    </w:p>
    <w:p w14:paraId="4E92C444" w14:textId="74EF895C" w:rsidR="003239B8" w:rsidRDefault="003239B8" w:rsidP="006513C0">
      <w:pPr>
        <w:ind w:firstLine="720"/>
        <w:jc w:val="both"/>
        <w:rPr>
          <w:rFonts w:ascii="Cambria" w:hAnsi="Cambria"/>
          <w:b/>
          <w:sz w:val="20"/>
          <w:szCs w:val="20"/>
        </w:rPr>
      </w:pPr>
      <w:r w:rsidRPr="00560E0D">
        <w:rPr>
          <w:rFonts w:ascii="Cambria" w:hAnsi="Cambria"/>
          <w:b/>
          <w:bCs/>
          <w:sz w:val="20"/>
          <w:szCs w:val="20"/>
        </w:rPr>
        <w:t xml:space="preserve">IV. </w:t>
      </w:r>
      <w:r w:rsidRPr="00560E0D">
        <w:rPr>
          <w:rFonts w:ascii="Cambria" w:hAnsi="Cambria"/>
          <w:b/>
          <w:bCs/>
          <w:sz w:val="20"/>
          <w:szCs w:val="20"/>
        </w:rPr>
        <w:tab/>
      </w:r>
      <w:r w:rsidR="00D21316" w:rsidRPr="00560E0D">
        <w:rPr>
          <w:rFonts w:ascii="Cambria" w:hAnsi="Cambria"/>
          <w:b/>
          <w:bCs/>
          <w:sz w:val="20"/>
          <w:szCs w:val="20"/>
        </w:rPr>
        <w:t>DUPLICAÇÃO</w:t>
      </w:r>
      <w:r w:rsidR="00EE00E9" w:rsidRPr="00560E0D">
        <w:rPr>
          <w:rFonts w:ascii="Cambria" w:hAnsi="Cambria"/>
          <w:b/>
          <w:bCs/>
          <w:color w:val="FFFFFF" w:themeColor="background1"/>
          <w:sz w:val="20"/>
          <w:szCs w:val="20"/>
        </w:rPr>
        <w:t xml:space="preserve"> </w:t>
      </w:r>
      <w:r w:rsidR="00D21316" w:rsidRPr="00560E0D">
        <w:rPr>
          <w:rFonts w:ascii="Cambria" w:hAnsi="Cambria"/>
          <w:b/>
          <w:bCs/>
          <w:sz w:val="20"/>
          <w:szCs w:val="20"/>
        </w:rPr>
        <w:t>DE PROCEDIMENTOS E</w:t>
      </w:r>
      <w:r w:rsidR="00EE00E9" w:rsidRPr="00560E0D">
        <w:rPr>
          <w:rFonts w:ascii="Cambria" w:hAnsi="Cambria"/>
          <w:b/>
          <w:bCs/>
          <w:sz w:val="20"/>
          <w:szCs w:val="20"/>
        </w:rPr>
        <w:t xml:space="preserve"> CO</w:t>
      </w:r>
      <w:r w:rsidR="00D21316" w:rsidRPr="00560E0D">
        <w:rPr>
          <w:rFonts w:ascii="Cambria" w:hAnsi="Cambria"/>
          <w:b/>
          <w:bCs/>
          <w:sz w:val="20"/>
          <w:szCs w:val="20"/>
        </w:rPr>
        <w:t>ISA JUL</w:t>
      </w:r>
      <w:r w:rsidR="00EE00E9" w:rsidRPr="00560E0D">
        <w:rPr>
          <w:rFonts w:ascii="Cambria" w:hAnsi="Cambria"/>
          <w:b/>
          <w:bCs/>
          <w:sz w:val="20"/>
          <w:szCs w:val="20"/>
        </w:rPr>
        <w:t>GADA</w:t>
      </w:r>
      <w:r w:rsidR="00EE00E9" w:rsidRPr="00560E0D">
        <w:rPr>
          <w:rFonts w:ascii="Cambria" w:hAnsi="Cambria"/>
          <w:b/>
          <w:bCs/>
          <w:i/>
          <w:sz w:val="20"/>
          <w:szCs w:val="20"/>
        </w:rPr>
        <w:t xml:space="preserve"> </w:t>
      </w:r>
      <w:r w:rsidR="00EE00E9" w:rsidRPr="00560E0D">
        <w:rPr>
          <w:rFonts w:ascii="Cambria" w:hAnsi="Cambria"/>
          <w:b/>
          <w:bCs/>
          <w:sz w:val="20"/>
          <w:szCs w:val="20"/>
        </w:rPr>
        <w:t xml:space="preserve">INTERNACIONAL, </w:t>
      </w:r>
      <w:r w:rsidR="00D21316" w:rsidRPr="00560E0D">
        <w:rPr>
          <w:rFonts w:ascii="Cambria" w:hAnsi="Cambria"/>
          <w:b/>
          <w:bCs/>
          <w:sz w:val="20"/>
          <w:szCs w:val="20"/>
        </w:rPr>
        <w:t>CARACTERIZAÇÃO</w:t>
      </w:r>
      <w:r w:rsidRPr="00560E0D">
        <w:rPr>
          <w:rFonts w:ascii="Cambria" w:hAnsi="Cambria"/>
          <w:b/>
          <w:bCs/>
          <w:sz w:val="20"/>
          <w:szCs w:val="20"/>
        </w:rPr>
        <w:t xml:space="preserve">, </w:t>
      </w:r>
      <w:r w:rsidR="00D21316" w:rsidRPr="00560E0D">
        <w:rPr>
          <w:rFonts w:ascii="Cambria" w:hAnsi="Cambria"/>
          <w:b/>
          <w:sz w:val="20"/>
          <w:szCs w:val="20"/>
        </w:rPr>
        <w:t>ESGOTAM</w:t>
      </w:r>
      <w:r w:rsidRPr="00560E0D">
        <w:rPr>
          <w:rFonts w:ascii="Cambria" w:hAnsi="Cambria"/>
          <w:b/>
          <w:sz w:val="20"/>
          <w:szCs w:val="20"/>
        </w:rPr>
        <w:t>ENTO D</w:t>
      </w:r>
      <w:r w:rsidR="00D21316" w:rsidRPr="00560E0D">
        <w:rPr>
          <w:rFonts w:ascii="Cambria" w:hAnsi="Cambria"/>
          <w:b/>
          <w:sz w:val="20"/>
          <w:szCs w:val="20"/>
        </w:rPr>
        <w:t>OS RECURSOS INTERNOS E PR</w:t>
      </w:r>
      <w:r w:rsidRPr="00560E0D">
        <w:rPr>
          <w:rFonts w:ascii="Cambria" w:hAnsi="Cambria"/>
          <w:b/>
          <w:sz w:val="20"/>
          <w:szCs w:val="20"/>
        </w:rPr>
        <w:t xml:space="preserve">AZO DE </w:t>
      </w:r>
      <w:r w:rsidR="00D21316" w:rsidRPr="00560E0D">
        <w:rPr>
          <w:rFonts w:ascii="Cambria" w:hAnsi="Cambria"/>
          <w:b/>
          <w:sz w:val="20"/>
          <w:szCs w:val="20"/>
        </w:rPr>
        <w:t>APRESENTAÇÃO</w:t>
      </w:r>
    </w:p>
    <w:p w14:paraId="24757706" w14:textId="77777777" w:rsidR="006513C0" w:rsidRPr="00560E0D" w:rsidRDefault="006513C0" w:rsidP="006513C0">
      <w:pPr>
        <w:ind w:firstLine="720"/>
        <w:jc w:val="both"/>
        <w:rPr>
          <w:rFonts w:ascii="Cambria" w:hAnsi="Cambria"/>
          <w:b/>
          <w:bCs/>
          <w:sz w:val="20"/>
          <w:szCs w:val="20"/>
        </w:rPr>
      </w:pP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560E0D" w14:paraId="1231C988" w14:textId="77777777" w:rsidTr="0022736D">
        <w:trPr>
          <w:cantSplit/>
        </w:trPr>
        <w:tc>
          <w:tcPr>
            <w:tcW w:w="3600" w:type="dxa"/>
            <w:tcBorders>
              <w:top w:val="single" w:sz="4" w:space="0" w:color="auto"/>
              <w:bottom w:val="single" w:sz="6" w:space="0" w:color="auto"/>
            </w:tcBorders>
            <w:shd w:val="clear" w:color="auto" w:fill="FFC000"/>
            <w:vAlign w:val="center"/>
          </w:tcPr>
          <w:p w14:paraId="6F8031F4" w14:textId="7F2FBF91" w:rsidR="00EE00E9" w:rsidRPr="00560E0D" w:rsidRDefault="00D21316" w:rsidP="006513C0">
            <w:pPr>
              <w:jc w:val="center"/>
              <w:rPr>
                <w:rFonts w:ascii="Cambria" w:hAnsi="Cambria"/>
                <w:b/>
                <w:bCs/>
                <w:sz w:val="20"/>
                <w:szCs w:val="20"/>
              </w:rPr>
            </w:pPr>
            <w:r w:rsidRPr="00560E0D">
              <w:rPr>
                <w:rFonts w:ascii="Cambria" w:hAnsi="Cambria"/>
                <w:b/>
                <w:bCs/>
                <w:sz w:val="20"/>
                <w:szCs w:val="20"/>
              </w:rPr>
              <w:t>Duplicação de procedimentos e</w:t>
            </w:r>
            <w:r w:rsidR="00EE00E9" w:rsidRPr="00560E0D">
              <w:rPr>
                <w:rFonts w:ascii="Cambria" w:hAnsi="Cambria"/>
                <w:b/>
                <w:bCs/>
                <w:sz w:val="20"/>
                <w:szCs w:val="20"/>
              </w:rPr>
              <w:t xml:space="preserve"> co</w:t>
            </w:r>
            <w:r w:rsidRPr="00560E0D">
              <w:rPr>
                <w:rFonts w:ascii="Cambria" w:hAnsi="Cambria"/>
                <w:b/>
                <w:bCs/>
                <w:sz w:val="20"/>
                <w:szCs w:val="20"/>
              </w:rPr>
              <w:t>isa jul</w:t>
            </w:r>
            <w:r w:rsidR="00EE00E9" w:rsidRPr="00560E0D">
              <w:rPr>
                <w:rFonts w:ascii="Cambria" w:hAnsi="Cambria"/>
                <w:b/>
                <w:bCs/>
                <w:sz w:val="20"/>
                <w:szCs w:val="20"/>
              </w:rPr>
              <w:t>gada internacional:</w:t>
            </w:r>
          </w:p>
        </w:tc>
        <w:tc>
          <w:tcPr>
            <w:tcW w:w="5760" w:type="dxa"/>
            <w:vAlign w:val="center"/>
          </w:tcPr>
          <w:p w14:paraId="240941E6" w14:textId="689F07D5" w:rsidR="00EE00E9" w:rsidRPr="00560E0D" w:rsidRDefault="00516462" w:rsidP="006513C0">
            <w:pPr>
              <w:jc w:val="both"/>
              <w:rPr>
                <w:rFonts w:ascii="Cambria" w:hAnsi="Cambria"/>
                <w:bCs/>
                <w:sz w:val="20"/>
                <w:szCs w:val="20"/>
              </w:rPr>
            </w:pPr>
            <w:r w:rsidRPr="00560E0D">
              <w:rPr>
                <w:rFonts w:ascii="Cambria" w:hAnsi="Cambria"/>
                <w:bCs/>
                <w:sz w:val="20"/>
                <w:szCs w:val="20"/>
              </w:rPr>
              <w:t>Não</w:t>
            </w:r>
          </w:p>
        </w:tc>
      </w:tr>
      <w:tr w:rsidR="003239B8" w:rsidRPr="00560E0D" w14:paraId="15FAA7D1" w14:textId="77777777" w:rsidTr="0022736D">
        <w:trPr>
          <w:cantSplit/>
        </w:trPr>
        <w:tc>
          <w:tcPr>
            <w:tcW w:w="3600" w:type="dxa"/>
            <w:tcBorders>
              <w:top w:val="single" w:sz="4" w:space="0" w:color="auto"/>
              <w:bottom w:val="single" w:sz="6" w:space="0" w:color="auto"/>
            </w:tcBorders>
            <w:shd w:val="clear" w:color="auto" w:fill="FFC000"/>
            <w:vAlign w:val="center"/>
          </w:tcPr>
          <w:p w14:paraId="1B0D29FF" w14:textId="577ED540" w:rsidR="003239B8" w:rsidRPr="00560E0D" w:rsidRDefault="00D21316" w:rsidP="006513C0">
            <w:pPr>
              <w:jc w:val="center"/>
              <w:rPr>
                <w:rFonts w:ascii="Cambria" w:hAnsi="Cambria"/>
                <w:b/>
                <w:bCs/>
                <w:i/>
                <w:sz w:val="20"/>
                <w:szCs w:val="20"/>
              </w:rPr>
            </w:pPr>
            <w:r w:rsidRPr="00560E0D">
              <w:rPr>
                <w:rFonts w:ascii="Cambria" w:hAnsi="Cambria"/>
                <w:b/>
                <w:bCs/>
                <w:sz w:val="20"/>
                <w:szCs w:val="20"/>
              </w:rPr>
              <w:t>Direitos</w:t>
            </w:r>
            <w:r w:rsidR="003239B8" w:rsidRPr="00560E0D">
              <w:rPr>
                <w:rFonts w:ascii="Cambria" w:hAnsi="Cambria"/>
                <w:b/>
                <w:bCs/>
                <w:sz w:val="20"/>
                <w:szCs w:val="20"/>
              </w:rPr>
              <w:t xml:space="preserve"> declarados </w:t>
            </w:r>
            <w:r w:rsidRPr="00560E0D">
              <w:rPr>
                <w:rFonts w:ascii="Cambria" w:hAnsi="Cambria"/>
                <w:b/>
                <w:bCs/>
                <w:sz w:val="20"/>
                <w:szCs w:val="20"/>
              </w:rPr>
              <w:t>admitidos</w:t>
            </w:r>
            <w:r w:rsidR="003239B8" w:rsidRPr="00560E0D">
              <w:rPr>
                <w:rFonts w:ascii="Cambria" w:hAnsi="Cambria"/>
                <w:b/>
                <w:bCs/>
                <w:i/>
                <w:sz w:val="20"/>
                <w:szCs w:val="20"/>
              </w:rPr>
              <w:t>:</w:t>
            </w:r>
          </w:p>
        </w:tc>
        <w:tc>
          <w:tcPr>
            <w:tcW w:w="5760" w:type="dxa"/>
            <w:vAlign w:val="center"/>
          </w:tcPr>
          <w:p w14:paraId="6310C8F7" w14:textId="14BCEB7D" w:rsidR="003239B8" w:rsidRPr="00560E0D" w:rsidRDefault="00FF7024" w:rsidP="006513C0">
            <w:pPr>
              <w:jc w:val="both"/>
              <w:rPr>
                <w:rFonts w:ascii="Cambria" w:hAnsi="Cambria"/>
                <w:bCs/>
                <w:sz w:val="20"/>
                <w:szCs w:val="20"/>
              </w:rPr>
            </w:pPr>
            <w:r w:rsidRPr="00560E0D">
              <w:rPr>
                <w:rFonts w:ascii="Cambria" w:hAnsi="Cambria"/>
                <w:bCs/>
                <w:sz w:val="20"/>
                <w:szCs w:val="20"/>
              </w:rPr>
              <w:t>Artigo</w:t>
            </w:r>
            <w:r w:rsidR="00C7574A">
              <w:rPr>
                <w:rFonts w:ascii="Cambria" w:hAnsi="Cambria"/>
                <w:bCs/>
                <w:sz w:val="20"/>
                <w:szCs w:val="20"/>
              </w:rPr>
              <w:t>s 5 (integridade pessoal), 8 (garantias judiciais), 11 (honra e dignidade),</w:t>
            </w:r>
            <w:r w:rsidR="00A710D9" w:rsidRPr="00560E0D">
              <w:rPr>
                <w:rFonts w:ascii="Cambria" w:hAnsi="Cambria"/>
                <w:bCs/>
                <w:sz w:val="20"/>
                <w:szCs w:val="20"/>
              </w:rPr>
              <w:t xml:space="preserve"> </w:t>
            </w:r>
            <w:r w:rsidRPr="00560E0D">
              <w:rPr>
                <w:rFonts w:ascii="Cambria" w:hAnsi="Cambria"/>
                <w:bCs/>
                <w:sz w:val="20"/>
                <w:szCs w:val="20"/>
              </w:rPr>
              <w:t>13 (liberdade de pensamento e expressão)</w:t>
            </w:r>
            <w:r w:rsidR="00C7574A">
              <w:rPr>
                <w:rFonts w:ascii="Cambria" w:hAnsi="Cambria"/>
                <w:bCs/>
                <w:sz w:val="20"/>
                <w:szCs w:val="20"/>
              </w:rPr>
              <w:t xml:space="preserve"> e 25 (proteção judicial)</w:t>
            </w:r>
            <w:r w:rsidRPr="00560E0D">
              <w:rPr>
                <w:rFonts w:ascii="Cambria" w:hAnsi="Cambria"/>
                <w:bCs/>
                <w:sz w:val="20"/>
                <w:szCs w:val="20"/>
              </w:rPr>
              <w:t xml:space="preserve"> da Convenção Americana em relação ao seu artigo</w:t>
            </w:r>
            <w:r w:rsidR="00E8778F">
              <w:rPr>
                <w:rFonts w:ascii="Cambria" w:hAnsi="Cambria"/>
                <w:bCs/>
                <w:sz w:val="20"/>
                <w:szCs w:val="20"/>
              </w:rPr>
              <w:t xml:space="preserve">s 1.1 </w:t>
            </w:r>
            <w:r w:rsidR="00951C77">
              <w:rPr>
                <w:rFonts w:ascii="Cambria" w:hAnsi="Cambria"/>
                <w:bCs/>
                <w:sz w:val="20"/>
                <w:szCs w:val="20"/>
              </w:rPr>
              <w:t>e</w:t>
            </w:r>
            <w:r w:rsidRPr="00560E0D">
              <w:rPr>
                <w:rFonts w:ascii="Cambria" w:hAnsi="Cambria"/>
                <w:bCs/>
                <w:sz w:val="20"/>
                <w:szCs w:val="20"/>
              </w:rPr>
              <w:t xml:space="preserve"> 2 (dever de adotar disposições de direito interno)</w:t>
            </w:r>
          </w:p>
        </w:tc>
      </w:tr>
      <w:tr w:rsidR="003239B8" w:rsidRPr="00560E0D" w14:paraId="4EFD141E" w14:textId="77777777" w:rsidTr="0022736D">
        <w:trPr>
          <w:cantSplit/>
        </w:trPr>
        <w:tc>
          <w:tcPr>
            <w:tcW w:w="3600" w:type="dxa"/>
            <w:tcBorders>
              <w:top w:val="single" w:sz="6" w:space="0" w:color="auto"/>
              <w:bottom w:val="single" w:sz="6" w:space="0" w:color="auto"/>
            </w:tcBorders>
            <w:shd w:val="clear" w:color="auto" w:fill="FFC000"/>
            <w:vAlign w:val="center"/>
          </w:tcPr>
          <w:p w14:paraId="4C04A89C" w14:textId="4CDE326B" w:rsidR="003239B8" w:rsidRPr="00560E0D" w:rsidRDefault="00D21316" w:rsidP="006513C0">
            <w:pPr>
              <w:jc w:val="center"/>
              <w:rPr>
                <w:rFonts w:ascii="Cambria" w:hAnsi="Cambria"/>
                <w:b/>
                <w:bCs/>
                <w:sz w:val="20"/>
                <w:szCs w:val="20"/>
              </w:rPr>
            </w:pPr>
            <w:r w:rsidRPr="00560E0D">
              <w:rPr>
                <w:rFonts w:ascii="Cambria" w:hAnsi="Cambria"/>
                <w:b/>
                <w:bCs/>
                <w:sz w:val="20"/>
                <w:szCs w:val="20"/>
              </w:rPr>
              <w:t>Esgotamento dos</w:t>
            </w:r>
            <w:r w:rsidR="003239B8" w:rsidRPr="00560E0D">
              <w:rPr>
                <w:rFonts w:ascii="Cambria" w:hAnsi="Cambria"/>
                <w:b/>
                <w:bCs/>
                <w:sz w:val="20"/>
                <w:szCs w:val="20"/>
              </w:rPr>
              <w:t xml:space="preserve"> recursos internos</w:t>
            </w:r>
            <w:r w:rsidR="00EE00E9" w:rsidRPr="00560E0D">
              <w:rPr>
                <w:rFonts w:ascii="Cambria" w:hAnsi="Cambria"/>
                <w:b/>
                <w:bCs/>
                <w:sz w:val="20"/>
                <w:szCs w:val="20"/>
              </w:rPr>
              <w:t xml:space="preserve"> o</w:t>
            </w:r>
            <w:r w:rsidRPr="00560E0D">
              <w:rPr>
                <w:rFonts w:ascii="Cambria" w:hAnsi="Cambria"/>
                <w:b/>
                <w:bCs/>
                <w:sz w:val="20"/>
                <w:szCs w:val="20"/>
              </w:rPr>
              <w:t>u procedência de um</w:t>
            </w:r>
            <w:r w:rsidR="00EE00E9" w:rsidRPr="00560E0D">
              <w:rPr>
                <w:rFonts w:ascii="Cambria" w:hAnsi="Cambria"/>
                <w:b/>
                <w:bCs/>
                <w:sz w:val="20"/>
                <w:szCs w:val="20"/>
              </w:rPr>
              <w:t xml:space="preserve">a </w:t>
            </w:r>
            <w:r w:rsidRPr="00560E0D">
              <w:rPr>
                <w:rFonts w:ascii="Cambria" w:hAnsi="Cambria"/>
                <w:b/>
                <w:bCs/>
                <w:sz w:val="20"/>
                <w:szCs w:val="20"/>
              </w:rPr>
              <w:t>exceção</w:t>
            </w:r>
            <w:r w:rsidR="003239B8" w:rsidRPr="00560E0D">
              <w:rPr>
                <w:rFonts w:ascii="Cambria" w:hAnsi="Cambria"/>
                <w:b/>
                <w:bCs/>
                <w:sz w:val="20"/>
                <w:szCs w:val="20"/>
              </w:rPr>
              <w:t>:</w:t>
            </w:r>
          </w:p>
        </w:tc>
        <w:tc>
          <w:tcPr>
            <w:tcW w:w="5760" w:type="dxa"/>
            <w:vAlign w:val="center"/>
          </w:tcPr>
          <w:p w14:paraId="69C53E8A" w14:textId="7C99C477" w:rsidR="003239B8" w:rsidRPr="00560E0D" w:rsidRDefault="00BE25DE" w:rsidP="006513C0">
            <w:pPr>
              <w:rPr>
                <w:rFonts w:ascii="Cambria" w:hAnsi="Cambria"/>
                <w:bCs/>
                <w:sz w:val="20"/>
                <w:szCs w:val="20"/>
              </w:rPr>
            </w:pPr>
            <w:r w:rsidRPr="00560E0D">
              <w:rPr>
                <w:rFonts w:ascii="Cambria" w:hAnsi="Cambria"/>
                <w:bCs/>
                <w:sz w:val="20"/>
                <w:szCs w:val="20"/>
              </w:rPr>
              <w:t>3 de dezembro de 2012</w:t>
            </w:r>
          </w:p>
        </w:tc>
      </w:tr>
      <w:tr w:rsidR="003239B8" w:rsidRPr="00560E0D" w14:paraId="52B5BA17" w14:textId="77777777" w:rsidTr="0022736D">
        <w:trPr>
          <w:cantSplit/>
        </w:trPr>
        <w:tc>
          <w:tcPr>
            <w:tcW w:w="3600" w:type="dxa"/>
            <w:tcBorders>
              <w:top w:val="single" w:sz="6" w:space="0" w:color="auto"/>
              <w:bottom w:val="single" w:sz="6" w:space="0" w:color="auto"/>
            </w:tcBorders>
            <w:shd w:val="clear" w:color="auto" w:fill="FFC000"/>
            <w:vAlign w:val="center"/>
          </w:tcPr>
          <w:p w14:paraId="5DF99086" w14:textId="35473084" w:rsidR="003239B8" w:rsidRPr="00560E0D" w:rsidRDefault="00D21316" w:rsidP="006513C0">
            <w:pPr>
              <w:jc w:val="center"/>
              <w:rPr>
                <w:rFonts w:ascii="Cambria" w:hAnsi="Cambria"/>
                <w:b/>
                <w:bCs/>
                <w:sz w:val="20"/>
                <w:szCs w:val="20"/>
              </w:rPr>
            </w:pPr>
            <w:r w:rsidRPr="00560E0D">
              <w:rPr>
                <w:rFonts w:ascii="Cambria" w:hAnsi="Cambria"/>
                <w:b/>
                <w:bCs/>
                <w:sz w:val="20"/>
                <w:szCs w:val="20"/>
              </w:rPr>
              <w:t>Apresentação dentro do pr</w:t>
            </w:r>
            <w:r w:rsidR="003239B8" w:rsidRPr="00560E0D">
              <w:rPr>
                <w:rFonts w:ascii="Cambria" w:hAnsi="Cambria"/>
                <w:b/>
                <w:bCs/>
                <w:sz w:val="20"/>
                <w:szCs w:val="20"/>
              </w:rPr>
              <w:t>azo:</w:t>
            </w:r>
          </w:p>
        </w:tc>
        <w:tc>
          <w:tcPr>
            <w:tcW w:w="5760" w:type="dxa"/>
            <w:vAlign w:val="center"/>
          </w:tcPr>
          <w:p w14:paraId="4A2A4569" w14:textId="13D522DA" w:rsidR="003239B8" w:rsidRPr="00560E0D" w:rsidRDefault="00F23F87" w:rsidP="006513C0">
            <w:pPr>
              <w:rPr>
                <w:rFonts w:ascii="Cambria" w:hAnsi="Cambria"/>
                <w:bCs/>
                <w:sz w:val="20"/>
                <w:szCs w:val="20"/>
              </w:rPr>
            </w:pPr>
            <w:r w:rsidRPr="00560E0D">
              <w:rPr>
                <w:rFonts w:ascii="Cambria" w:hAnsi="Cambria"/>
                <w:bCs/>
                <w:sz w:val="20"/>
                <w:szCs w:val="20"/>
              </w:rPr>
              <w:t>3 de março de 2013</w:t>
            </w:r>
          </w:p>
        </w:tc>
      </w:tr>
    </w:tbl>
    <w:p w14:paraId="19295CF1" w14:textId="77777777" w:rsidR="006513C0" w:rsidRDefault="006513C0" w:rsidP="006513C0">
      <w:pPr>
        <w:ind w:firstLine="720"/>
        <w:jc w:val="both"/>
        <w:rPr>
          <w:rFonts w:ascii="Cambria" w:hAnsi="Cambria"/>
          <w:b/>
          <w:sz w:val="20"/>
          <w:szCs w:val="20"/>
        </w:rPr>
      </w:pPr>
    </w:p>
    <w:p w14:paraId="18E6423B" w14:textId="62DF54DA" w:rsidR="003239B8" w:rsidRDefault="00223A29" w:rsidP="006513C0">
      <w:pPr>
        <w:ind w:firstLine="720"/>
        <w:jc w:val="both"/>
        <w:rPr>
          <w:rFonts w:ascii="Cambria" w:hAnsi="Cambria"/>
          <w:b/>
          <w:sz w:val="20"/>
          <w:szCs w:val="20"/>
        </w:rPr>
      </w:pPr>
      <w:r w:rsidRPr="00560E0D">
        <w:rPr>
          <w:rFonts w:ascii="Cambria" w:hAnsi="Cambria"/>
          <w:b/>
          <w:sz w:val="20"/>
          <w:szCs w:val="20"/>
        </w:rPr>
        <w:t xml:space="preserve">V. </w:t>
      </w:r>
      <w:r w:rsidRPr="00560E0D">
        <w:rPr>
          <w:rFonts w:ascii="Cambria" w:hAnsi="Cambria"/>
          <w:b/>
          <w:sz w:val="20"/>
          <w:szCs w:val="20"/>
        </w:rPr>
        <w:tab/>
      </w:r>
      <w:r w:rsidR="00D21316" w:rsidRPr="00560E0D">
        <w:rPr>
          <w:rFonts w:ascii="Cambria" w:hAnsi="Cambria"/>
          <w:b/>
          <w:sz w:val="20"/>
          <w:szCs w:val="20"/>
        </w:rPr>
        <w:t>FATOS</w:t>
      </w:r>
      <w:r w:rsidR="003239B8" w:rsidRPr="00560E0D">
        <w:rPr>
          <w:rFonts w:ascii="Cambria" w:hAnsi="Cambria"/>
          <w:b/>
          <w:sz w:val="20"/>
          <w:szCs w:val="20"/>
        </w:rPr>
        <w:t xml:space="preserve"> ALEGADOS </w:t>
      </w:r>
    </w:p>
    <w:p w14:paraId="2CC71E17" w14:textId="77777777" w:rsidR="006513C0" w:rsidRPr="00560E0D" w:rsidRDefault="006513C0" w:rsidP="006513C0">
      <w:pPr>
        <w:ind w:firstLine="720"/>
        <w:jc w:val="both"/>
        <w:rPr>
          <w:rFonts w:ascii="Cambria" w:hAnsi="Cambria"/>
          <w:b/>
          <w:sz w:val="20"/>
          <w:szCs w:val="20"/>
        </w:rPr>
      </w:pPr>
    </w:p>
    <w:p w14:paraId="3CD0DEF5" w14:textId="417A6357" w:rsidR="004B1D1E" w:rsidRDefault="004B1D1E" w:rsidP="006513C0">
      <w:pPr>
        <w:pStyle w:val="ListParagraph"/>
        <w:numPr>
          <w:ilvl w:val="0"/>
          <w:numId w:val="103"/>
        </w:numPr>
        <w:jc w:val="both"/>
        <w:rPr>
          <w:bCs/>
          <w:sz w:val="20"/>
          <w:szCs w:val="20"/>
          <w:lang w:val="pt-BR"/>
        </w:rPr>
      </w:pPr>
      <w:r w:rsidRPr="00560E0D">
        <w:rPr>
          <w:sz w:val="20"/>
          <w:szCs w:val="20"/>
          <w:lang w:val="pt-BR"/>
        </w:rPr>
        <w:t>A parte peticionária afirma que o Estado brasileiro é responsável pela viola</w:t>
      </w:r>
      <w:r w:rsidRPr="00560E0D">
        <w:rPr>
          <w:bCs/>
          <w:sz w:val="20"/>
          <w:szCs w:val="20"/>
          <w:lang w:val="pt-BR"/>
        </w:rPr>
        <w:t>ção</w:t>
      </w:r>
      <w:r w:rsidRPr="00560E0D">
        <w:rPr>
          <w:sz w:val="20"/>
          <w:szCs w:val="20"/>
          <w:lang w:val="pt-BR"/>
        </w:rPr>
        <w:t xml:space="preserve"> </w:t>
      </w:r>
      <w:r w:rsidR="004C4E99" w:rsidRPr="00560E0D">
        <w:rPr>
          <w:sz w:val="20"/>
          <w:szCs w:val="20"/>
          <w:lang w:val="pt-BR"/>
        </w:rPr>
        <w:t xml:space="preserve">do direito </w:t>
      </w:r>
      <w:r w:rsidR="00D92116" w:rsidRPr="00560E0D">
        <w:rPr>
          <w:sz w:val="20"/>
          <w:szCs w:val="20"/>
          <w:lang w:val="pt-BR"/>
        </w:rPr>
        <w:t xml:space="preserve">à liberdade de expressão do Sr. </w:t>
      </w:r>
      <w:r w:rsidR="00D92116" w:rsidRPr="00560E0D">
        <w:rPr>
          <w:bCs/>
          <w:sz w:val="20"/>
          <w:szCs w:val="20"/>
          <w:lang w:val="pt-BR"/>
        </w:rPr>
        <w:t>Daniel Nitzsche Starling (adiante “a suposta vítima” ou “o Sr. Starling”), devido a sua condenação por crime de desacato</w:t>
      </w:r>
      <w:r w:rsidR="008B38C7" w:rsidRPr="00560E0D">
        <w:rPr>
          <w:bCs/>
          <w:sz w:val="20"/>
          <w:szCs w:val="20"/>
          <w:lang w:val="pt-BR"/>
        </w:rPr>
        <w:t>,</w:t>
      </w:r>
      <w:r w:rsidR="00D92116" w:rsidRPr="00560E0D">
        <w:rPr>
          <w:bCs/>
          <w:sz w:val="20"/>
          <w:szCs w:val="20"/>
          <w:lang w:val="pt-BR"/>
        </w:rPr>
        <w:t xml:space="preserve"> bem como à ausência de controle de convencionalidade por parte das autoridades brasileiras. </w:t>
      </w:r>
      <w:r w:rsidR="008B38C7" w:rsidRPr="00560E0D">
        <w:rPr>
          <w:bCs/>
          <w:sz w:val="20"/>
          <w:szCs w:val="20"/>
          <w:lang w:val="pt-BR"/>
        </w:rPr>
        <w:t>Segundo a DPU, a Relatoria para Liberdade de Expressão da CIDH já concluiu que a legislação brasileira que tipifica o crime de desacato não é compatível com o artigo 13 da Convenção Americana Ademais, se afirma que o Estado violou o direito à liberdade pessoal da suposta vítima</w:t>
      </w:r>
      <w:r w:rsidR="00A710D9" w:rsidRPr="00560E0D">
        <w:rPr>
          <w:bCs/>
          <w:sz w:val="20"/>
          <w:szCs w:val="20"/>
          <w:lang w:val="pt-BR"/>
        </w:rPr>
        <w:t>,</w:t>
      </w:r>
      <w:r w:rsidR="008B38C7" w:rsidRPr="00560E0D">
        <w:rPr>
          <w:bCs/>
          <w:sz w:val="20"/>
          <w:szCs w:val="20"/>
          <w:lang w:val="pt-BR"/>
        </w:rPr>
        <w:t xml:space="preserve"> devido à privação de liberdade fundamentada no suposto delito de “desacato”, o qual por não ter respaldo na jurisprudência </w:t>
      </w:r>
      <w:r w:rsidR="008B38C7" w:rsidRPr="00560E0D">
        <w:rPr>
          <w:bCs/>
          <w:sz w:val="20"/>
          <w:szCs w:val="20"/>
          <w:lang w:val="pt-BR"/>
        </w:rPr>
        <w:lastRenderedPageBreak/>
        <w:t>interamericana sobre liberdade de expressão, não poderia ser considerado um delito. Ainda, se afirma que o Estado é responsável pela violação ao direito à integridade moral do Sr. Starling, pois com a condenação por desacato, foi submetido à vergonha pública e não possui primariedade criminal, e pode ter inviabilizada ou prejudicada a obtenção de empregos, readaptação social. Finalmente, se alega que foi violado o direito à indenização por erro judicial</w:t>
      </w:r>
      <w:r w:rsidR="00FF7024" w:rsidRPr="00560E0D">
        <w:rPr>
          <w:bCs/>
          <w:sz w:val="20"/>
          <w:szCs w:val="20"/>
          <w:lang w:val="pt-BR"/>
        </w:rPr>
        <w:t>, pois a suposta vítima foi condenada por um crime incompatível com a Convenção Americana.</w:t>
      </w:r>
    </w:p>
    <w:p w14:paraId="0F41CE3C" w14:textId="77777777" w:rsidR="005F3908" w:rsidRPr="00560E0D" w:rsidRDefault="005F3908" w:rsidP="006513C0">
      <w:pPr>
        <w:pStyle w:val="ListParagraph"/>
        <w:jc w:val="both"/>
        <w:rPr>
          <w:bCs/>
          <w:sz w:val="20"/>
          <w:szCs w:val="20"/>
          <w:lang w:val="pt-BR"/>
        </w:rPr>
      </w:pPr>
    </w:p>
    <w:p w14:paraId="2AF4FD1E" w14:textId="6DDA2B99" w:rsidR="001F0BB5" w:rsidRPr="006513C0" w:rsidRDefault="004C4E99" w:rsidP="006513C0">
      <w:pPr>
        <w:numPr>
          <w:ilvl w:val="0"/>
          <w:numId w:val="103"/>
        </w:numPr>
        <w:suppressAutoHyphens/>
        <w:jc w:val="both"/>
        <w:rPr>
          <w:rFonts w:ascii="Cambria" w:hAnsi="Cambria"/>
          <w:sz w:val="20"/>
          <w:szCs w:val="20"/>
        </w:rPr>
      </w:pPr>
      <w:r w:rsidRPr="00560E0D">
        <w:rPr>
          <w:rFonts w:ascii="Cambria" w:hAnsi="Cambria"/>
          <w:bCs/>
          <w:sz w:val="20"/>
          <w:szCs w:val="20"/>
        </w:rPr>
        <w:t>A peticionária afirma que</w:t>
      </w:r>
      <w:r w:rsidR="00431789" w:rsidRPr="00560E0D">
        <w:rPr>
          <w:rFonts w:ascii="Cambria" w:hAnsi="Cambria"/>
          <w:bCs/>
          <w:sz w:val="20"/>
          <w:szCs w:val="20"/>
        </w:rPr>
        <w:t xml:space="preserve"> </w:t>
      </w:r>
      <w:r w:rsidRPr="00560E0D">
        <w:rPr>
          <w:rFonts w:ascii="Cambria" w:hAnsi="Cambria"/>
          <w:bCs/>
          <w:sz w:val="20"/>
          <w:szCs w:val="20"/>
        </w:rPr>
        <w:t xml:space="preserve">a suposta vítima foi </w:t>
      </w:r>
      <w:r w:rsidR="00431789" w:rsidRPr="00560E0D">
        <w:rPr>
          <w:rFonts w:ascii="Cambria" w:hAnsi="Cambria"/>
          <w:bCs/>
          <w:sz w:val="20"/>
          <w:szCs w:val="20"/>
        </w:rPr>
        <w:t xml:space="preserve">denunciada pelo Ministério Público Federal por supostamente ter praticado o crime de desacato (artigo 331 do Código Penal) por supostamente ter chamado um agente da Polícia Federal, dentro do Departamento da Polícia Federal, de “vagabundo”. Esclarece que o processo criminal tramitou perante a Vara Criminal de Florianópolis e, na sentença, o juiz de primeiro grau condenou a suposta vítima com base em depoimentos de outros policiais federais. Afirma que </w:t>
      </w:r>
      <w:r w:rsidR="00D92116" w:rsidRPr="00560E0D">
        <w:rPr>
          <w:rFonts w:ascii="Cambria" w:hAnsi="Cambria"/>
          <w:bCs/>
          <w:sz w:val="20"/>
          <w:szCs w:val="20"/>
        </w:rPr>
        <w:t>o Sr. Starling</w:t>
      </w:r>
      <w:r w:rsidR="00431789" w:rsidRPr="00560E0D">
        <w:rPr>
          <w:rFonts w:ascii="Cambria" w:hAnsi="Cambria"/>
          <w:bCs/>
          <w:sz w:val="20"/>
          <w:szCs w:val="20"/>
        </w:rPr>
        <w:t xml:space="preserve"> interpôs recurso inominado perante a Turma Recursal, sustentando a existência de dúvidas quanto à ocorrência do crime, irregularidade processual e ausência de elemento subjetivo do tipo. Entretanto, </w:t>
      </w:r>
      <w:r w:rsidR="001E3F08" w:rsidRPr="00560E0D">
        <w:rPr>
          <w:rFonts w:ascii="Cambria" w:hAnsi="Cambria"/>
          <w:bCs/>
          <w:sz w:val="20"/>
          <w:szCs w:val="20"/>
        </w:rPr>
        <w:t xml:space="preserve">a 3ª Turma Recursal de Santa Catarina manteve a sentença. Posteriormente, a suposta vítima suscitou Pedido de Uniformização perante a Turma Nacional de Uniformização (adiante “TNU”), o qual foi inadmitido, pois a </w:t>
      </w:r>
      <w:r w:rsidR="001258DF" w:rsidRPr="00560E0D">
        <w:rPr>
          <w:rFonts w:ascii="Cambria" w:hAnsi="Cambria"/>
          <w:bCs/>
          <w:sz w:val="20"/>
          <w:szCs w:val="20"/>
        </w:rPr>
        <w:t>pretensão recursal demandaria o reexame de fatos. Dessa decisão, a suposta vítima opôs embargos de declaração, os quais foram rejeitados.</w:t>
      </w:r>
      <w:r w:rsidR="00D92116" w:rsidRPr="00560E0D">
        <w:rPr>
          <w:rFonts w:ascii="Cambria" w:hAnsi="Cambria"/>
          <w:bCs/>
          <w:sz w:val="20"/>
          <w:szCs w:val="20"/>
        </w:rPr>
        <w:t xml:space="preserve"> Nesse sentido, a parte peticionária afirma que os recursos internos foram esgotados, pois não caberia mais nenhum recurso para reformar a decisão, pois não seria possível apresentar o incidente de uniformização dirigido ao Superior Tribunal de Justiça</w:t>
      </w:r>
      <w:r w:rsidR="00CE2826" w:rsidRPr="00560E0D">
        <w:rPr>
          <w:rFonts w:ascii="Cambria" w:hAnsi="Cambria"/>
          <w:bCs/>
          <w:sz w:val="20"/>
          <w:szCs w:val="20"/>
        </w:rPr>
        <w:t xml:space="preserve"> (adiante “o STJ”)</w:t>
      </w:r>
      <w:r w:rsidR="00D92116" w:rsidRPr="00560E0D">
        <w:rPr>
          <w:rFonts w:ascii="Cambria" w:hAnsi="Cambria"/>
          <w:bCs/>
          <w:sz w:val="20"/>
          <w:szCs w:val="20"/>
        </w:rPr>
        <w:t>, pois segundo o artigo 2 da Resolução No. 22/CJF, a decisão proferida pela Presidência da TNU que inadmite pedido de uniformização é irrecorrível.</w:t>
      </w:r>
      <w:r w:rsidR="00A710D9" w:rsidRPr="00560E0D">
        <w:rPr>
          <w:rFonts w:ascii="Cambria" w:hAnsi="Cambria"/>
          <w:bCs/>
          <w:sz w:val="20"/>
          <w:szCs w:val="20"/>
        </w:rPr>
        <w:t xml:space="preserve"> Ainda, afirma que o Recurso Extraordinário não era efetiv</w:t>
      </w:r>
      <w:r w:rsidR="00D33B39" w:rsidRPr="00560E0D">
        <w:rPr>
          <w:rFonts w:ascii="Cambria" w:hAnsi="Cambria"/>
          <w:bCs/>
          <w:sz w:val="20"/>
          <w:szCs w:val="20"/>
        </w:rPr>
        <w:t>o</w:t>
      </w:r>
      <w:r w:rsidR="00A710D9" w:rsidRPr="00560E0D">
        <w:rPr>
          <w:rFonts w:ascii="Cambria" w:hAnsi="Cambria"/>
          <w:bCs/>
          <w:sz w:val="20"/>
          <w:szCs w:val="20"/>
        </w:rPr>
        <w:t xml:space="preserve"> ou idôneo, </w:t>
      </w:r>
      <w:r w:rsidR="00D33B39" w:rsidRPr="00560E0D">
        <w:rPr>
          <w:rFonts w:ascii="Cambria" w:hAnsi="Cambria"/>
          <w:bCs/>
          <w:sz w:val="20"/>
          <w:szCs w:val="20"/>
        </w:rPr>
        <w:t>pois o STF já havia se pronunciado sobre outros casos que envolviam o crime de desacato, reforçando a condenação dos réus. Alega a revisão criminal não foi esgotada, pois não é um recurso efetivo, já que se destina a corrigir erros graves da sentença condenatória, não sendo capaz de examinar a inconvencionalidade do crime de desacato. Aduz que a condenação criminal não pode ser discutida na esfera civil. Finalmente, a parte peticionária requer a reunião da petição sob exame à P-1500-12, pois ambos abordam a criminalização do desacato e o impacto na liberdade de expressão.</w:t>
      </w:r>
    </w:p>
    <w:p w14:paraId="65C78537" w14:textId="77777777" w:rsidR="006513C0" w:rsidRPr="00560E0D" w:rsidRDefault="006513C0" w:rsidP="006513C0">
      <w:pPr>
        <w:suppressAutoHyphens/>
        <w:ind w:left="720"/>
        <w:jc w:val="both"/>
        <w:rPr>
          <w:rFonts w:ascii="Cambria" w:hAnsi="Cambria"/>
          <w:sz w:val="20"/>
          <w:szCs w:val="20"/>
        </w:rPr>
      </w:pPr>
    </w:p>
    <w:p w14:paraId="19D2BAE2" w14:textId="42867C50" w:rsidR="0098062B" w:rsidRPr="00560E0D" w:rsidRDefault="00CE2826" w:rsidP="006513C0">
      <w:pPr>
        <w:numPr>
          <w:ilvl w:val="0"/>
          <w:numId w:val="103"/>
        </w:numPr>
        <w:suppressAutoHyphens/>
        <w:jc w:val="both"/>
        <w:rPr>
          <w:rFonts w:ascii="Cambria" w:hAnsi="Cambria"/>
          <w:sz w:val="20"/>
          <w:szCs w:val="20"/>
        </w:rPr>
      </w:pPr>
      <w:r w:rsidRPr="00560E0D">
        <w:rPr>
          <w:rFonts w:ascii="Cambria" w:hAnsi="Cambria"/>
          <w:sz w:val="20"/>
          <w:szCs w:val="20"/>
        </w:rPr>
        <w:t xml:space="preserve">O Estado </w:t>
      </w:r>
      <w:r w:rsidR="001E7113" w:rsidRPr="00560E0D">
        <w:rPr>
          <w:rFonts w:ascii="Cambria" w:hAnsi="Cambria"/>
          <w:sz w:val="20"/>
          <w:szCs w:val="20"/>
        </w:rPr>
        <w:t>afirma que a liberdade pessoal da suposta vítima nunca foi restrita pelo Estado, pois o Sr. Starling foi condenado a pagar multa no valor de R$ 100,00 (cem reais), valor irrisório, fixado no mínimo legal</w:t>
      </w:r>
      <w:r w:rsidRPr="00560E0D">
        <w:rPr>
          <w:rFonts w:ascii="Cambria" w:hAnsi="Cambria"/>
          <w:sz w:val="20"/>
          <w:szCs w:val="20"/>
        </w:rPr>
        <w:t>.</w:t>
      </w:r>
      <w:r w:rsidR="001E7113" w:rsidRPr="00560E0D">
        <w:rPr>
          <w:rFonts w:ascii="Cambria" w:hAnsi="Cambria"/>
          <w:sz w:val="20"/>
          <w:szCs w:val="20"/>
        </w:rPr>
        <w:t xml:space="preserve"> Sustenta que </w:t>
      </w:r>
      <w:r w:rsidR="00A710D9" w:rsidRPr="00560E0D">
        <w:rPr>
          <w:rFonts w:ascii="Cambria" w:hAnsi="Cambria"/>
          <w:sz w:val="20"/>
          <w:szCs w:val="20"/>
        </w:rPr>
        <w:t>a condenação se deu pelo fato de que a suposta vítima descumpriu os termos do acordo de suspensão condicional do processo.</w:t>
      </w:r>
      <w:r w:rsidRPr="00560E0D">
        <w:rPr>
          <w:rFonts w:ascii="Cambria" w:hAnsi="Cambria"/>
          <w:sz w:val="20"/>
          <w:szCs w:val="20"/>
        </w:rPr>
        <w:t xml:space="preserve"> Alega que não houve o esgotamento dos recursos internos, pois não foi interposto </w:t>
      </w:r>
      <w:r w:rsidR="00E46916" w:rsidRPr="00560E0D">
        <w:rPr>
          <w:rFonts w:ascii="Cambria" w:hAnsi="Cambria"/>
          <w:sz w:val="20"/>
          <w:szCs w:val="20"/>
        </w:rPr>
        <w:t>R</w:t>
      </w:r>
      <w:r w:rsidRPr="00560E0D">
        <w:rPr>
          <w:rFonts w:ascii="Cambria" w:hAnsi="Cambria"/>
          <w:sz w:val="20"/>
          <w:szCs w:val="20"/>
        </w:rPr>
        <w:t xml:space="preserve">ecurso </w:t>
      </w:r>
      <w:r w:rsidR="00E46916" w:rsidRPr="00560E0D">
        <w:rPr>
          <w:rFonts w:ascii="Cambria" w:hAnsi="Cambria"/>
          <w:sz w:val="20"/>
          <w:szCs w:val="20"/>
        </w:rPr>
        <w:t>E</w:t>
      </w:r>
      <w:r w:rsidRPr="00560E0D">
        <w:rPr>
          <w:rFonts w:ascii="Cambria" w:hAnsi="Cambria"/>
          <w:sz w:val="20"/>
          <w:szCs w:val="20"/>
        </w:rPr>
        <w:t xml:space="preserve">xtraordinário ao Supremo Tribunal Federal, conforme a Súmula No. 640 do STJ e o artigo 102, I, “a”, e II, “a”. Além disso, afirma que não foi ajuizada revisão criminal, recurso que pode ser ajuizado pela pessoa condenada com a finalidade de rediscutir a sentença penal transitada em julgado, nos termos do artigo 621 do Código de Processo Penal. Finalmente, afirma que não foi ajuizada ação civil reparatória de dano moral. </w:t>
      </w:r>
    </w:p>
    <w:p w14:paraId="07A7747A" w14:textId="77777777" w:rsidR="006513C0" w:rsidRDefault="00DD3344" w:rsidP="006513C0">
      <w:pPr>
        <w:tabs>
          <w:tab w:val="left" w:pos="720"/>
        </w:tabs>
        <w:suppressAutoHyphens/>
        <w:jc w:val="both"/>
        <w:rPr>
          <w:rFonts w:ascii="Cambria" w:eastAsia="Cambria" w:hAnsi="Cambria" w:cs="Cambria"/>
          <w:b/>
          <w:bCs/>
          <w:color w:val="000000"/>
          <w:sz w:val="20"/>
          <w:szCs w:val="20"/>
          <w:u w:color="000000"/>
          <w:lang w:eastAsia="es-ES"/>
        </w:rPr>
      </w:pPr>
      <w:r w:rsidRPr="00560E0D">
        <w:rPr>
          <w:rFonts w:ascii="Cambria" w:eastAsia="Cambria" w:hAnsi="Cambria" w:cs="Cambria"/>
          <w:b/>
          <w:bCs/>
          <w:color w:val="000000"/>
          <w:sz w:val="20"/>
          <w:szCs w:val="20"/>
          <w:u w:color="000000"/>
          <w:lang w:eastAsia="es-ES"/>
        </w:rPr>
        <w:tab/>
      </w:r>
    </w:p>
    <w:p w14:paraId="04C6EEBF" w14:textId="40A6C5EF" w:rsidR="006513C0" w:rsidRDefault="006513C0" w:rsidP="006513C0">
      <w:pPr>
        <w:tabs>
          <w:tab w:val="left" w:pos="720"/>
        </w:tabs>
        <w:suppressAutoHyphens/>
        <w:jc w:val="both"/>
        <w:rPr>
          <w:rFonts w:ascii="Cambria" w:hAnsi="Cambria"/>
          <w:b/>
          <w:sz w:val="20"/>
          <w:szCs w:val="20"/>
        </w:rPr>
      </w:pPr>
      <w:r>
        <w:rPr>
          <w:rFonts w:ascii="Cambria" w:eastAsia="Cambria" w:hAnsi="Cambria" w:cs="Cambria"/>
          <w:b/>
          <w:bCs/>
          <w:color w:val="000000"/>
          <w:sz w:val="20"/>
          <w:szCs w:val="20"/>
          <w:u w:color="000000"/>
          <w:lang w:eastAsia="es-ES"/>
        </w:rPr>
        <w:tab/>
      </w:r>
      <w:r w:rsidR="00DD3344" w:rsidRPr="00560E0D">
        <w:rPr>
          <w:rFonts w:ascii="Cambria" w:eastAsia="Cambria" w:hAnsi="Cambria" w:cs="Cambria"/>
          <w:b/>
          <w:bCs/>
          <w:color w:val="000000"/>
          <w:sz w:val="20"/>
          <w:szCs w:val="20"/>
          <w:u w:color="000000"/>
          <w:lang w:eastAsia="es-ES"/>
        </w:rPr>
        <w:t>VI.</w:t>
      </w:r>
      <w:r w:rsidR="00DD3344" w:rsidRPr="00560E0D">
        <w:rPr>
          <w:rFonts w:ascii="Cambria" w:eastAsia="Cambria" w:hAnsi="Cambria" w:cs="Cambria"/>
          <w:b/>
          <w:bCs/>
          <w:color w:val="000000"/>
          <w:sz w:val="20"/>
          <w:szCs w:val="20"/>
          <w:u w:color="000000"/>
          <w:lang w:eastAsia="es-ES"/>
        </w:rPr>
        <w:tab/>
        <w:t xml:space="preserve"> </w:t>
      </w:r>
      <w:r w:rsidR="00D21316" w:rsidRPr="00560E0D">
        <w:rPr>
          <w:rFonts w:ascii="Cambria" w:hAnsi="Cambria"/>
          <w:b/>
          <w:bCs/>
          <w:sz w:val="20"/>
          <w:szCs w:val="20"/>
        </w:rPr>
        <w:t>ANÁLISE</w:t>
      </w:r>
      <w:r w:rsidR="004A6A54" w:rsidRPr="00560E0D">
        <w:rPr>
          <w:rFonts w:ascii="Cambria" w:hAnsi="Cambria"/>
          <w:b/>
          <w:bCs/>
          <w:sz w:val="20"/>
          <w:szCs w:val="20"/>
        </w:rPr>
        <w:t xml:space="preserve"> DE </w:t>
      </w:r>
      <w:r w:rsidR="00D21316" w:rsidRPr="00560E0D">
        <w:rPr>
          <w:rFonts w:ascii="Cambria" w:hAnsi="Cambria"/>
          <w:b/>
          <w:sz w:val="20"/>
          <w:szCs w:val="20"/>
        </w:rPr>
        <w:t>ESGOTAM</w:t>
      </w:r>
      <w:r w:rsidR="00C21FEF" w:rsidRPr="00560E0D">
        <w:rPr>
          <w:rFonts w:ascii="Cambria" w:hAnsi="Cambria"/>
          <w:b/>
          <w:sz w:val="20"/>
          <w:szCs w:val="20"/>
        </w:rPr>
        <w:t xml:space="preserve">ENTO </w:t>
      </w:r>
      <w:r w:rsidR="00D21316" w:rsidRPr="00560E0D">
        <w:rPr>
          <w:rFonts w:ascii="Cambria" w:hAnsi="Cambria"/>
          <w:b/>
          <w:sz w:val="20"/>
          <w:szCs w:val="20"/>
        </w:rPr>
        <w:t>DOS</w:t>
      </w:r>
      <w:r w:rsidR="00C21FEF" w:rsidRPr="00560E0D">
        <w:rPr>
          <w:rFonts w:ascii="Cambria" w:hAnsi="Cambria"/>
          <w:b/>
          <w:sz w:val="20"/>
          <w:szCs w:val="20"/>
        </w:rPr>
        <w:t xml:space="preserve"> RECURSOS INTERNOS</w:t>
      </w:r>
      <w:r w:rsidR="00D21316" w:rsidRPr="00560E0D">
        <w:rPr>
          <w:rFonts w:ascii="Cambria" w:hAnsi="Cambria"/>
          <w:b/>
          <w:sz w:val="20"/>
          <w:szCs w:val="20"/>
        </w:rPr>
        <w:t xml:space="preserve"> E PR</w:t>
      </w:r>
      <w:r w:rsidR="00C21FEF" w:rsidRPr="00560E0D">
        <w:rPr>
          <w:rFonts w:ascii="Cambria" w:hAnsi="Cambria"/>
          <w:b/>
          <w:sz w:val="20"/>
          <w:szCs w:val="20"/>
        </w:rPr>
        <w:t xml:space="preserve">AZO DE </w:t>
      </w:r>
      <w:r w:rsidR="00D21316" w:rsidRPr="00560E0D">
        <w:rPr>
          <w:rFonts w:ascii="Cambria" w:hAnsi="Cambria"/>
          <w:b/>
          <w:sz w:val="20"/>
          <w:szCs w:val="20"/>
        </w:rPr>
        <w:t>APRESENTAÇÃO</w:t>
      </w:r>
    </w:p>
    <w:p w14:paraId="59043046" w14:textId="77777777" w:rsidR="006513C0" w:rsidRDefault="006513C0" w:rsidP="006513C0">
      <w:pPr>
        <w:tabs>
          <w:tab w:val="left" w:pos="720"/>
        </w:tabs>
        <w:suppressAutoHyphens/>
        <w:jc w:val="both"/>
        <w:rPr>
          <w:rFonts w:ascii="Cambria" w:hAnsi="Cambria"/>
          <w:b/>
          <w:sz w:val="20"/>
          <w:szCs w:val="20"/>
        </w:rPr>
      </w:pPr>
    </w:p>
    <w:p w14:paraId="21EBC739" w14:textId="10BCCE17" w:rsidR="00D92116" w:rsidRPr="006513C0" w:rsidRDefault="00D92116" w:rsidP="006513C0">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lang w:val="pt-BR"/>
        </w:rPr>
      </w:pPr>
      <w:r w:rsidRPr="00560E0D">
        <w:rPr>
          <w:color w:val="auto"/>
          <w:sz w:val="20"/>
          <w:szCs w:val="20"/>
          <w:lang w:val="pt-BR"/>
        </w:rPr>
        <w:t xml:space="preserve">A parte peticionária afirma que foram esgotados todos os recursos disponíveis pela legislação brasileira, </w:t>
      </w:r>
      <w:r w:rsidRPr="00560E0D">
        <w:rPr>
          <w:bCs/>
          <w:color w:val="auto"/>
          <w:sz w:val="20"/>
          <w:szCs w:val="20"/>
          <w:lang w:val="pt-BR"/>
        </w:rPr>
        <w:t xml:space="preserve">pois segundo o artigo 2 da Resolução No. 22/CJF, a decisão proferida pela Presidência da TNU que inadmite pedido de uniformização é irrecorrível. Ademais, afirma que a decisão da TNU que indeferiu o recurso foi registrada em 20 de outubro de 2012, de maneira que a apresentação do caso à Comissão observou o prazo de seis meses. </w:t>
      </w:r>
      <w:r w:rsidR="00D33B39" w:rsidRPr="00560E0D">
        <w:rPr>
          <w:bCs/>
          <w:color w:val="auto"/>
          <w:sz w:val="20"/>
          <w:szCs w:val="20"/>
          <w:lang w:val="pt-BR"/>
        </w:rPr>
        <w:t>Afirma que a revisão criminal e o Recurso Extraordinário não são recursos idôneos e efetivos para o caso. Por sua vez, o Estado afirma que não foram esgotados os seguintes recursos: Recurso Extraordinário</w:t>
      </w:r>
      <w:r w:rsidR="00E46916" w:rsidRPr="00560E0D">
        <w:rPr>
          <w:bCs/>
          <w:color w:val="auto"/>
          <w:sz w:val="20"/>
          <w:szCs w:val="20"/>
          <w:lang w:val="pt-BR"/>
        </w:rPr>
        <w:t>, revisão criminal e ação civil reparatória de dano moral.</w:t>
      </w:r>
    </w:p>
    <w:p w14:paraId="363B07F8" w14:textId="77777777" w:rsidR="006513C0" w:rsidRPr="00560E0D" w:rsidRDefault="006513C0" w:rsidP="006513C0">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lang w:val="pt-BR"/>
        </w:rPr>
      </w:pPr>
    </w:p>
    <w:p w14:paraId="3C9951DA" w14:textId="187E1548" w:rsidR="006513C0" w:rsidRDefault="0067419C" w:rsidP="006513C0">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lang w:val="pt-BR"/>
        </w:rPr>
      </w:pPr>
      <w:r w:rsidRPr="00560E0D">
        <w:rPr>
          <w:bCs/>
          <w:color w:val="auto"/>
          <w:sz w:val="20"/>
          <w:szCs w:val="20"/>
          <w:lang w:val="pt-BR"/>
        </w:rPr>
        <w:t xml:space="preserve">A Comissão constata que o processo criminal contra o Sr. Starling tramitou perante o Juizado Especial Criminal, em conformidade com a Lei No. 9.099/1995. Diante disso, após ser condenado em primeira instância, a defesa da suposta vítima apresentou recurso de apelação em 23 de novembro de 2011, </w:t>
      </w:r>
      <w:r w:rsidR="00BE25DE" w:rsidRPr="00560E0D">
        <w:rPr>
          <w:bCs/>
          <w:color w:val="auto"/>
          <w:sz w:val="20"/>
          <w:szCs w:val="20"/>
          <w:lang w:val="pt-BR"/>
        </w:rPr>
        <w:t>o</w:t>
      </w:r>
      <w:r w:rsidRPr="00560E0D">
        <w:rPr>
          <w:bCs/>
          <w:color w:val="auto"/>
          <w:sz w:val="20"/>
          <w:szCs w:val="20"/>
          <w:lang w:val="pt-BR"/>
        </w:rPr>
        <w:t xml:space="preserve"> qual foi negad</w:t>
      </w:r>
      <w:r w:rsidR="00BE25DE" w:rsidRPr="00560E0D">
        <w:rPr>
          <w:bCs/>
          <w:color w:val="auto"/>
          <w:sz w:val="20"/>
          <w:szCs w:val="20"/>
          <w:lang w:val="pt-BR"/>
        </w:rPr>
        <w:t>o</w:t>
      </w:r>
      <w:r w:rsidRPr="00560E0D">
        <w:rPr>
          <w:bCs/>
          <w:color w:val="auto"/>
          <w:sz w:val="20"/>
          <w:szCs w:val="20"/>
          <w:lang w:val="pt-BR"/>
        </w:rPr>
        <w:t xml:space="preserve"> no dia 15 de março de 2012 pela 3ª Turma Recursal</w:t>
      </w:r>
      <w:r w:rsidR="0013356A" w:rsidRPr="00560E0D">
        <w:rPr>
          <w:bCs/>
          <w:color w:val="auto"/>
          <w:sz w:val="20"/>
          <w:szCs w:val="20"/>
          <w:lang w:val="pt-BR"/>
        </w:rPr>
        <w:t xml:space="preserve"> do Tribunal Regional Federal da 4ª Região (adiante “TRF4”). Ante essa decisão, a parte peticionária apresentou pedido de uniformização, que </w:t>
      </w:r>
      <w:r w:rsidR="00594EC1" w:rsidRPr="00560E0D">
        <w:rPr>
          <w:bCs/>
          <w:color w:val="auto"/>
          <w:sz w:val="20"/>
          <w:szCs w:val="20"/>
          <w:lang w:val="pt-BR"/>
        </w:rPr>
        <w:t>foi</w:t>
      </w:r>
      <w:r w:rsidR="0013356A" w:rsidRPr="00560E0D">
        <w:rPr>
          <w:bCs/>
          <w:color w:val="auto"/>
          <w:sz w:val="20"/>
          <w:szCs w:val="20"/>
          <w:lang w:val="pt-BR"/>
        </w:rPr>
        <w:t xml:space="preserve"> julgado pela TNU, órgão com competência para uniformizar a jurisprudência dos tribunais especiais. </w:t>
      </w:r>
      <w:r w:rsidR="00594EC1" w:rsidRPr="00560E0D">
        <w:rPr>
          <w:bCs/>
          <w:color w:val="auto"/>
          <w:sz w:val="20"/>
          <w:szCs w:val="20"/>
          <w:lang w:val="pt-BR"/>
        </w:rPr>
        <w:t xml:space="preserve">A solicitação foi negada pela Presidência da TNU em 31 de maio de 2012, </w:t>
      </w:r>
      <w:r w:rsidR="00BE25DE" w:rsidRPr="00560E0D">
        <w:rPr>
          <w:bCs/>
          <w:color w:val="auto"/>
          <w:sz w:val="20"/>
          <w:szCs w:val="20"/>
          <w:lang w:val="pt-BR"/>
        </w:rPr>
        <w:t xml:space="preserve">contra </w:t>
      </w:r>
      <w:r w:rsidR="006302B6" w:rsidRPr="00560E0D">
        <w:rPr>
          <w:bCs/>
          <w:color w:val="auto"/>
          <w:sz w:val="20"/>
          <w:szCs w:val="20"/>
          <w:lang w:val="pt-BR"/>
        </w:rPr>
        <w:t xml:space="preserve">a </w:t>
      </w:r>
      <w:r w:rsidR="00BE25DE" w:rsidRPr="00560E0D">
        <w:rPr>
          <w:bCs/>
          <w:color w:val="auto"/>
          <w:sz w:val="20"/>
          <w:szCs w:val="20"/>
          <w:lang w:val="pt-BR"/>
        </w:rPr>
        <w:t xml:space="preserve">decisão foi apresentado agravo de instrumento em 11 de </w:t>
      </w:r>
      <w:r w:rsidR="00BE25DE" w:rsidRPr="00560E0D">
        <w:rPr>
          <w:bCs/>
          <w:color w:val="auto"/>
          <w:sz w:val="20"/>
          <w:szCs w:val="20"/>
          <w:lang w:val="pt-BR"/>
        </w:rPr>
        <w:lastRenderedPageBreak/>
        <w:t>junho de 2012, e, posteriormente, embargos de declaração, os quais foram rejeitados em 7 de novembro de 2012 e a decisão foi notificada em 3 de dezembro de 2012</w:t>
      </w:r>
      <w:r w:rsidR="006302B6" w:rsidRPr="00560E0D">
        <w:rPr>
          <w:bCs/>
          <w:color w:val="auto"/>
          <w:sz w:val="20"/>
          <w:szCs w:val="20"/>
          <w:lang w:val="pt-BR"/>
        </w:rPr>
        <w:t xml:space="preserve"> à DPU</w:t>
      </w:r>
      <w:r w:rsidR="00594EC1" w:rsidRPr="00560E0D">
        <w:rPr>
          <w:bCs/>
          <w:color w:val="auto"/>
          <w:sz w:val="20"/>
          <w:szCs w:val="20"/>
          <w:lang w:val="pt-BR"/>
        </w:rPr>
        <w:t xml:space="preserve">. </w:t>
      </w:r>
      <w:r w:rsidR="00C06275" w:rsidRPr="00560E0D">
        <w:rPr>
          <w:bCs/>
          <w:color w:val="auto"/>
          <w:sz w:val="20"/>
          <w:szCs w:val="20"/>
          <w:lang w:val="pt-BR"/>
        </w:rPr>
        <w:t xml:space="preserve">Diante disso, a Comissão conclui que a parte peticionária esgotou </w:t>
      </w:r>
      <w:r w:rsidR="006302B6" w:rsidRPr="00560E0D">
        <w:rPr>
          <w:bCs/>
          <w:color w:val="auto"/>
          <w:sz w:val="20"/>
          <w:szCs w:val="20"/>
          <w:lang w:val="pt-BR"/>
        </w:rPr>
        <w:t xml:space="preserve">todos </w:t>
      </w:r>
      <w:r w:rsidR="00C06275" w:rsidRPr="00560E0D">
        <w:rPr>
          <w:bCs/>
          <w:color w:val="auto"/>
          <w:sz w:val="20"/>
          <w:szCs w:val="20"/>
          <w:lang w:val="pt-BR"/>
        </w:rPr>
        <w:t>os recursos disponíveis</w:t>
      </w:r>
      <w:r w:rsidR="00BE25DE" w:rsidRPr="00560E0D">
        <w:rPr>
          <w:bCs/>
          <w:color w:val="auto"/>
          <w:sz w:val="20"/>
          <w:szCs w:val="20"/>
          <w:lang w:val="pt-BR"/>
        </w:rPr>
        <w:t xml:space="preserve"> nos termos do artigo 46.1.a da Convenção Americana.</w:t>
      </w:r>
      <w:r w:rsidR="000D6826" w:rsidRPr="00560E0D">
        <w:rPr>
          <w:bCs/>
          <w:color w:val="auto"/>
          <w:sz w:val="20"/>
          <w:szCs w:val="20"/>
          <w:lang w:val="pt-BR"/>
        </w:rPr>
        <w:t xml:space="preserve"> </w:t>
      </w:r>
      <w:r w:rsidR="00FE2F8A" w:rsidRPr="00560E0D">
        <w:rPr>
          <w:sz w:val="20"/>
          <w:szCs w:val="20"/>
          <w:lang w:val="pt-BR"/>
        </w:rPr>
        <w:t xml:space="preserve">Em </w:t>
      </w:r>
      <w:r w:rsidR="00951C77" w:rsidRPr="00560E0D">
        <w:rPr>
          <w:sz w:val="20"/>
          <w:szCs w:val="20"/>
          <w:lang w:val="pt-BR"/>
        </w:rPr>
        <w:t>relação</w:t>
      </w:r>
      <w:r w:rsidR="00FE2F8A" w:rsidRPr="00560E0D">
        <w:rPr>
          <w:sz w:val="20"/>
          <w:szCs w:val="20"/>
          <w:lang w:val="pt-BR"/>
        </w:rPr>
        <w:t xml:space="preserve"> ao prazo de </w:t>
      </w:r>
      <w:r w:rsidR="00951C77" w:rsidRPr="00560E0D">
        <w:rPr>
          <w:sz w:val="20"/>
          <w:szCs w:val="20"/>
          <w:lang w:val="pt-BR"/>
        </w:rPr>
        <w:t>apresentação</w:t>
      </w:r>
      <w:r w:rsidR="00FE2F8A" w:rsidRPr="00560E0D">
        <w:rPr>
          <w:sz w:val="20"/>
          <w:szCs w:val="20"/>
          <w:lang w:val="pt-BR"/>
        </w:rPr>
        <w:t xml:space="preserve">, como a </w:t>
      </w:r>
      <w:r w:rsidR="00951C77" w:rsidRPr="00560E0D">
        <w:rPr>
          <w:sz w:val="20"/>
          <w:szCs w:val="20"/>
          <w:lang w:val="pt-BR"/>
        </w:rPr>
        <w:t>decisão</w:t>
      </w:r>
      <w:r w:rsidR="00FE2F8A" w:rsidRPr="00560E0D">
        <w:rPr>
          <w:sz w:val="20"/>
          <w:szCs w:val="20"/>
          <w:lang w:val="pt-BR"/>
        </w:rPr>
        <w:t xml:space="preserve"> que </w:t>
      </w:r>
      <w:r w:rsidR="00084571" w:rsidRPr="00560E0D">
        <w:rPr>
          <w:sz w:val="20"/>
          <w:szCs w:val="20"/>
          <w:lang w:val="pt-BR"/>
        </w:rPr>
        <w:t>pôs</w:t>
      </w:r>
      <w:r w:rsidR="00FE2F8A" w:rsidRPr="00560E0D">
        <w:rPr>
          <w:sz w:val="20"/>
          <w:szCs w:val="20"/>
          <w:lang w:val="pt-BR"/>
        </w:rPr>
        <w:t xml:space="preserve"> fim ao </w:t>
      </w:r>
      <w:r w:rsidR="00084571" w:rsidRPr="00560E0D">
        <w:rPr>
          <w:sz w:val="20"/>
          <w:szCs w:val="20"/>
          <w:lang w:val="pt-BR"/>
        </w:rPr>
        <w:t>trâmite</w:t>
      </w:r>
      <w:r w:rsidR="00FE2F8A" w:rsidRPr="00560E0D">
        <w:rPr>
          <w:sz w:val="20"/>
          <w:szCs w:val="20"/>
          <w:lang w:val="pt-BR"/>
        </w:rPr>
        <w:t xml:space="preserve"> processual em sede interna foi adotada em </w:t>
      </w:r>
      <w:r w:rsidR="00560E0D" w:rsidRPr="00560E0D">
        <w:rPr>
          <w:sz w:val="20"/>
          <w:szCs w:val="20"/>
          <w:lang w:val="pt-BR"/>
        </w:rPr>
        <w:t>7 de novembro de 2012 e notificada em 3 de dezembro</w:t>
      </w:r>
      <w:r w:rsidR="00FE2F8A" w:rsidRPr="00560E0D">
        <w:rPr>
          <w:sz w:val="20"/>
          <w:szCs w:val="20"/>
          <w:lang w:val="pt-BR"/>
        </w:rPr>
        <w:t xml:space="preserve"> e a </w:t>
      </w:r>
      <w:r w:rsidR="00084571" w:rsidRPr="00560E0D">
        <w:rPr>
          <w:sz w:val="20"/>
          <w:szCs w:val="20"/>
          <w:lang w:val="pt-BR"/>
        </w:rPr>
        <w:t>petição</w:t>
      </w:r>
      <w:r w:rsidR="00FE2F8A" w:rsidRPr="00560E0D">
        <w:rPr>
          <w:sz w:val="20"/>
          <w:szCs w:val="20"/>
          <w:lang w:val="pt-BR"/>
        </w:rPr>
        <w:t xml:space="preserve"> foi apresentada em </w:t>
      </w:r>
      <w:r w:rsidR="00560E0D" w:rsidRPr="00560E0D">
        <w:rPr>
          <w:bCs/>
          <w:sz w:val="20"/>
          <w:szCs w:val="20"/>
          <w:lang w:val="pt-BR"/>
        </w:rPr>
        <w:t>3 de março de 2013</w:t>
      </w:r>
      <w:r w:rsidR="00FE2F8A" w:rsidRPr="00560E0D">
        <w:rPr>
          <w:sz w:val="20"/>
          <w:szCs w:val="20"/>
          <w:lang w:val="pt-BR"/>
        </w:rPr>
        <w:t xml:space="preserve">, a </w:t>
      </w:r>
      <w:r w:rsidR="00084571" w:rsidRPr="00560E0D">
        <w:rPr>
          <w:sz w:val="20"/>
          <w:szCs w:val="20"/>
          <w:lang w:val="pt-BR"/>
        </w:rPr>
        <w:t>Comissão</w:t>
      </w:r>
      <w:r w:rsidR="00FE2F8A" w:rsidRPr="00560E0D">
        <w:rPr>
          <w:sz w:val="20"/>
          <w:szCs w:val="20"/>
          <w:lang w:val="pt-BR"/>
        </w:rPr>
        <w:t xml:space="preserve"> nota que ela cumpre os requisitos estipulados nos artigos 46.1.b) da CADH. </w:t>
      </w:r>
    </w:p>
    <w:p w14:paraId="380324C7" w14:textId="77777777" w:rsidR="006513C0" w:rsidRPr="006513C0" w:rsidRDefault="006513C0" w:rsidP="006513C0">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lang w:val="pt-BR"/>
        </w:rPr>
      </w:pPr>
    </w:p>
    <w:p w14:paraId="1F5A6233" w14:textId="6BA6B3EB" w:rsidR="00560E0D" w:rsidRPr="006513C0" w:rsidRDefault="0067419C" w:rsidP="006513C0">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lang w:val="pt-BR"/>
        </w:rPr>
      </w:pPr>
      <w:r w:rsidRPr="00560E0D">
        <w:rPr>
          <w:sz w:val="20"/>
          <w:szCs w:val="20"/>
          <w:lang w:val="pt-BR"/>
        </w:rPr>
        <w:t>A</w:t>
      </w:r>
      <w:r w:rsidR="00F848D5" w:rsidRPr="00560E0D">
        <w:rPr>
          <w:sz w:val="20"/>
          <w:szCs w:val="20"/>
          <w:lang w:val="pt-BR"/>
        </w:rPr>
        <w:t xml:space="preserve"> respeito da alegação de que a parte peticionária deveria esgotar o Recurso Extraordinário previsto no artigo 102, III, da Constituição Federal de 1988, a Comissão recorda que </w:t>
      </w:r>
      <w:r w:rsidR="0092580E" w:rsidRPr="00560E0D">
        <w:rPr>
          <w:sz w:val="20"/>
          <w:szCs w:val="20"/>
          <w:lang w:val="pt-BR"/>
        </w:rPr>
        <w:t>conforme sustentou em outras oportunidades,</w:t>
      </w:r>
      <w:r w:rsidR="00F848D5" w:rsidRPr="00560E0D">
        <w:rPr>
          <w:sz w:val="20"/>
          <w:szCs w:val="20"/>
          <w:lang w:val="pt-BR"/>
        </w:rPr>
        <w:t xml:space="preserve"> </w:t>
      </w:r>
      <w:r w:rsidR="0092580E" w:rsidRPr="00560E0D">
        <w:rPr>
          <w:sz w:val="20"/>
          <w:szCs w:val="20"/>
          <w:lang w:val="pt-BR"/>
        </w:rPr>
        <w:t xml:space="preserve">embora em alguns casos os recursos extraordinários possam ser adequados para enfrentar violações de direitos humanos, como regra geral, os únicos recursos que devem ser obrigatoriamente esgotados são aqueles cujas funções dentro do sistema jurídico são apropriadas para conferir proteção capaz de remediar uma infração a determinado direito. </w:t>
      </w:r>
      <w:r w:rsidR="0092580E" w:rsidRPr="00C7574A">
        <w:rPr>
          <w:sz w:val="20"/>
          <w:szCs w:val="20"/>
          <w:lang w:val="pt-BR"/>
        </w:rPr>
        <w:t>Em princípio, se trata de recursos ordinários e não de recursos extraordinários.</w:t>
      </w:r>
      <w:r w:rsidR="00E46916" w:rsidRPr="00560E0D">
        <w:rPr>
          <w:rStyle w:val="FootnoteReference"/>
          <w:rFonts w:cs="Calibri"/>
          <w:color w:val="auto"/>
          <w:sz w:val="20"/>
          <w:szCs w:val="20"/>
          <w:lang w:val="pt-BR"/>
        </w:rPr>
        <w:footnoteReference w:id="5"/>
      </w:r>
      <w:r w:rsidR="0092580E" w:rsidRPr="00C7574A">
        <w:rPr>
          <w:rFonts w:cs="Calibri"/>
          <w:sz w:val="20"/>
          <w:szCs w:val="20"/>
          <w:lang w:val="pt-BR"/>
        </w:rPr>
        <w:t xml:space="preserve"> </w:t>
      </w:r>
      <w:r w:rsidR="0060438F" w:rsidRPr="00C7574A">
        <w:rPr>
          <w:rFonts w:cs="Calibri"/>
          <w:sz w:val="20"/>
          <w:szCs w:val="20"/>
          <w:lang w:val="pt-BR"/>
        </w:rPr>
        <w:t>A Comissão observa que, n</w:t>
      </w:r>
      <w:r w:rsidR="0092580E" w:rsidRPr="00C7574A">
        <w:rPr>
          <w:rFonts w:cs="Calibri"/>
          <w:sz w:val="20"/>
          <w:szCs w:val="20"/>
          <w:lang w:val="pt-BR"/>
        </w:rPr>
        <w:t xml:space="preserve">o presente caso, o recurso previsto no artigo 102, III, da Constituição brasileira </w:t>
      </w:r>
      <w:r w:rsidR="0060438F" w:rsidRPr="00C7574A">
        <w:rPr>
          <w:rFonts w:cs="Calibri"/>
          <w:sz w:val="20"/>
          <w:szCs w:val="20"/>
          <w:lang w:val="pt-BR"/>
        </w:rPr>
        <w:t xml:space="preserve">não era efetivo para tutelar os direitos da suposta vítima, já que o Recurso Extraordinário é efetivo para examinar decisões que contrariem a Constituição, para declarar inconstitucionalidade de lei, julgar válida lei ou ato local de governo local, ou julgar válida lei local contestada em face de lei federal. Ou seja, não tem como objetivo </w:t>
      </w:r>
      <w:r w:rsidR="009E32B3" w:rsidRPr="00C7574A">
        <w:rPr>
          <w:rFonts w:cs="Calibri"/>
          <w:sz w:val="20"/>
          <w:szCs w:val="20"/>
          <w:lang w:val="pt-BR"/>
        </w:rPr>
        <w:t>examinar a condenação da suposta vítima. Ademais, a Súmula 279 do STF impede que o tribunal reexamine prova em sede de recurso extraordinário, o que impediria que o caso fosse novamente apreciado</w:t>
      </w:r>
      <w:r w:rsidRPr="00C7574A">
        <w:rPr>
          <w:rFonts w:cs="Calibri"/>
          <w:sz w:val="20"/>
          <w:szCs w:val="20"/>
          <w:lang w:val="pt-BR"/>
        </w:rPr>
        <w:t xml:space="preserve"> em sua totalidade</w:t>
      </w:r>
      <w:r w:rsidR="009E32B3" w:rsidRPr="00C7574A">
        <w:rPr>
          <w:rFonts w:cs="Calibri"/>
          <w:sz w:val="20"/>
          <w:szCs w:val="20"/>
          <w:lang w:val="pt-BR"/>
        </w:rPr>
        <w:t xml:space="preserve">. Diante disso, </w:t>
      </w:r>
      <w:r w:rsidRPr="00C7574A">
        <w:rPr>
          <w:rFonts w:cs="Calibri"/>
          <w:sz w:val="20"/>
          <w:szCs w:val="20"/>
          <w:lang w:val="pt-BR"/>
        </w:rPr>
        <w:t xml:space="preserve">a Comissão compreende que o Recurso Extraordinário não era um recurso cujo esgotamento era exigível. </w:t>
      </w:r>
    </w:p>
    <w:p w14:paraId="75511F1A" w14:textId="77777777" w:rsidR="006513C0" w:rsidRPr="00560E0D" w:rsidRDefault="006513C0" w:rsidP="006513C0">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lang w:val="pt-BR"/>
        </w:rPr>
      </w:pPr>
    </w:p>
    <w:p w14:paraId="2B5D6FCB" w14:textId="44231577" w:rsidR="00560E0D" w:rsidRPr="006513C0" w:rsidRDefault="0067419C" w:rsidP="006513C0">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lang w:val="pt-BR"/>
        </w:rPr>
      </w:pPr>
      <w:r w:rsidRPr="00560E0D">
        <w:rPr>
          <w:sz w:val="20"/>
          <w:szCs w:val="20"/>
          <w:lang w:val="pt-BR"/>
        </w:rPr>
        <w:t xml:space="preserve">Igualmente, em relação ao argumento de que a parte peticionária deveria ter esgotado o recurso de revisão criminal previsto no artigo 621 do Código de Processo Penal brasileiro, a Comissão observa que tal recurso é cabível em três hipóteses: (i) </w:t>
      </w:r>
      <w:r w:rsidR="00594EC1" w:rsidRPr="00560E0D">
        <w:rPr>
          <w:sz w:val="20"/>
          <w:szCs w:val="20"/>
          <w:lang w:val="pt-BR"/>
        </w:rPr>
        <w:t xml:space="preserve">contra </w:t>
      </w:r>
      <w:r w:rsidRPr="00560E0D">
        <w:rPr>
          <w:sz w:val="20"/>
          <w:szCs w:val="20"/>
          <w:lang w:val="pt-BR"/>
        </w:rPr>
        <w:t xml:space="preserve">sentença </w:t>
      </w:r>
      <w:r w:rsidR="00594EC1" w:rsidRPr="00560E0D">
        <w:rPr>
          <w:sz w:val="20"/>
          <w:szCs w:val="20"/>
          <w:lang w:val="pt-BR"/>
        </w:rPr>
        <w:t xml:space="preserve">é </w:t>
      </w:r>
      <w:r w:rsidRPr="00560E0D">
        <w:rPr>
          <w:sz w:val="20"/>
          <w:szCs w:val="20"/>
          <w:lang w:val="pt-BR"/>
        </w:rPr>
        <w:t>contraditória com lei ou</w:t>
      </w:r>
      <w:r w:rsidR="00594EC1" w:rsidRPr="00560E0D">
        <w:rPr>
          <w:sz w:val="20"/>
          <w:szCs w:val="20"/>
          <w:lang w:val="pt-BR"/>
        </w:rPr>
        <w:t xml:space="preserve"> com</w:t>
      </w:r>
      <w:r w:rsidRPr="00560E0D">
        <w:rPr>
          <w:sz w:val="20"/>
          <w:szCs w:val="20"/>
          <w:lang w:val="pt-BR"/>
        </w:rPr>
        <w:t xml:space="preserve"> as evidências apresentadas nos autos; (ii) quando a sentença condenatória for fundada em depoimentos, exames ou documentos comprovadamente falsos; ou (iii) quando, após a sentença, houver novas provas da inocência do condenado, ou circunstâncias que determinem ou autorizem a diminuição da pena. De acordo com as informações apresentadas por ambas as partes, não é possível concluir que a condenação da suposta vítima se enquadrava em qualquer dessas hipóteses, não sendo, portanto, efetiv</w:t>
      </w:r>
      <w:r w:rsidR="00C06275" w:rsidRPr="00560E0D">
        <w:rPr>
          <w:sz w:val="20"/>
          <w:szCs w:val="20"/>
          <w:lang w:val="pt-BR"/>
        </w:rPr>
        <w:t xml:space="preserve">o </w:t>
      </w:r>
      <w:r w:rsidRPr="00560E0D">
        <w:rPr>
          <w:sz w:val="20"/>
          <w:szCs w:val="20"/>
          <w:lang w:val="pt-BR"/>
        </w:rPr>
        <w:t>o recurso de revisão criminal.</w:t>
      </w:r>
    </w:p>
    <w:p w14:paraId="10FB5B29" w14:textId="77777777" w:rsidR="006513C0" w:rsidRPr="00560E0D" w:rsidRDefault="006513C0" w:rsidP="006513C0">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lang w:val="pt-BR"/>
        </w:rPr>
      </w:pPr>
    </w:p>
    <w:p w14:paraId="2A2C2405" w14:textId="11AD971A" w:rsidR="00FE2F8A" w:rsidRPr="006513C0" w:rsidRDefault="00FE2F8A" w:rsidP="006513C0">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lang w:val="pt-BR"/>
        </w:rPr>
      </w:pPr>
      <w:r w:rsidRPr="00560E0D">
        <w:rPr>
          <w:sz w:val="20"/>
          <w:szCs w:val="20"/>
          <w:lang w:val="pt-BR"/>
        </w:rPr>
        <w:t xml:space="preserve">Por fim, a </w:t>
      </w:r>
      <w:r w:rsidR="00084571" w:rsidRPr="00560E0D">
        <w:rPr>
          <w:sz w:val="20"/>
          <w:szCs w:val="20"/>
          <w:lang w:val="pt-BR"/>
        </w:rPr>
        <w:t>Comissão</w:t>
      </w:r>
      <w:r w:rsidRPr="00560E0D">
        <w:rPr>
          <w:sz w:val="20"/>
          <w:szCs w:val="20"/>
          <w:lang w:val="pt-BR"/>
        </w:rPr>
        <w:t xml:space="preserve"> observa que a parte </w:t>
      </w:r>
      <w:r w:rsidR="00084571" w:rsidRPr="00560E0D">
        <w:rPr>
          <w:sz w:val="20"/>
          <w:szCs w:val="20"/>
          <w:lang w:val="pt-BR"/>
        </w:rPr>
        <w:t>peticionária</w:t>
      </w:r>
      <w:r w:rsidRPr="00560E0D">
        <w:rPr>
          <w:sz w:val="20"/>
          <w:szCs w:val="20"/>
          <w:lang w:val="pt-BR"/>
        </w:rPr>
        <w:t xml:space="preserve"> alega que a </w:t>
      </w:r>
      <w:r w:rsidR="00084571" w:rsidRPr="00560E0D">
        <w:rPr>
          <w:sz w:val="20"/>
          <w:szCs w:val="20"/>
          <w:lang w:val="pt-BR"/>
        </w:rPr>
        <w:t>condenação</w:t>
      </w:r>
      <w:r w:rsidRPr="00560E0D">
        <w:rPr>
          <w:sz w:val="20"/>
          <w:szCs w:val="20"/>
          <w:lang w:val="pt-BR"/>
        </w:rPr>
        <w:t xml:space="preserve"> por desacato gerou um </w:t>
      </w:r>
      <w:r w:rsidR="00084571" w:rsidRPr="00560E0D">
        <w:rPr>
          <w:sz w:val="20"/>
          <w:szCs w:val="20"/>
          <w:lang w:val="pt-BR"/>
        </w:rPr>
        <w:t>inequívoco</w:t>
      </w:r>
      <w:r w:rsidRPr="00560E0D">
        <w:rPr>
          <w:sz w:val="20"/>
          <w:szCs w:val="20"/>
          <w:lang w:val="pt-BR"/>
        </w:rPr>
        <w:t xml:space="preserve"> dano moral </w:t>
      </w:r>
      <w:r w:rsidR="00560E0D">
        <w:rPr>
          <w:sz w:val="20"/>
          <w:szCs w:val="20"/>
          <w:lang w:val="pt-BR"/>
        </w:rPr>
        <w:t>à</w:t>
      </w:r>
      <w:r w:rsidRPr="00560E0D">
        <w:rPr>
          <w:sz w:val="20"/>
          <w:szCs w:val="20"/>
          <w:lang w:val="pt-BR"/>
        </w:rPr>
        <w:t xml:space="preserve"> suposta </w:t>
      </w:r>
      <w:r w:rsidR="00084571" w:rsidRPr="00560E0D">
        <w:rPr>
          <w:sz w:val="20"/>
          <w:szCs w:val="20"/>
          <w:lang w:val="pt-BR"/>
        </w:rPr>
        <w:t>vítima</w:t>
      </w:r>
      <w:r w:rsidRPr="00560E0D">
        <w:rPr>
          <w:sz w:val="20"/>
          <w:szCs w:val="20"/>
          <w:lang w:val="pt-BR"/>
        </w:rPr>
        <w:t>.</w:t>
      </w:r>
      <w:r w:rsidR="00560E0D">
        <w:rPr>
          <w:sz w:val="20"/>
          <w:szCs w:val="20"/>
          <w:lang w:val="pt-BR"/>
        </w:rPr>
        <w:t xml:space="preserve"> Ademais, </w:t>
      </w:r>
      <w:r w:rsidRPr="00560E0D">
        <w:rPr>
          <w:sz w:val="20"/>
          <w:szCs w:val="20"/>
          <w:lang w:val="pt-BR"/>
        </w:rPr>
        <w:t xml:space="preserve">afirma que ao </w:t>
      </w:r>
      <w:r w:rsidR="00084571" w:rsidRPr="00560E0D">
        <w:rPr>
          <w:sz w:val="20"/>
          <w:szCs w:val="20"/>
          <w:lang w:val="pt-BR"/>
        </w:rPr>
        <w:t>não</w:t>
      </w:r>
      <w:r w:rsidRPr="00560E0D">
        <w:rPr>
          <w:sz w:val="20"/>
          <w:szCs w:val="20"/>
          <w:lang w:val="pt-BR"/>
        </w:rPr>
        <w:t xml:space="preserve"> aplicar a CADH e garantir a </w:t>
      </w:r>
      <w:r w:rsidR="00084571" w:rsidRPr="00560E0D">
        <w:rPr>
          <w:sz w:val="20"/>
          <w:szCs w:val="20"/>
          <w:lang w:val="pt-BR"/>
        </w:rPr>
        <w:t>absolvição</w:t>
      </w:r>
      <w:r w:rsidRPr="00560E0D">
        <w:rPr>
          <w:sz w:val="20"/>
          <w:szCs w:val="20"/>
          <w:lang w:val="pt-BR"/>
        </w:rPr>
        <w:t xml:space="preserve"> da suposta </w:t>
      </w:r>
      <w:r w:rsidR="00084571" w:rsidRPr="00560E0D">
        <w:rPr>
          <w:sz w:val="20"/>
          <w:szCs w:val="20"/>
          <w:lang w:val="pt-BR"/>
        </w:rPr>
        <w:t>vítima</w:t>
      </w:r>
      <w:r w:rsidRPr="00560E0D">
        <w:rPr>
          <w:sz w:val="20"/>
          <w:szCs w:val="20"/>
          <w:lang w:val="pt-BR"/>
        </w:rPr>
        <w:t xml:space="preserve"> em </w:t>
      </w:r>
      <w:r w:rsidR="00084571" w:rsidRPr="00560E0D">
        <w:rPr>
          <w:sz w:val="20"/>
          <w:szCs w:val="20"/>
          <w:lang w:val="pt-BR"/>
        </w:rPr>
        <w:t>relação</w:t>
      </w:r>
      <w:r w:rsidRPr="00560E0D">
        <w:rPr>
          <w:sz w:val="20"/>
          <w:szCs w:val="20"/>
          <w:lang w:val="pt-BR"/>
        </w:rPr>
        <w:t xml:space="preserve"> ao crime de desacato, o Estado cometeu um erro judicial. Por conta disso, argumenta que </w:t>
      </w:r>
      <w:r w:rsidR="00560E0D" w:rsidRPr="00560E0D">
        <w:rPr>
          <w:sz w:val="20"/>
          <w:szCs w:val="20"/>
          <w:lang w:val="pt-BR"/>
        </w:rPr>
        <w:t>o Sr. Starling</w:t>
      </w:r>
      <w:r w:rsidRPr="00560E0D">
        <w:rPr>
          <w:sz w:val="20"/>
          <w:szCs w:val="20"/>
          <w:lang w:val="pt-BR"/>
        </w:rPr>
        <w:t xml:space="preserve"> deveria ser indenizado, em </w:t>
      </w:r>
      <w:r w:rsidR="00084571" w:rsidRPr="00560E0D">
        <w:rPr>
          <w:sz w:val="20"/>
          <w:szCs w:val="20"/>
          <w:lang w:val="pt-BR"/>
        </w:rPr>
        <w:t>consonância</w:t>
      </w:r>
      <w:r w:rsidRPr="00560E0D">
        <w:rPr>
          <w:sz w:val="20"/>
          <w:szCs w:val="20"/>
          <w:lang w:val="pt-BR"/>
        </w:rPr>
        <w:t xml:space="preserve"> com o artigo 10 da CADH. </w:t>
      </w:r>
      <w:r w:rsidRPr="00C7574A">
        <w:rPr>
          <w:sz w:val="20"/>
          <w:szCs w:val="20"/>
          <w:lang w:val="pt-BR"/>
        </w:rPr>
        <w:t xml:space="preserve">O Estado por sua vez, menciona que a parte </w:t>
      </w:r>
      <w:r w:rsidR="00084571" w:rsidRPr="00C7574A">
        <w:rPr>
          <w:sz w:val="20"/>
          <w:szCs w:val="20"/>
          <w:lang w:val="pt-BR"/>
        </w:rPr>
        <w:t>peticionária</w:t>
      </w:r>
      <w:r w:rsidRPr="00C7574A">
        <w:rPr>
          <w:sz w:val="20"/>
          <w:szCs w:val="20"/>
          <w:lang w:val="pt-BR"/>
        </w:rPr>
        <w:t xml:space="preserve"> </w:t>
      </w:r>
      <w:r w:rsidR="00084571" w:rsidRPr="00C7574A">
        <w:rPr>
          <w:sz w:val="20"/>
          <w:szCs w:val="20"/>
          <w:lang w:val="pt-BR"/>
        </w:rPr>
        <w:t>não</w:t>
      </w:r>
      <w:r w:rsidRPr="00C7574A">
        <w:rPr>
          <w:sz w:val="20"/>
          <w:szCs w:val="20"/>
          <w:lang w:val="pt-BR"/>
        </w:rPr>
        <w:t xml:space="preserve"> moveu uma ação civil no </w:t>
      </w:r>
      <w:r w:rsidR="00084571" w:rsidRPr="00C7574A">
        <w:rPr>
          <w:sz w:val="20"/>
          <w:szCs w:val="20"/>
          <w:lang w:val="pt-BR"/>
        </w:rPr>
        <w:t>âmbito</w:t>
      </w:r>
      <w:r w:rsidRPr="00C7574A">
        <w:rPr>
          <w:sz w:val="20"/>
          <w:szCs w:val="20"/>
          <w:lang w:val="pt-BR"/>
        </w:rPr>
        <w:t xml:space="preserve"> interno para reparar o dano moral ou material, e assinala que a </w:t>
      </w:r>
      <w:r w:rsidR="00084571" w:rsidRPr="00C7574A">
        <w:rPr>
          <w:sz w:val="20"/>
          <w:szCs w:val="20"/>
          <w:lang w:val="pt-BR"/>
        </w:rPr>
        <w:t>Constituição</w:t>
      </w:r>
      <w:r w:rsidRPr="00C7574A">
        <w:rPr>
          <w:sz w:val="20"/>
          <w:szCs w:val="20"/>
          <w:lang w:val="pt-BR"/>
        </w:rPr>
        <w:t xml:space="preserve"> Federal </w:t>
      </w:r>
      <w:r w:rsidR="00084571" w:rsidRPr="00C7574A">
        <w:rPr>
          <w:sz w:val="20"/>
          <w:szCs w:val="20"/>
          <w:lang w:val="pt-BR"/>
        </w:rPr>
        <w:t>prevê</w:t>
      </w:r>
      <w:r w:rsidRPr="00C7574A">
        <w:rPr>
          <w:sz w:val="20"/>
          <w:szCs w:val="20"/>
          <w:lang w:val="pt-BR"/>
        </w:rPr>
        <w:t xml:space="preserve">̂ a </w:t>
      </w:r>
      <w:r w:rsidR="00084571" w:rsidRPr="00C7574A">
        <w:rPr>
          <w:sz w:val="20"/>
          <w:szCs w:val="20"/>
          <w:lang w:val="pt-BR"/>
        </w:rPr>
        <w:t>indenização</w:t>
      </w:r>
      <w:r w:rsidRPr="00C7574A">
        <w:rPr>
          <w:sz w:val="20"/>
          <w:szCs w:val="20"/>
          <w:lang w:val="pt-BR"/>
        </w:rPr>
        <w:t xml:space="preserve"> ao condenado por um erro judicial. </w:t>
      </w:r>
      <w:r w:rsidRPr="00560E0D">
        <w:rPr>
          <w:sz w:val="20"/>
          <w:szCs w:val="20"/>
          <w:lang w:val="pt-BR"/>
        </w:rPr>
        <w:t xml:space="preserve">Diante do exposto, a </w:t>
      </w:r>
      <w:r w:rsidR="00084571" w:rsidRPr="00560E0D">
        <w:rPr>
          <w:sz w:val="20"/>
          <w:szCs w:val="20"/>
          <w:lang w:val="pt-BR"/>
        </w:rPr>
        <w:t>Comissão</w:t>
      </w:r>
      <w:r w:rsidRPr="00560E0D">
        <w:rPr>
          <w:sz w:val="20"/>
          <w:szCs w:val="20"/>
          <w:lang w:val="pt-BR"/>
        </w:rPr>
        <w:t xml:space="preserve"> nota que a parte </w:t>
      </w:r>
      <w:r w:rsidR="00084571" w:rsidRPr="00560E0D">
        <w:rPr>
          <w:sz w:val="20"/>
          <w:szCs w:val="20"/>
          <w:lang w:val="pt-BR"/>
        </w:rPr>
        <w:t>peticionária</w:t>
      </w:r>
      <w:r w:rsidRPr="00560E0D">
        <w:rPr>
          <w:sz w:val="20"/>
          <w:szCs w:val="20"/>
          <w:lang w:val="pt-BR"/>
        </w:rPr>
        <w:t xml:space="preserve"> </w:t>
      </w:r>
      <w:r w:rsidR="00084571" w:rsidRPr="00560E0D">
        <w:rPr>
          <w:sz w:val="20"/>
          <w:szCs w:val="20"/>
          <w:lang w:val="pt-BR"/>
        </w:rPr>
        <w:t>não</w:t>
      </w:r>
      <w:r w:rsidRPr="00560E0D">
        <w:rPr>
          <w:sz w:val="20"/>
          <w:szCs w:val="20"/>
          <w:lang w:val="pt-BR"/>
        </w:rPr>
        <w:t xml:space="preserve"> apresenta </w:t>
      </w:r>
      <w:r w:rsidR="00084571" w:rsidRPr="00560E0D">
        <w:rPr>
          <w:sz w:val="20"/>
          <w:szCs w:val="20"/>
          <w:lang w:val="pt-BR"/>
        </w:rPr>
        <w:t>informações</w:t>
      </w:r>
      <w:r w:rsidRPr="00560E0D">
        <w:rPr>
          <w:sz w:val="20"/>
          <w:szCs w:val="20"/>
          <w:lang w:val="pt-BR"/>
        </w:rPr>
        <w:t xml:space="preserve"> sobre o esgotamento dos recursos internos com </w:t>
      </w:r>
      <w:r w:rsidR="00084571" w:rsidRPr="00560E0D">
        <w:rPr>
          <w:sz w:val="20"/>
          <w:szCs w:val="20"/>
          <w:lang w:val="pt-BR"/>
        </w:rPr>
        <w:t>relação</w:t>
      </w:r>
      <w:r w:rsidRPr="00560E0D">
        <w:rPr>
          <w:sz w:val="20"/>
          <w:szCs w:val="20"/>
          <w:lang w:val="pt-BR"/>
        </w:rPr>
        <w:t xml:space="preserve"> a este extremo, e conclui que </w:t>
      </w:r>
      <w:r w:rsidR="00084571" w:rsidRPr="00560E0D">
        <w:rPr>
          <w:sz w:val="20"/>
          <w:szCs w:val="20"/>
          <w:lang w:val="pt-BR"/>
        </w:rPr>
        <w:t>não</w:t>
      </w:r>
      <w:r w:rsidRPr="00560E0D">
        <w:rPr>
          <w:sz w:val="20"/>
          <w:szCs w:val="20"/>
          <w:lang w:val="pt-BR"/>
        </w:rPr>
        <w:t xml:space="preserve"> pode dar por reconhecido o requisito previsto no artigo 46.1.a da CADH relativo a uma suposta </w:t>
      </w:r>
      <w:r w:rsidR="00084571" w:rsidRPr="00560E0D">
        <w:rPr>
          <w:sz w:val="20"/>
          <w:szCs w:val="20"/>
          <w:lang w:val="pt-BR"/>
        </w:rPr>
        <w:t>violação</w:t>
      </w:r>
      <w:r w:rsidRPr="00560E0D">
        <w:rPr>
          <w:sz w:val="20"/>
          <w:szCs w:val="20"/>
          <w:lang w:val="pt-BR"/>
        </w:rPr>
        <w:t xml:space="preserve"> do direito d</w:t>
      </w:r>
      <w:r w:rsidR="00560E0D" w:rsidRPr="00560E0D">
        <w:rPr>
          <w:sz w:val="20"/>
          <w:szCs w:val="20"/>
          <w:lang w:val="pt-BR"/>
        </w:rPr>
        <w:t xml:space="preserve">o Sr. Starling à </w:t>
      </w:r>
      <w:r w:rsidR="00084571" w:rsidRPr="00560E0D">
        <w:rPr>
          <w:sz w:val="20"/>
          <w:szCs w:val="20"/>
          <w:lang w:val="pt-BR"/>
        </w:rPr>
        <w:t>indenização</w:t>
      </w:r>
      <w:r w:rsidRPr="00560E0D">
        <w:rPr>
          <w:sz w:val="20"/>
          <w:szCs w:val="20"/>
          <w:lang w:val="pt-BR"/>
        </w:rPr>
        <w:t xml:space="preserve"> por erro judicial. </w:t>
      </w:r>
    </w:p>
    <w:p w14:paraId="4B8A8A66" w14:textId="77777777" w:rsidR="006513C0" w:rsidRPr="00560E0D" w:rsidRDefault="006513C0" w:rsidP="006513C0">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lang w:val="pt-BR"/>
        </w:rPr>
      </w:pPr>
    </w:p>
    <w:p w14:paraId="4FFBE378" w14:textId="1CEC4F9C" w:rsidR="003239B8" w:rsidRDefault="003239B8" w:rsidP="006513C0">
      <w:pPr>
        <w:pStyle w:val="ListParagraph"/>
        <w:jc w:val="both"/>
        <w:rPr>
          <w:b/>
          <w:bCs/>
          <w:sz w:val="20"/>
          <w:szCs w:val="20"/>
          <w:lang w:val="pt-BR"/>
        </w:rPr>
      </w:pPr>
      <w:r w:rsidRPr="00560E0D">
        <w:rPr>
          <w:b/>
          <w:bCs/>
          <w:sz w:val="20"/>
          <w:szCs w:val="20"/>
          <w:lang w:val="pt-BR"/>
        </w:rPr>
        <w:t>VII.</w:t>
      </w:r>
      <w:r w:rsidRPr="00560E0D">
        <w:rPr>
          <w:b/>
          <w:bCs/>
          <w:sz w:val="20"/>
          <w:szCs w:val="20"/>
          <w:lang w:val="pt-BR"/>
        </w:rPr>
        <w:tab/>
      </w:r>
      <w:r w:rsidR="00D21316" w:rsidRPr="00560E0D">
        <w:rPr>
          <w:b/>
          <w:bCs/>
          <w:sz w:val="20"/>
          <w:szCs w:val="20"/>
          <w:lang w:val="pt-BR"/>
        </w:rPr>
        <w:t>ANÁLISE</w:t>
      </w:r>
      <w:r w:rsidR="004A6A54" w:rsidRPr="00560E0D">
        <w:rPr>
          <w:b/>
          <w:bCs/>
          <w:sz w:val="20"/>
          <w:szCs w:val="20"/>
          <w:lang w:val="pt-BR"/>
        </w:rPr>
        <w:t xml:space="preserve"> DE </w:t>
      </w:r>
      <w:r w:rsidR="00C21FEF" w:rsidRPr="00560E0D">
        <w:rPr>
          <w:b/>
          <w:bCs/>
          <w:sz w:val="20"/>
          <w:szCs w:val="20"/>
          <w:lang w:val="pt-BR"/>
        </w:rPr>
        <w:t>CARACTERIZA</w:t>
      </w:r>
      <w:r w:rsidR="00A53003" w:rsidRPr="00560E0D">
        <w:rPr>
          <w:b/>
          <w:bCs/>
          <w:sz w:val="20"/>
          <w:szCs w:val="20"/>
          <w:lang w:val="pt-BR"/>
        </w:rPr>
        <w:t>ÇÃO</w:t>
      </w:r>
      <w:r w:rsidR="00C21FEF" w:rsidRPr="00560E0D">
        <w:rPr>
          <w:b/>
          <w:bCs/>
          <w:sz w:val="20"/>
          <w:szCs w:val="20"/>
          <w:lang w:val="pt-BR"/>
        </w:rPr>
        <w:t xml:space="preserve"> DOS </w:t>
      </w:r>
      <w:r w:rsidR="00A53003" w:rsidRPr="00560E0D">
        <w:rPr>
          <w:b/>
          <w:bCs/>
          <w:sz w:val="20"/>
          <w:szCs w:val="20"/>
          <w:lang w:val="pt-BR"/>
        </w:rPr>
        <w:t>FATOS</w:t>
      </w:r>
      <w:r w:rsidR="00C21FEF" w:rsidRPr="00560E0D">
        <w:rPr>
          <w:b/>
          <w:bCs/>
          <w:sz w:val="20"/>
          <w:szCs w:val="20"/>
          <w:lang w:val="pt-BR"/>
        </w:rPr>
        <w:t xml:space="preserve"> ALEGADOS</w:t>
      </w:r>
    </w:p>
    <w:p w14:paraId="30B6E45F" w14:textId="77777777" w:rsidR="006513C0" w:rsidRPr="00560E0D" w:rsidRDefault="006513C0" w:rsidP="006513C0">
      <w:pPr>
        <w:pStyle w:val="ListParagraph"/>
        <w:jc w:val="both"/>
        <w:rPr>
          <w:b/>
          <w:sz w:val="20"/>
          <w:szCs w:val="20"/>
          <w:lang w:val="pt-BR"/>
        </w:rPr>
      </w:pPr>
    </w:p>
    <w:p w14:paraId="23A35387" w14:textId="170519ED" w:rsidR="00334EAF" w:rsidRPr="00334EAF" w:rsidRDefault="0031465A" w:rsidP="006513C0">
      <w:pPr>
        <w:numPr>
          <w:ilvl w:val="0"/>
          <w:numId w:val="103"/>
        </w:numPr>
        <w:suppressAutoHyphens/>
        <w:jc w:val="both"/>
        <w:rPr>
          <w:rStyle w:val="Emphasis"/>
          <w:rFonts w:ascii="Cambria" w:hAnsi="Cambria"/>
          <w:i w:val="0"/>
          <w:iCs w:val="0"/>
          <w:sz w:val="20"/>
          <w:szCs w:val="20"/>
        </w:rPr>
      </w:pPr>
      <w:r w:rsidRPr="00334EAF">
        <w:rPr>
          <w:rFonts w:ascii="Cambria" w:hAnsi="Cambria"/>
          <w:sz w:val="20"/>
          <w:szCs w:val="20"/>
        </w:rPr>
        <w:t>A Comissão considera que a presente petição inclui alega</w:t>
      </w:r>
      <w:r w:rsidRPr="00334EAF">
        <w:rPr>
          <w:rStyle w:val="Emphasis"/>
          <w:rFonts w:ascii="Cambria" w:hAnsi="Cambria" w:cs="Arial"/>
          <w:bCs/>
          <w:i w:val="0"/>
          <w:sz w:val="20"/>
          <w:szCs w:val="20"/>
          <w:shd w:val="clear" w:color="auto" w:fill="FFFFFF"/>
        </w:rPr>
        <w:t>ções</w:t>
      </w:r>
      <w:r w:rsidRPr="00334EAF">
        <w:rPr>
          <w:rStyle w:val="Emphasis"/>
          <w:rFonts w:ascii="Cambria" w:hAnsi="Cambria" w:cs="Arial"/>
          <w:bCs/>
          <w:sz w:val="20"/>
          <w:szCs w:val="20"/>
          <w:shd w:val="clear" w:color="auto" w:fill="FFFFFF"/>
        </w:rPr>
        <w:t xml:space="preserve"> </w:t>
      </w:r>
      <w:r w:rsidRPr="00334EAF">
        <w:rPr>
          <w:rStyle w:val="Emphasis"/>
          <w:rFonts w:ascii="Cambria" w:hAnsi="Cambria" w:cs="Arial"/>
          <w:bCs/>
          <w:i w:val="0"/>
          <w:sz w:val="20"/>
          <w:szCs w:val="20"/>
          <w:shd w:val="clear" w:color="auto" w:fill="FFFFFF"/>
        </w:rPr>
        <w:t xml:space="preserve">a </w:t>
      </w:r>
      <w:r w:rsidR="000D6826" w:rsidRPr="00334EAF">
        <w:rPr>
          <w:rStyle w:val="Emphasis"/>
          <w:rFonts w:ascii="Cambria" w:hAnsi="Cambria" w:cs="Arial"/>
          <w:bCs/>
          <w:i w:val="0"/>
          <w:sz w:val="20"/>
          <w:szCs w:val="20"/>
          <w:shd w:val="clear" w:color="auto" w:fill="FFFFFF"/>
        </w:rPr>
        <w:t>da violação à liberdade de expressão da suposta vítima, bem como da ausência de controle de constitucionalidade por parte das autoridades brasileiras</w:t>
      </w:r>
      <w:r w:rsidR="00C7574A" w:rsidRPr="00334EAF">
        <w:rPr>
          <w:rStyle w:val="Emphasis"/>
          <w:rFonts w:ascii="Cambria" w:hAnsi="Cambria" w:cs="Arial"/>
          <w:bCs/>
          <w:i w:val="0"/>
          <w:sz w:val="20"/>
          <w:szCs w:val="20"/>
          <w:shd w:val="clear" w:color="auto" w:fill="FFFFFF"/>
        </w:rPr>
        <w:t>, bem como da falta de garantias judiciais</w:t>
      </w:r>
      <w:r w:rsidR="000D6826" w:rsidRPr="00334EAF">
        <w:rPr>
          <w:rStyle w:val="Emphasis"/>
          <w:rFonts w:ascii="Cambria" w:hAnsi="Cambria" w:cs="Arial"/>
          <w:bCs/>
          <w:i w:val="0"/>
          <w:sz w:val="20"/>
          <w:szCs w:val="20"/>
          <w:shd w:val="clear" w:color="auto" w:fill="FFFFFF"/>
        </w:rPr>
        <w:t xml:space="preserve"> </w:t>
      </w:r>
      <w:r w:rsidR="00C7574A" w:rsidRPr="00334EAF">
        <w:rPr>
          <w:rStyle w:val="Emphasis"/>
          <w:rFonts w:ascii="Cambria" w:hAnsi="Cambria" w:cs="Arial"/>
          <w:bCs/>
          <w:i w:val="0"/>
          <w:sz w:val="20"/>
          <w:szCs w:val="20"/>
          <w:shd w:val="clear" w:color="auto" w:fill="FFFFFF"/>
        </w:rPr>
        <w:t xml:space="preserve">e da falta de efetividade de um recurso </w:t>
      </w:r>
      <w:r w:rsidR="000D6826" w:rsidRPr="00334EAF">
        <w:rPr>
          <w:rStyle w:val="Emphasis"/>
          <w:rFonts w:ascii="Cambria" w:hAnsi="Cambria" w:cs="Arial"/>
          <w:bCs/>
          <w:i w:val="0"/>
          <w:sz w:val="20"/>
          <w:szCs w:val="20"/>
          <w:shd w:val="clear" w:color="auto" w:fill="FFFFFF"/>
        </w:rPr>
        <w:t>em vista da condenação do Sr. Starling pelo delito de desacato previsto no artigo 331 do Código Penal brasileiro.</w:t>
      </w:r>
      <w:r w:rsidR="00C7574A" w:rsidRPr="00334EAF">
        <w:rPr>
          <w:rStyle w:val="Emphasis"/>
          <w:rFonts w:ascii="Cambria" w:hAnsi="Cambria" w:cs="Arial"/>
          <w:bCs/>
          <w:i w:val="0"/>
          <w:sz w:val="20"/>
          <w:szCs w:val="20"/>
          <w:shd w:val="clear" w:color="auto" w:fill="FFFFFF"/>
        </w:rPr>
        <w:t xml:space="preserve"> Ademais, </w:t>
      </w:r>
      <w:r w:rsidR="00334EAF">
        <w:rPr>
          <w:rStyle w:val="Emphasis"/>
          <w:rFonts w:ascii="Cambria" w:hAnsi="Cambria" w:cs="Arial"/>
          <w:bCs/>
          <w:i w:val="0"/>
          <w:sz w:val="20"/>
          <w:szCs w:val="20"/>
          <w:shd w:val="clear" w:color="auto" w:fill="FFFFFF"/>
        </w:rPr>
        <w:t xml:space="preserve">a Comissão considera que dos fatos apresentados é possível observar que </w:t>
      </w:r>
      <w:r w:rsidR="00C7574A" w:rsidRPr="00334EAF">
        <w:rPr>
          <w:rStyle w:val="Emphasis"/>
          <w:rFonts w:ascii="Cambria" w:hAnsi="Cambria" w:cs="Arial"/>
          <w:bCs/>
          <w:i w:val="0"/>
          <w:sz w:val="20"/>
          <w:szCs w:val="20"/>
          <w:shd w:val="clear" w:color="auto" w:fill="FFFFFF"/>
        </w:rPr>
        <w:t>a petição versa a respeito da possível violação aos direitos à integridade moral, à dignidade e à reputação e à honra da suposta vítima, tendo em vista que a sentença de desacato foi pública, implicando na existência de antecedentes criminais a respeito da suposta vítima</w:t>
      </w:r>
      <w:r w:rsidR="002D4ADF" w:rsidRPr="00334EAF">
        <w:rPr>
          <w:rStyle w:val="Emphasis"/>
          <w:rFonts w:ascii="Cambria" w:hAnsi="Cambria" w:cs="Arial"/>
          <w:bCs/>
          <w:i w:val="0"/>
          <w:sz w:val="20"/>
          <w:szCs w:val="20"/>
          <w:shd w:val="clear" w:color="auto" w:fill="FFFFFF"/>
        </w:rPr>
        <w:t>, que impactaram e sua dignidade e reputação.</w:t>
      </w:r>
    </w:p>
    <w:p w14:paraId="1A82943C" w14:textId="7363DC09" w:rsidR="00D11665" w:rsidRPr="006513C0" w:rsidRDefault="004C26E0" w:rsidP="006513C0">
      <w:pPr>
        <w:pStyle w:val="ListParagraph"/>
        <w:numPr>
          <w:ilvl w:val="0"/>
          <w:numId w:val="103"/>
        </w:numPr>
        <w:suppressAutoHyphens/>
        <w:jc w:val="both"/>
        <w:rPr>
          <w:sz w:val="20"/>
          <w:szCs w:val="20"/>
          <w:lang w:val="pt-BR"/>
        </w:rPr>
      </w:pPr>
      <w:r w:rsidRPr="00334EAF">
        <w:rPr>
          <w:rFonts w:cs="Tahoma"/>
          <w:sz w:val="20"/>
          <w:szCs w:val="20"/>
          <w:lang w:val="pt-BR"/>
        </w:rPr>
        <w:lastRenderedPageBreak/>
        <w:t>Na presente petição, a CIDH entende que está diante de uma aplicação da figura penal do desacato. Em diversas ocasiões, a CIDH determinou que essa figura penal não é compatível com a CADH, uma vez que ela se presta a abusos como meio de silenciar ideias e opiniões, reprimindo assim um debate que é de vital importância para o efetivo func</w:t>
      </w:r>
      <w:r w:rsidRPr="00334EAF">
        <w:rPr>
          <w:rFonts w:cs="Tahoma"/>
          <w:color w:val="auto"/>
          <w:sz w:val="20"/>
          <w:szCs w:val="20"/>
          <w:lang w:val="pt-BR"/>
        </w:rPr>
        <w:t>ionamento das instituições democráticas. A aplicação de leis de desacato para proteger a honra de funcionários públicos que atuam em caráter oficial outorga-lhes injustificadamente um direito à proteção do qual não dispõem os demais integrantes da sociedade. Além das restrições diretas, as leis de desacato restringem indiretamente a liberdade de expressão, uma vez que carregam em si a ameaça do encarceramento ou de multas para aqueles que insultarem ou ofenderem um funcionário público.</w:t>
      </w:r>
      <w:r w:rsidR="00D11665" w:rsidRPr="00334EAF">
        <w:rPr>
          <w:rFonts w:cs="Tahoma"/>
          <w:color w:val="auto"/>
          <w:sz w:val="20"/>
          <w:szCs w:val="20"/>
          <w:lang w:val="pt-BR"/>
        </w:rPr>
        <w:t xml:space="preserve"> Ademais, a Comissão observa com especial atenção o que o Estado brasileiro tem mantido o entendimento, contrário aos estandartes interamericanos, de que as leis de desacato devem ser aplicadas. Em 19 de junho de 2020, o Supremo Tribunal Federal, no julgamento da Ação de Descumprimento de Preceito Fundamental (ADPF) No. 496, estabeleceu que o artigo 331 do Código Penal, que estabelece o tipo penal de “desacato” é compatível com a Constituição brasileira e estaria de acordo com o direito internacional.</w:t>
      </w:r>
    </w:p>
    <w:p w14:paraId="58FD4911" w14:textId="77777777" w:rsidR="006513C0" w:rsidRPr="00334EAF" w:rsidRDefault="006513C0" w:rsidP="006513C0">
      <w:pPr>
        <w:pStyle w:val="ListParagraph"/>
        <w:suppressAutoHyphens/>
        <w:jc w:val="both"/>
        <w:rPr>
          <w:sz w:val="20"/>
          <w:szCs w:val="20"/>
          <w:lang w:val="pt-BR"/>
        </w:rPr>
      </w:pPr>
    </w:p>
    <w:p w14:paraId="14B4F9D6" w14:textId="07E8FE80" w:rsidR="000E052E" w:rsidRPr="006513C0" w:rsidRDefault="0031465A" w:rsidP="006513C0">
      <w:pPr>
        <w:numPr>
          <w:ilvl w:val="0"/>
          <w:numId w:val="103"/>
        </w:numPr>
        <w:suppressAutoHyphens/>
        <w:jc w:val="both"/>
        <w:rPr>
          <w:rFonts w:ascii="Cambria" w:hAnsi="Cambria"/>
          <w:sz w:val="20"/>
          <w:szCs w:val="20"/>
        </w:rPr>
      </w:pPr>
      <w:r w:rsidRPr="00334EAF">
        <w:rPr>
          <w:rFonts w:ascii="Cambria" w:hAnsi="Cambria"/>
          <w:sz w:val="20"/>
          <w:szCs w:val="20"/>
        </w:rPr>
        <w:t>Em atenção a estas considera</w:t>
      </w:r>
      <w:r w:rsidRPr="00334EAF">
        <w:rPr>
          <w:rStyle w:val="Emphasis"/>
          <w:rFonts w:ascii="Cambria" w:hAnsi="Cambria" w:cs="Arial"/>
          <w:bCs/>
          <w:i w:val="0"/>
          <w:sz w:val="20"/>
          <w:szCs w:val="20"/>
          <w:shd w:val="clear" w:color="auto" w:fill="FFFFFF"/>
        </w:rPr>
        <w:t>ções</w:t>
      </w:r>
      <w:r w:rsidRPr="00334EAF">
        <w:rPr>
          <w:rFonts w:ascii="Cambria" w:hAnsi="Cambria"/>
          <w:sz w:val="20"/>
          <w:szCs w:val="20"/>
        </w:rPr>
        <w:t xml:space="preserve"> e após examinar os elementos de fato e de direito expostos pelas partes, a Comissão estima que as alega</w:t>
      </w:r>
      <w:r w:rsidRPr="00334EAF">
        <w:rPr>
          <w:rStyle w:val="Emphasis"/>
          <w:rFonts w:ascii="Cambria" w:hAnsi="Cambria" w:cs="Arial"/>
          <w:bCs/>
          <w:i w:val="0"/>
          <w:sz w:val="20"/>
          <w:szCs w:val="20"/>
          <w:shd w:val="clear" w:color="auto" w:fill="FFFFFF"/>
        </w:rPr>
        <w:t>ções</w:t>
      </w:r>
      <w:r w:rsidRPr="00334EAF">
        <w:rPr>
          <w:rFonts w:ascii="Cambria" w:hAnsi="Cambria"/>
          <w:i/>
          <w:sz w:val="20"/>
          <w:szCs w:val="20"/>
        </w:rPr>
        <w:t xml:space="preserve"> </w:t>
      </w:r>
      <w:r w:rsidRPr="00334EAF">
        <w:rPr>
          <w:rFonts w:ascii="Cambria" w:hAnsi="Cambria"/>
          <w:sz w:val="20"/>
          <w:szCs w:val="20"/>
        </w:rPr>
        <w:t>da parte peticionária não são manifestamente infundada</w:t>
      </w:r>
      <w:r w:rsidR="00B445AC" w:rsidRPr="00334EAF">
        <w:rPr>
          <w:rFonts w:ascii="Cambria" w:hAnsi="Cambria"/>
          <w:sz w:val="20"/>
          <w:szCs w:val="20"/>
        </w:rPr>
        <w:t>s</w:t>
      </w:r>
      <w:r w:rsidRPr="00334EAF">
        <w:rPr>
          <w:rFonts w:ascii="Cambria" w:hAnsi="Cambria"/>
          <w:sz w:val="20"/>
          <w:szCs w:val="20"/>
        </w:rPr>
        <w:t xml:space="preserve"> e requerem um estudo de mérito, pois os fatos alegados, se corroborados como certos, podem caracterizar </w:t>
      </w:r>
      <w:r w:rsidRPr="00334EAF">
        <w:rPr>
          <w:rFonts w:ascii="Cambria" w:hAnsi="Cambria"/>
          <w:bCs/>
          <w:i/>
          <w:sz w:val="20"/>
          <w:szCs w:val="20"/>
        </w:rPr>
        <w:t>v</w:t>
      </w:r>
      <w:r w:rsidRPr="00334EAF">
        <w:rPr>
          <w:rStyle w:val="Emphasis"/>
          <w:rFonts w:ascii="Cambria" w:hAnsi="Cambria" w:cs="Arial"/>
          <w:bCs/>
          <w:i w:val="0"/>
          <w:sz w:val="20"/>
          <w:szCs w:val="20"/>
          <w:shd w:val="clear" w:color="auto" w:fill="FFFFFF"/>
        </w:rPr>
        <w:t>iolações</w:t>
      </w:r>
      <w:r w:rsidRPr="00334EAF">
        <w:rPr>
          <w:rFonts w:ascii="Cambria" w:hAnsi="Cambria"/>
          <w:sz w:val="20"/>
          <w:szCs w:val="20"/>
        </w:rPr>
        <w:t xml:space="preserve"> aos direitos protegidos </w:t>
      </w:r>
      <w:r w:rsidR="002D4ADF" w:rsidRPr="00334EAF">
        <w:rPr>
          <w:rFonts w:ascii="Cambria" w:hAnsi="Cambria"/>
          <w:sz w:val="20"/>
          <w:szCs w:val="20"/>
        </w:rPr>
        <w:t>nos a</w:t>
      </w:r>
      <w:r w:rsidR="002D4ADF" w:rsidRPr="00334EAF">
        <w:rPr>
          <w:rFonts w:ascii="Cambria" w:hAnsi="Cambria"/>
          <w:bCs/>
          <w:sz w:val="20"/>
          <w:szCs w:val="20"/>
        </w:rPr>
        <w:t>rtigos 5 (integridade pessoal), 8 (garantias judiciais), 11 (honra e dignidade), 13 (liberdade de pensamento e expressão) e 25 (proteção judicial) da Convenção Americana em relação ao seu artigo 2 (dever de adotar disposições de direito interno)</w:t>
      </w:r>
      <w:r w:rsidR="000D6826" w:rsidRPr="00334EAF">
        <w:rPr>
          <w:rFonts w:ascii="Cambria" w:hAnsi="Cambria"/>
          <w:bCs/>
          <w:sz w:val="20"/>
          <w:szCs w:val="20"/>
        </w:rPr>
        <w:t>.</w:t>
      </w:r>
    </w:p>
    <w:p w14:paraId="10782881" w14:textId="77777777" w:rsidR="006513C0" w:rsidRPr="00334EAF" w:rsidRDefault="006513C0" w:rsidP="006513C0">
      <w:pPr>
        <w:suppressAutoHyphens/>
        <w:ind w:left="720"/>
        <w:jc w:val="both"/>
        <w:rPr>
          <w:rFonts w:ascii="Cambria" w:hAnsi="Cambria"/>
          <w:sz w:val="20"/>
          <w:szCs w:val="20"/>
        </w:rPr>
      </w:pPr>
    </w:p>
    <w:p w14:paraId="495DBBED" w14:textId="6CB69296" w:rsidR="00BD2518" w:rsidRPr="006513C0" w:rsidRDefault="00BD2518" w:rsidP="006513C0">
      <w:pPr>
        <w:numPr>
          <w:ilvl w:val="0"/>
          <w:numId w:val="103"/>
        </w:numPr>
        <w:suppressAutoHyphens/>
        <w:jc w:val="both"/>
        <w:rPr>
          <w:rFonts w:ascii="Cambria" w:hAnsi="Cambria"/>
          <w:sz w:val="20"/>
          <w:szCs w:val="20"/>
        </w:rPr>
      </w:pPr>
      <w:r w:rsidRPr="00334EAF">
        <w:rPr>
          <w:rFonts w:ascii="Cambria" w:hAnsi="Cambria"/>
          <w:bCs/>
          <w:sz w:val="20"/>
          <w:szCs w:val="20"/>
        </w:rPr>
        <w:t xml:space="preserve">Entretanto, em relação à alegada violação aos direitos à integridade pessoal, liberdade pessoal e indenização, a Comissão considera que a parte peticionária não apresenta elementos capazes de identificar, </w:t>
      </w:r>
      <w:r w:rsidRPr="00334EAF">
        <w:rPr>
          <w:rFonts w:ascii="Cambria" w:hAnsi="Cambria"/>
          <w:bCs/>
          <w:i/>
          <w:iCs/>
          <w:sz w:val="20"/>
          <w:szCs w:val="20"/>
        </w:rPr>
        <w:t xml:space="preserve">prima facie, </w:t>
      </w:r>
      <w:r w:rsidRPr="00334EAF">
        <w:rPr>
          <w:rFonts w:ascii="Cambria" w:hAnsi="Cambria"/>
          <w:bCs/>
          <w:sz w:val="20"/>
          <w:szCs w:val="20"/>
        </w:rPr>
        <w:t>a caracterização de possíveis violações ao artigo 7 (liberdade pessoal) da Convenção Americana</w:t>
      </w:r>
      <w:r w:rsidR="00C7574A" w:rsidRPr="00334EAF">
        <w:rPr>
          <w:rFonts w:ascii="Cambria" w:hAnsi="Cambria"/>
          <w:bCs/>
          <w:sz w:val="20"/>
          <w:szCs w:val="20"/>
        </w:rPr>
        <w:t xml:space="preserve">, pois </w:t>
      </w:r>
      <w:r w:rsidRPr="00334EAF">
        <w:rPr>
          <w:rFonts w:ascii="Cambria" w:hAnsi="Cambria"/>
          <w:bCs/>
          <w:sz w:val="20"/>
          <w:szCs w:val="20"/>
        </w:rPr>
        <w:t>as informações apresentadas pelas partes permitem concluir que a suposta vítima não foi privada de liberdade.</w:t>
      </w:r>
    </w:p>
    <w:p w14:paraId="33226766" w14:textId="77777777" w:rsidR="006513C0" w:rsidRPr="00334EAF" w:rsidRDefault="006513C0" w:rsidP="006513C0">
      <w:pPr>
        <w:suppressAutoHyphens/>
        <w:ind w:left="720"/>
        <w:jc w:val="both"/>
        <w:rPr>
          <w:rFonts w:ascii="Cambria" w:hAnsi="Cambria"/>
          <w:sz w:val="20"/>
          <w:szCs w:val="20"/>
        </w:rPr>
      </w:pPr>
    </w:p>
    <w:p w14:paraId="4A5B1DC1" w14:textId="49E584E7" w:rsidR="000D6826" w:rsidRPr="006513C0" w:rsidRDefault="000D6826" w:rsidP="006513C0">
      <w:pPr>
        <w:numPr>
          <w:ilvl w:val="0"/>
          <w:numId w:val="103"/>
        </w:numPr>
        <w:suppressAutoHyphens/>
        <w:jc w:val="both"/>
        <w:rPr>
          <w:rFonts w:ascii="Cambria" w:hAnsi="Cambria"/>
          <w:sz w:val="20"/>
          <w:szCs w:val="20"/>
        </w:rPr>
      </w:pPr>
      <w:r w:rsidRPr="00334EAF">
        <w:rPr>
          <w:rFonts w:ascii="Cambria" w:hAnsi="Cambria"/>
          <w:bCs/>
          <w:sz w:val="20"/>
          <w:szCs w:val="20"/>
        </w:rPr>
        <w:t>Finalmente, quanto ao pedido de conexão da petição ora examinada com a petição P-1500-12, a Comissão considera que que ambas estão relacionadas com a alegada ausência de controle de convencionalidade em relação ao delito de desacato. Entretanto, devido ao fato de a P-1500-12 já ter sido objeto de exame de admissibilidade,</w:t>
      </w:r>
      <w:r w:rsidRPr="00334EAF">
        <w:rPr>
          <w:rStyle w:val="FootnoteReference"/>
          <w:rFonts w:ascii="Cambria" w:hAnsi="Cambria"/>
          <w:bCs/>
          <w:sz w:val="20"/>
          <w:szCs w:val="20"/>
        </w:rPr>
        <w:footnoteReference w:id="6"/>
      </w:r>
      <w:r w:rsidRPr="00334EAF">
        <w:rPr>
          <w:rFonts w:ascii="Cambria" w:hAnsi="Cambria"/>
          <w:bCs/>
          <w:sz w:val="20"/>
          <w:szCs w:val="20"/>
        </w:rPr>
        <w:t xml:space="preserve"> a Comissão não pode, neste momento processual, proceder à conexão das petições, nos termos do artigo 29.5 de seu Estatuto.</w:t>
      </w:r>
    </w:p>
    <w:p w14:paraId="05286B63" w14:textId="77777777" w:rsidR="006513C0" w:rsidRPr="00334EAF" w:rsidRDefault="006513C0" w:rsidP="006513C0">
      <w:pPr>
        <w:suppressAutoHyphens/>
        <w:ind w:left="720"/>
        <w:jc w:val="both"/>
        <w:rPr>
          <w:rFonts w:ascii="Cambria" w:hAnsi="Cambria"/>
          <w:sz w:val="20"/>
          <w:szCs w:val="20"/>
        </w:rPr>
      </w:pPr>
    </w:p>
    <w:p w14:paraId="29BB41F5" w14:textId="7AAC63CB" w:rsidR="003239B8" w:rsidRDefault="003239B8" w:rsidP="006513C0">
      <w:pPr>
        <w:pStyle w:val="ListParagraph"/>
        <w:jc w:val="both"/>
        <w:rPr>
          <w:b/>
          <w:bCs/>
          <w:sz w:val="20"/>
          <w:szCs w:val="20"/>
          <w:lang w:val="pt-BR"/>
        </w:rPr>
      </w:pPr>
      <w:r w:rsidRPr="00560E0D">
        <w:rPr>
          <w:b/>
          <w:bCs/>
          <w:sz w:val="20"/>
          <w:szCs w:val="20"/>
          <w:lang w:val="pt-BR"/>
        </w:rPr>
        <w:t xml:space="preserve">VIII. </w:t>
      </w:r>
      <w:r w:rsidRPr="00560E0D">
        <w:rPr>
          <w:b/>
          <w:bCs/>
          <w:sz w:val="20"/>
          <w:szCs w:val="20"/>
          <w:lang w:val="pt-BR"/>
        </w:rPr>
        <w:tab/>
      </w:r>
      <w:r w:rsidR="00A53003" w:rsidRPr="00560E0D">
        <w:rPr>
          <w:b/>
          <w:bCs/>
          <w:sz w:val="20"/>
          <w:szCs w:val="20"/>
          <w:lang w:val="pt-BR"/>
        </w:rPr>
        <w:t>DECISÃO</w:t>
      </w:r>
    </w:p>
    <w:p w14:paraId="427D50BE" w14:textId="77777777" w:rsidR="006513C0" w:rsidRPr="00560E0D" w:rsidRDefault="006513C0" w:rsidP="006513C0">
      <w:pPr>
        <w:pStyle w:val="ListParagraph"/>
        <w:jc w:val="both"/>
        <w:rPr>
          <w:b/>
          <w:bCs/>
          <w:sz w:val="20"/>
          <w:szCs w:val="20"/>
          <w:lang w:val="pt-BR"/>
        </w:rPr>
      </w:pPr>
    </w:p>
    <w:p w14:paraId="631B165A" w14:textId="5C8F5560" w:rsidR="00C7574A" w:rsidRPr="006513C0" w:rsidRDefault="003239B8" w:rsidP="006513C0">
      <w:pPr>
        <w:numPr>
          <w:ilvl w:val="0"/>
          <w:numId w:val="109"/>
        </w:numPr>
        <w:suppressAutoHyphens/>
        <w:jc w:val="both"/>
        <w:rPr>
          <w:rFonts w:ascii="Cambria" w:hAnsi="Cambria"/>
          <w:sz w:val="20"/>
          <w:szCs w:val="20"/>
        </w:rPr>
      </w:pPr>
      <w:r w:rsidRPr="00560E0D">
        <w:rPr>
          <w:rFonts w:ascii="Cambria" w:hAnsi="Cambria"/>
          <w:sz w:val="20"/>
          <w:szCs w:val="20"/>
        </w:rPr>
        <w:t xml:space="preserve">Declarar </w:t>
      </w:r>
      <w:r w:rsidR="00A53003" w:rsidRPr="00560E0D">
        <w:rPr>
          <w:rFonts w:ascii="Cambria" w:hAnsi="Cambria"/>
          <w:sz w:val="20"/>
          <w:szCs w:val="20"/>
        </w:rPr>
        <w:t>admitida</w:t>
      </w:r>
      <w:r w:rsidRPr="00560E0D">
        <w:rPr>
          <w:rFonts w:ascii="Cambria" w:hAnsi="Cambria"/>
          <w:sz w:val="20"/>
          <w:szCs w:val="20"/>
        </w:rPr>
        <w:t xml:space="preserve"> a presente </w:t>
      </w:r>
      <w:r w:rsidR="00A53003" w:rsidRPr="00560E0D">
        <w:rPr>
          <w:rFonts w:ascii="Cambria" w:hAnsi="Cambria"/>
          <w:sz w:val="20"/>
          <w:szCs w:val="20"/>
        </w:rPr>
        <w:t>petição</w:t>
      </w:r>
      <w:r w:rsidRPr="00560E0D">
        <w:rPr>
          <w:rFonts w:ascii="Cambria" w:hAnsi="Cambria"/>
          <w:sz w:val="20"/>
          <w:szCs w:val="20"/>
        </w:rPr>
        <w:t xml:space="preserve"> e</w:t>
      </w:r>
      <w:r w:rsidR="00A53003" w:rsidRPr="00560E0D">
        <w:rPr>
          <w:rFonts w:ascii="Cambria" w:hAnsi="Cambria"/>
          <w:sz w:val="20"/>
          <w:szCs w:val="20"/>
        </w:rPr>
        <w:t>m</w:t>
      </w:r>
      <w:r w:rsidRPr="00560E0D">
        <w:rPr>
          <w:rFonts w:ascii="Cambria" w:hAnsi="Cambria"/>
          <w:sz w:val="20"/>
          <w:szCs w:val="20"/>
        </w:rPr>
        <w:t xml:space="preserve"> </w:t>
      </w:r>
      <w:r w:rsidR="00A53003" w:rsidRPr="00560E0D">
        <w:rPr>
          <w:rFonts w:ascii="Cambria" w:hAnsi="Cambria"/>
          <w:sz w:val="20"/>
          <w:szCs w:val="20"/>
        </w:rPr>
        <w:t xml:space="preserve">relação </w:t>
      </w:r>
      <w:r w:rsidR="00C7574A">
        <w:rPr>
          <w:rFonts w:ascii="Cambria" w:hAnsi="Cambria"/>
          <w:sz w:val="20"/>
          <w:szCs w:val="20"/>
        </w:rPr>
        <w:t>aos a</w:t>
      </w:r>
      <w:r w:rsidR="00C7574A" w:rsidRPr="00C7574A">
        <w:rPr>
          <w:rFonts w:ascii="Cambria" w:hAnsi="Cambria"/>
          <w:bCs/>
          <w:sz w:val="20"/>
          <w:szCs w:val="20"/>
        </w:rPr>
        <w:t>rtigos 5</w:t>
      </w:r>
      <w:r w:rsidR="00084571">
        <w:rPr>
          <w:rFonts w:ascii="Cambria" w:hAnsi="Cambria"/>
          <w:bCs/>
          <w:sz w:val="20"/>
          <w:szCs w:val="20"/>
        </w:rPr>
        <w:t xml:space="preserve"> (integridade pessoal)</w:t>
      </w:r>
      <w:r w:rsidR="00C7574A" w:rsidRPr="00C7574A">
        <w:rPr>
          <w:rFonts w:ascii="Cambria" w:hAnsi="Cambria"/>
          <w:bCs/>
          <w:sz w:val="20"/>
          <w:szCs w:val="20"/>
        </w:rPr>
        <w:t>, 8</w:t>
      </w:r>
      <w:r w:rsidR="00084571">
        <w:rPr>
          <w:rFonts w:ascii="Cambria" w:hAnsi="Cambria"/>
          <w:bCs/>
          <w:sz w:val="20"/>
          <w:szCs w:val="20"/>
        </w:rPr>
        <w:t xml:space="preserve"> (garantias judiciais)</w:t>
      </w:r>
      <w:r w:rsidR="00C7574A" w:rsidRPr="00C7574A">
        <w:rPr>
          <w:rFonts w:ascii="Cambria" w:hAnsi="Cambria"/>
          <w:bCs/>
          <w:sz w:val="20"/>
          <w:szCs w:val="20"/>
        </w:rPr>
        <w:t>, 11</w:t>
      </w:r>
      <w:r w:rsidR="00084571">
        <w:rPr>
          <w:rFonts w:ascii="Cambria" w:hAnsi="Cambria"/>
          <w:bCs/>
          <w:sz w:val="20"/>
          <w:szCs w:val="20"/>
        </w:rPr>
        <w:t xml:space="preserve"> (honra e dignidade)</w:t>
      </w:r>
      <w:r w:rsidR="00C7574A" w:rsidRPr="00C7574A">
        <w:rPr>
          <w:rFonts w:ascii="Cambria" w:hAnsi="Cambria"/>
          <w:bCs/>
          <w:sz w:val="20"/>
          <w:szCs w:val="20"/>
        </w:rPr>
        <w:t xml:space="preserve">, 13 </w:t>
      </w:r>
      <w:r w:rsidR="00084571">
        <w:rPr>
          <w:rFonts w:ascii="Cambria" w:hAnsi="Cambria"/>
          <w:bCs/>
          <w:sz w:val="20"/>
          <w:szCs w:val="20"/>
        </w:rPr>
        <w:t>(liberdade de pensamento e expressão)</w:t>
      </w:r>
      <w:r w:rsidR="00C7574A" w:rsidRPr="00C7574A">
        <w:rPr>
          <w:rFonts w:ascii="Cambria" w:hAnsi="Cambria"/>
          <w:bCs/>
          <w:sz w:val="20"/>
          <w:szCs w:val="20"/>
        </w:rPr>
        <w:t xml:space="preserve"> e 25</w:t>
      </w:r>
      <w:r w:rsidR="00084571">
        <w:rPr>
          <w:rFonts w:ascii="Cambria" w:hAnsi="Cambria"/>
          <w:bCs/>
          <w:sz w:val="20"/>
          <w:szCs w:val="20"/>
        </w:rPr>
        <w:t xml:space="preserve"> (proteção judicial)</w:t>
      </w:r>
      <w:r w:rsidR="00C7574A" w:rsidRPr="00C7574A">
        <w:rPr>
          <w:rFonts w:ascii="Cambria" w:hAnsi="Cambria"/>
          <w:bCs/>
          <w:sz w:val="20"/>
          <w:szCs w:val="20"/>
        </w:rPr>
        <w:t xml:space="preserve"> da Convenção Americana em relação ao seu artigo</w:t>
      </w:r>
      <w:r w:rsidR="00E8778F">
        <w:rPr>
          <w:rFonts w:ascii="Cambria" w:hAnsi="Cambria"/>
          <w:bCs/>
          <w:sz w:val="20"/>
          <w:szCs w:val="20"/>
        </w:rPr>
        <w:t>s 1.1</w:t>
      </w:r>
      <w:r w:rsidR="00084571">
        <w:rPr>
          <w:rFonts w:ascii="Cambria" w:hAnsi="Cambria"/>
          <w:bCs/>
          <w:sz w:val="20"/>
          <w:szCs w:val="20"/>
        </w:rPr>
        <w:t xml:space="preserve"> (obrigação de respeitar os direitos)</w:t>
      </w:r>
      <w:r w:rsidR="00E8778F">
        <w:rPr>
          <w:rFonts w:ascii="Cambria" w:hAnsi="Cambria"/>
          <w:bCs/>
          <w:sz w:val="20"/>
          <w:szCs w:val="20"/>
        </w:rPr>
        <w:t xml:space="preserve"> e</w:t>
      </w:r>
      <w:r w:rsidR="00C7574A" w:rsidRPr="00C7574A">
        <w:rPr>
          <w:rFonts w:ascii="Cambria" w:hAnsi="Cambria"/>
          <w:bCs/>
          <w:sz w:val="20"/>
          <w:szCs w:val="20"/>
        </w:rPr>
        <w:t xml:space="preserve"> 2</w:t>
      </w:r>
      <w:r w:rsidR="00084571">
        <w:rPr>
          <w:rFonts w:ascii="Cambria" w:hAnsi="Cambria"/>
          <w:bCs/>
          <w:sz w:val="20"/>
          <w:szCs w:val="20"/>
        </w:rPr>
        <w:t xml:space="preserve"> </w:t>
      </w:r>
      <w:r w:rsidR="00084571" w:rsidRPr="00560E0D">
        <w:rPr>
          <w:rFonts w:ascii="Cambria" w:hAnsi="Cambria"/>
          <w:bCs/>
          <w:sz w:val="20"/>
          <w:szCs w:val="20"/>
        </w:rPr>
        <w:t>(dever de adotar disposições de direito interno)</w:t>
      </w:r>
      <w:r w:rsidR="00C7574A">
        <w:rPr>
          <w:rFonts w:ascii="Cambria" w:hAnsi="Cambria"/>
          <w:bCs/>
          <w:sz w:val="20"/>
          <w:szCs w:val="20"/>
        </w:rPr>
        <w:t>;</w:t>
      </w:r>
    </w:p>
    <w:p w14:paraId="01CB213D" w14:textId="77777777" w:rsidR="006513C0" w:rsidRPr="00C7574A" w:rsidRDefault="006513C0" w:rsidP="006513C0">
      <w:pPr>
        <w:suppressAutoHyphens/>
        <w:ind w:left="720"/>
        <w:jc w:val="both"/>
        <w:rPr>
          <w:rFonts w:ascii="Cambria" w:hAnsi="Cambria"/>
          <w:sz w:val="20"/>
          <w:szCs w:val="20"/>
        </w:rPr>
      </w:pPr>
    </w:p>
    <w:p w14:paraId="1F9D1644" w14:textId="68C6E112" w:rsidR="00560E0D" w:rsidRDefault="00560E0D" w:rsidP="006513C0">
      <w:pPr>
        <w:pStyle w:val="ListParagraph"/>
        <w:numPr>
          <w:ilvl w:val="0"/>
          <w:numId w:val="109"/>
        </w:numPr>
        <w:jc w:val="both"/>
        <w:rPr>
          <w:rFonts w:asciiTheme="majorHAnsi" w:eastAsia="Arial Unicode MS" w:hAnsiTheme="majorHAnsi" w:cs="Times New Roman"/>
          <w:color w:val="auto"/>
          <w:sz w:val="20"/>
          <w:szCs w:val="20"/>
          <w:lang w:val="pt-BR" w:eastAsia="en-US"/>
        </w:rPr>
      </w:pPr>
      <w:r w:rsidRPr="00560E0D">
        <w:rPr>
          <w:rFonts w:asciiTheme="majorHAnsi" w:eastAsia="Arial Unicode MS" w:hAnsiTheme="majorHAnsi" w:cs="Times New Roman"/>
          <w:color w:val="auto"/>
          <w:sz w:val="20"/>
          <w:szCs w:val="20"/>
          <w:lang w:val="pt-BR" w:eastAsia="en-US"/>
        </w:rPr>
        <w:t xml:space="preserve">Declarar inadmissível a presente </w:t>
      </w:r>
      <w:r w:rsidRPr="00560E0D">
        <w:rPr>
          <w:rFonts w:asciiTheme="majorHAnsi" w:hAnsiTheme="majorHAnsi"/>
          <w:color w:val="auto"/>
          <w:sz w:val="20"/>
          <w:szCs w:val="20"/>
          <w:lang w:val="pt-BR"/>
        </w:rPr>
        <w:t>petição em relação aos artigos</w:t>
      </w:r>
      <w:r w:rsidRPr="00560E0D">
        <w:rPr>
          <w:rFonts w:asciiTheme="majorHAnsi" w:hAnsiTheme="majorHAnsi"/>
          <w:bCs/>
          <w:color w:val="auto"/>
          <w:sz w:val="20"/>
          <w:szCs w:val="20"/>
          <w:lang w:val="pt-BR"/>
        </w:rPr>
        <w:t xml:space="preserve"> </w:t>
      </w:r>
      <w:r w:rsidRPr="00560E0D">
        <w:rPr>
          <w:bCs/>
          <w:color w:val="auto"/>
          <w:sz w:val="20"/>
          <w:szCs w:val="20"/>
          <w:lang w:val="pt-BR"/>
        </w:rPr>
        <w:t>7</w:t>
      </w:r>
      <w:r w:rsidR="00084571">
        <w:rPr>
          <w:bCs/>
          <w:color w:val="auto"/>
          <w:sz w:val="20"/>
          <w:szCs w:val="20"/>
          <w:lang w:val="pt-BR"/>
        </w:rPr>
        <w:t xml:space="preserve"> (liberdade pessoal)</w:t>
      </w:r>
      <w:r w:rsidRPr="00560E0D">
        <w:rPr>
          <w:bCs/>
          <w:color w:val="auto"/>
          <w:sz w:val="20"/>
          <w:szCs w:val="20"/>
          <w:lang w:val="pt-BR"/>
        </w:rPr>
        <w:t xml:space="preserve"> e 10</w:t>
      </w:r>
      <w:r w:rsidR="00084571">
        <w:rPr>
          <w:bCs/>
          <w:color w:val="auto"/>
          <w:sz w:val="20"/>
          <w:szCs w:val="20"/>
          <w:lang w:val="pt-BR"/>
        </w:rPr>
        <w:t xml:space="preserve"> (direito à indenização)</w:t>
      </w:r>
      <w:r w:rsidRPr="00560E0D">
        <w:rPr>
          <w:bCs/>
          <w:color w:val="auto"/>
          <w:sz w:val="20"/>
          <w:szCs w:val="20"/>
          <w:lang w:val="pt-BR"/>
        </w:rPr>
        <w:t xml:space="preserve"> da Convenção Americana</w:t>
      </w:r>
      <w:r w:rsidRPr="00560E0D">
        <w:rPr>
          <w:rFonts w:asciiTheme="majorHAnsi" w:eastAsia="Arial Unicode MS" w:hAnsiTheme="majorHAnsi" w:cs="Times New Roman"/>
          <w:color w:val="auto"/>
          <w:sz w:val="20"/>
          <w:szCs w:val="20"/>
          <w:lang w:val="pt-BR" w:eastAsia="en-US"/>
        </w:rPr>
        <w:t>; e</w:t>
      </w:r>
    </w:p>
    <w:p w14:paraId="30B56D6C" w14:textId="77777777" w:rsidR="006513C0" w:rsidRPr="00560E0D" w:rsidRDefault="006513C0" w:rsidP="006513C0">
      <w:pPr>
        <w:pStyle w:val="ListParagraph"/>
        <w:jc w:val="both"/>
        <w:rPr>
          <w:rFonts w:asciiTheme="majorHAnsi" w:eastAsia="Arial Unicode MS" w:hAnsiTheme="majorHAnsi" w:cs="Times New Roman"/>
          <w:color w:val="auto"/>
          <w:sz w:val="20"/>
          <w:szCs w:val="20"/>
          <w:lang w:val="pt-BR" w:eastAsia="en-US"/>
        </w:rPr>
      </w:pPr>
    </w:p>
    <w:p w14:paraId="6AC80CA6" w14:textId="3B3398B5" w:rsidR="00722C9F" w:rsidRDefault="00A53003" w:rsidP="006513C0">
      <w:pPr>
        <w:numPr>
          <w:ilvl w:val="0"/>
          <w:numId w:val="109"/>
        </w:numPr>
        <w:suppressAutoHyphens/>
        <w:jc w:val="both"/>
        <w:rPr>
          <w:rFonts w:ascii="Cambria" w:hAnsi="Cambria"/>
          <w:sz w:val="20"/>
          <w:szCs w:val="20"/>
        </w:rPr>
      </w:pPr>
      <w:r w:rsidRPr="00560E0D">
        <w:rPr>
          <w:rFonts w:ascii="Cambria" w:hAnsi="Cambria"/>
          <w:sz w:val="20"/>
          <w:szCs w:val="20"/>
        </w:rPr>
        <w:t xml:space="preserve">Notificar </w:t>
      </w:r>
      <w:r w:rsidR="0022736D" w:rsidRPr="00560E0D">
        <w:rPr>
          <w:rFonts w:ascii="Cambria" w:hAnsi="Cambria"/>
          <w:sz w:val="20"/>
          <w:szCs w:val="20"/>
        </w:rPr>
        <w:t>a</w:t>
      </w:r>
      <w:r w:rsidR="004A6A54" w:rsidRPr="00560E0D">
        <w:rPr>
          <w:rFonts w:ascii="Cambria" w:hAnsi="Cambria"/>
          <w:sz w:val="20"/>
          <w:szCs w:val="20"/>
        </w:rPr>
        <w:t xml:space="preserve">s partes </w:t>
      </w:r>
      <w:r w:rsidR="0022736D" w:rsidRPr="00560E0D">
        <w:rPr>
          <w:rFonts w:ascii="Cambria" w:hAnsi="Cambria"/>
          <w:sz w:val="20"/>
          <w:szCs w:val="20"/>
        </w:rPr>
        <w:t xml:space="preserve">sobre </w:t>
      </w:r>
      <w:r w:rsidRPr="00560E0D">
        <w:rPr>
          <w:rFonts w:ascii="Cambria" w:hAnsi="Cambria"/>
          <w:sz w:val="20"/>
          <w:szCs w:val="20"/>
        </w:rPr>
        <w:t>a presente decisão; continuar com a análise de mérito</w:t>
      </w:r>
      <w:r w:rsidR="004A6A54" w:rsidRPr="00560E0D">
        <w:rPr>
          <w:rFonts w:ascii="Cambria" w:hAnsi="Cambria"/>
          <w:sz w:val="20"/>
          <w:szCs w:val="20"/>
        </w:rPr>
        <w:t xml:space="preserve"> </w:t>
      </w:r>
      <w:r w:rsidRPr="00560E0D">
        <w:rPr>
          <w:rFonts w:ascii="Cambria" w:hAnsi="Cambria"/>
          <w:sz w:val="20"/>
          <w:szCs w:val="20"/>
        </w:rPr>
        <w:t>d</w:t>
      </w:r>
      <w:r w:rsidR="004A6A54" w:rsidRPr="00560E0D">
        <w:rPr>
          <w:rFonts w:ascii="Cambria" w:hAnsi="Cambria"/>
          <w:sz w:val="20"/>
          <w:szCs w:val="20"/>
        </w:rPr>
        <w:t xml:space="preserve">a </w:t>
      </w:r>
      <w:r w:rsidRPr="00560E0D">
        <w:rPr>
          <w:rFonts w:ascii="Cambria" w:hAnsi="Cambria"/>
          <w:sz w:val="20"/>
          <w:szCs w:val="20"/>
        </w:rPr>
        <w:t>questão; e</w:t>
      </w:r>
      <w:r w:rsidR="004A6A54" w:rsidRPr="00560E0D">
        <w:rPr>
          <w:rFonts w:ascii="Cambria" w:hAnsi="Cambria"/>
          <w:sz w:val="20"/>
          <w:szCs w:val="20"/>
        </w:rPr>
        <w:t xml:space="preserve"> publicar esta </w:t>
      </w:r>
      <w:r w:rsidRPr="00560E0D">
        <w:rPr>
          <w:rFonts w:ascii="Cambria" w:hAnsi="Cambria"/>
          <w:sz w:val="20"/>
          <w:szCs w:val="20"/>
        </w:rPr>
        <w:t>decisão</w:t>
      </w:r>
      <w:r w:rsidR="007665A8" w:rsidRPr="00560E0D">
        <w:rPr>
          <w:rFonts w:ascii="Cambria" w:hAnsi="Cambria"/>
          <w:sz w:val="20"/>
          <w:szCs w:val="20"/>
        </w:rPr>
        <w:t xml:space="preserve"> e inclui</w:t>
      </w:r>
      <w:r w:rsidRPr="00560E0D">
        <w:rPr>
          <w:rFonts w:ascii="Cambria" w:hAnsi="Cambria"/>
          <w:sz w:val="20"/>
          <w:szCs w:val="20"/>
        </w:rPr>
        <w:t>-</w:t>
      </w:r>
      <w:r w:rsidR="004A6A54" w:rsidRPr="00560E0D">
        <w:rPr>
          <w:rFonts w:ascii="Cambria" w:hAnsi="Cambria"/>
          <w:sz w:val="20"/>
          <w:szCs w:val="20"/>
        </w:rPr>
        <w:t xml:space="preserve">la </w:t>
      </w:r>
      <w:r w:rsidRPr="00560E0D">
        <w:rPr>
          <w:rFonts w:ascii="Cambria" w:hAnsi="Cambria"/>
          <w:sz w:val="20"/>
          <w:szCs w:val="20"/>
        </w:rPr>
        <w:t xml:space="preserve">em seu Relatório Anual à Assembleia Geral da Organização dos Estados Americanos. </w:t>
      </w:r>
    </w:p>
    <w:p w14:paraId="457634BD" w14:textId="77777777" w:rsidR="006513C0" w:rsidRDefault="006513C0" w:rsidP="006513C0">
      <w:pPr>
        <w:suppressAutoHyphens/>
        <w:ind w:left="720"/>
        <w:jc w:val="both"/>
        <w:rPr>
          <w:rFonts w:ascii="Cambria" w:hAnsi="Cambria"/>
          <w:sz w:val="20"/>
          <w:szCs w:val="20"/>
        </w:rPr>
      </w:pPr>
    </w:p>
    <w:p w14:paraId="512650D4" w14:textId="23165573" w:rsidR="005F3908" w:rsidRPr="0014757F" w:rsidRDefault="005F3908" w:rsidP="006513C0">
      <w:pPr>
        <w:suppressAutoHyphens/>
        <w:jc w:val="both"/>
        <w:rPr>
          <w:rFonts w:asciiTheme="majorHAnsi" w:hAnsiTheme="majorHAnsi"/>
          <w:sz w:val="20"/>
          <w:szCs w:val="20"/>
        </w:rPr>
      </w:pPr>
      <w:r>
        <w:rPr>
          <w:rFonts w:asciiTheme="majorHAnsi" w:hAnsiTheme="majorHAnsi"/>
          <w:sz w:val="20"/>
          <w:szCs w:val="20"/>
        </w:rPr>
        <w:t xml:space="preserve">               </w:t>
      </w:r>
      <w:bookmarkStart w:id="1" w:name="_Hlk89363282"/>
      <w:r w:rsidRPr="0014757F">
        <w:rPr>
          <w:rFonts w:asciiTheme="majorHAnsi" w:hAnsiTheme="majorHAnsi"/>
          <w:sz w:val="20"/>
          <w:szCs w:val="20"/>
        </w:rPr>
        <w:t>Aprovado pela Comissão Interamericana de Direitos Humanos ao</w:t>
      </w:r>
      <w:r>
        <w:rPr>
          <w:rFonts w:asciiTheme="majorHAnsi" w:hAnsiTheme="majorHAnsi"/>
          <w:sz w:val="20"/>
          <w:szCs w:val="20"/>
        </w:rPr>
        <w:t xml:space="preserve"> primeiro</w:t>
      </w:r>
      <w:r w:rsidRPr="0014757F">
        <w:rPr>
          <w:rFonts w:asciiTheme="majorHAnsi" w:hAnsiTheme="majorHAnsi"/>
          <w:sz w:val="20"/>
          <w:szCs w:val="20"/>
        </w:rPr>
        <w:t xml:space="preserve"> dia do mês de </w:t>
      </w:r>
      <w:r>
        <w:rPr>
          <w:rFonts w:asciiTheme="majorHAnsi" w:hAnsiTheme="majorHAnsi"/>
          <w:sz w:val="20"/>
          <w:szCs w:val="20"/>
        </w:rPr>
        <w:t>dez</w:t>
      </w:r>
      <w:r w:rsidRPr="0014757F">
        <w:rPr>
          <w:rFonts w:asciiTheme="majorHAnsi" w:hAnsiTheme="majorHAnsi"/>
          <w:sz w:val="20"/>
          <w:szCs w:val="20"/>
        </w:rPr>
        <w:t>embro de 202</w:t>
      </w:r>
      <w:r>
        <w:rPr>
          <w:rFonts w:asciiTheme="majorHAnsi" w:hAnsiTheme="majorHAnsi"/>
          <w:sz w:val="20"/>
          <w:szCs w:val="20"/>
        </w:rPr>
        <w:t>1</w:t>
      </w:r>
      <w:r w:rsidRPr="0014757F">
        <w:rPr>
          <w:rFonts w:asciiTheme="majorHAnsi" w:hAnsiTheme="majorHAnsi"/>
          <w:sz w:val="20"/>
          <w:szCs w:val="20"/>
        </w:rPr>
        <w:t>.</w:t>
      </w:r>
      <w:r>
        <w:rPr>
          <w:rFonts w:asciiTheme="majorHAnsi" w:hAnsiTheme="majorHAnsi"/>
          <w:sz w:val="20"/>
          <w:szCs w:val="20"/>
        </w:rPr>
        <w:t xml:space="preserve"> </w:t>
      </w:r>
      <w:r w:rsidRPr="0014757F">
        <w:rPr>
          <w:rFonts w:asciiTheme="majorHAnsi" w:hAnsiTheme="majorHAnsi"/>
          <w:sz w:val="20"/>
          <w:szCs w:val="20"/>
        </w:rPr>
        <w:t xml:space="preserve">(Assinado): </w:t>
      </w:r>
      <w:r w:rsidRPr="00092A72">
        <w:rPr>
          <w:rFonts w:asciiTheme="majorHAnsi" w:hAnsiTheme="majorHAnsi"/>
          <w:spacing w:val="-2"/>
          <w:sz w:val="20"/>
          <w:szCs w:val="20"/>
        </w:rPr>
        <w:t>Antonia Urrejola</w:t>
      </w:r>
      <w:r w:rsidRPr="0014757F">
        <w:rPr>
          <w:rFonts w:asciiTheme="majorHAnsi" w:hAnsiTheme="majorHAnsi"/>
          <w:sz w:val="20"/>
          <w:szCs w:val="20"/>
        </w:rPr>
        <w:t>, President</w:t>
      </w:r>
      <w:r>
        <w:rPr>
          <w:rFonts w:asciiTheme="majorHAnsi" w:hAnsiTheme="majorHAnsi"/>
          <w:sz w:val="20"/>
          <w:szCs w:val="20"/>
        </w:rPr>
        <w:t>a</w:t>
      </w:r>
      <w:r w:rsidRPr="0014757F">
        <w:rPr>
          <w:rFonts w:asciiTheme="majorHAnsi" w:hAnsiTheme="majorHAnsi"/>
          <w:sz w:val="20"/>
          <w:szCs w:val="20"/>
        </w:rPr>
        <w:t>;</w:t>
      </w:r>
      <w:r>
        <w:rPr>
          <w:rFonts w:asciiTheme="majorHAnsi" w:hAnsiTheme="majorHAnsi"/>
          <w:sz w:val="20"/>
          <w:szCs w:val="20"/>
        </w:rPr>
        <w:t xml:space="preserve"> </w:t>
      </w:r>
      <w:r w:rsidRPr="0014757F">
        <w:rPr>
          <w:rFonts w:asciiTheme="majorHAnsi" w:hAnsiTheme="majorHAnsi"/>
          <w:sz w:val="20"/>
          <w:szCs w:val="20"/>
        </w:rPr>
        <w:t>Esmeralda E. Arosemena Bernal de Troitiño</w:t>
      </w:r>
      <w:r>
        <w:rPr>
          <w:rFonts w:asciiTheme="majorHAnsi" w:hAnsiTheme="majorHAnsi"/>
          <w:sz w:val="20"/>
          <w:szCs w:val="20"/>
        </w:rPr>
        <w:t xml:space="preserve">, </w:t>
      </w:r>
      <w:r w:rsidRPr="0070084E">
        <w:rPr>
          <w:rFonts w:asciiTheme="majorHAnsi" w:hAnsiTheme="majorHAnsi" w:cs="Arial"/>
          <w:noProof/>
          <w:spacing w:val="-2"/>
          <w:sz w:val="20"/>
          <w:szCs w:val="20"/>
        </w:rPr>
        <w:t>Joel Hernández</w:t>
      </w:r>
      <w:r w:rsidRPr="0014757F">
        <w:rPr>
          <w:rFonts w:asciiTheme="majorHAnsi" w:hAnsiTheme="majorHAnsi"/>
          <w:sz w:val="20"/>
          <w:szCs w:val="20"/>
        </w:rPr>
        <w:t xml:space="preserve"> e Stuardo Ralón Orellana, membros da Comissão.</w:t>
      </w:r>
    </w:p>
    <w:p w14:paraId="5ED90FD2" w14:textId="77777777" w:rsidR="005F3908" w:rsidRDefault="005F3908" w:rsidP="006513C0">
      <w:pPr>
        <w:jc w:val="both"/>
        <w:rPr>
          <w:rFonts w:ascii="Cambria" w:hAnsi="Cambria" w:cs="BookAntiqua"/>
          <w:sz w:val="20"/>
          <w:szCs w:val="20"/>
        </w:rPr>
      </w:pPr>
      <w:r>
        <w:rPr>
          <w:rFonts w:ascii="Cambria" w:hAnsi="Cambria" w:cs="BookAntiqua"/>
          <w:sz w:val="20"/>
          <w:szCs w:val="20"/>
        </w:rPr>
        <w:tab/>
      </w:r>
    </w:p>
    <w:bookmarkEnd w:id="1"/>
    <w:p w14:paraId="392A494A" w14:textId="6A058112" w:rsidR="006513C0" w:rsidRDefault="006513C0" w:rsidP="006513C0">
      <w:pPr>
        <w:jc w:val="both"/>
        <w:rPr>
          <w:rFonts w:ascii="Cambria" w:hAnsi="Cambria" w:cs="BookAntiqua"/>
          <w:sz w:val="20"/>
          <w:szCs w:val="20"/>
        </w:rPr>
      </w:pPr>
    </w:p>
    <w:sectPr w:rsidR="006513C0"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16F60" w14:textId="77777777" w:rsidR="007F3E29" w:rsidRDefault="007F3E29">
      <w:r>
        <w:separator/>
      </w:r>
    </w:p>
  </w:endnote>
  <w:endnote w:type="continuationSeparator" w:id="0">
    <w:p w14:paraId="1AFA2EF9" w14:textId="77777777" w:rsidR="007F3E29" w:rsidRDefault="007F3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BookAntiqu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rPr>
      <w:id w:val="-1232081886"/>
      <w:docPartObj>
        <w:docPartGallery w:val="Page Numbers (Bottom of Page)"/>
        <w:docPartUnique/>
      </w:docPartObj>
    </w:sdtPr>
    <w:sdtEndPr>
      <w:rPr>
        <w:noProof/>
        <w:sz w:val="16"/>
        <w:szCs w:val="22"/>
      </w:rPr>
    </w:sdtEndPr>
    <w:sdtContent>
      <w:p w14:paraId="29E243E2" w14:textId="39F3337F" w:rsidR="0070697F" w:rsidRPr="00E82288" w:rsidRDefault="0070697F">
        <w:pPr>
          <w:pStyle w:val="Footer"/>
          <w:jc w:val="center"/>
          <w:rPr>
            <w:rFonts w:asciiTheme="majorHAnsi" w:hAnsiTheme="majorHAnsi"/>
            <w:sz w:val="16"/>
            <w:szCs w:val="22"/>
          </w:rPr>
        </w:pPr>
        <w:r w:rsidRPr="00E82288">
          <w:rPr>
            <w:rFonts w:asciiTheme="majorHAnsi" w:hAnsiTheme="majorHAnsi"/>
            <w:sz w:val="16"/>
            <w:szCs w:val="22"/>
          </w:rPr>
          <w:fldChar w:fldCharType="begin"/>
        </w:r>
        <w:r w:rsidRPr="00E82288">
          <w:rPr>
            <w:rFonts w:asciiTheme="majorHAnsi" w:hAnsiTheme="majorHAnsi"/>
            <w:sz w:val="16"/>
            <w:szCs w:val="22"/>
          </w:rPr>
          <w:instrText xml:space="preserve"> PAGE   \* MERGEFORMAT </w:instrText>
        </w:r>
        <w:r w:rsidRPr="00E82288">
          <w:rPr>
            <w:rFonts w:asciiTheme="majorHAnsi" w:hAnsiTheme="majorHAnsi"/>
            <w:sz w:val="16"/>
            <w:szCs w:val="22"/>
          </w:rPr>
          <w:fldChar w:fldCharType="separate"/>
        </w:r>
        <w:r w:rsidR="00550EBF">
          <w:rPr>
            <w:rFonts w:asciiTheme="majorHAnsi" w:hAnsiTheme="majorHAnsi"/>
            <w:noProof/>
            <w:sz w:val="16"/>
            <w:szCs w:val="22"/>
          </w:rPr>
          <w:t>4</w:t>
        </w:r>
        <w:r w:rsidRPr="00E82288">
          <w:rPr>
            <w:rFonts w:asciiTheme="majorHAnsi" w:hAnsiTheme="majorHAnsi"/>
            <w:noProof/>
            <w:sz w:val="16"/>
            <w:szCs w:val="22"/>
          </w:rPr>
          <w:fldChar w:fldCharType="end"/>
        </w:r>
      </w:p>
    </w:sdtContent>
  </w:sdt>
  <w:p w14:paraId="68530E6A" w14:textId="77777777" w:rsidR="0070697F" w:rsidRPr="00E82288" w:rsidRDefault="0070697F">
    <w:pPr>
      <w:pStyle w:val="Footer"/>
      <w:rPr>
        <w:rFonts w:asciiTheme="majorHAnsi" w:hAnsiTheme="maj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8A1CD" w14:textId="77777777" w:rsidR="007F3E29" w:rsidRPr="000F35ED" w:rsidRDefault="007F3E29">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9EA7FFC" w14:textId="77777777" w:rsidR="007F3E29" w:rsidRPr="000F35ED" w:rsidRDefault="007F3E29" w:rsidP="000F35ED">
      <w:pPr>
        <w:rPr>
          <w:rFonts w:asciiTheme="majorHAnsi" w:hAnsiTheme="majorHAnsi"/>
          <w:sz w:val="16"/>
          <w:szCs w:val="16"/>
        </w:rPr>
      </w:pPr>
      <w:r w:rsidRPr="000F35ED">
        <w:rPr>
          <w:rFonts w:asciiTheme="majorHAnsi" w:hAnsiTheme="majorHAnsi"/>
          <w:sz w:val="16"/>
          <w:szCs w:val="16"/>
        </w:rPr>
        <w:separator/>
      </w:r>
    </w:p>
    <w:p w14:paraId="043C9827" w14:textId="77777777" w:rsidR="007F3E29" w:rsidRPr="000F35ED" w:rsidRDefault="007F3E29"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2AB99252" w14:textId="77777777" w:rsidR="007F3E29" w:rsidRPr="000F35ED" w:rsidRDefault="007F3E29"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6C1BEFA" w14:textId="4E73BC75" w:rsidR="006513C0" w:rsidRPr="00B3147B" w:rsidRDefault="006513C0" w:rsidP="00B3147B">
      <w:pPr>
        <w:pStyle w:val="FootnoteText"/>
        <w:contextualSpacing/>
        <w:jc w:val="both"/>
        <w:rPr>
          <w:rFonts w:ascii="Cambria" w:hAnsi="Cambria"/>
          <w:sz w:val="16"/>
          <w:szCs w:val="16"/>
          <w:lang w:val="pt-BR"/>
        </w:rPr>
      </w:pPr>
      <w:r>
        <w:rPr>
          <w:rFonts w:ascii="Cambria" w:hAnsi="Cambria"/>
          <w:sz w:val="16"/>
          <w:szCs w:val="16"/>
          <w:lang w:val="pt-BR"/>
        </w:rPr>
        <w:tab/>
      </w:r>
      <w:r w:rsidRPr="00B3147B">
        <w:rPr>
          <w:rStyle w:val="FootnoteReference"/>
          <w:rFonts w:ascii="Cambria" w:hAnsi="Cambria"/>
          <w:sz w:val="16"/>
          <w:szCs w:val="16"/>
          <w:lang w:val="pt-BR"/>
        </w:rPr>
        <w:footnoteRef/>
      </w:r>
      <w:r w:rsidRPr="00B3147B">
        <w:rPr>
          <w:rFonts w:ascii="Cambria" w:hAnsi="Cambria"/>
          <w:sz w:val="16"/>
          <w:szCs w:val="16"/>
          <w:lang w:val="pt-BR"/>
        </w:rPr>
        <w:t xml:space="preserve"> Conforme disposto no artigo 17.2.a do Regulamento da Comissão, a Comissária Flávia Piovesan, de nacionalidade brasileira, não participou no debate nem na decisão do presente assunto.</w:t>
      </w:r>
    </w:p>
  </w:footnote>
  <w:footnote w:id="3">
    <w:p w14:paraId="19E30A09" w14:textId="4911A68D" w:rsidR="006513C0" w:rsidRPr="00B3147B" w:rsidRDefault="006513C0" w:rsidP="004C4E99">
      <w:pPr>
        <w:pStyle w:val="FootnoteText"/>
        <w:contextualSpacing/>
        <w:jc w:val="both"/>
        <w:rPr>
          <w:rFonts w:ascii="Cambria" w:hAnsi="Cambria"/>
          <w:sz w:val="16"/>
          <w:szCs w:val="16"/>
          <w:lang w:val="pt-BR"/>
        </w:rPr>
      </w:pPr>
      <w:r>
        <w:rPr>
          <w:rFonts w:ascii="Cambria" w:hAnsi="Cambria"/>
          <w:sz w:val="16"/>
          <w:szCs w:val="16"/>
          <w:lang w:val="pt-BR"/>
        </w:rPr>
        <w:tab/>
      </w:r>
      <w:r w:rsidRPr="00B3147B">
        <w:rPr>
          <w:rStyle w:val="FootnoteReference"/>
          <w:rFonts w:ascii="Cambria" w:hAnsi="Cambria"/>
          <w:sz w:val="16"/>
          <w:szCs w:val="16"/>
          <w:lang w:val="pt-BR"/>
        </w:rPr>
        <w:footnoteRef/>
      </w:r>
      <w:r w:rsidRPr="00B3147B">
        <w:rPr>
          <w:rFonts w:ascii="Cambria" w:hAnsi="Cambria"/>
          <w:sz w:val="16"/>
          <w:szCs w:val="16"/>
          <w:lang w:val="pt-BR"/>
        </w:rPr>
        <w:t xml:space="preserve"> </w:t>
      </w:r>
      <w:r w:rsidRPr="00B3147B">
        <w:rPr>
          <w:rFonts w:ascii="Cambria" w:hAnsi="Cambria"/>
          <w:sz w:val="16"/>
          <w:szCs w:val="16"/>
          <w:lang w:val="pt-BR"/>
        </w:rPr>
        <w:t xml:space="preserve">Adiante </w:t>
      </w:r>
      <w:r w:rsidRPr="00B3147B">
        <w:rPr>
          <w:rFonts w:ascii="Cambria" w:hAnsi="Cambria"/>
          <w:sz w:val="16"/>
          <w:szCs w:val="16"/>
          <w:lang w:val="pt-BR"/>
        </w:rPr>
        <w:t>“Convenção Americana” ou “Convenção”.</w:t>
      </w:r>
    </w:p>
  </w:footnote>
  <w:footnote w:id="4">
    <w:p w14:paraId="79F07139" w14:textId="452F4517" w:rsidR="008E3BFE" w:rsidRPr="00B3147B" w:rsidRDefault="005F3908" w:rsidP="00B3147B">
      <w:pPr>
        <w:pStyle w:val="FootnoteText"/>
        <w:contextualSpacing/>
        <w:jc w:val="both"/>
        <w:rPr>
          <w:rFonts w:ascii="Cambria" w:hAnsi="Cambria"/>
          <w:sz w:val="16"/>
          <w:szCs w:val="16"/>
          <w:lang w:val="pt-BR"/>
        </w:rPr>
      </w:pPr>
      <w:r>
        <w:rPr>
          <w:rFonts w:ascii="Cambria" w:hAnsi="Cambria"/>
          <w:sz w:val="16"/>
          <w:szCs w:val="16"/>
          <w:lang w:val="pt-BR"/>
        </w:rPr>
        <w:tab/>
      </w:r>
      <w:r w:rsidR="008E3BFE" w:rsidRPr="00B3147B">
        <w:rPr>
          <w:rStyle w:val="FootnoteReference"/>
          <w:rFonts w:ascii="Cambria" w:hAnsi="Cambria"/>
          <w:sz w:val="16"/>
          <w:szCs w:val="16"/>
          <w:lang w:val="pt-BR"/>
        </w:rPr>
        <w:footnoteRef/>
      </w:r>
      <w:r w:rsidR="008E3BFE" w:rsidRPr="00B3147B">
        <w:rPr>
          <w:rFonts w:ascii="Cambria" w:hAnsi="Cambria"/>
          <w:sz w:val="16"/>
          <w:szCs w:val="16"/>
          <w:lang w:val="pt-BR"/>
        </w:rPr>
        <w:t xml:space="preserve"> </w:t>
      </w:r>
      <w:r w:rsidR="00A53003" w:rsidRPr="00B3147B">
        <w:rPr>
          <w:rFonts w:ascii="Cambria" w:hAnsi="Cambria"/>
          <w:sz w:val="16"/>
          <w:szCs w:val="16"/>
          <w:lang w:val="pt-BR"/>
        </w:rPr>
        <w:t xml:space="preserve">As </w:t>
      </w:r>
      <w:r w:rsidR="00A53003" w:rsidRPr="00B3147B">
        <w:rPr>
          <w:rFonts w:ascii="Cambria" w:hAnsi="Cambria"/>
          <w:sz w:val="16"/>
          <w:szCs w:val="16"/>
          <w:lang w:val="pt-BR"/>
        </w:rPr>
        <w:t>observações de cada parte foram dev</w:t>
      </w:r>
      <w:r w:rsidR="008E3BFE" w:rsidRPr="00B3147B">
        <w:rPr>
          <w:rFonts w:ascii="Cambria" w:hAnsi="Cambria"/>
          <w:sz w:val="16"/>
          <w:szCs w:val="16"/>
          <w:lang w:val="pt-BR"/>
        </w:rPr>
        <w:t>idamente tra</w:t>
      </w:r>
      <w:r w:rsidR="00A53003" w:rsidRPr="00B3147B">
        <w:rPr>
          <w:rFonts w:ascii="Cambria" w:hAnsi="Cambria"/>
          <w:sz w:val="16"/>
          <w:szCs w:val="16"/>
          <w:lang w:val="pt-BR"/>
        </w:rPr>
        <w:t>n</w:t>
      </w:r>
      <w:r w:rsidR="008E3BFE" w:rsidRPr="00B3147B">
        <w:rPr>
          <w:rFonts w:ascii="Cambria" w:hAnsi="Cambria"/>
          <w:sz w:val="16"/>
          <w:szCs w:val="16"/>
          <w:lang w:val="pt-BR"/>
        </w:rPr>
        <w:t xml:space="preserve">sladadas </w:t>
      </w:r>
      <w:r w:rsidR="00A53003" w:rsidRPr="00B3147B">
        <w:rPr>
          <w:rFonts w:ascii="Cambria" w:hAnsi="Cambria"/>
          <w:sz w:val="16"/>
          <w:szCs w:val="16"/>
          <w:lang w:val="pt-BR"/>
        </w:rPr>
        <w:t>à parte contrá</w:t>
      </w:r>
      <w:r w:rsidR="008E3BFE" w:rsidRPr="00B3147B">
        <w:rPr>
          <w:rFonts w:ascii="Cambria" w:hAnsi="Cambria"/>
          <w:sz w:val="16"/>
          <w:szCs w:val="16"/>
          <w:lang w:val="pt-BR"/>
        </w:rPr>
        <w:t>ria.</w:t>
      </w:r>
    </w:p>
  </w:footnote>
  <w:footnote w:id="5">
    <w:p w14:paraId="349A0567" w14:textId="3959CF50" w:rsidR="00E46916" w:rsidRPr="004C26E0" w:rsidRDefault="005F3908" w:rsidP="00E46916">
      <w:pPr>
        <w:pStyle w:val="FootnoteText"/>
        <w:jc w:val="both"/>
        <w:rPr>
          <w:rFonts w:ascii="Cambria" w:hAnsi="Cambria"/>
          <w:sz w:val="16"/>
          <w:szCs w:val="16"/>
          <w:lang w:val="pt-BR"/>
        </w:rPr>
      </w:pPr>
      <w:r>
        <w:rPr>
          <w:rFonts w:ascii="Cambria" w:hAnsi="Cambria"/>
          <w:sz w:val="16"/>
          <w:szCs w:val="16"/>
          <w:lang w:val="pt-BR"/>
        </w:rPr>
        <w:tab/>
      </w:r>
      <w:r w:rsidR="00E46916" w:rsidRPr="006132CC">
        <w:rPr>
          <w:rStyle w:val="FootnoteReference"/>
          <w:rFonts w:ascii="Cambria" w:hAnsi="Cambria"/>
          <w:sz w:val="16"/>
          <w:szCs w:val="16"/>
        </w:rPr>
        <w:footnoteRef/>
      </w:r>
      <w:r w:rsidR="00E46916" w:rsidRPr="004C26E0">
        <w:rPr>
          <w:rFonts w:ascii="Cambria" w:hAnsi="Cambria"/>
          <w:sz w:val="16"/>
          <w:szCs w:val="16"/>
          <w:lang w:val="pt-BR"/>
        </w:rPr>
        <w:t xml:space="preserve"> </w:t>
      </w:r>
      <w:r w:rsidR="00E46916" w:rsidRPr="004C26E0">
        <w:rPr>
          <w:rFonts w:ascii="Cambria" w:hAnsi="Cambria"/>
          <w:sz w:val="16"/>
          <w:szCs w:val="16"/>
          <w:lang w:val="pt-BR"/>
        </w:rPr>
        <w:t xml:space="preserve">CIDH, </w:t>
      </w:r>
      <w:r w:rsidR="00560E0D" w:rsidRPr="004C26E0">
        <w:rPr>
          <w:rFonts w:ascii="Cambria" w:hAnsi="Cambria"/>
          <w:sz w:val="16"/>
          <w:szCs w:val="16"/>
          <w:lang w:val="pt-BR"/>
        </w:rPr>
        <w:t>Relatório</w:t>
      </w:r>
      <w:r w:rsidR="00E46916" w:rsidRPr="004C26E0">
        <w:rPr>
          <w:rFonts w:ascii="Cambria" w:hAnsi="Cambria"/>
          <w:sz w:val="16"/>
          <w:szCs w:val="16"/>
          <w:lang w:val="pt-BR"/>
        </w:rPr>
        <w:t xml:space="preserve"> No. 161/17, </w:t>
      </w:r>
      <w:r w:rsidR="00560E0D" w:rsidRPr="004C26E0">
        <w:rPr>
          <w:rFonts w:ascii="Cambria" w:hAnsi="Cambria"/>
          <w:sz w:val="16"/>
          <w:szCs w:val="16"/>
          <w:lang w:val="pt-BR"/>
        </w:rPr>
        <w:t>Petição</w:t>
      </w:r>
      <w:r w:rsidR="00E46916" w:rsidRPr="004C26E0">
        <w:rPr>
          <w:rFonts w:ascii="Cambria" w:hAnsi="Cambria"/>
          <w:sz w:val="16"/>
          <w:szCs w:val="16"/>
          <w:lang w:val="pt-BR"/>
        </w:rPr>
        <w:t xml:space="preserve"> 29-07. Admi</w:t>
      </w:r>
      <w:r w:rsidR="00084571">
        <w:rPr>
          <w:rFonts w:ascii="Cambria" w:hAnsi="Cambria"/>
          <w:sz w:val="16"/>
          <w:szCs w:val="16"/>
          <w:lang w:val="pt-BR"/>
        </w:rPr>
        <w:t>s</w:t>
      </w:r>
      <w:r w:rsidR="00E46916" w:rsidRPr="004C26E0">
        <w:rPr>
          <w:rFonts w:ascii="Cambria" w:hAnsi="Cambria"/>
          <w:sz w:val="16"/>
          <w:szCs w:val="16"/>
          <w:lang w:val="pt-BR"/>
        </w:rPr>
        <w:t>sibilidad</w:t>
      </w:r>
      <w:r w:rsidR="00560E0D" w:rsidRPr="004C26E0">
        <w:rPr>
          <w:rFonts w:ascii="Cambria" w:hAnsi="Cambria"/>
          <w:sz w:val="16"/>
          <w:szCs w:val="16"/>
          <w:lang w:val="pt-BR"/>
        </w:rPr>
        <w:t>e</w:t>
      </w:r>
      <w:r w:rsidR="00E46916" w:rsidRPr="004C26E0">
        <w:rPr>
          <w:rFonts w:ascii="Cambria" w:hAnsi="Cambria"/>
          <w:sz w:val="16"/>
          <w:szCs w:val="16"/>
          <w:lang w:val="pt-BR"/>
        </w:rPr>
        <w:t xml:space="preserve">. Andy Williams Garcés Suárez </w:t>
      </w:r>
      <w:r w:rsidR="00560E0D" w:rsidRPr="004C26E0">
        <w:rPr>
          <w:rFonts w:ascii="Cambria" w:hAnsi="Cambria"/>
          <w:sz w:val="16"/>
          <w:szCs w:val="16"/>
          <w:lang w:val="pt-BR"/>
        </w:rPr>
        <w:t>e família</w:t>
      </w:r>
      <w:r w:rsidR="00E46916" w:rsidRPr="004C26E0">
        <w:rPr>
          <w:rFonts w:ascii="Cambria" w:hAnsi="Cambria"/>
          <w:sz w:val="16"/>
          <w:szCs w:val="16"/>
          <w:lang w:val="pt-BR"/>
        </w:rPr>
        <w:t>. Per</w:t>
      </w:r>
      <w:r w:rsidR="00560E0D" w:rsidRPr="004C26E0">
        <w:rPr>
          <w:rFonts w:ascii="Cambria" w:hAnsi="Cambria"/>
          <w:sz w:val="16"/>
          <w:szCs w:val="16"/>
          <w:lang w:val="pt-BR"/>
        </w:rPr>
        <w:t>u</w:t>
      </w:r>
      <w:r w:rsidR="00E46916" w:rsidRPr="004C26E0">
        <w:rPr>
          <w:rFonts w:ascii="Cambria" w:hAnsi="Cambria"/>
          <w:sz w:val="16"/>
          <w:szCs w:val="16"/>
          <w:lang w:val="pt-BR"/>
        </w:rPr>
        <w:t>. 30 de nov</w:t>
      </w:r>
      <w:r w:rsidR="00560E0D" w:rsidRPr="004C26E0">
        <w:rPr>
          <w:rFonts w:ascii="Cambria" w:hAnsi="Cambria"/>
          <w:sz w:val="16"/>
          <w:szCs w:val="16"/>
          <w:lang w:val="pt-BR"/>
        </w:rPr>
        <w:t>e</w:t>
      </w:r>
      <w:r w:rsidR="00E46916" w:rsidRPr="004C26E0">
        <w:rPr>
          <w:rFonts w:ascii="Cambria" w:hAnsi="Cambria"/>
          <w:sz w:val="16"/>
          <w:szCs w:val="16"/>
          <w:lang w:val="pt-BR"/>
        </w:rPr>
        <w:t>mbr</w:t>
      </w:r>
      <w:r w:rsidR="00084571">
        <w:rPr>
          <w:rFonts w:ascii="Cambria" w:hAnsi="Cambria"/>
          <w:sz w:val="16"/>
          <w:szCs w:val="16"/>
          <w:lang w:val="pt-BR"/>
        </w:rPr>
        <w:t>o</w:t>
      </w:r>
      <w:r w:rsidR="00E46916" w:rsidRPr="004C26E0">
        <w:rPr>
          <w:rFonts w:ascii="Cambria" w:hAnsi="Cambria"/>
          <w:sz w:val="16"/>
          <w:szCs w:val="16"/>
          <w:lang w:val="pt-BR"/>
        </w:rPr>
        <w:t xml:space="preserve"> de 2017, p</w:t>
      </w:r>
      <w:r w:rsidR="00560E0D" w:rsidRPr="004C26E0">
        <w:rPr>
          <w:rFonts w:ascii="Cambria" w:hAnsi="Cambria"/>
          <w:sz w:val="16"/>
          <w:szCs w:val="16"/>
          <w:lang w:val="pt-BR"/>
        </w:rPr>
        <w:t>ar</w:t>
      </w:r>
      <w:r w:rsidR="00E46916" w:rsidRPr="004C26E0">
        <w:rPr>
          <w:rFonts w:ascii="Cambria" w:hAnsi="Cambria"/>
          <w:sz w:val="16"/>
          <w:szCs w:val="16"/>
          <w:lang w:val="pt-BR"/>
        </w:rPr>
        <w:t>. 12.</w:t>
      </w:r>
    </w:p>
  </w:footnote>
  <w:footnote w:id="6">
    <w:p w14:paraId="07AF7015" w14:textId="45730D80" w:rsidR="00560E0D" w:rsidRPr="004C26E0" w:rsidRDefault="005F3908">
      <w:pPr>
        <w:pStyle w:val="FootnoteText"/>
        <w:rPr>
          <w:rFonts w:ascii="Cambria" w:hAnsi="Cambria"/>
          <w:sz w:val="16"/>
          <w:szCs w:val="16"/>
          <w:lang w:val="pt-BR"/>
        </w:rPr>
      </w:pPr>
      <w:r>
        <w:rPr>
          <w:lang w:val="pt-BR"/>
        </w:rPr>
        <w:tab/>
      </w:r>
      <w:r w:rsidR="000D6826">
        <w:rPr>
          <w:rStyle w:val="FootnoteReference"/>
        </w:rPr>
        <w:footnoteRef/>
      </w:r>
      <w:r w:rsidR="000D6826" w:rsidRPr="00560E0D">
        <w:rPr>
          <w:lang w:val="pt-BR"/>
        </w:rPr>
        <w:t xml:space="preserve"> </w:t>
      </w:r>
      <w:r w:rsidR="00560E0D" w:rsidRPr="004C26E0">
        <w:rPr>
          <w:rFonts w:ascii="Cambria" w:hAnsi="Cambria"/>
          <w:sz w:val="16"/>
          <w:szCs w:val="16"/>
          <w:lang w:val="pt-BR"/>
        </w:rPr>
        <w:t xml:space="preserve">CIDH, </w:t>
      </w:r>
      <w:r w:rsidR="00560E0D" w:rsidRPr="004C26E0">
        <w:rPr>
          <w:rFonts w:ascii="Cambria" w:hAnsi="Cambria"/>
          <w:sz w:val="16"/>
          <w:szCs w:val="16"/>
          <w:lang w:val="pt-BR"/>
        </w:rPr>
        <w:t>Relatório No.227/19, Petição 1500-12. Admisibilidade. Charles Eduardo Macedo. Brasil. 31 de dezembro de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9B9CAEE">
          <wp:extent cx="1972237" cy="9861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2237" cy="98611"/>
                  </a:xfrm>
                  <a:prstGeom prst="rect">
                    <a:avLst/>
                  </a:prstGeom>
                  <a:noFill/>
                  <a:ln>
                    <a:noFill/>
                  </a:ln>
                </pic:spPr>
              </pic:pic>
            </a:graphicData>
          </a:graphic>
        </wp:inline>
      </w:drawing>
    </w:r>
  </w:p>
  <w:p w14:paraId="1CF3204D" w14:textId="77777777" w:rsidR="00040C3A" w:rsidRPr="00EC7D62" w:rsidRDefault="007F3E29" w:rsidP="00A50FCF">
    <w:pPr>
      <w:pStyle w:val="Header"/>
      <w:tabs>
        <w:tab w:val="clear" w:pos="4320"/>
        <w:tab w:val="clear" w:pos="8640"/>
      </w:tabs>
      <w:jc w:val="center"/>
      <w:rPr>
        <w:sz w:val="22"/>
        <w:szCs w:val="22"/>
      </w:rPr>
    </w:pPr>
    <w:r>
      <w:rPr>
        <w:noProof/>
        <w:sz w:val="22"/>
        <w:szCs w:val="22"/>
        <w:bdr w:val="nil"/>
      </w:rPr>
      <w:pict w14:anchorId="4367A34C">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174E786C"/>
    <w:lvl w:ilvl="0" w:tplc="A0F09354">
      <w:start w:val="1"/>
      <w:numFmt w:val="decimal"/>
      <w:lvlText w:val="%1."/>
      <w:lvlJc w:val="left"/>
      <w:pPr>
        <w:tabs>
          <w:tab w:val="num" w:pos="720"/>
        </w:tabs>
        <w:ind w:left="0" w:firstLine="720"/>
      </w:pPr>
      <w:rPr>
        <w:rFonts w:hint="default"/>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4241C9"/>
    <w:multiLevelType w:val="hybridMultilevel"/>
    <w:tmpl w:val="E61C5F12"/>
    <w:lvl w:ilvl="0" w:tplc="A0F09354">
      <w:start w:val="1"/>
      <w:numFmt w:val="decimal"/>
      <w:lvlText w:val="%1."/>
      <w:lvlJc w:val="left"/>
      <w:pPr>
        <w:tabs>
          <w:tab w:val="num" w:pos="720"/>
        </w:tabs>
        <w:ind w:left="0" w:firstLine="720"/>
      </w:pPr>
      <w:rPr>
        <w:rFonts w:hint="default"/>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7DA3600"/>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2"/>
  </w:num>
  <w:num w:numId="8">
    <w:abstractNumId w:val="23"/>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9"/>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1"/>
  </w:num>
  <w:num w:numId="55">
    <w:abstractNumId w:val="42"/>
  </w:num>
  <w:num w:numId="56">
    <w:abstractNumId w:val="48"/>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3"/>
  </w:num>
  <w:num w:numId="83">
    <w:abstractNumId w:val="44"/>
  </w:num>
  <w:num w:numId="84">
    <w:abstractNumId w:val="50"/>
  </w:num>
  <w:num w:numId="85">
    <w:abstractNumId w:val="53"/>
  </w:num>
  <w:num w:numId="86">
    <w:abstractNumId w:val="56"/>
  </w:num>
  <w:num w:numId="87">
    <w:abstractNumId w:val="58"/>
  </w:num>
  <w:num w:numId="88">
    <w:abstractNumId w:val="61"/>
  </w:num>
  <w:num w:numId="89">
    <w:abstractNumId w:val="63"/>
  </w:num>
  <w:num w:numId="90">
    <w:abstractNumId w:val="64"/>
  </w:num>
  <w:num w:numId="91">
    <w:abstractNumId w:val="65"/>
  </w:num>
  <w:num w:numId="92">
    <w:abstractNumId w:val="66"/>
  </w:num>
  <w:num w:numId="93">
    <w:abstractNumId w:val="68"/>
  </w:num>
  <w:num w:numId="94">
    <w:abstractNumId w:val="22"/>
  </w:num>
  <w:num w:numId="95">
    <w:abstractNumId w:val="45"/>
  </w:num>
  <w:num w:numId="96">
    <w:abstractNumId w:val="57"/>
  </w:num>
  <w:num w:numId="97">
    <w:abstractNumId w:val="54"/>
  </w:num>
  <w:num w:numId="98">
    <w:abstractNumId w:val="49"/>
  </w:num>
  <w:num w:numId="99">
    <w:abstractNumId w:val="39"/>
  </w:num>
  <w:num w:numId="100">
    <w:abstractNumId w:val="3"/>
  </w:num>
  <w:num w:numId="101">
    <w:abstractNumId w:val="27"/>
  </w:num>
  <w:num w:numId="102">
    <w:abstractNumId w:val="51"/>
  </w:num>
  <w:num w:numId="103">
    <w:abstractNumId w:val="6"/>
  </w:num>
  <w:num w:numId="104">
    <w:abstractNumId w:val="67"/>
  </w:num>
  <w:num w:numId="105">
    <w:abstractNumId w:val="55"/>
  </w:num>
  <w:num w:numId="106">
    <w:abstractNumId w:val="4"/>
  </w:num>
  <w:num w:numId="107">
    <w:abstractNumId w:val="31"/>
  </w:num>
  <w:num w:numId="108">
    <w:abstractNumId w:val="14"/>
  </w:num>
  <w:num w:numId="109">
    <w:abstractNumId w:val="47"/>
  </w:num>
  <w:num w:numId="110">
    <w:abstractNumId w:val="60"/>
  </w:num>
  <w:num w:numId="111">
    <w:abstractNumId w:val="4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c3NDYzNjM0M7YwNTZQ0lEKTi0uzszPAykwNK4FAE3omOctAAAA"/>
  </w:docVars>
  <w:rsids>
    <w:rsidRoot w:val="006B2D5C"/>
    <w:rsid w:val="0000036F"/>
    <w:rsid w:val="00000CDA"/>
    <w:rsid w:val="00006E1F"/>
    <w:rsid w:val="000070D7"/>
    <w:rsid w:val="0001788C"/>
    <w:rsid w:val="000337EF"/>
    <w:rsid w:val="00040C3A"/>
    <w:rsid w:val="000419AD"/>
    <w:rsid w:val="000433C9"/>
    <w:rsid w:val="000716C5"/>
    <w:rsid w:val="00075E23"/>
    <w:rsid w:val="00084571"/>
    <w:rsid w:val="0009344A"/>
    <w:rsid w:val="000A392E"/>
    <w:rsid w:val="000A575F"/>
    <w:rsid w:val="000D10DB"/>
    <w:rsid w:val="000D2174"/>
    <w:rsid w:val="000D6826"/>
    <w:rsid w:val="000E052E"/>
    <w:rsid w:val="000E5EB5"/>
    <w:rsid w:val="000E6BA8"/>
    <w:rsid w:val="000F35ED"/>
    <w:rsid w:val="00107131"/>
    <w:rsid w:val="0010736F"/>
    <w:rsid w:val="00113F73"/>
    <w:rsid w:val="00121CC2"/>
    <w:rsid w:val="001258DF"/>
    <w:rsid w:val="00126384"/>
    <w:rsid w:val="00127B79"/>
    <w:rsid w:val="0013356A"/>
    <w:rsid w:val="00133EE5"/>
    <w:rsid w:val="00167A34"/>
    <w:rsid w:val="001A12B0"/>
    <w:rsid w:val="001A7068"/>
    <w:rsid w:val="001A7870"/>
    <w:rsid w:val="001B3A00"/>
    <w:rsid w:val="001C1B41"/>
    <w:rsid w:val="001C67D9"/>
    <w:rsid w:val="001D65EF"/>
    <w:rsid w:val="001E3F08"/>
    <w:rsid w:val="001E49E7"/>
    <w:rsid w:val="001E7113"/>
    <w:rsid w:val="001F0BB5"/>
    <w:rsid w:val="001F7201"/>
    <w:rsid w:val="00222404"/>
    <w:rsid w:val="00223A29"/>
    <w:rsid w:val="002250A3"/>
    <w:rsid w:val="0022736D"/>
    <w:rsid w:val="00234561"/>
    <w:rsid w:val="00235217"/>
    <w:rsid w:val="00242EE5"/>
    <w:rsid w:val="00245406"/>
    <w:rsid w:val="00246D1F"/>
    <w:rsid w:val="00247403"/>
    <w:rsid w:val="00247542"/>
    <w:rsid w:val="00266B61"/>
    <w:rsid w:val="0026712A"/>
    <w:rsid w:val="002704DB"/>
    <w:rsid w:val="00273AD3"/>
    <w:rsid w:val="0027545C"/>
    <w:rsid w:val="00286EA3"/>
    <w:rsid w:val="002A0AAE"/>
    <w:rsid w:val="002A5820"/>
    <w:rsid w:val="002B7247"/>
    <w:rsid w:val="002C4B99"/>
    <w:rsid w:val="002D2B26"/>
    <w:rsid w:val="002D4ADF"/>
    <w:rsid w:val="002D4B4F"/>
    <w:rsid w:val="002D7EA2"/>
    <w:rsid w:val="002E187C"/>
    <w:rsid w:val="002E3D25"/>
    <w:rsid w:val="00302733"/>
    <w:rsid w:val="00304DE7"/>
    <w:rsid w:val="00311314"/>
    <w:rsid w:val="00314078"/>
    <w:rsid w:val="0031465A"/>
    <w:rsid w:val="0031535D"/>
    <w:rsid w:val="003239B8"/>
    <w:rsid w:val="0033169F"/>
    <w:rsid w:val="00334EAF"/>
    <w:rsid w:val="00343E90"/>
    <w:rsid w:val="00344977"/>
    <w:rsid w:val="00346C95"/>
    <w:rsid w:val="00356185"/>
    <w:rsid w:val="00360380"/>
    <w:rsid w:val="0037519E"/>
    <w:rsid w:val="0038072E"/>
    <w:rsid w:val="00386CF0"/>
    <w:rsid w:val="0038709A"/>
    <w:rsid w:val="00387ADC"/>
    <w:rsid w:val="003911A2"/>
    <w:rsid w:val="003B0F0F"/>
    <w:rsid w:val="003B4B47"/>
    <w:rsid w:val="003B686B"/>
    <w:rsid w:val="003B70FB"/>
    <w:rsid w:val="003C0907"/>
    <w:rsid w:val="003C2955"/>
    <w:rsid w:val="003C676B"/>
    <w:rsid w:val="003D3BC2"/>
    <w:rsid w:val="003D56D2"/>
    <w:rsid w:val="003E6CA1"/>
    <w:rsid w:val="003F270E"/>
    <w:rsid w:val="00400A8D"/>
    <w:rsid w:val="004053A9"/>
    <w:rsid w:val="004065A8"/>
    <w:rsid w:val="004107C1"/>
    <w:rsid w:val="004165C2"/>
    <w:rsid w:val="00431789"/>
    <w:rsid w:val="00431847"/>
    <w:rsid w:val="00441ECB"/>
    <w:rsid w:val="00445193"/>
    <w:rsid w:val="00462C1B"/>
    <w:rsid w:val="00466F47"/>
    <w:rsid w:val="00467B7E"/>
    <w:rsid w:val="00473BB4"/>
    <w:rsid w:val="00477592"/>
    <w:rsid w:val="00486F1C"/>
    <w:rsid w:val="0049329D"/>
    <w:rsid w:val="0049419D"/>
    <w:rsid w:val="004949D2"/>
    <w:rsid w:val="004A6A54"/>
    <w:rsid w:val="004B1D1E"/>
    <w:rsid w:val="004C20D2"/>
    <w:rsid w:val="004C2312"/>
    <w:rsid w:val="004C26E0"/>
    <w:rsid w:val="004C4B62"/>
    <w:rsid w:val="004C4E99"/>
    <w:rsid w:val="004C54C9"/>
    <w:rsid w:val="004D4ABA"/>
    <w:rsid w:val="004D6025"/>
    <w:rsid w:val="004E2649"/>
    <w:rsid w:val="00501399"/>
    <w:rsid w:val="00503E37"/>
    <w:rsid w:val="0050633D"/>
    <w:rsid w:val="00507BC4"/>
    <w:rsid w:val="005128E4"/>
    <w:rsid w:val="005133DB"/>
    <w:rsid w:val="00516462"/>
    <w:rsid w:val="00525560"/>
    <w:rsid w:val="00544C49"/>
    <w:rsid w:val="00550EBF"/>
    <w:rsid w:val="005516A1"/>
    <w:rsid w:val="00554157"/>
    <w:rsid w:val="00554D0C"/>
    <w:rsid w:val="00560E0D"/>
    <w:rsid w:val="00563557"/>
    <w:rsid w:val="0057402A"/>
    <w:rsid w:val="005771D0"/>
    <w:rsid w:val="0059191A"/>
    <w:rsid w:val="005921FF"/>
    <w:rsid w:val="00594EC1"/>
    <w:rsid w:val="005A24ED"/>
    <w:rsid w:val="005A6D0E"/>
    <w:rsid w:val="005A7DCB"/>
    <w:rsid w:val="005B13F2"/>
    <w:rsid w:val="005B52B0"/>
    <w:rsid w:val="005B6806"/>
    <w:rsid w:val="005C4225"/>
    <w:rsid w:val="005E2852"/>
    <w:rsid w:val="005E6941"/>
    <w:rsid w:val="005F0A42"/>
    <w:rsid w:val="005F0DAD"/>
    <w:rsid w:val="005F0F33"/>
    <w:rsid w:val="005F3908"/>
    <w:rsid w:val="005F64F0"/>
    <w:rsid w:val="00600DEB"/>
    <w:rsid w:val="0060438F"/>
    <w:rsid w:val="006071A4"/>
    <w:rsid w:val="00613C6B"/>
    <w:rsid w:val="00622A03"/>
    <w:rsid w:val="00627C9F"/>
    <w:rsid w:val="006302B6"/>
    <w:rsid w:val="006311E9"/>
    <w:rsid w:val="00632354"/>
    <w:rsid w:val="00636883"/>
    <w:rsid w:val="00642810"/>
    <w:rsid w:val="0064365C"/>
    <w:rsid w:val="006513C0"/>
    <w:rsid w:val="00652333"/>
    <w:rsid w:val="0065540B"/>
    <w:rsid w:val="00670CA0"/>
    <w:rsid w:val="0067419C"/>
    <w:rsid w:val="0068009E"/>
    <w:rsid w:val="00686832"/>
    <w:rsid w:val="00692219"/>
    <w:rsid w:val="006A17D2"/>
    <w:rsid w:val="006A20E7"/>
    <w:rsid w:val="006A4231"/>
    <w:rsid w:val="006A5EF3"/>
    <w:rsid w:val="006A73E6"/>
    <w:rsid w:val="006B2D5C"/>
    <w:rsid w:val="006B5EE6"/>
    <w:rsid w:val="006C4EB1"/>
    <w:rsid w:val="006C6A60"/>
    <w:rsid w:val="006D1BFA"/>
    <w:rsid w:val="006D2D3C"/>
    <w:rsid w:val="006E0166"/>
    <w:rsid w:val="006E2CE6"/>
    <w:rsid w:val="006E7B34"/>
    <w:rsid w:val="0070697F"/>
    <w:rsid w:val="0072199C"/>
    <w:rsid w:val="00722C9F"/>
    <w:rsid w:val="007253B8"/>
    <w:rsid w:val="0073741F"/>
    <w:rsid w:val="00755B7E"/>
    <w:rsid w:val="0076643F"/>
    <w:rsid w:val="007665A8"/>
    <w:rsid w:val="00773147"/>
    <w:rsid w:val="00777F63"/>
    <w:rsid w:val="00784D0A"/>
    <w:rsid w:val="00786537"/>
    <w:rsid w:val="007A209F"/>
    <w:rsid w:val="007A5817"/>
    <w:rsid w:val="007A5F30"/>
    <w:rsid w:val="007B05C4"/>
    <w:rsid w:val="007B60E9"/>
    <w:rsid w:val="007B6CC3"/>
    <w:rsid w:val="007B7547"/>
    <w:rsid w:val="007B76D3"/>
    <w:rsid w:val="007C3334"/>
    <w:rsid w:val="007D0BF8"/>
    <w:rsid w:val="007D2B98"/>
    <w:rsid w:val="007E21BC"/>
    <w:rsid w:val="007E7C82"/>
    <w:rsid w:val="007F3E29"/>
    <w:rsid w:val="007F588D"/>
    <w:rsid w:val="00802B53"/>
    <w:rsid w:val="00803F1C"/>
    <w:rsid w:val="0080600E"/>
    <w:rsid w:val="008100B5"/>
    <w:rsid w:val="00817612"/>
    <w:rsid w:val="00832C2F"/>
    <w:rsid w:val="008338A4"/>
    <w:rsid w:val="00834D49"/>
    <w:rsid w:val="00837C45"/>
    <w:rsid w:val="00844730"/>
    <w:rsid w:val="008457C2"/>
    <w:rsid w:val="00856324"/>
    <w:rsid w:val="00857A82"/>
    <w:rsid w:val="00873836"/>
    <w:rsid w:val="00885737"/>
    <w:rsid w:val="00887F13"/>
    <w:rsid w:val="00890650"/>
    <w:rsid w:val="00897E12"/>
    <w:rsid w:val="008A7E0F"/>
    <w:rsid w:val="008B12F5"/>
    <w:rsid w:val="008B38C7"/>
    <w:rsid w:val="008D768D"/>
    <w:rsid w:val="008E2EC9"/>
    <w:rsid w:val="008E3759"/>
    <w:rsid w:val="008E3BFE"/>
    <w:rsid w:val="008F1912"/>
    <w:rsid w:val="0090270B"/>
    <w:rsid w:val="009041DC"/>
    <w:rsid w:val="00917B5A"/>
    <w:rsid w:val="00920A58"/>
    <w:rsid w:val="00920A8C"/>
    <w:rsid w:val="0092580E"/>
    <w:rsid w:val="00934A2C"/>
    <w:rsid w:val="00941503"/>
    <w:rsid w:val="009448DE"/>
    <w:rsid w:val="00951C77"/>
    <w:rsid w:val="0096706E"/>
    <w:rsid w:val="00974491"/>
    <w:rsid w:val="00975C4E"/>
    <w:rsid w:val="0098062B"/>
    <w:rsid w:val="00981FBA"/>
    <w:rsid w:val="00997BC5"/>
    <w:rsid w:val="009A31C9"/>
    <w:rsid w:val="009A4F41"/>
    <w:rsid w:val="009A7689"/>
    <w:rsid w:val="009B381B"/>
    <w:rsid w:val="009D1753"/>
    <w:rsid w:val="009D7611"/>
    <w:rsid w:val="009E0B61"/>
    <w:rsid w:val="009E32B3"/>
    <w:rsid w:val="009E53DE"/>
    <w:rsid w:val="009F41C7"/>
    <w:rsid w:val="00A04D78"/>
    <w:rsid w:val="00A101AB"/>
    <w:rsid w:val="00A11212"/>
    <w:rsid w:val="00A11E44"/>
    <w:rsid w:val="00A12802"/>
    <w:rsid w:val="00A15FEB"/>
    <w:rsid w:val="00A17913"/>
    <w:rsid w:val="00A30A58"/>
    <w:rsid w:val="00A328B3"/>
    <w:rsid w:val="00A37F2E"/>
    <w:rsid w:val="00A4470E"/>
    <w:rsid w:val="00A50FCF"/>
    <w:rsid w:val="00A528D1"/>
    <w:rsid w:val="00A53003"/>
    <w:rsid w:val="00A610CD"/>
    <w:rsid w:val="00A66BAB"/>
    <w:rsid w:val="00A710D9"/>
    <w:rsid w:val="00A758AA"/>
    <w:rsid w:val="00A75CC3"/>
    <w:rsid w:val="00AA09A2"/>
    <w:rsid w:val="00AA7996"/>
    <w:rsid w:val="00AA7F34"/>
    <w:rsid w:val="00AB0171"/>
    <w:rsid w:val="00AB3EB4"/>
    <w:rsid w:val="00AC19CB"/>
    <w:rsid w:val="00AE5488"/>
    <w:rsid w:val="00AE6F91"/>
    <w:rsid w:val="00AF5571"/>
    <w:rsid w:val="00AF713C"/>
    <w:rsid w:val="00B008C9"/>
    <w:rsid w:val="00B0258F"/>
    <w:rsid w:val="00B07341"/>
    <w:rsid w:val="00B26CCA"/>
    <w:rsid w:val="00B30539"/>
    <w:rsid w:val="00B3147B"/>
    <w:rsid w:val="00B314DB"/>
    <w:rsid w:val="00B361F2"/>
    <w:rsid w:val="00B3718B"/>
    <w:rsid w:val="00B445AC"/>
    <w:rsid w:val="00B4632A"/>
    <w:rsid w:val="00B51266"/>
    <w:rsid w:val="00B51650"/>
    <w:rsid w:val="00B530F1"/>
    <w:rsid w:val="00B87A18"/>
    <w:rsid w:val="00B901B1"/>
    <w:rsid w:val="00B921FD"/>
    <w:rsid w:val="00BA276C"/>
    <w:rsid w:val="00BB306F"/>
    <w:rsid w:val="00BC12A3"/>
    <w:rsid w:val="00BD0ABC"/>
    <w:rsid w:val="00BD2518"/>
    <w:rsid w:val="00BD4A74"/>
    <w:rsid w:val="00BD4B89"/>
    <w:rsid w:val="00BD5922"/>
    <w:rsid w:val="00BE25DE"/>
    <w:rsid w:val="00BF02CB"/>
    <w:rsid w:val="00BF6FD8"/>
    <w:rsid w:val="00BF7847"/>
    <w:rsid w:val="00C03680"/>
    <w:rsid w:val="00C049B8"/>
    <w:rsid w:val="00C054DF"/>
    <w:rsid w:val="00C06275"/>
    <w:rsid w:val="00C10EC3"/>
    <w:rsid w:val="00C14781"/>
    <w:rsid w:val="00C21762"/>
    <w:rsid w:val="00C21FEF"/>
    <w:rsid w:val="00C24543"/>
    <w:rsid w:val="00C256A2"/>
    <w:rsid w:val="00C44969"/>
    <w:rsid w:val="00C46878"/>
    <w:rsid w:val="00C51515"/>
    <w:rsid w:val="00C5660B"/>
    <w:rsid w:val="00C61FA9"/>
    <w:rsid w:val="00C66B72"/>
    <w:rsid w:val="00C7574A"/>
    <w:rsid w:val="00C87AC4"/>
    <w:rsid w:val="00C9567A"/>
    <w:rsid w:val="00CB212D"/>
    <w:rsid w:val="00CB2660"/>
    <w:rsid w:val="00CB471B"/>
    <w:rsid w:val="00CC5E90"/>
    <w:rsid w:val="00CD046C"/>
    <w:rsid w:val="00CD455E"/>
    <w:rsid w:val="00CE076C"/>
    <w:rsid w:val="00CE22E8"/>
    <w:rsid w:val="00CE2826"/>
    <w:rsid w:val="00CE5199"/>
    <w:rsid w:val="00CE66D5"/>
    <w:rsid w:val="00CF459A"/>
    <w:rsid w:val="00CF637A"/>
    <w:rsid w:val="00D059DE"/>
    <w:rsid w:val="00D05ABD"/>
    <w:rsid w:val="00D11665"/>
    <w:rsid w:val="00D13FCE"/>
    <w:rsid w:val="00D21316"/>
    <w:rsid w:val="00D23F09"/>
    <w:rsid w:val="00D268B9"/>
    <w:rsid w:val="00D306D1"/>
    <w:rsid w:val="00D30800"/>
    <w:rsid w:val="00D3186C"/>
    <w:rsid w:val="00D33B39"/>
    <w:rsid w:val="00D34786"/>
    <w:rsid w:val="00D358AF"/>
    <w:rsid w:val="00D36B32"/>
    <w:rsid w:val="00D37BFC"/>
    <w:rsid w:val="00D47A8E"/>
    <w:rsid w:val="00D52D14"/>
    <w:rsid w:val="00D712D3"/>
    <w:rsid w:val="00D71422"/>
    <w:rsid w:val="00D72DC6"/>
    <w:rsid w:val="00D7558D"/>
    <w:rsid w:val="00D81D92"/>
    <w:rsid w:val="00D876F9"/>
    <w:rsid w:val="00D91429"/>
    <w:rsid w:val="00D92116"/>
    <w:rsid w:val="00DA2224"/>
    <w:rsid w:val="00DA4197"/>
    <w:rsid w:val="00DA7B5F"/>
    <w:rsid w:val="00DB1F50"/>
    <w:rsid w:val="00DC11E7"/>
    <w:rsid w:val="00DC7023"/>
    <w:rsid w:val="00DC769A"/>
    <w:rsid w:val="00DD3344"/>
    <w:rsid w:val="00DD3D86"/>
    <w:rsid w:val="00DD4AD2"/>
    <w:rsid w:val="00DF1EC4"/>
    <w:rsid w:val="00E0340B"/>
    <w:rsid w:val="00E04A90"/>
    <w:rsid w:val="00E0551F"/>
    <w:rsid w:val="00E066AD"/>
    <w:rsid w:val="00E10473"/>
    <w:rsid w:val="00E219C7"/>
    <w:rsid w:val="00E4118C"/>
    <w:rsid w:val="00E43157"/>
    <w:rsid w:val="00E446AD"/>
    <w:rsid w:val="00E44B04"/>
    <w:rsid w:val="00E461CE"/>
    <w:rsid w:val="00E46916"/>
    <w:rsid w:val="00E720CA"/>
    <w:rsid w:val="00E759FB"/>
    <w:rsid w:val="00E82288"/>
    <w:rsid w:val="00E84EB5"/>
    <w:rsid w:val="00E85662"/>
    <w:rsid w:val="00E8778F"/>
    <w:rsid w:val="00E8789F"/>
    <w:rsid w:val="00E97B71"/>
    <w:rsid w:val="00EA3D34"/>
    <w:rsid w:val="00EB454D"/>
    <w:rsid w:val="00EC3813"/>
    <w:rsid w:val="00ED38BC"/>
    <w:rsid w:val="00ED549D"/>
    <w:rsid w:val="00ED76BE"/>
    <w:rsid w:val="00EE00E9"/>
    <w:rsid w:val="00EE05B9"/>
    <w:rsid w:val="00EF1492"/>
    <w:rsid w:val="00EF2D89"/>
    <w:rsid w:val="00EF619B"/>
    <w:rsid w:val="00F00B55"/>
    <w:rsid w:val="00F02AD1"/>
    <w:rsid w:val="00F23F87"/>
    <w:rsid w:val="00F253CC"/>
    <w:rsid w:val="00F3108B"/>
    <w:rsid w:val="00F37106"/>
    <w:rsid w:val="00F519CF"/>
    <w:rsid w:val="00F54E03"/>
    <w:rsid w:val="00F56BA5"/>
    <w:rsid w:val="00F60E22"/>
    <w:rsid w:val="00F81395"/>
    <w:rsid w:val="00F81BB8"/>
    <w:rsid w:val="00F848D5"/>
    <w:rsid w:val="00F916B8"/>
    <w:rsid w:val="00F917D1"/>
    <w:rsid w:val="00F9653B"/>
    <w:rsid w:val="00FB38DE"/>
    <w:rsid w:val="00FB62CF"/>
    <w:rsid w:val="00FD3C3B"/>
    <w:rsid w:val="00FD6757"/>
    <w:rsid w:val="00FE07DD"/>
    <w:rsid w:val="00FE2F8A"/>
    <w:rsid w:val="00FE6B45"/>
    <w:rsid w:val="00FF55F3"/>
    <w:rsid w:val="00FF5851"/>
    <w:rsid w:val="00FF7024"/>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19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pt-BR" w:eastAsia="pt-BR"/>
    </w:rPr>
  </w:style>
  <w:style w:type="paragraph" w:styleId="Heading1">
    <w:name w:val="heading 1"/>
    <w:basedOn w:val="Normal"/>
    <w:next w:val="Normal"/>
    <w:link w:val="Heading1Char"/>
    <w:uiPriority w:val="9"/>
    <w:qFormat/>
    <w:rsid w:val="00D81D92"/>
    <w:pPr>
      <w:keepNext/>
      <w:keepLines/>
      <w:numPr>
        <w:numId w:val="96"/>
      </w:numPr>
      <w:pBdr>
        <w:top w:val="nil"/>
        <w:left w:val="nil"/>
        <w:bottom w:val="nil"/>
        <w:right w:val="nil"/>
        <w:between w:val="nil"/>
        <w:bar w:val="nil"/>
      </w:pBdr>
      <w:spacing w:before="480"/>
      <w:outlineLvl w:val="0"/>
    </w:pPr>
    <w:rPr>
      <w:rFonts w:asciiTheme="majorHAnsi" w:eastAsiaTheme="majorEastAsia" w:hAnsiTheme="majorHAnsi" w:cstheme="majorBidi"/>
      <w:b/>
      <w:bCs/>
      <w:color w:val="365F91" w:themeColor="accent1" w:themeShade="BF"/>
      <w:sz w:val="28"/>
      <w:szCs w:val="28"/>
      <w:bdr w:val="nil"/>
      <w:lang w:val="en-US" w:eastAsia="en-US"/>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lang w:val="en-US" w:eastAsia="en-US"/>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pPr>
      <w:pBdr>
        <w:top w:val="nil"/>
        <w:left w:val="nil"/>
        <w:bottom w:val="nil"/>
        <w:right w:val="nil"/>
        <w:between w:val="nil"/>
        <w:bar w:val="nil"/>
      </w:pBdr>
    </w:pPr>
    <w:rPr>
      <w:rFonts w:ascii="Tahoma" w:eastAsia="Arial Unicode MS" w:hAnsi="Tahoma" w:cs="Tahoma"/>
      <w:sz w:val="16"/>
      <w:szCs w:val="16"/>
      <w:bdr w:val="nil"/>
      <w:lang w:val="en-US" w:eastAsia="en-US"/>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lang w:val="en-US" w:eastAsia="en-U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pBdr>
        <w:top w:val="nil"/>
        <w:left w:val="nil"/>
        <w:bottom w:val="nil"/>
        <w:right w:val="nil"/>
        <w:between w:val="nil"/>
        <w:bar w:val="nil"/>
      </w:pBdr>
      <w:tabs>
        <w:tab w:val="left" w:pos="1440"/>
        <w:tab w:val="right" w:leader="dot" w:pos="9350"/>
      </w:tabs>
      <w:spacing w:after="100"/>
      <w:ind w:left="1440" w:hanging="720"/>
    </w:pPr>
    <w:rPr>
      <w:rFonts w:eastAsia="Arial Unicode MS"/>
      <w:bdr w:val="nil"/>
      <w:lang w:val="en-US" w:eastAsia="en-US"/>
    </w:rPr>
  </w:style>
  <w:style w:type="paragraph" w:styleId="TOC1">
    <w:name w:val="toc 1"/>
    <w:basedOn w:val="Normal"/>
    <w:next w:val="Normal"/>
    <w:autoRedefine/>
    <w:uiPriority w:val="39"/>
    <w:unhideWhenUsed/>
    <w:rsid w:val="005C4225"/>
    <w:pPr>
      <w:pBdr>
        <w:top w:val="nil"/>
        <w:left w:val="nil"/>
        <w:bottom w:val="nil"/>
        <w:right w:val="nil"/>
        <w:between w:val="nil"/>
        <w:bar w:val="nil"/>
      </w:pBdr>
      <w:spacing w:after="100"/>
    </w:pPr>
    <w:rPr>
      <w:rFonts w:asciiTheme="minorHAnsi" w:eastAsia="Arial Unicode MS" w:hAnsiTheme="minorHAnsi"/>
      <w:sz w:val="22"/>
      <w:bdr w:val="nil"/>
      <w:lang w:val="en-US" w:eastAsia="en-US"/>
    </w:rPr>
  </w:style>
  <w:style w:type="paragraph" w:styleId="TOC3">
    <w:name w:val="toc 3"/>
    <w:basedOn w:val="Normal"/>
    <w:next w:val="Normal"/>
    <w:autoRedefine/>
    <w:uiPriority w:val="39"/>
    <w:unhideWhenUsed/>
    <w:rsid w:val="005C4225"/>
    <w:pPr>
      <w:pBdr>
        <w:top w:val="nil"/>
        <w:left w:val="nil"/>
        <w:bottom w:val="nil"/>
        <w:right w:val="nil"/>
        <w:between w:val="nil"/>
        <w:bar w:val="nil"/>
      </w:pBdr>
      <w:tabs>
        <w:tab w:val="left" w:pos="880"/>
        <w:tab w:val="right" w:leader="dot" w:pos="9350"/>
      </w:tabs>
      <w:spacing w:after="100"/>
      <w:ind w:left="2160" w:hanging="720"/>
    </w:pPr>
    <w:rPr>
      <w:rFonts w:eastAsia="Arial Unicode MS"/>
      <w:bdr w:val="nil"/>
      <w:lang w:val="en-US" w:eastAsia="en-US"/>
    </w:rPr>
  </w:style>
  <w:style w:type="paragraph" w:styleId="TOC4">
    <w:name w:val="toc 4"/>
    <w:basedOn w:val="Normal"/>
    <w:next w:val="Normal"/>
    <w:autoRedefine/>
    <w:uiPriority w:val="39"/>
    <w:unhideWhenUsed/>
    <w:rsid w:val="005C4225"/>
    <w:pPr>
      <w:pBdr>
        <w:top w:val="nil"/>
        <w:left w:val="nil"/>
        <w:bottom w:val="nil"/>
        <w:right w:val="nil"/>
        <w:between w:val="nil"/>
        <w:bar w:val="nil"/>
      </w:pBdr>
      <w:spacing w:after="100"/>
      <w:ind w:left="720"/>
    </w:pPr>
    <w:rPr>
      <w:rFonts w:eastAsia="Arial Unicode MS"/>
      <w:bdr w:val="nil"/>
      <w:lang w:val="en-US" w:eastAsia="en-US"/>
    </w:r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pBdr>
        <w:top w:val="nil"/>
        <w:left w:val="nil"/>
        <w:bottom w:val="nil"/>
        <w:right w:val="nil"/>
        <w:between w:val="nil"/>
        <w:bar w:val="nil"/>
      </w:pBdr>
      <w:spacing w:after="120" w:line="480" w:lineRule="auto"/>
      <w:ind w:left="360"/>
    </w:pPr>
    <w:rPr>
      <w:rFonts w:eastAsia="Arial Unicode MS"/>
      <w:bdr w:val="nil"/>
      <w:lang w:val="en-US" w:eastAsia="en-US"/>
    </w:r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pBdr>
        <w:top w:val="nil"/>
        <w:left w:val="nil"/>
        <w:bottom w:val="nil"/>
        <w:right w:val="nil"/>
        <w:between w:val="nil"/>
        <w:bar w:val="nil"/>
      </w:pBdr>
      <w:spacing w:after="120"/>
    </w:pPr>
    <w:rPr>
      <w:rFonts w:eastAsia="Arial Unicode MS"/>
      <w:bdr w:val="nil"/>
      <w:lang w:val="en-US" w:eastAsia="en-US"/>
    </w:r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rPr>
      <w:lang w:val="en-US" w:eastAsia="en-US"/>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1465A"/>
    <w:rPr>
      <w:i/>
      <w:iCs/>
    </w:rPr>
  </w:style>
  <w:style w:type="character" w:styleId="CommentReference">
    <w:name w:val="annotation reference"/>
    <w:basedOn w:val="DefaultParagraphFont"/>
    <w:uiPriority w:val="99"/>
    <w:semiHidden/>
    <w:unhideWhenUsed/>
    <w:rsid w:val="003C0907"/>
    <w:rPr>
      <w:sz w:val="16"/>
      <w:szCs w:val="16"/>
    </w:rPr>
  </w:style>
  <w:style w:type="paragraph" w:styleId="CommentText">
    <w:name w:val="annotation text"/>
    <w:basedOn w:val="Normal"/>
    <w:link w:val="CommentTextChar"/>
    <w:uiPriority w:val="99"/>
    <w:semiHidden/>
    <w:unhideWhenUsed/>
    <w:rsid w:val="003C0907"/>
    <w:pPr>
      <w:pBdr>
        <w:top w:val="nil"/>
        <w:left w:val="nil"/>
        <w:bottom w:val="nil"/>
        <w:right w:val="nil"/>
        <w:between w:val="nil"/>
        <w:bar w:val="nil"/>
      </w:pBdr>
    </w:pPr>
    <w:rPr>
      <w:rFonts w:eastAsia="Arial Unicode MS"/>
      <w:sz w:val="20"/>
      <w:szCs w:val="20"/>
      <w:bdr w:val="nil"/>
      <w:lang w:val="en-US" w:eastAsia="en-US"/>
    </w:rPr>
  </w:style>
  <w:style w:type="character" w:customStyle="1" w:styleId="CommentTextChar">
    <w:name w:val="Comment Text Char"/>
    <w:basedOn w:val="DefaultParagraphFont"/>
    <w:link w:val="CommentText"/>
    <w:uiPriority w:val="99"/>
    <w:semiHidden/>
    <w:rsid w:val="003C0907"/>
    <w:rPr>
      <w:lang w:val="en-US" w:eastAsia="en-US"/>
    </w:rPr>
  </w:style>
  <w:style w:type="paragraph" w:styleId="CommentSubject">
    <w:name w:val="annotation subject"/>
    <w:basedOn w:val="CommentText"/>
    <w:next w:val="CommentText"/>
    <w:link w:val="CommentSubjectChar"/>
    <w:uiPriority w:val="99"/>
    <w:semiHidden/>
    <w:unhideWhenUsed/>
    <w:rsid w:val="003C0907"/>
    <w:rPr>
      <w:b/>
      <w:bCs/>
    </w:rPr>
  </w:style>
  <w:style w:type="character" w:customStyle="1" w:styleId="CommentSubjectChar">
    <w:name w:val="Comment Subject Char"/>
    <w:basedOn w:val="CommentTextChar"/>
    <w:link w:val="CommentSubject"/>
    <w:uiPriority w:val="99"/>
    <w:semiHidden/>
    <w:rsid w:val="003C0907"/>
    <w:rPr>
      <w:b/>
      <w:bCs/>
      <w:lang w:val="en-US" w:eastAsia="en-US"/>
    </w:rPr>
  </w:style>
  <w:style w:type="paragraph" w:styleId="Revision">
    <w:name w:val="Revision"/>
    <w:hidden/>
    <w:uiPriority w:val="99"/>
    <w:semiHidden/>
    <w:rsid w:val="003C090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NormalWeb">
    <w:name w:val="Normal (Web)"/>
    <w:basedOn w:val="Normal"/>
    <w:uiPriority w:val="99"/>
    <w:unhideWhenUsed/>
    <w:rsid w:val="00B3147B"/>
    <w:pPr>
      <w:spacing w:before="100" w:beforeAutospacing="1" w:after="100" w:afterAutospacing="1"/>
    </w:pPr>
  </w:style>
  <w:style w:type="character" w:customStyle="1" w:styleId="apple-converted-space">
    <w:name w:val="apple-converted-space"/>
    <w:basedOn w:val="DefaultParagraphFont"/>
    <w:rsid w:val="00B3147B"/>
  </w:style>
  <w:style w:type="character" w:styleId="FollowedHyperlink">
    <w:name w:val="FollowedHyperlink"/>
    <w:basedOn w:val="DefaultParagraphFont"/>
    <w:uiPriority w:val="99"/>
    <w:semiHidden/>
    <w:unhideWhenUsed/>
    <w:rsid w:val="00B3147B"/>
    <w:rPr>
      <w:color w:val="800080" w:themeColor="followedHyperlink"/>
      <w:u w:val="single"/>
    </w:rPr>
  </w:style>
  <w:style w:type="character" w:styleId="Strong">
    <w:name w:val="Strong"/>
    <w:basedOn w:val="DefaultParagraphFont"/>
    <w:uiPriority w:val="22"/>
    <w:qFormat/>
    <w:rsid w:val="006741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55358">
      <w:bodyDiv w:val="1"/>
      <w:marLeft w:val="0"/>
      <w:marRight w:val="0"/>
      <w:marTop w:val="0"/>
      <w:marBottom w:val="0"/>
      <w:divBdr>
        <w:top w:val="none" w:sz="0" w:space="0" w:color="auto"/>
        <w:left w:val="none" w:sz="0" w:space="0" w:color="auto"/>
        <w:bottom w:val="none" w:sz="0" w:space="0" w:color="auto"/>
        <w:right w:val="none" w:sz="0" w:space="0" w:color="auto"/>
      </w:divBdr>
    </w:div>
    <w:div w:id="215969591">
      <w:bodyDiv w:val="1"/>
      <w:marLeft w:val="0"/>
      <w:marRight w:val="0"/>
      <w:marTop w:val="0"/>
      <w:marBottom w:val="0"/>
      <w:divBdr>
        <w:top w:val="none" w:sz="0" w:space="0" w:color="auto"/>
        <w:left w:val="none" w:sz="0" w:space="0" w:color="auto"/>
        <w:bottom w:val="none" w:sz="0" w:space="0" w:color="auto"/>
        <w:right w:val="none" w:sz="0" w:space="0" w:color="auto"/>
      </w:divBdr>
      <w:divsChild>
        <w:div w:id="960845660">
          <w:marLeft w:val="0"/>
          <w:marRight w:val="0"/>
          <w:marTop w:val="0"/>
          <w:marBottom w:val="0"/>
          <w:divBdr>
            <w:top w:val="none" w:sz="0" w:space="0" w:color="auto"/>
            <w:left w:val="none" w:sz="0" w:space="0" w:color="auto"/>
            <w:bottom w:val="none" w:sz="0" w:space="0" w:color="auto"/>
            <w:right w:val="none" w:sz="0" w:space="0" w:color="auto"/>
          </w:divBdr>
          <w:divsChild>
            <w:div w:id="474374147">
              <w:marLeft w:val="0"/>
              <w:marRight w:val="0"/>
              <w:marTop w:val="0"/>
              <w:marBottom w:val="0"/>
              <w:divBdr>
                <w:top w:val="none" w:sz="0" w:space="0" w:color="auto"/>
                <w:left w:val="none" w:sz="0" w:space="0" w:color="auto"/>
                <w:bottom w:val="none" w:sz="0" w:space="0" w:color="auto"/>
                <w:right w:val="none" w:sz="0" w:space="0" w:color="auto"/>
              </w:divBdr>
              <w:divsChild>
                <w:div w:id="544950461">
                  <w:marLeft w:val="0"/>
                  <w:marRight w:val="0"/>
                  <w:marTop w:val="0"/>
                  <w:marBottom w:val="0"/>
                  <w:divBdr>
                    <w:top w:val="none" w:sz="0" w:space="0" w:color="auto"/>
                    <w:left w:val="none" w:sz="0" w:space="0" w:color="auto"/>
                    <w:bottom w:val="none" w:sz="0" w:space="0" w:color="auto"/>
                    <w:right w:val="none" w:sz="0" w:space="0" w:color="auto"/>
                  </w:divBdr>
                </w:div>
              </w:divsChild>
            </w:div>
            <w:div w:id="949897109">
              <w:marLeft w:val="0"/>
              <w:marRight w:val="0"/>
              <w:marTop w:val="0"/>
              <w:marBottom w:val="0"/>
              <w:divBdr>
                <w:top w:val="none" w:sz="0" w:space="0" w:color="auto"/>
                <w:left w:val="none" w:sz="0" w:space="0" w:color="auto"/>
                <w:bottom w:val="none" w:sz="0" w:space="0" w:color="auto"/>
                <w:right w:val="none" w:sz="0" w:space="0" w:color="auto"/>
              </w:divBdr>
              <w:divsChild>
                <w:div w:id="213871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4358">
      <w:bodyDiv w:val="1"/>
      <w:marLeft w:val="0"/>
      <w:marRight w:val="0"/>
      <w:marTop w:val="0"/>
      <w:marBottom w:val="0"/>
      <w:divBdr>
        <w:top w:val="none" w:sz="0" w:space="0" w:color="auto"/>
        <w:left w:val="none" w:sz="0" w:space="0" w:color="auto"/>
        <w:bottom w:val="none" w:sz="0" w:space="0" w:color="auto"/>
        <w:right w:val="none" w:sz="0" w:space="0" w:color="auto"/>
      </w:divBdr>
      <w:divsChild>
        <w:div w:id="379742543">
          <w:marLeft w:val="0"/>
          <w:marRight w:val="0"/>
          <w:marTop w:val="0"/>
          <w:marBottom w:val="0"/>
          <w:divBdr>
            <w:top w:val="none" w:sz="0" w:space="0" w:color="auto"/>
            <w:left w:val="none" w:sz="0" w:space="0" w:color="auto"/>
            <w:bottom w:val="none" w:sz="0" w:space="0" w:color="auto"/>
            <w:right w:val="none" w:sz="0" w:space="0" w:color="auto"/>
          </w:divBdr>
        </w:div>
        <w:div w:id="543099418">
          <w:marLeft w:val="0"/>
          <w:marRight w:val="0"/>
          <w:marTop w:val="0"/>
          <w:marBottom w:val="0"/>
          <w:divBdr>
            <w:top w:val="none" w:sz="0" w:space="0" w:color="auto"/>
            <w:left w:val="none" w:sz="0" w:space="0" w:color="auto"/>
            <w:bottom w:val="none" w:sz="0" w:space="0" w:color="auto"/>
            <w:right w:val="none" w:sz="0" w:space="0" w:color="auto"/>
          </w:divBdr>
        </w:div>
      </w:divsChild>
    </w:div>
    <w:div w:id="437069115">
      <w:bodyDiv w:val="1"/>
      <w:marLeft w:val="0"/>
      <w:marRight w:val="0"/>
      <w:marTop w:val="0"/>
      <w:marBottom w:val="0"/>
      <w:divBdr>
        <w:top w:val="none" w:sz="0" w:space="0" w:color="auto"/>
        <w:left w:val="none" w:sz="0" w:space="0" w:color="auto"/>
        <w:bottom w:val="none" w:sz="0" w:space="0" w:color="auto"/>
        <w:right w:val="none" w:sz="0" w:space="0" w:color="auto"/>
      </w:divBdr>
    </w:div>
    <w:div w:id="568879276">
      <w:bodyDiv w:val="1"/>
      <w:marLeft w:val="0"/>
      <w:marRight w:val="0"/>
      <w:marTop w:val="0"/>
      <w:marBottom w:val="0"/>
      <w:divBdr>
        <w:top w:val="none" w:sz="0" w:space="0" w:color="auto"/>
        <w:left w:val="none" w:sz="0" w:space="0" w:color="auto"/>
        <w:bottom w:val="none" w:sz="0" w:space="0" w:color="auto"/>
        <w:right w:val="none" w:sz="0" w:space="0" w:color="auto"/>
      </w:divBdr>
    </w:div>
    <w:div w:id="573244828">
      <w:bodyDiv w:val="1"/>
      <w:marLeft w:val="0"/>
      <w:marRight w:val="0"/>
      <w:marTop w:val="0"/>
      <w:marBottom w:val="0"/>
      <w:divBdr>
        <w:top w:val="none" w:sz="0" w:space="0" w:color="auto"/>
        <w:left w:val="none" w:sz="0" w:space="0" w:color="auto"/>
        <w:bottom w:val="none" w:sz="0" w:space="0" w:color="auto"/>
        <w:right w:val="none" w:sz="0" w:space="0" w:color="auto"/>
      </w:divBdr>
    </w:div>
    <w:div w:id="760764390">
      <w:bodyDiv w:val="1"/>
      <w:marLeft w:val="0"/>
      <w:marRight w:val="0"/>
      <w:marTop w:val="0"/>
      <w:marBottom w:val="0"/>
      <w:divBdr>
        <w:top w:val="none" w:sz="0" w:space="0" w:color="auto"/>
        <w:left w:val="none" w:sz="0" w:space="0" w:color="auto"/>
        <w:bottom w:val="none" w:sz="0" w:space="0" w:color="auto"/>
        <w:right w:val="none" w:sz="0" w:space="0" w:color="auto"/>
      </w:divBdr>
      <w:divsChild>
        <w:div w:id="1383481437">
          <w:marLeft w:val="0"/>
          <w:marRight w:val="0"/>
          <w:marTop w:val="0"/>
          <w:marBottom w:val="0"/>
          <w:divBdr>
            <w:top w:val="none" w:sz="0" w:space="0" w:color="auto"/>
            <w:left w:val="none" w:sz="0" w:space="0" w:color="auto"/>
            <w:bottom w:val="none" w:sz="0" w:space="0" w:color="auto"/>
            <w:right w:val="none" w:sz="0" w:space="0" w:color="auto"/>
          </w:divBdr>
          <w:divsChild>
            <w:div w:id="204821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862096">
      <w:bodyDiv w:val="1"/>
      <w:marLeft w:val="0"/>
      <w:marRight w:val="0"/>
      <w:marTop w:val="0"/>
      <w:marBottom w:val="0"/>
      <w:divBdr>
        <w:top w:val="none" w:sz="0" w:space="0" w:color="auto"/>
        <w:left w:val="none" w:sz="0" w:space="0" w:color="auto"/>
        <w:bottom w:val="none" w:sz="0" w:space="0" w:color="auto"/>
        <w:right w:val="none" w:sz="0" w:space="0" w:color="auto"/>
      </w:divBdr>
    </w:div>
    <w:div w:id="880705291">
      <w:bodyDiv w:val="1"/>
      <w:marLeft w:val="0"/>
      <w:marRight w:val="0"/>
      <w:marTop w:val="0"/>
      <w:marBottom w:val="0"/>
      <w:divBdr>
        <w:top w:val="none" w:sz="0" w:space="0" w:color="auto"/>
        <w:left w:val="none" w:sz="0" w:space="0" w:color="auto"/>
        <w:bottom w:val="none" w:sz="0" w:space="0" w:color="auto"/>
        <w:right w:val="none" w:sz="0" w:space="0" w:color="auto"/>
      </w:divBdr>
      <w:divsChild>
        <w:div w:id="276252875">
          <w:blockQuote w:val="1"/>
          <w:marLeft w:val="720"/>
          <w:marRight w:val="720"/>
          <w:marTop w:val="100"/>
          <w:marBottom w:val="100"/>
          <w:divBdr>
            <w:top w:val="single" w:sz="24" w:space="0" w:color="E84B37"/>
            <w:left w:val="none" w:sz="0" w:space="0" w:color="auto"/>
            <w:bottom w:val="none" w:sz="0" w:space="0" w:color="auto"/>
            <w:right w:val="none" w:sz="0" w:space="0" w:color="auto"/>
          </w:divBdr>
        </w:div>
      </w:divsChild>
    </w:div>
    <w:div w:id="1028339150">
      <w:bodyDiv w:val="1"/>
      <w:marLeft w:val="0"/>
      <w:marRight w:val="0"/>
      <w:marTop w:val="0"/>
      <w:marBottom w:val="0"/>
      <w:divBdr>
        <w:top w:val="none" w:sz="0" w:space="0" w:color="auto"/>
        <w:left w:val="none" w:sz="0" w:space="0" w:color="auto"/>
        <w:bottom w:val="none" w:sz="0" w:space="0" w:color="auto"/>
        <w:right w:val="none" w:sz="0" w:space="0" w:color="auto"/>
      </w:divBdr>
    </w:div>
    <w:div w:id="1059669606">
      <w:bodyDiv w:val="1"/>
      <w:marLeft w:val="0"/>
      <w:marRight w:val="0"/>
      <w:marTop w:val="0"/>
      <w:marBottom w:val="0"/>
      <w:divBdr>
        <w:top w:val="none" w:sz="0" w:space="0" w:color="auto"/>
        <w:left w:val="none" w:sz="0" w:space="0" w:color="auto"/>
        <w:bottom w:val="none" w:sz="0" w:space="0" w:color="auto"/>
        <w:right w:val="none" w:sz="0" w:space="0" w:color="auto"/>
      </w:divBdr>
    </w:div>
    <w:div w:id="1194688192">
      <w:bodyDiv w:val="1"/>
      <w:marLeft w:val="0"/>
      <w:marRight w:val="0"/>
      <w:marTop w:val="0"/>
      <w:marBottom w:val="0"/>
      <w:divBdr>
        <w:top w:val="none" w:sz="0" w:space="0" w:color="auto"/>
        <w:left w:val="none" w:sz="0" w:space="0" w:color="auto"/>
        <w:bottom w:val="none" w:sz="0" w:space="0" w:color="auto"/>
        <w:right w:val="none" w:sz="0" w:space="0" w:color="auto"/>
      </w:divBdr>
    </w:div>
    <w:div w:id="1335566628">
      <w:bodyDiv w:val="1"/>
      <w:marLeft w:val="0"/>
      <w:marRight w:val="0"/>
      <w:marTop w:val="0"/>
      <w:marBottom w:val="0"/>
      <w:divBdr>
        <w:top w:val="none" w:sz="0" w:space="0" w:color="auto"/>
        <w:left w:val="none" w:sz="0" w:space="0" w:color="auto"/>
        <w:bottom w:val="none" w:sz="0" w:space="0" w:color="auto"/>
        <w:right w:val="none" w:sz="0" w:space="0" w:color="auto"/>
      </w:divBdr>
    </w:div>
    <w:div w:id="1378550292">
      <w:bodyDiv w:val="1"/>
      <w:marLeft w:val="0"/>
      <w:marRight w:val="0"/>
      <w:marTop w:val="0"/>
      <w:marBottom w:val="0"/>
      <w:divBdr>
        <w:top w:val="none" w:sz="0" w:space="0" w:color="auto"/>
        <w:left w:val="none" w:sz="0" w:space="0" w:color="auto"/>
        <w:bottom w:val="none" w:sz="0" w:space="0" w:color="auto"/>
        <w:right w:val="none" w:sz="0" w:space="0" w:color="auto"/>
      </w:divBdr>
    </w:div>
    <w:div w:id="1543905370">
      <w:bodyDiv w:val="1"/>
      <w:marLeft w:val="0"/>
      <w:marRight w:val="0"/>
      <w:marTop w:val="0"/>
      <w:marBottom w:val="0"/>
      <w:divBdr>
        <w:top w:val="none" w:sz="0" w:space="0" w:color="auto"/>
        <w:left w:val="none" w:sz="0" w:space="0" w:color="auto"/>
        <w:bottom w:val="none" w:sz="0" w:space="0" w:color="auto"/>
        <w:right w:val="none" w:sz="0" w:space="0" w:color="auto"/>
      </w:divBdr>
    </w:div>
    <w:div w:id="1718582940">
      <w:bodyDiv w:val="1"/>
      <w:marLeft w:val="0"/>
      <w:marRight w:val="0"/>
      <w:marTop w:val="0"/>
      <w:marBottom w:val="0"/>
      <w:divBdr>
        <w:top w:val="none" w:sz="0" w:space="0" w:color="auto"/>
        <w:left w:val="none" w:sz="0" w:space="0" w:color="auto"/>
        <w:bottom w:val="none" w:sz="0" w:space="0" w:color="auto"/>
        <w:right w:val="none" w:sz="0" w:space="0" w:color="auto"/>
      </w:divBdr>
      <w:divsChild>
        <w:div w:id="151726028">
          <w:marLeft w:val="0"/>
          <w:marRight w:val="150"/>
          <w:marTop w:val="0"/>
          <w:marBottom w:val="0"/>
          <w:divBdr>
            <w:top w:val="none" w:sz="0" w:space="0" w:color="auto"/>
            <w:left w:val="none" w:sz="0" w:space="0" w:color="auto"/>
            <w:bottom w:val="none" w:sz="0" w:space="0" w:color="auto"/>
            <w:right w:val="none" w:sz="0" w:space="0" w:color="auto"/>
          </w:divBdr>
        </w:div>
        <w:div w:id="1506281468">
          <w:marLeft w:val="600"/>
          <w:marRight w:val="225"/>
          <w:marTop w:val="225"/>
          <w:marBottom w:val="225"/>
          <w:divBdr>
            <w:top w:val="none" w:sz="0" w:space="0" w:color="auto"/>
            <w:left w:val="none" w:sz="0" w:space="0" w:color="auto"/>
            <w:bottom w:val="none" w:sz="0" w:space="0" w:color="auto"/>
            <w:right w:val="none" w:sz="0" w:space="0" w:color="auto"/>
          </w:divBdr>
        </w:div>
      </w:divsChild>
    </w:div>
    <w:div w:id="1747266227">
      <w:bodyDiv w:val="1"/>
      <w:marLeft w:val="0"/>
      <w:marRight w:val="0"/>
      <w:marTop w:val="0"/>
      <w:marBottom w:val="0"/>
      <w:divBdr>
        <w:top w:val="none" w:sz="0" w:space="0" w:color="auto"/>
        <w:left w:val="none" w:sz="0" w:space="0" w:color="auto"/>
        <w:bottom w:val="none" w:sz="0" w:space="0" w:color="auto"/>
        <w:right w:val="none" w:sz="0" w:space="0" w:color="auto"/>
      </w:divBdr>
      <w:divsChild>
        <w:div w:id="2057004222">
          <w:marLeft w:val="0"/>
          <w:marRight w:val="0"/>
          <w:marTop w:val="0"/>
          <w:marBottom w:val="0"/>
          <w:divBdr>
            <w:top w:val="none" w:sz="0" w:space="0" w:color="auto"/>
            <w:left w:val="none" w:sz="0" w:space="0" w:color="auto"/>
            <w:bottom w:val="none" w:sz="0" w:space="0" w:color="auto"/>
            <w:right w:val="none" w:sz="0" w:space="0" w:color="auto"/>
          </w:divBdr>
          <w:divsChild>
            <w:div w:id="1341933126">
              <w:marLeft w:val="0"/>
              <w:marRight w:val="0"/>
              <w:marTop w:val="0"/>
              <w:marBottom w:val="0"/>
              <w:divBdr>
                <w:top w:val="none" w:sz="0" w:space="0" w:color="auto"/>
                <w:left w:val="none" w:sz="0" w:space="0" w:color="auto"/>
                <w:bottom w:val="none" w:sz="0" w:space="0" w:color="auto"/>
                <w:right w:val="none" w:sz="0" w:space="0" w:color="auto"/>
              </w:divBdr>
              <w:divsChild>
                <w:div w:id="1749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43231728">
      <w:bodyDiv w:val="1"/>
      <w:marLeft w:val="0"/>
      <w:marRight w:val="0"/>
      <w:marTop w:val="0"/>
      <w:marBottom w:val="0"/>
      <w:divBdr>
        <w:top w:val="none" w:sz="0" w:space="0" w:color="auto"/>
        <w:left w:val="none" w:sz="0" w:space="0" w:color="auto"/>
        <w:bottom w:val="none" w:sz="0" w:space="0" w:color="auto"/>
        <w:right w:val="none" w:sz="0" w:space="0" w:color="auto"/>
      </w:divBdr>
    </w:div>
    <w:div w:id="1982268214">
      <w:bodyDiv w:val="1"/>
      <w:marLeft w:val="0"/>
      <w:marRight w:val="0"/>
      <w:marTop w:val="0"/>
      <w:marBottom w:val="0"/>
      <w:divBdr>
        <w:top w:val="none" w:sz="0" w:space="0" w:color="auto"/>
        <w:left w:val="none" w:sz="0" w:space="0" w:color="auto"/>
        <w:bottom w:val="none" w:sz="0" w:space="0" w:color="auto"/>
        <w:right w:val="none" w:sz="0" w:space="0" w:color="auto"/>
      </w:divBdr>
      <w:divsChild>
        <w:div w:id="837576074">
          <w:marLeft w:val="0"/>
          <w:marRight w:val="0"/>
          <w:marTop w:val="0"/>
          <w:marBottom w:val="0"/>
          <w:divBdr>
            <w:top w:val="none" w:sz="0" w:space="0" w:color="auto"/>
            <w:left w:val="none" w:sz="0" w:space="0" w:color="auto"/>
            <w:bottom w:val="none" w:sz="0" w:space="0" w:color="auto"/>
            <w:right w:val="none" w:sz="0" w:space="0" w:color="auto"/>
          </w:divBdr>
          <w:divsChild>
            <w:div w:id="300158761">
              <w:marLeft w:val="0"/>
              <w:marRight w:val="0"/>
              <w:marTop w:val="0"/>
              <w:marBottom w:val="0"/>
              <w:divBdr>
                <w:top w:val="none" w:sz="0" w:space="0" w:color="auto"/>
                <w:left w:val="none" w:sz="0" w:space="0" w:color="auto"/>
                <w:bottom w:val="none" w:sz="0" w:space="0" w:color="auto"/>
                <w:right w:val="none" w:sz="0" w:space="0" w:color="auto"/>
              </w:divBdr>
              <w:divsChild>
                <w:div w:id="15903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image" Target="media/image30.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0.jpg"/><Relationship Id="rId17" Type="http://schemas.openxmlformats.org/officeDocument/2006/relationships/image" Target="media/image3.gif"/><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6E5E6-0F76-4CF1-AA5E-3695AFEB9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2452</Words>
  <Characters>13491</Characters>
  <Application>Microsoft Office Word</Application>
  <DocSecurity>0</DocSecurity>
  <Lines>254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Relatório No. 358/21</dc:title>
  <dc:creator/>
  <cp:lastModifiedBy/>
  <cp:revision>1</cp:revision>
  <dcterms:created xsi:type="dcterms:W3CDTF">2022-02-09T15:58:00Z</dcterms:created>
  <dcterms:modified xsi:type="dcterms:W3CDTF">2022-02-09T15:58:00Z</dcterms:modified>
</cp:coreProperties>
</file>