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5647" w14:textId="6756F6AE" w:rsidR="00040C3A" w:rsidRPr="00FF6DBF" w:rsidRDefault="00B1473D" w:rsidP="006539EA">
      <w:pPr>
        <w:jc w:val="center"/>
        <w:rPr>
          <w:rFonts w:ascii="Cambria" w:hAnsi="Cambria" w:cs="Univers"/>
          <w:b/>
          <w:bCs/>
          <w:sz w:val="22"/>
          <w:szCs w:val="22"/>
          <w:lang w:val="pt-BR"/>
        </w:rPr>
      </w:pPr>
      <w:r w:rsidRPr="00FF6DBF">
        <w:rPr>
          <w:noProof/>
        </w:rPr>
        <mc:AlternateContent>
          <mc:Choice Requires="wps">
            <w:drawing>
              <wp:anchor distT="0" distB="0" distL="114300" distR="114300" simplePos="0" relativeHeight="251654144" behindDoc="0" locked="0" layoutInCell="1" allowOverlap="1" wp14:anchorId="5871C3F5" wp14:editId="0B9B7EAA">
                <wp:simplePos x="0" y="0"/>
                <wp:positionH relativeFrom="column">
                  <wp:posOffset>-422910</wp:posOffset>
                </wp:positionH>
                <wp:positionV relativeFrom="paragraph">
                  <wp:posOffset>-368300</wp:posOffset>
                </wp:positionV>
                <wp:extent cx="1409700" cy="891222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12225"/>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686FBA" id="Rectangle 11" o:spid="_x0000_s1026" style="position:absolute;margin-left:-33.3pt;margin-top:-29pt;width:111pt;height:70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" fillcolor="#ffc000" stroked="f" strokeweight="2pt"/>
            </w:pict>
          </mc:Fallback>
        </mc:AlternateContent>
      </w:r>
      <w:r w:rsidRPr="00FF6DBF">
        <w:rPr>
          <w:noProof/>
        </w:rPr>
        <mc:AlternateContent>
          <mc:Choice Requires="wps">
            <w:drawing>
              <wp:anchor distT="0" distB="0" distL="114300" distR="114300" simplePos="0" relativeHeight="251658240" behindDoc="0" locked="0" layoutInCell="1" allowOverlap="1" wp14:anchorId="1F778272" wp14:editId="68C8733B">
                <wp:simplePos x="0" y="0"/>
                <wp:positionH relativeFrom="column">
                  <wp:posOffset>1143000</wp:posOffset>
                </wp:positionH>
                <wp:positionV relativeFrom="paragraph">
                  <wp:posOffset>-371475</wp:posOffset>
                </wp:positionV>
                <wp:extent cx="4552950" cy="914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914400"/>
                        </a:xfrm>
                        <a:prstGeom prst="rect">
                          <a:avLst/>
                        </a:prstGeom>
                        <a:noFill/>
                        <a:ln w="6350">
                          <a:noFill/>
                        </a:ln>
                        <a:effectLst/>
                      </wps:spPr>
                      <wps:txbx>
                        <w:txbxContent>
                          <w:p w14:paraId="74E403FD" w14:textId="76FB8428" w:rsidR="00CB2660" w:rsidRDefault="00B1473D">
                            <w:r w:rsidRPr="004C502E">
                              <w:rPr>
                                <w:noProof/>
                              </w:rPr>
                              <w:drawing>
                                <wp:inline distT="0" distB="0" distL="0" distR="0" wp14:anchorId="5B8FAAA3" wp14:editId="2C55E9EA">
                                  <wp:extent cx="2527300" cy="488950"/>
                                  <wp:effectExtent l="0" t="0" r="0" b="0"/>
                                  <wp:docPr id="1"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2C1641">
                              <w:t xml:space="preserve">    </w:t>
                            </w:r>
                            <w:r w:rsidR="00860628">
                              <w:t xml:space="preserve">    </w:t>
                            </w:r>
                            <w:r w:rsidR="00B7106E">
                              <w:t xml:space="preserve">                                  </w:t>
                            </w:r>
                            <w:r w:rsidR="00860628">
                              <w:t xml:space="preserve">           </w:t>
                            </w:r>
                            <w:r w:rsidR="002C1641">
                              <w:t xml:space="preserve">  </w:t>
                            </w:r>
                            <w:r w:rsidR="003237F0">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78272" id="_x0000_t202" coordsize="21600,21600" o:spt="202" path="m,l,21600r21600,l21600,xe">
                <v:stroke joinstyle="miter"/>
                <v:path gradientshapeok="t" o:connecttype="rect"/>
              </v:shapetype>
              <v:shape id="Text Box 10" o:spid="_x0000_s1026" type="#_x0000_t202" style="position:absolute;left:0;text-align:left;margin-left:90pt;margin-top:-29.25pt;width:358.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" filled="f" stroked="f" strokeweight=".5pt">
                <v:textbox>
                  <w:txbxContent>
                    <w:p w14:paraId="74E403FD" w14:textId="76FB8428" w:rsidR="00CB2660" w:rsidRDefault="00B1473D">
                      <w:r w:rsidRPr="004C502E">
                        <w:rPr>
                          <w:noProof/>
                        </w:rPr>
                        <w:drawing>
                          <wp:inline distT="0" distB="0" distL="0" distR="0" wp14:anchorId="5B8FAAA3" wp14:editId="2C55E9EA">
                            <wp:extent cx="2527300" cy="488950"/>
                            <wp:effectExtent l="0" t="0" r="0" b="0"/>
                            <wp:docPr id="1"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2C1641">
                        <w:t xml:space="preserve">    </w:t>
                      </w:r>
                      <w:r w:rsidR="00860628">
                        <w:t xml:space="preserve">    </w:t>
                      </w:r>
                      <w:r w:rsidR="00B7106E">
                        <w:t xml:space="preserve">                                  </w:t>
                      </w:r>
                      <w:r w:rsidR="00860628">
                        <w:t xml:space="preserve">           </w:t>
                      </w:r>
                      <w:r w:rsidR="002C1641">
                        <w:t xml:space="preserve">  </w:t>
                      </w:r>
                      <w:r w:rsidR="003237F0">
                        <w:t xml:space="preserve">         </w:t>
                      </w:r>
                      <w:r w:rsidR="002C1641">
                        <w:t xml:space="preserve">                       </w:t>
                      </w:r>
                    </w:p>
                  </w:txbxContent>
                </v:textbox>
              </v:shape>
            </w:pict>
          </mc:Fallback>
        </mc:AlternateContent>
      </w:r>
    </w:p>
    <w:p w14:paraId="331BB111" w14:textId="77777777" w:rsidR="00040C3A" w:rsidRPr="00FF6DBF" w:rsidRDefault="00040C3A" w:rsidP="006539EA">
      <w:pPr>
        <w:tabs>
          <w:tab w:val="center" w:pos="5400"/>
        </w:tabs>
        <w:suppressAutoHyphens/>
        <w:jc w:val="center"/>
        <w:rPr>
          <w:rFonts w:ascii="Cambria" w:hAnsi="Cambria"/>
          <w:sz w:val="22"/>
          <w:szCs w:val="22"/>
          <w:lang w:val="pt-BR"/>
        </w:rPr>
      </w:pPr>
    </w:p>
    <w:p w14:paraId="4864B9C2" w14:textId="77777777" w:rsidR="00040C3A" w:rsidRPr="00FF6DBF" w:rsidRDefault="00040C3A" w:rsidP="006539EA">
      <w:pPr>
        <w:tabs>
          <w:tab w:val="center" w:pos="5400"/>
        </w:tabs>
        <w:suppressAutoHyphens/>
        <w:jc w:val="center"/>
        <w:rPr>
          <w:rFonts w:ascii="Cambria" w:hAnsi="Cambria"/>
          <w:sz w:val="22"/>
          <w:szCs w:val="22"/>
          <w:lang w:val="pt-BR"/>
        </w:rPr>
      </w:pPr>
    </w:p>
    <w:p w14:paraId="5B37267C" w14:textId="77777777" w:rsidR="005128E4" w:rsidRPr="00FF6DBF" w:rsidRDefault="005128E4" w:rsidP="006539EA">
      <w:pPr>
        <w:tabs>
          <w:tab w:val="center" w:pos="5400"/>
        </w:tabs>
        <w:suppressAutoHyphens/>
        <w:jc w:val="center"/>
        <w:rPr>
          <w:rFonts w:ascii="Cambria" w:hAnsi="Cambria"/>
          <w:sz w:val="22"/>
          <w:szCs w:val="22"/>
          <w:lang w:val="pt-BR"/>
        </w:rPr>
      </w:pPr>
    </w:p>
    <w:p w14:paraId="6DCC492C" w14:textId="77777777" w:rsidR="005128E4" w:rsidRPr="00FF6DBF" w:rsidRDefault="005128E4" w:rsidP="006539EA">
      <w:pPr>
        <w:tabs>
          <w:tab w:val="center" w:pos="5400"/>
        </w:tabs>
        <w:suppressAutoHyphens/>
        <w:jc w:val="center"/>
        <w:rPr>
          <w:rFonts w:ascii="Cambria" w:hAnsi="Cambria"/>
          <w:sz w:val="22"/>
          <w:szCs w:val="22"/>
          <w:lang w:val="pt-BR"/>
        </w:rPr>
      </w:pPr>
    </w:p>
    <w:p w14:paraId="51200CED" w14:textId="77777777" w:rsidR="005128E4" w:rsidRPr="00FF6DBF" w:rsidRDefault="005128E4" w:rsidP="006539EA">
      <w:pPr>
        <w:tabs>
          <w:tab w:val="center" w:pos="5400"/>
        </w:tabs>
        <w:suppressAutoHyphens/>
        <w:jc w:val="center"/>
        <w:rPr>
          <w:rFonts w:ascii="Cambria" w:hAnsi="Cambria"/>
          <w:sz w:val="22"/>
          <w:szCs w:val="22"/>
          <w:lang w:val="pt-BR"/>
        </w:rPr>
      </w:pPr>
    </w:p>
    <w:p w14:paraId="559CC852" w14:textId="77777777" w:rsidR="00040C3A" w:rsidRPr="00FF6DBF" w:rsidRDefault="00040C3A" w:rsidP="006539EA">
      <w:pPr>
        <w:tabs>
          <w:tab w:val="center" w:pos="5400"/>
        </w:tabs>
        <w:suppressAutoHyphens/>
        <w:jc w:val="center"/>
        <w:rPr>
          <w:rFonts w:ascii="Cambria" w:hAnsi="Cambria"/>
          <w:sz w:val="22"/>
          <w:szCs w:val="22"/>
          <w:lang w:val="pt-BR"/>
        </w:rPr>
      </w:pPr>
    </w:p>
    <w:p w14:paraId="7ABDE507" w14:textId="77777777" w:rsidR="00040C3A" w:rsidRPr="00FF6DBF" w:rsidRDefault="00040C3A" w:rsidP="006539EA">
      <w:pPr>
        <w:tabs>
          <w:tab w:val="center" w:pos="5400"/>
        </w:tabs>
        <w:suppressAutoHyphens/>
        <w:jc w:val="center"/>
        <w:rPr>
          <w:rFonts w:ascii="Cambria" w:hAnsi="Cambria"/>
          <w:sz w:val="22"/>
          <w:szCs w:val="22"/>
          <w:lang w:val="pt-BR"/>
        </w:rPr>
      </w:pPr>
    </w:p>
    <w:p w14:paraId="62082551" w14:textId="77777777" w:rsidR="005B52B0" w:rsidRPr="00FF6DBF" w:rsidRDefault="005B52B0" w:rsidP="006539EA">
      <w:pPr>
        <w:tabs>
          <w:tab w:val="center" w:pos="5400"/>
        </w:tabs>
        <w:suppressAutoHyphens/>
        <w:jc w:val="center"/>
        <w:rPr>
          <w:rFonts w:ascii="Cambria" w:hAnsi="Cambria"/>
          <w:sz w:val="22"/>
          <w:szCs w:val="22"/>
          <w:lang w:val="pt-BR"/>
        </w:rPr>
      </w:pPr>
    </w:p>
    <w:p w14:paraId="6D8C844B" w14:textId="77777777" w:rsidR="005B52B0" w:rsidRPr="00FF6DBF" w:rsidRDefault="005B52B0" w:rsidP="006539EA">
      <w:pPr>
        <w:tabs>
          <w:tab w:val="center" w:pos="5400"/>
        </w:tabs>
        <w:suppressAutoHyphens/>
        <w:jc w:val="center"/>
        <w:rPr>
          <w:rFonts w:ascii="Cambria" w:hAnsi="Cambria"/>
          <w:sz w:val="22"/>
          <w:szCs w:val="22"/>
          <w:lang w:val="pt-BR"/>
        </w:rPr>
      </w:pPr>
    </w:p>
    <w:p w14:paraId="42BC125A" w14:textId="77777777" w:rsidR="005B52B0" w:rsidRPr="00FF6DBF" w:rsidRDefault="005B52B0" w:rsidP="006539EA">
      <w:pPr>
        <w:tabs>
          <w:tab w:val="center" w:pos="5400"/>
        </w:tabs>
        <w:suppressAutoHyphens/>
        <w:jc w:val="center"/>
        <w:rPr>
          <w:rFonts w:ascii="Cambria" w:hAnsi="Cambria"/>
          <w:sz w:val="22"/>
          <w:szCs w:val="22"/>
          <w:lang w:val="pt-BR"/>
        </w:rPr>
      </w:pPr>
    </w:p>
    <w:p w14:paraId="4418F01F" w14:textId="77777777" w:rsidR="00040C3A" w:rsidRPr="00FF6DBF" w:rsidRDefault="00040C3A" w:rsidP="006539EA">
      <w:pPr>
        <w:tabs>
          <w:tab w:val="center" w:pos="5400"/>
        </w:tabs>
        <w:suppressAutoHyphens/>
        <w:jc w:val="center"/>
        <w:rPr>
          <w:rFonts w:ascii="Cambria" w:hAnsi="Cambria"/>
          <w:sz w:val="22"/>
          <w:szCs w:val="22"/>
          <w:lang w:val="pt-BR"/>
        </w:rPr>
      </w:pPr>
    </w:p>
    <w:p w14:paraId="0BC09E8C" w14:textId="77777777" w:rsidR="00040C3A" w:rsidRPr="00FF6DBF" w:rsidRDefault="00040C3A" w:rsidP="006539EA">
      <w:pPr>
        <w:tabs>
          <w:tab w:val="center" w:pos="5400"/>
        </w:tabs>
        <w:suppressAutoHyphens/>
        <w:jc w:val="center"/>
        <w:rPr>
          <w:rFonts w:ascii="Cambria" w:hAnsi="Cambria"/>
          <w:sz w:val="22"/>
          <w:szCs w:val="22"/>
          <w:lang w:val="pt-BR"/>
        </w:rPr>
      </w:pPr>
    </w:p>
    <w:p w14:paraId="778F06B2" w14:textId="77777777" w:rsidR="00040C3A" w:rsidRPr="00FF6DBF" w:rsidRDefault="00040C3A" w:rsidP="006539EA">
      <w:pPr>
        <w:tabs>
          <w:tab w:val="center" w:pos="5400"/>
        </w:tabs>
        <w:suppressAutoHyphens/>
        <w:jc w:val="center"/>
        <w:rPr>
          <w:rFonts w:ascii="Cambria" w:hAnsi="Cambria"/>
          <w:sz w:val="22"/>
          <w:szCs w:val="22"/>
          <w:lang w:val="pt-BR"/>
        </w:rPr>
      </w:pPr>
    </w:p>
    <w:p w14:paraId="4500D074" w14:textId="76569364" w:rsidR="00040C3A" w:rsidRPr="00FF6DBF" w:rsidRDefault="002C2F8A" w:rsidP="006539EA">
      <w:pPr>
        <w:tabs>
          <w:tab w:val="center" w:pos="5400"/>
        </w:tabs>
        <w:suppressAutoHyphens/>
        <w:jc w:val="center"/>
        <w:rPr>
          <w:rFonts w:ascii="Cambria" w:hAnsi="Cambria"/>
          <w:sz w:val="22"/>
          <w:szCs w:val="22"/>
          <w:lang w:val="pt-BR"/>
        </w:rPr>
      </w:pPr>
      <w:r w:rsidRPr="00FF6DBF">
        <w:rPr>
          <w:noProof/>
        </w:rPr>
        <mc:AlternateContent>
          <mc:Choice Requires="wps">
            <w:drawing>
              <wp:anchor distT="0" distB="0" distL="114300" distR="114300" simplePos="0" relativeHeight="251657216" behindDoc="0" locked="0" layoutInCell="1" allowOverlap="1" wp14:anchorId="500C64A7" wp14:editId="277016CA">
                <wp:simplePos x="0" y="0"/>
                <wp:positionH relativeFrom="column">
                  <wp:posOffset>-742384</wp:posOffset>
                </wp:positionH>
                <wp:positionV relativeFrom="paragraph">
                  <wp:posOffset>124290</wp:posOffset>
                </wp:positionV>
                <wp:extent cx="1705327"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5327" cy="1377315"/>
                        </a:xfrm>
                        <a:prstGeom prst="rect">
                          <a:avLst/>
                        </a:prstGeom>
                        <a:noFill/>
                        <a:ln w="6350">
                          <a:noFill/>
                        </a:ln>
                        <a:effectLst/>
                      </wps:spPr>
                      <wps:txbx>
                        <w:txbxContent>
                          <w:p w14:paraId="6743FB35" w14:textId="0330B944" w:rsidR="00412D8D" w:rsidRPr="004C502E" w:rsidRDefault="00412D8D" w:rsidP="00412D8D">
                            <w:pPr>
                              <w:jc w:val="right"/>
                              <w:rPr>
                                <w:rFonts w:ascii="Calibri" w:hAnsi="Calibri"/>
                                <w:sz w:val="22"/>
                                <w:lang w:val="pt-BR"/>
                              </w:rPr>
                            </w:pPr>
                            <w:r w:rsidRPr="004C502E">
                              <w:rPr>
                                <w:rFonts w:ascii="Calibri" w:hAnsi="Calibri"/>
                                <w:sz w:val="22"/>
                                <w:lang w:val="pt-BR"/>
                              </w:rPr>
                              <w:t>OEA/Ser/L/V/II</w:t>
                            </w:r>
                          </w:p>
                          <w:p w14:paraId="3608FD51" w14:textId="5CFE2A2E" w:rsidR="00412D8D" w:rsidRPr="002758AB" w:rsidRDefault="00412D8D" w:rsidP="00412D8D">
                            <w:pPr>
                              <w:jc w:val="right"/>
                              <w:rPr>
                                <w:rFonts w:ascii="Calibri" w:hAnsi="Calibri"/>
                                <w:sz w:val="22"/>
                                <w:lang w:val="pt-BR"/>
                              </w:rPr>
                            </w:pPr>
                            <w:r w:rsidRPr="002758AB">
                              <w:rPr>
                                <w:rFonts w:ascii="Calibri" w:hAnsi="Calibri"/>
                                <w:sz w:val="22"/>
                                <w:lang w:val="pt-BR"/>
                              </w:rPr>
                              <w:t xml:space="preserve">Doc. </w:t>
                            </w:r>
                            <w:r w:rsidR="002C2F8A" w:rsidRPr="002758AB">
                              <w:rPr>
                                <w:rFonts w:ascii="Calibri" w:hAnsi="Calibri"/>
                                <w:sz w:val="22"/>
                                <w:lang w:val="pt-BR"/>
                              </w:rPr>
                              <w:t>99</w:t>
                            </w:r>
                          </w:p>
                          <w:p w14:paraId="11EAD6D5" w14:textId="315493A0" w:rsidR="00412D8D" w:rsidRPr="002758AB" w:rsidRDefault="002C2F8A" w:rsidP="00412D8D">
                            <w:pPr>
                              <w:jc w:val="right"/>
                              <w:rPr>
                                <w:rFonts w:ascii="Calibri" w:hAnsi="Calibri"/>
                                <w:sz w:val="22"/>
                                <w:lang w:val="pt-BR"/>
                              </w:rPr>
                            </w:pPr>
                            <w:r w:rsidRPr="002758AB">
                              <w:rPr>
                                <w:rFonts w:ascii="Calibri" w:hAnsi="Calibri"/>
                                <w:sz w:val="22"/>
                                <w:lang w:val="pt-BR"/>
                              </w:rPr>
                              <w:t>19 junho</w:t>
                            </w:r>
                            <w:r w:rsidR="00CD4AFA" w:rsidRPr="002758AB">
                              <w:rPr>
                                <w:rFonts w:ascii="Calibri" w:hAnsi="Calibri"/>
                                <w:sz w:val="22"/>
                                <w:lang w:val="pt-BR"/>
                              </w:rPr>
                              <w:t xml:space="preserve"> 202</w:t>
                            </w:r>
                            <w:r w:rsidR="00100B5A" w:rsidRPr="002758AB">
                              <w:rPr>
                                <w:rFonts w:ascii="Calibri" w:hAnsi="Calibri"/>
                                <w:sz w:val="22"/>
                                <w:lang w:val="pt-BR"/>
                              </w:rPr>
                              <w:t>4</w:t>
                            </w:r>
                          </w:p>
                          <w:p w14:paraId="79406B03" w14:textId="2A829165" w:rsidR="007A471F" w:rsidRPr="004C502E" w:rsidRDefault="00412D8D" w:rsidP="002C2F8A">
                            <w:pPr>
                              <w:jc w:val="right"/>
                              <w:rPr>
                                <w:rFonts w:ascii="Calibri" w:hAnsi="Calibri"/>
                                <w:sz w:val="22"/>
                                <w:lang w:val="pt-BR"/>
                              </w:rPr>
                            </w:pPr>
                            <w:r w:rsidRPr="004C502E">
                              <w:rPr>
                                <w:rFonts w:ascii="Calibri" w:hAnsi="Calibri"/>
                                <w:sz w:val="22"/>
                                <w:lang w:val="pt-BR"/>
                              </w:rPr>
                              <w:t xml:space="preserve">Original: </w:t>
                            </w:r>
                            <w:r w:rsidR="002C2F8A">
                              <w:rPr>
                                <w:rFonts w:ascii="Calibri" w:hAnsi="Calibri"/>
                                <w:sz w:val="22"/>
                                <w:lang w:val="pt-BR"/>
                              </w:rPr>
                              <w:t>Espanhol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C64A7" id="Text Box 8" o:spid="_x0000_s1027" type="#_x0000_t202" style="position:absolute;left:0;text-align:left;margin-left:-58.45pt;margin-top:9.8pt;width:134.3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" filled="f" stroked="f" strokeweight=".5pt">
                <v:textbox>
                  <w:txbxContent>
                    <w:p w14:paraId="6743FB35" w14:textId="0330B944" w:rsidR="00412D8D" w:rsidRPr="004C502E" w:rsidRDefault="00412D8D" w:rsidP="00412D8D">
                      <w:pPr>
                        <w:jc w:val="right"/>
                        <w:rPr>
                          <w:rFonts w:ascii="Calibri" w:hAnsi="Calibri"/>
                          <w:sz w:val="22"/>
                          <w:lang w:val="pt-BR"/>
                        </w:rPr>
                      </w:pPr>
                      <w:r w:rsidRPr="004C502E">
                        <w:rPr>
                          <w:rFonts w:ascii="Calibri" w:hAnsi="Calibri"/>
                          <w:sz w:val="22"/>
                          <w:lang w:val="pt-BR"/>
                        </w:rPr>
                        <w:t>OEA/Ser/L/V/II</w:t>
                      </w:r>
                    </w:p>
                    <w:p w14:paraId="3608FD51" w14:textId="5CFE2A2E" w:rsidR="00412D8D" w:rsidRPr="002758AB" w:rsidRDefault="00412D8D" w:rsidP="00412D8D">
                      <w:pPr>
                        <w:jc w:val="right"/>
                        <w:rPr>
                          <w:rFonts w:ascii="Calibri" w:hAnsi="Calibri"/>
                          <w:sz w:val="22"/>
                          <w:lang w:val="pt-BR"/>
                        </w:rPr>
                      </w:pPr>
                      <w:r w:rsidRPr="002758AB">
                        <w:rPr>
                          <w:rFonts w:ascii="Calibri" w:hAnsi="Calibri"/>
                          <w:sz w:val="22"/>
                          <w:lang w:val="pt-BR"/>
                        </w:rPr>
                        <w:t xml:space="preserve">Doc. </w:t>
                      </w:r>
                      <w:r w:rsidR="002C2F8A" w:rsidRPr="002758AB">
                        <w:rPr>
                          <w:rFonts w:ascii="Calibri" w:hAnsi="Calibri"/>
                          <w:sz w:val="22"/>
                          <w:lang w:val="pt-BR"/>
                        </w:rPr>
                        <w:t>99</w:t>
                      </w:r>
                    </w:p>
                    <w:p w14:paraId="11EAD6D5" w14:textId="315493A0" w:rsidR="00412D8D" w:rsidRPr="002758AB" w:rsidRDefault="002C2F8A" w:rsidP="00412D8D">
                      <w:pPr>
                        <w:jc w:val="right"/>
                        <w:rPr>
                          <w:rFonts w:ascii="Calibri" w:hAnsi="Calibri"/>
                          <w:sz w:val="22"/>
                          <w:lang w:val="pt-BR"/>
                        </w:rPr>
                      </w:pPr>
                      <w:r w:rsidRPr="002758AB">
                        <w:rPr>
                          <w:rFonts w:ascii="Calibri" w:hAnsi="Calibri"/>
                          <w:sz w:val="22"/>
                          <w:lang w:val="pt-BR"/>
                        </w:rPr>
                        <w:t>19 junho</w:t>
                      </w:r>
                      <w:r w:rsidR="00CD4AFA" w:rsidRPr="002758AB">
                        <w:rPr>
                          <w:rFonts w:ascii="Calibri" w:hAnsi="Calibri"/>
                          <w:sz w:val="22"/>
                          <w:lang w:val="pt-BR"/>
                        </w:rPr>
                        <w:t xml:space="preserve"> 202</w:t>
                      </w:r>
                      <w:r w:rsidR="00100B5A" w:rsidRPr="002758AB">
                        <w:rPr>
                          <w:rFonts w:ascii="Calibri" w:hAnsi="Calibri"/>
                          <w:sz w:val="22"/>
                          <w:lang w:val="pt-BR"/>
                        </w:rPr>
                        <w:t>4</w:t>
                      </w:r>
                    </w:p>
                    <w:p w14:paraId="79406B03" w14:textId="2A829165" w:rsidR="007A471F" w:rsidRPr="004C502E" w:rsidRDefault="00412D8D" w:rsidP="002C2F8A">
                      <w:pPr>
                        <w:jc w:val="right"/>
                        <w:rPr>
                          <w:rFonts w:ascii="Calibri" w:hAnsi="Calibri"/>
                          <w:sz w:val="22"/>
                          <w:lang w:val="pt-BR"/>
                        </w:rPr>
                      </w:pPr>
                      <w:r w:rsidRPr="004C502E">
                        <w:rPr>
                          <w:rFonts w:ascii="Calibri" w:hAnsi="Calibri"/>
                          <w:sz w:val="22"/>
                          <w:lang w:val="pt-BR"/>
                        </w:rPr>
                        <w:t xml:space="preserve">Original: </w:t>
                      </w:r>
                      <w:r w:rsidR="002C2F8A">
                        <w:rPr>
                          <w:rFonts w:ascii="Calibri" w:hAnsi="Calibri"/>
                          <w:sz w:val="22"/>
                          <w:lang w:val="pt-BR"/>
                        </w:rPr>
                        <w:t>Espanhol</w:t>
                      </w:r>
                    </w:p>
                  </w:txbxContent>
                </v:textbox>
              </v:shape>
            </w:pict>
          </mc:Fallback>
        </mc:AlternateContent>
      </w:r>
      <w:r w:rsidR="00B1473D" w:rsidRPr="00FF6DBF">
        <w:rPr>
          <w:noProof/>
        </w:rPr>
        <mc:AlternateContent>
          <mc:Choice Requires="wps">
            <w:drawing>
              <wp:anchor distT="0" distB="0" distL="114300" distR="114300" simplePos="0" relativeHeight="251655168" behindDoc="0" locked="0" layoutInCell="1" allowOverlap="1" wp14:anchorId="46D40D3B" wp14:editId="541A5D7C">
                <wp:simplePos x="0" y="0"/>
                <wp:positionH relativeFrom="column">
                  <wp:posOffset>1228725</wp:posOffset>
                </wp:positionH>
                <wp:positionV relativeFrom="paragraph">
                  <wp:posOffset>79375</wp:posOffset>
                </wp:positionV>
                <wp:extent cx="5133975" cy="23507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2350770"/>
                        </a:xfrm>
                        <a:prstGeom prst="rect">
                          <a:avLst/>
                        </a:prstGeom>
                        <a:noFill/>
                        <a:ln w="6350">
                          <a:noFill/>
                        </a:ln>
                        <a:effectLst/>
                      </wps:spPr>
                      <wps:txbx>
                        <w:txbxContent>
                          <w:p w14:paraId="62142F1D" w14:textId="41DE2B52"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RELATÓRIO </w:t>
                            </w:r>
                            <w:r w:rsidR="00F869D6">
                              <w:rPr>
                                <w:rFonts w:ascii="Cambria" w:hAnsi="Cambria" w:cs="Arial"/>
                                <w:b/>
                                <w:bCs/>
                                <w:color w:val="0D0D0D"/>
                                <w:sz w:val="36"/>
                                <w:szCs w:val="40"/>
                                <w:lang w:val="pt-BR"/>
                              </w:rPr>
                              <w:t>N</w:t>
                            </w:r>
                            <w:r w:rsidR="009F380F" w:rsidRPr="004C502E">
                              <w:rPr>
                                <w:rFonts w:ascii="Cambria" w:hAnsi="Cambria" w:cs="Arial"/>
                                <w:b/>
                                <w:bCs/>
                                <w:color w:val="0D0D0D"/>
                                <w:sz w:val="36"/>
                                <w:szCs w:val="40"/>
                                <w:lang w:val="pt-BR"/>
                              </w:rPr>
                              <w:t>º</w:t>
                            </w:r>
                            <w:r w:rsidRPr="004C502E">
                              <w:rPr>
                                <w:rFonts w:ascii="Cambria" w:hAnsi="Cambria" w:cs="Arial"/>
                                <w:b/>
                                <w:bCs/>
                                <w:color w:val="0D0D0D"/>
                                <w:sz w:val="36"/>
                                <w:szCs w:val="40"/>
                                <w:lang w:val="pt-BR"/>
                              </w:rPr>
                              <w:t xml:space="preserve"> </w:t>
                            </w:r>
                            <w:r w:rsidR="002C2F8A">
                              <w:rPr>
                                <w:rFonts w:ascii="Cambria" w:hAnsi="Cambria" w:cs="Arial"/>
                                <w:b/>
                                <w:bCs/>
                                <w:color w:val="0D0D0D"/>
                                <w:sz w:val="36"/>
                                <w:szCs w:val="40"/>
                                <w:lang w:val="pt-BR"/>
                              </w:rPr>
                              <w:t>94</w:t>
                            </w:r>
                            <w:r w:rsidRPr="004C502E">
                              <w:rPr>
                                <w:rFonts w:ascii="Cambria" w:hAnsi="Cambria" w:cs="Arial"/>
                                <w:b/>
                                <w:bCs/>
                                <w:color w:val="0D0D0D"/>
                                <w:sz w:val="36"/>
                                <w:szCs w:val="40"/>
                                <w:lang w:val="pt-BR"/>
                              </w:rPr>
                              <w:t>/</w:t>
                            </w:r>
                            <w:r w:rsidR="008A0B1E" w:rsidRPr="004C502E">
                              <w:rPr>
                                <w:rFonts w:ascii="Cambria" w:hAnsi="Cambria" w:cs="Arial"/>
                                <w:b/>
                                <w:bCs/>
                                <w:color w:val="0D0D0D"/>
                                <w:sz w:val="36"/>
                                <w:szCs w:val="40"/>
                                <w:lang w:val="pt-BR"/>
                              </w:rPr>
                              <w:t>2</w:t>
                            </w:r>
                            <w:r w:rsidR="00100B5A">
                              <w:rPr>
                                <w:rFonts w:ascii="Cambria" w:hAnsi="Cambria" w:cs="Arial"/>
                                <w:b/>
                                <w:bCs/>
                                <w:color w:val="0D0D0D"/>
                                <w:sz w:val="36"/>
                                <w:szCs w:val="40"/>
                                <w:lang w:val="pt-BR"/>
                              </w:rPr>
                              <w:t>4</w:t>
                            </w:r>
                          </w:p>
                          <w:p w14:paraId="3B604F31" w14:textId="0C2678B6"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PETIÇÃO </w:t>
                            </w:r>
                            <w:r w:rsidR="00100B5A">
                              <w:rPr>
                                <w:rFonts w:ascii="Cambria" w:hAnsi="Cambria" w:cs="Arial"/>
                                <w:b/>
                                <w:bCs/>
                                <w:color w:val="0D0D0D"/>
                                <w:sz w:val="36"/>
                                <w:szCs w:val="40"/>
                                <w:lang w:val="pt-BR"/>
                              </w:rPr>
                              <w:t>170</w:t>
                            </w:r>
                            <w:r w:rsidR="00013992" w:rsidRPr="00013992">
                              <w:rPr>
                                <w:rFonts w:ascii="Cambria" w:hAnsi="Cambria" w:cs="Arial"/>
                                <w:b/>
                                <w:bCs/>
                                <w:color w:val="0D0D0D"/>
                                <w:sz w:val="36"/>
                                <w:szCs w:val="40"/>
                                <w:lang w:val="pt-BR"/>
                              </w:rPr>
                              <w:t>-1</w:t>
                            </w:r>
                            <w:r w:rsidR="00100B5A">
                              <w:rPr>
                                <w:rFonts w:ascii="Cambria" w:hAnsi="Cambria" w:cs="Arial"/>
                                <w:b/>
                                <w:bCs/>
                                <w:color w:val="0D0D0D"/>
                                <w:sz w:val="36"/>
                                <w:szCs w:val="40"/>
                                <w:lang w:val="pt-BR"/>
                              </w:rPr>
                              <w:t>7</w:t>
                            </w:r>
                          </w:p>
                          <w:p w14:paraId="78CAD49A" w14:textId="77777777" w:rsidR="008A0B1E" w:rsidRPr="004C502E" w:rsidRDefault="008A0B1E" w:rsidP="008A0B1E">
                            <w:pPr>
                              <w:spacing w:line="276" w:lineRule="auto"/>
                              <w:rPr>
                                <w:rFonts w:ascii="Cambria" w:hAnsi="Cambria" w:cs="Arial"/>
                                <w:bCs/>
                                <w:color w:val="0D0D0D"/>
                                <w:szCs w:val="40"/>
                                <w:lang w:val="pt-BR"/>
                              </w:rPr>
                            </w:pPr>
                            <w:r w:rsidRPr="004C502E">
                              <w:rPr>
                                <w:rFonts w:ascii="Cambria" w:hAnsi="Cambria" w:cs="Arial"/>
                                <w:bCs/>
                                <w:color w:val="0D0D0D"/>
                                <w:szCs w:val="40"/>
                                <w:lang w:val="pt-BR"/>
                              </w:rPr>
                              <w:t>RELATÓRIO</w:t>
                            </w:r>
                            <w:r w:rsidR="00412D8D" w:rsidRPr="004C502E">
                              <w:rPr>
                                <w:rFonts w:ascii="Cambria" w:hAnsi="Cambria" w:cs="Arial"/>
                                <w:bCs/>
                                <w:color w:val="0D0D0D"/>
                                <w:szCs w:val="40"/>
                                <w:lang w:val="pt-BR"/>
                              </w:rPr>
                              <w:t xml:space="preserve"> DE ADMISSIBILIDADE </w:t>
                            </w:r>
                          </w:p>
                          <w:p w14:paraId="184B14EE" w14:textId="77777777" w:rsidR="00412D8D" w:rsidRPr="00206F45" w:rsidRDefault="00412D8D" w:rsidP="00412D8D">
                            <w:pPr>
                              <w:spacing w:line="276" w:lineRule="auto"/>
                              <w:rPr>
                                <w:rFonts w:ascii="Cambria" w:hAnsi="Cambria" w:cs="Arial"/>
                                <w:bCs/>
                                <w:color w:val="0D0D0D"/>
                                <w:szCs w:val="40"/>
                                <w:lang w:val="pt-BR"/>
                              </w:rPr>
                            </w:pPr>
                          </w:p>
                          <w:p w14:paraId="136EA10A" w14:textId="77777777" w:rsidR="00412D8D" w:rsidRPr="00206F45" w:rsidRDefault="00412D8D" w:rsidP="00412D8D">
                            <w:pPr>
                              <w:spacing w:line="276" w:lineRule="auto"/>
                              <w:rPr>
                                <w:rFonts w:ascii="Cambria" w:hAnsi="Cambria" w:cs="Arial"/>
                                <w:bCs/>
                                <w:color w:val="0D0D0D"/>
                                <w:szCs w:val="40"/>
                                <w:lang w:val="pt-BR"/>
                              </w:rPr>
                            </w:pPr>
                          </w:p>
                          <w:p w14:paraId="129B37F1" w14:textId="18AD67EF" w:rsidR="00013992" w:rsidRPr="00013992" w:rsidRDefault="00100B5A" w:rsidP="00013992">
                            <w:pPr>
                              <w:spacing w:line="276" w:lineRule="auto"/>
                              <w:rPr>
                                <w:rFonts w:ascii="Cambria" w:hAnsi="Cambria" w:cs="Arial"/>
                                <w:color w:val="0D0D0D"/>
                                <w:szCs w:val="22"/>
                                <w:lang w:val="pt-BR"/>
                              </w:rPr>
                            </w:pPr>
                            <w:r>
                              <w:rPr>
                                <w:rFonts w:ascii="Cambria" w:hAnsi="Cambria" w:cs="Arial"/>
                                <w:color w:val="0D0D0D"/>
                                <w:szCs w:val="22"/>
                                <w:lang w:val="pt-BR"/>
                              </w:rPr>
                              <w:t>ALAN RAÍ REHBEIM DE OLIVEIRA</w:t>
                            </w:r>
                            <w:r w:rsidR="00013992" w:rsidRPr="00013992">
                              <w:rPr>
                                <w:rFonts w:ascii="Cambria" w:hAnsi="Cambria" w:cs="Arial"/>
                                <w:color w:val="0D0D0D"/>
                                <w:szCs w:val="22"/>
                                <w:lang w:val="pt-BR"/>
                              </w:rPr>
                              <w:t xml:space="preserve"> E OUTROS</w:t>
                            </w:r>
                          </w:p>
                          <w:p w14:paraId="1C02EBA0" w14:textId="5D02B705" w:rsidR="005B52B0" w:rsidRPr="00206F45" w:rsidRDefault="008A0B1E" w:rsidP="00013992">
                            <w:pPr>
                              <w:rPr>
                                <w:rFonts w:ascii="Cambria" w:hAnsi="Cambria"/>
                                <w:color w:val="0D0D0D"/>
                                <w:sz w:val="18"/>
                                <w:lang w:val="pt-BR"/>
                              </w:rPr>
                            </w:pPr>
                            <w:r w:rsidRPr="00206F45">
                              <w:rPr>
                                <w:rFonts w:ascii="Cambria" w:hAnsi="Cambria" w:cs="Arial"/>
                                <w:color w:val="0D0D0D"/>
                                <w:szCs w:val="22"/>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0D3B" id="Text Box 9" o:spid="_x0000_s1028" type="#_x0000_t202" style="position:absolute;left:0;text-align:left;margin-left:96.75pt;margin-top:6.25pt;width:404.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" filled="f" stroked="f" strokeweight=".5pt">
                <v:textbox>
                  <w:txbxContent>
                    <w:p w14:paraId="62142F1D" w14:textId="41DE2B52"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RELATÓRIO </w:t>
                      </w:r>
                      <w:r w:rsidR="00F869D6">
                        <w:rPr>
                          <w:rFonts w:ascii="Cambria" w:hAnsi="Cambria" w:cs="Arial"/>
                          <w:b/>
                          <w:bCs/>
                          <w:color w:val="0D0D0D"/>
                          <w:sz w:val="36"/>
                          <w:szCs w:val="40"/>
                          <w:lang w:val="pt-BR"/>
                        </w:rPr>
                        <w:t>N</w:t>
                      </w:r>
                      <w:r w:rsidR="009F380F" w:rsidRPr="004C502E">
                        <w:rPr>
                          <w:rFonts w:ascii="Cambria" w:hAnsi="Cambria" w:cs="Arial"/>
                          <w:b/>
                          <w:bCs/>
                          <w:color w:val="0D0D0D"/>
                          <w:sz w:val="36"/>
                          <w:szCs w:val="40"/>
                          <w:lang w:val="pt-BR"/>
                        </w:rPr>
                        <w:t>º</w:t>
                      </w:r>
                      <w:r w:rsidRPr="004C502E">
                        <w:rPr>
                          <w:rFonts w:ascii="Cambria" w:hAnsi="Cambria" w:cs="Arial"/>
                          <w:b/>
                          <w:bCs/>
                          <w:color w:val="0D0D0D"/>
                          <w:sz w:val="36"/>
                          <w:szCs w:val="40"/>
                          <w:lang w:val="pt-BR"/>
                        </w:rPr>
                        <w:t xml:space="preserve"> </w:t>
                      </w:r>
                      <w:r w:rsidR="002C2F8A">
                        <w:rPr>
                          <w:rFonts w:ascii="Cambria" w:hAnsi="Cambria" w:cs="Arial"/>
                          <w:b/>
                          <w:bCs/>
                          <w:color w:val="0D0D0D"/>
                          <w:sz w:val="36"/>
                          <w:szCs w:val="40"/>
                          <w:lang w:val="pt-BR"/>
                        </w:rPr>
                        <w:t>94</w:t>
                      </w:r>
                      <w:r w:rsidRPr="004C502E">
                        <w:rPr>
                          <w:rFonts w:ascii="Cambria" w:hAnsi="Cambria" w:cs="Arial"/>
                          <w:b/>
                          <w:bCs/>
                          <w:color w:val="0D0D0D"/>
                          <w:sz w:val="36"/>
                          <w:szCs w:val="40"/>
                          <w:lang w:val="pt-BR"/>
                        </w:rPr>
                        <w:t>/</w:t>
                      </w:r>
                      <w:r w:rsidR="008A0B1E" w:rsidRPr="004C502E">
                        <w:rPr>
                          <w:rFonts w:ascii="Cambria" w:hAnsi="Cambria" w:cs="Arial"/>
                          <w:b/>
                          <w:bCs/>
                          <w:color w:val="0D0D0D"/>
                          <w:sz w:val="36"/>
                          <w:szCs w:val="40"/>
                          <w:lang w:val="pt-BR"/>
                        </w:rPr>
                        <w:t>2</w:t>
                      </w:r>
                      <w:r w:rsidR="00100B5A">
                        <w:rPr>
                          <w:rFonts w:ascii="Cambria" w:hAnsi="Cambria" w:cs="Arial"/>
                          <w:b/>
                          <w:bCs/>
                          <w:color w:val="0D0D0D"/>
                          <w:sz w:val="36"/>
                          <w:szCs w:val="40"/>
                          <w:lang w:val="pt-BR"/>
                        </w:rPr>
                        <w:t>4</w:t>
                      </w:r>
                    </w:p>
                    <w:p w14:paraId="3B604F31" w14:textId="0C2678B6"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PETIÇÃO </w:t>
                      </w:r>
                      <w:r w:rsidR="00100B5A">
                        <w:rPr>
                          <w:rFonts w:ascii="Cambria" w:hAnsi="Cambria" w:cs="Arial"/>
                          <w:b/>
                          <w:bCs/>
                          <w:color w:val="0D0D0D"/>
                          <w:sz w:val="36"/>
                          <w:szCs w:val="40"/>
                          <w:lang w:val="pt-BR"/>
                        </w:rPr>
                        <w:t>170</w:t>
                      </w:r>
                      <w:r w:rsidR="00013992" w:rsidRPr="00013992">
                        <w:rPr>
                          <w:rFonts w:ascii="Cambria" w:hAnsi="Cambria" w:cs="Arial"/>
                          <w:b/>
                          <w:bCs/>
                          <w:color w:val="0D0D0D"/>
                          <w:sz w:val="36"/>
                          <w:szCs w:val="40"/>
                          <w:lang w:val="pt-BR"/>
                        </w:rPr>
                        <w:t>-1</w:t>
                      </w:r>
                      <w:r w:rsidR="00100B5A">
                        <w:rPr>
                          <w:rFonts w:ascii="Cambria" w:hAnsi="Cambria" w:cs="Arial"/>
                          <w:b/>
                          <w:bCs/>
                          <w:color w:val="0D0D0D"/>
                          <w:sz w:val="36"/>
                          <w:szCs w:val="40"/>
                          <w:lang w:val="pt-BR"/>
                        </w:rPr>
                        <w:t>7</w:t>
                      </w:r>
                    </w:p>
                    <w:p w14:paraId="78CAD49A" w14:textId="77777777" w:rsidR="008A0B1E" w:rsidRPr="004C502E" w:rsidRDefault="008A0B1E" w:rsidP="008A0B1E">
                      <w:pPr>
                        <w:spacing w:line="276" w:lineRule="auto"/>
                        <w:rPr>
                          <w:rFonts w:ascii="Cambria" w:hAnsi="Cambria" w:cs="Arial"/>
                          <w:bCs/>
                          <w:color w:val="0D0D0D"/>
                          <w:szCs w:val="40"/>
                          <w:lang w:val="pt-BR"/>
                        </w:rPr>
                      </w:pPr>
                      <w:r w:rsidRPr="004C502E">
                        <w:rPr>
                          <w:rFonts w:ascii="Cambria" w:hAnsi="Cambria" w:cs="Arial"/>
                          <w:bCs/>
                          <w:color w:val="0D0D0D"/>
                          <w:szCs w:val="40"/>
                          <w:lang w:val="pt-BR"/>
                        </w:rPr>
                        <w:t>RELATÓRIO</w:t>
                      </w:r>
                      <w:r w:rsidR="00412D8D" w:rsidRPr="004C502E">
                        <w:rPr>
                          <w:rFonts w:ascii="Cambria" w:hAnsi="Cambria" w:cs="Arial"/>
                          <w:bCs/>
                          <w:color w:val="0D0D0D"/>
                          <w:szCs w:val="40"/>
                          <w:lang w:val="pt-BR"/>
                        </w:rPr>
                        <w:t xml:space="preserve"> DE ADMISSIBILIDADE </w:t>
                      </w:r>
                    </w:p>
                    <w:p w14:paraId="184B14EE" w14:textId="77777777" w:rsidR="00412D8D" w:rsidRPr="00206F45" w:rsidRDefault="00412D8D" w:rsidP="00412D8D">
                      <w:pPr>
                        <w:spacing w:line="276" w:lineRule="auto"/>
                        <w:rPr>
                          <w:rFonts w:ascii="Cambria" w:hAnsi="Cambria" w:cs="Arial"/>
                          <w:bCs/>
                          <w:color w:val="0D0D0D"/>
                          <w:szCs w:val="40"/>
                          <w:lang w:val="pt-BR"/>
                        </w:rPr>
                      </w:pPr>
                    </w:p>
                    <w:p w14:paraId="136EA10A" w14:textId="77777777" w:rsidR="00412D8D" w:rsidRPr="00206F45" w:rsidRDefault="00412D8D" w:rsidP="00412D8D">
                      <w:pPr>
                        <w:spacing w:line="276" w:lineRule="auto"/>
                        <w:rPr>
                          <w:rFonts w:ascii="Cambria" w:hAnsi="Cambria" w:cs="Arial"/>
                          <w:bCs/>
                          <w:color w:val="0D0D0D"/>
                          <w:szCs w:val="40"/>
                          <w:lang w:val="pt-BR"/>
                        </w:rPr>
                      </w:pPr>
                    </w:p>
                    <w:p w14:paraId="129B37F1" w14:textId="18AD67EF" w:rsidR="00013992" w:rsidRPr="00013992" w:rsidRDefault="00100B5A" w:rsidP="00013992">
                      <w:pPr>
                        <w:spacing w:line="276" w:lineRule="auto"/>
                        <w:rPr>
                          <w:rFonts w:ascii="Cambria" w:hAnsi="Cambria" w:cs="Arial"/>
                          <w:color w:val="0D0D0D"/>
                          <w:szCs w:val="22"/>
                          <w:lang w:val="pt-BR"/>
                        </w:rPr>
                      </w:pPr>
                      <w:r>
                        <w:rPr>
                          <w:rFonts w:ascii="Cambria" w:hAnsi="Cambria" w:cs="Arial"/>
                          <w:color w:val="0D0D0D"/>
                          <w:szCs w:val="22"/>
                          <w:lang w:val="pt-BR"/>
                        </w:rPr>
                        <w:t>ALAN RAÍ REHBEIM DE OLIVEIRA</w:t>
                      </w:r>
                      <w:r w:rsidR="00013992" w:rsidRPr="00013992">
                        <w:rPr>
                          <w:rFonts w:ascii="Cambria" w:hAnsi="Cambria" w:cs="Arial"/>
                          <w:color w:val="0D0D0D"/>
                          <w:szCs w:val="22"/>
                          <w:lang w:val="pt-BR"/>
                        </w:rPr>
                        <w:t xml:space="preserve"> E OUTROS</w:t>
                      </w:r>
                    </w:p>
                    <w:p w14:paraId="1C02EBA0" w14:textId="5D02B705" w:rsidR="005B52B0" w:rsidRPr="00206F45" w:rsidRDefault="008A0B1E" w:rsidP="00013992">
                      <w:pPr>
                        <w:rPr>
                          <w:rFonts w:ascii="Cambria" w:hAnsi="Cambria"/>
                          <w:color w:val="0D0D0D"/>
                          <w:sz w:val="18"/>
                          <w:lang w:val="pt-BR"/>
                        </w:rPr>
                      </w:pPr>
                      <w:r w:rsidRPr="00206F45">
                        <w:rPr>
                          <w:rFonts w:ascii="Cambria" w:hAnsi="Cambria" w:cs="Arial"/>
                          <w:color w:val="0D0D0D"/>
                          <w:szCs w:val="22"/>
                        </w:rPr>
                        <w:t>BRASIL</w:t>
                      </w:r>
                    </w:p>
                  </w:txbxContent>
                </v:textbox>
              </v:shape>
            </w:pict>
          </mc:Fallback>
        </mc:AlternateContent>
      </w:r>
    </w:p>
    <w:p w14:paraId="4B49BA4C" w14:textId="77777777" w:rsidR="00040C3A" w:rsidRPr="00FF6DBF" w:rsidRDefault="00040C3A" w:rsidP="006539EA">
      <w:pPr>
        <w:tabs>
          <w:tab w:val="center" w:pos="5400"/>
        </w:tabs>
        <w:suppressAutoHyphens/>
        <w:jc w:val="center"/>
        <w:rPr>
          <w:rFonts w:ascii="Cambria" w:hAnsi="Cambria"/>
          <w:sz w:val="22"/>
          <w:szCs w:val="22"/>
          <w:lang w:val="pt-BR"/>
        </w:rPr>
      </w:pPr>
    </w:p>
    <w:p w14:paraId="667CCC60" w14:textId="77777777" w:rsidR="00040C3A" w:rsidRPr="00FF6DBF" w:rsidRDefault="00040C3A" w:rsidP="006539EA">
      <w:pPr>
        <w:tabs>
          <w:tab w:val="center" w:pos="5400"/>
        </w:tabs>
        <w:suppressAutoHyphens/>
        <w:jc w:val="center"/>
        <w:rPr>
          <w:rFonts w:ascii="Cambria" w:hAnsi="Cambria" w:cs="Arial"/>
          <w:sz w:val="22"/>
          <w:szCs w:val="22"/>
          <w:lang w:val="pt-BR"/>
        </w:rPr>
      </w:pPr>
    </w:p>
    <w:p w14:paraId="5CB965C0" w14:textId="77777777" w:rsidR="00040C3A" w:rsidRPr="00FF6DBF" w:rsidRDefault="00040C3A" w:rsidP="006539EA">
      <w:pPr>
        <w:tabs>
          <w:tab w:val="center" w:pos="5400"/>
        </w:tabs>
        <w:suppressAutoHyphens/>
        <w:jc w:val="center"/>
        <w:rPr>
          <w:rFonts w:ascii="Cambria" w:hAnsi="Cambria"/>
          <w:sz w:val="22"/>
          <w:szCs w:val="22"/>
          <w:lang w:val="pt-BR"/>
        </w:rPr>
      </w:pPr>
    </w:p>
    <w:p w14:paraId="4F815FA6" w14:textId="77777777" w:rsidR="00040C3A" w:rsidRPr="00FF6DBF" w:rsidRDefault="00040C3A" w:rsidP="006539EA">
      <w:pPr>
        <w:tabs>
          <w:tab w:val="center" w:pos="5400"/>
        </w:tabs>
        <w:suppressAutoHyphens/>
        <w:jc w:val="center"/>
        <w:rPr>
          <w:rFonts w:ascii="Cambria" w:hAnsi="Cambria"/>
          <w:sz w:val="22"/>
          <w:szCs w:val="22"/>
          <w:lang w:val="pt-BR"/>
        </w:rPr>
      </w:pPr>
    </w:p>
    <w:p w14:paraId="313F4889" w14:textId="77777777" w:rsidR="00040C3A" w:rsidRPr="00FF6DBF" w:rsidRDefault="00040C3A" w:rsidP="006539EA">
      <w:pPr>
        <w:tabs>
          <w:tab w:val="center" w:pos="5400"/>
        </w:tabs>
        <w:suppressAutoHyphens/>
        <w:jc w:val="center"/>
        <w:rPr>
          <w:rFonts w:ascii="Cambria" w:hAnsi="Cambria"/>
          <w:sz w:val="22"/>
          <w:szCs w:val="22"/>
          <w:lang w:val="pt-BR"/>
        </w:rPr>
      </w:pPr>
    </w:p>
    <w:p w14:paraId="63CE7274" w14:textId="77777777" w:rsidR="00040C3A" w:rsidRPr="00FF6DBF" w:rsidRDefault="00040C3A" w:rsidP="006539EA">
      <w:pPr>
        <w:tabs>
          <w:tab w:val="center" w:pos="5400"/>
        </w:tabs>
        <w:suppressAutoHyphens/>
        <w:jc w:val="center"/>
        <w:rPr>
          <w:rFonts w:ascii="Cambria" w:hAnsi="Cambria"/>
          <w:sz w:val="22"/>
          <w:szCs w:val="22"/>
          <w:lang w:val="pt-BR"/>
        </w:rPr>
      </w:pPr>
    </w:p>
    <w:p w14:paraId="0209BF4F" w14:textId="77777777" w:rsidR="005128E4" w:rsidRPr="00FF6DBF" w:rsidRDefault="005128E4" w:rsidP="006539EA">
      <w:pPr>
        <w:tabs>
          <w:tab w:val="center" w:pos="5400"/>
        </w:tabs>
        <w:suppressAutoHyphens/>
        <w:jc w:val="center"/>
        <w:rPr>
          <w:rFonts w:ascii="Cambria" w:hAnsi="Cambria"/>
          <w:sz w:val="22"/>
          <w:szCs w:val="22"/>
          <w:lang w:val="pt-BR"/>
        </w:rPr>
      </w:pPr>
    </w:p>
    <w:p w14:paraId="4AFCF425" w14:textId="77777777" w:rsidR="00040C3A" w:rsidRPr="00FF6DBF" w:rsidRDefault="00040C3A" w:rsidP="006539EA">
      <w:pPr>
        <w:tabs>
          <w:tab w:val="center" w:pos="5400"/>
        </w:tabs>
        <w:suppressAutoHyphens/>
        <w:jc w:val="center"/>
        <w:rPr>
          <w:rFonts w:ascii="Cambria" w:hAnsi="Cambria"/>
          <w:sz w:val="22"/>
          <w:szCs w:val="22"/>
          <w:lang w:val="pt-BR"/>
        </w:rPr>
      </w:pPr>
    </w:p>
    <w:p w14:paraId="652EFCFE" w14:textId="77777777" w:rsidR="005128E4" w:rsidRPr="00FF6DBF" w:rsidRDefault="005128E4" w:rsidP="006539EA">
      <w:pPr>
        <w:tabs>
          <w:tab w:val="center" w:pos="5400"/>
        </w:tabs>
        <w:suppressAutoHyphens/>
        <w:jc w:val="center"/>
        <w:rPr>
          <w:rFonts w:ascii="Cambria" w:hAnsi="Cambria"/>
          <w:sz w:val="22"/>
          <w:szCs w:val="22"/>
          <w:lang w:val="pt-BR"/>
        </w:rPr>
      </w:pPr>
    </w:p>
    <w:p w14:paraId="56AC8D0A" w14:textId="77777777" w:rsidR="005128E4" w:rsidRPr="00FF6DBF" w:rsidRDefault="005128E4" w:rsidP="006539EA">
      <w:pPr>
        <w:tabs>
          <w:tab w:val="center" w:pos="5400"/>
        </w:tabs>
        <w:suppressAutoHyphens/>
        <w:jc w:val="center"/>
        <w:rPr>
          <w:rFonts w:ascii="Cambria" w:hAnsi="Cambria"/>
          <w:sz w:val="22"/>
          <w:szCs w:val="22"/>
          <w:lang w:val="pt-BR"/>
        </w:rPr>
      </w:pPr>
    </w:p>
    <w:p w14:paraId="34ABA0A2" w14:textId="77777777" w:rsidR="005128E4" w:rsidRPr="00FF6DBF" w:rsidRDefault="005128E4" w:rsidP="006539EA">
      <w:pPr>
        <w:tabs>
          <w:tab w:val="center" w:pos="5400"/>
        </w:tabs>
        <w:suppressAutoHyphens/>
        <w:jc w:val="center"/>
        <w:rPr>
          <w:rFonts w:ascii="Cambria" w:hAnsi="Cambria"/>
          <w:sz w:val="22"/>
          <w:szCs w:val="22"/>
          <w:lang w:val="pt-BR"/>
        </w:rPr>
      </w:pPr>
    </w:p>
    <w:p w14:paraId="373E4530" w14:textId="77777777" w:rsidR="00040C3A" w:rsidRPr="00FF6DBF" w:rsidRDefault="00040C3A" w:rsidP="006539EA">
      <w:pPr>
        <w:tabs>
          <w:tab w:val="center" w:pos="5400"/>
        </w:tabs>
        <w:suppressAutoHyphens/>
        <w:jc w:val="center"/>
        <w:rPr>
          <w:rFonts w:ascii="Cambria" w:hAnsi="Cambria"/>
          <w:sz w:val="22"/>
          <w:szCs w:val="22"/>
          <w:lang w:val="pt-BR"/>
        </w:rPr>
      </w:pPr>
    </w:p>
    <w:p w14:paraId="6AF11036" w14:textId="77777777" w:rsidR="00040C3A" w:rsidRPr="00FF6DBF" w:rsidRDefault="00040C3A" w:rsidP="006539EA">
      <w:pPr>
        <w:tabs>
          <w:tab w:val="center" w:pos="5400"/>
        </w:tabs>
        <w:suppressAutoHyphens/>
        <w:jc w:val="center"/>
        <w:rPr>
          <w:rFonts w:ascii="Cambria" w:hAnsi="Cambria"/>
          <w:sz w:val="22"/>
          <w:szCs w:val="22"/>
          <w:lang w:val="pt-BR"/>
        </w:rPr>
      </w:pPr>
    </w:p>
    <w:p w14:paraId="3D07D649" w14:textId="77777777" w:rsidR="002C1641" w:rsidRPr="00FF6DBF" w:rsidRDefault="002C1641" w:rsidP="006539EA">
      <w:pPr>
        <w:tabs>
          <w:tab w:val="center" w:pos="5400"/>
        </w:tabs>
        <w:suppressAutoHyphens/>
        <w:jc w:val="center"/>
        <w:rPr>
          <w:rFonts w:ascii="Cambria" w:hAnsi="Cambria"/>
          <w:sz w:val="18"/>
          <w:szCs w:val="22"/>
          <w:lang w:val="pt-BR"/>
        </w:rPr>
      </w:pPr>
    </w:p>
    <w:p w14:paraId="70B4934C" w14:textId="77777777" w:rsidR="002C1641" w:rsidRPr="00FF6DBF" w:rsidRDefault="002C1641" w:rsidP="006539EA">
      <w:pPr>
        <w:tabs>
          <w:tab w:val="center" w:pos="5400"/>
        </w:tabs>
        <w:suppressAutoHyphens/>
        <w:jc w:val="center"/>
        <w:rPr>
          <w:rFonts w:ascii="Cambria" w:hAnsi="Cambria"/>
          <w:sz w:val="18"/>
          <w:szCs w:val="22"/>
          <w:lang w:val="pt-BR"/>
        </w:rPr>
      </w:pPr>
    </w:p>
    <w:p w14:paraId="5A83B036" w14:textId="77777777" w:rsidR="002C1641" w:rsidRPr="00FF6DBF" w:rsidRDefault="002C1641" w:rsidP="006539EA">
      <w:pPr>
        <w:tabs>
          <w:tab w:val="center" w:pos="5400"/>
        </w:tabs>
        <w:suppressAutoHyphens/>
        <w:jc w:val="center"/>
        <w:rPr>
          <w:rFonts w:ascii="Cambria" w:hAnsi="Cambria"/>
          <w:sz w:val="18"/>
          <w:szCs w:val="22"/>
          <w:lang w:val="pt-BR"/>
        </w:rPr>
      </w:pPr>
    </w:p>
    <w:p w14:paraId="090BED26" w14:textId="77777777" w:rsidR="002C1641" w:rsidRPr="00FF6DBF" w:rsidRDefault="002C1641" w:rsidP="006539EA">
      <w:pPr>
        <w:tabs>
          <w:tab w:val="center" w:pos="5400"/>
        </w:tabs>
        <w:suppressAutoHyphens/>
        <w:jc w:val="center"/>
        <w:rPr>
          <w:rFonts w:ascii="Cambria" w:hAnsi="Cambria"/>
          <w:sz w:val="18"/>
          <w:szCs w:val="22"/>
          <w:lang w:val="pt-BR"/>
        </w:rPr>
      </w:pPr>
    </w:p>
    <w:p w14:paraId="29958301" w14:textId="77777777" w:rsidR="002C1641" w:rsidRPr="00FF6DBF" w:rsidRDefault="002C1641" w:rsidP="006539EA">
      <w:pPr>
        <w:tabs>
          <w:tab w:val="center" w:pos="5400"/>
        </w:tabs>
        <w:suppressAutoHyphens/>
        <w:jc w:val="center"/>
        <w:rPr>
          <w:rFonts w:ascii="Cambria" w:hAnsi="Cambria"/>
          <w:sz w:val="18"/>
          <w:szCs w:val="22"/>
          <w:lang w:val="pt-BR"/>
        </w:rPr>
      </w:pPr>
    </w:p>
    <w:p w14:paraId="67CF79AE" w14:textId="77777777" w:rsidR="002C1641" w:rsidRPr="00FF6DBF" w:rsidRDefault="002C1641" w:rsidP="006539EA">
      <w:pPr>
        <w:tabs>
          <w:tab w:val="center" w:pos="5400"/>
        </w:tabs>
        <w:suppressAutoHyphens/>
        <w:jc w:val="center"/>
        <w:rPr>
          <w:rFonts w:ascii="Cambria" w:hAnsi="Cambria"/>
          <w:sz w:val="18"/>
          <w:szCs w:val="22"/>
          <w:lang w:val="pt-BR"/>
        </w:rPr>
      </w:pPr>
    </w:p>
    <w:p w14:paraId="1D7BEA85" w14:textId="77777777" w:rsidR="002C1641" w:rsidRPr="00FF6DBF" w:rsidRDefault="002C1641" w:rsidP="006539EA">
      <w:pPr>
        <w:tabs>
          <w:tab w:val="center" w:pos="5400"/>
        </w:tabs>
        <w:suppressAutoHyphens/>
        <w:jc w:val="center"/>
        <w:rPr>
          <w:rFonts w:ascii="Cambria" w:hAnsi="Cambria"/>
          <w:sz w:val="18"/>
          <w:szCs w:val="22"/>
          <w:lang w:val="pt-BR"/>
        </w:rPr>
      </w:pPr>
    </w:p>
    <w:p w14:paraId="35E0AFC8" w14:textId="77777777" w:rsidR="002C1641" w:rsidRPr="00FF6DBF" w:rsidRDefault="002C1641" w:rsidP="006539EA">
      <w:pPr>
        <w:tabs>
          <w:tab w:val="center" w:pos="5400"/>
        </w:tabs>
        <w:suppressAutoHyphens/>
        <w:jc w:val="center"/>
        <w:rPr>
          <w:rFonts w:ascii="Cambria" w:hAnsi="Cambria"/>
          <w:sz w:val="18"/>
          <w:szCs w:val="22"/>
          <w:lang w:val="pt-BR"/>
        </w:rPr>
      </w:pPr>
    </w:p>
    <w:p w14:paraId="07C45FBB" w14:textId="77777777" w:rsidR="002C1641" w:rsidRPr="00FF6DBF" w:rsidRDefault="002C1641" w:rsidP="006539EA">
      <w:pPr>
        <w:tabs>
          <w:tab w:val="center" w:pos="5400"/>
        </w:tabs>
        <w:suppressAutoHyphens/>
        <w:jc w:val="center"/>
        <w:rPr>
          <w:rFonts w:ascii="Cambria" w:hAnsi="Cambria"/>
          <w:sz w:val="18"/>
          <w:szCs w:val="22"/>
          <w:lang w:val="pt-BR"/>
        </w:rPr>
      </w:pPr>
    </w:p>
    <w:p w14:paraId="139934C5" w14:textId="77777777" w:rsidR="002C1641" w:rsidRPr="00FF6DBF" w:rsidRDefault="002C1641" w:rsidP="006539EA">
      <w:pPr>
        <w:tabs>
          <w:tab w:val="center" w:pos="5400"/>
        </w:tabs>
        <w:suppressAutoHyphens/>
        <w:jc w:val="center"/>
        <w:rPr>
          <w:rFonts w:ascii="Cambria" w:hAnsi="Cambria"/>
          <w:sz w:val="18"/>
          <w:szCs w:val="22"/>
          <w:lang w:val="pt-BR"/>
        </w:rPr>
      </w:pPr>
    </w:p>
    <w:p w14:paraId="778A2701" w14:textId="77777777" w:rsidR="002C1641" w:rsidRPr="00FF6DBF" w:rsidRDefault="002C1641" w:rsidP="006539EA">
      <w:pPr>
        <w:tabs>
          <w:tab w:val="center" w:pos="5400"/>
        </w:tabs>
        <w:suppressAutoHyphens/>
        <w:jc w:val="center"/>
        <w:rPr>
          <w:rFonts w:ascii="Cambria" w:hAnsi="Cambria"/>
          <w:sz w:val="18"/>
          <w:szCs w:val="22"/>
          <w:lang w:val="pt-BR"/>
        </w:rPr>
      </w:pPr>
    </w:p>
    <w:p w14:paraId="0A074F79" w14:textId="756D763A" w:rsidR="002C1641" w:rsidRPr="00FF6DBF" w:rsidRDefault="00B1473D" w:rsidP="006539EA">
      <w:pPr>
        <w:tabs>
          <w:tab w:val="center" w:pos="5400"/>
        </w:tabs>
        <w:suppressAutoHyphens/>
        <w:jc w:val="center"/>
        <w:rPr>
          <w:rFonts w:ascii="Cambria" w:hAnsi="Cambria"/>
          <w:sz w:val="18"/>
          <w:szCs w:val="22"/>
          <w:lang w:val="pt-BR"/>
        </w:rPr>
      </w:pPr>
      <w:r w:rsidRPr="00FF6DBF">
        <w:rPr>
          <w:noProof/>
        </w:rPr>
        <mc:AlternateContent>
          <mc:Choice Requires="wps">
            <w:drawing>
              <wp:anchor distT="0" distB="0" distL="114300" distR="114300" simplePos="0" relativeHeight="251656192" behindDoc="0" locked="0" layoutInCell="1" allowOverlap="1" wp14:anchorId="067E3ACE" wp14:editId="0A0ED0D0">
                <wp:simplePos x="0" y="0"/>
                <wp:positionH relativeFrom="column">
                  <wp:posOffset>1234440</wp:posOffset>
                </wp:positionH>
                <wp:positionV relativeFrom="paragraph">
                  <wp:posOffset>128905</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14:paraId="6721A51F" w14:textId="273976DD" w:rsidR="00412D8D" w:rsidRPr="004C502E" w:rsidRDefault="00A23CB0" w:rsidP="0085594B">
                            <w:pPr>
                              <w:tabs>
                                <w:tab w:val="center" w:pos="5400"/>
                              </w:tabs>
                              <w:suppressAutoHyphens/>
                              <w:spacing w:before="60"/>
                              <w:rPr>
                                <w:rFonts w:ascii="Cambria" w:hAnsi="Cambria"/>
                                <w:color w:val="0D0D0D"/>
                                <w:sz w:val="18"/>
                                <w:szCs w:val="22"/>
                                <w:lang w:val="pt-BR"/>
                              </w:rPr>
                            </w:pPr>
                            <w:r w:rsidRPr="004C502E">
                              <w:rPr>
                                <w:rFonts w:ascii="Cambria" w:hAnsi="Cambria"/>
                                <w:color w:val="0D0D0D"/>
                                <w:sz w:val="18"/>
                                <w:szCs w:val="22"/>
                                <w:lang w:val="pt-BR"/>
                              </w:rPr>
                              <w:t xml:space="preserve">Aprovado eletronicamente pela </w:t>
                            </w:r>
                            <w:r w:rsidR="00EA6103" w:rsidRPr="004C502E">
                              <w:rPr>
                                <w:rFonts w:ascii="Cambria" w:hAnsi="Cambria"/>
                                <w:color w:val="0D0D0D"/>
                                <w:sz w:val="18"/>
                                <w:szCs w:val="22"/>
                                <w:lang w:val="pt-BR"/>
                              </w:rPr>
                              <w:t xml:space="preserve">Comissão em </w:t>
                            </w:r>
                            <w:r w:rsidR="00E00842">
                              <w:rPr>
                                <w:rFonts w:ascii="Cambria" w:hAnsi="Cambria"/>
                                <w:color w:val="0D0D0D"/>
                                <w:sz w:val="18"/>
                                <w:szCs w:val="22"/>
                                <w:lang w:val="pt-BR"/>
                              </w:rPr>
                              <w:t>19</w:t>
                            </w:r>
                            <w:r w:rsidR="00EA6103" w:rsidRPr="004C502E">
                              <w:rPr>
                                <w:rFonts w:ascii="Cambria" w:hAnsi="Cambria"/>
                                <w:color w:val="0D0D0D"/>
                                <w:sz w:val="18"/>
                                <w:szCs w:val="22"/>
                                <w:lang w:val="pt-BR"/>
                              </w:rPr>
                              <w:t xml:space="preserve"> de </w:t>
                            </w:r>
                            <w:r w:rsidR="00E00842">
                              <w:rPr>
                                <w:rFonts w:ascii="Cambria" w:hAnsi="Cambria"/>
                                <w:color w:val="0D0D0D"/>
                                <w:sz w:val="18"/>
                                <w:szCs w:val="22"/>
                                <w:lang w:val="pt-BR"/>
                              </w:rPr>
                              <w:t>junho</w:t>
                            </w:r>
                            <w:r w:rsidR="00EA6103" w:rsidRPr="004C502E">
                              <w:rPr>
                                <w:rFonts w:ascii="Cambria" w:hAnsi="Cambria"/>
                                <w:color w:val="0D0D0D"/>
                                <w:sz w:val="18"/>
                                <w:szCs w:val="22"/>
                                <w:lang w:val="pt-BR"/>
                              </w:rPr>
                              <w:t xml:space="preserve"> de 20</w:t>
                            </w:r>
                            <w:r w:rsidR="008A0B1E" w:rsidRPr="004C502E">
                              <w:rPr>
                                <w:rFonts w:ascii="Cambria" w:hAnsi="Cambria"/>
                                <w:color w:val="0D0D0D"/>
                                <w:sz w:val="18"/>
                                <w:szCs w:val="22"/>
                                <w:lang w:val="pt-BR"/>
                              </w:rPr>
                              <w:t>2</w:t>
                            </w:r>
                            <w:r w:rsidR="00100B5A">
                              <w:rPr>
                                <w:rFonts w:ascii="Cambria" w:hAnsi="Cambria"/>
                                <w:color w:val="0D0D0D"/>
                                <w:sz w:val="18"/>
                                <w:szCs w:val="22"/>
                                <w:lang w:val="pt-BR"/>
                              </w:rPr>
                              <w:t>4</w:t>
                            </w:r>
                            <w:r w:rsidR="00E00842">
                              <w:rPr>
                                <w:rFonts w:ascii="Cambria" w:hAnsi="Cambria"/>
                                <w:color w:val="0D0D0D"/>
                                <w:sz w:val="18"/>
                                <w:szCs w:val="22"/>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3ACE" id="Text Box 7" o:spid="_x0000_s1029" type="#_x0000_t202" style="position:absolute;left:0;text-align:left;margin-left:97.2pt;margin-top:10.15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" filled="f" stroked="f" strokeweight=".5pt">
                <v:textbox>
                  <w:txbxContent>
                    <w:p w14:paraId="6721A51F" w14:textId="273976DD" w:rsidR="00412D8D" w:rsidRPr="004C502E" w:rsidRDefault="00A23CB0" w:rsidP="0085594B">
                      <w:pPr>
                        <w:tabs>
                          <w:tab w:val="center" w:pos="5400"/>
                        </w:tabs>
                        <w:suppressAutoHyphens/>
                        <w:spacing w:before="60"/>
                        <w:rPr>
                          <w:rFonts w:ascii="Cambria" w:hAnsi="Cambria"/>
                          <w:color w:val="0D0D0D"/>
                          <w:sz w:val="18"/>
                          <w:szCs w:val="22"/>
                          <w:lang w:val="pt-BR"/>
                        </w:rPr>
                      </w:pPr>
                      <w:r w:rsidRPr="004C502E">
                        <w:rPr>
                          <w:rFonts w:ascii="Cambria" w:hAnsi="Cambria"/>
                          <w:color w:val="0D0D0D"/>
                          <w:sz w:val="18"/>
                          <w:szCs w:val="22"/>
                          <w:lang w:val="pt-BR"/>
                        </w:rPr>
                        <w:t xml:space="preserve">Aprovado eletronicamente pela </w:t>
                      </w:r>
                      <w:r w:rsidR="00EA6103" w:rsidRPr="004C502E">
                        <w:rPr>
                          <w:rFonts w:ascii="Cambria" w:hAnsi="Cambria"/>
                          <w:color w:val="0D0D0D"/>
                          <w:sz w:val="18"/>
                          <w:szCs w:val="22"/>
                          <w:lang w:val="pt-BR"/>
                        </w:rPr>
                        <w:t xml:space="preserve">Comissão em </w:t>
                      </w:r>
                      <w:r w:rsidR="00E00842">
                        <w:rPr>
                          <w:rFonts w:ascii="Cambria" w:hAnsi="Cambria"/>
                          <w:color w:val="0D0D0D"/>
                          <w:sz w:val="18"/>
                          <w:szCs w:val="22"/>
                          <w:lang w:val="pt-BR"/>
                        </w:rPr>
                        <w:t>19</w:t>
                      </w:r>
                      <w:r w:rsidR="00EA6103" w:rsidRPr="004C502E">
                        <w:rPr>
                          <w:rFonts w:ascii="Cambria" w:hAnsi="Cambria"/>
                          <w:color w:val="0D0D0D"/>
                          <w:sz w:val="18"/>
                          <w:szCs w:val="22"/>
                          <w:lang w:val="pt-BR"/>
                        </w:rPr>
                        <w:t xml:space="preserve"> de </w:t>
                      </w:r>
                      <w:r w:rsidR="00E00842">
                        <w:rPr>
                          <w:rFonts w:ascii="Cambria" w:hAnsi="Cambria"/>
                          <w:color w:val="0D0D0D"/>
                          <w:sz w:val="18"/>
                          <w:szCs w:val="22"/>
                          <w:lang w:val="pt-BR"/>
                        </w:rPr>
                        <w:t>junho</w:t>
                      </w:r>
                      <w:r w:rsidR="00EA6103" w:rsidRPr="004C502E">
                        <w:rPr>
                          <w:rFonts w:ascii="Cambria" w:hAnsi="Cambria"/>
                          <w:color w:val="0D0D0D"/>
                          <w:sz w:val="18"/>
                          <w:szCs w:val="22"/>
                          <w:lang w:val="pt-BR"/>
                        </w:rPr>
                        <w:t xml:space="preserve"> de 20</w:t>
                      </w:r>
                      <w:r w:rsidR="008A0B1E" w:rsidRPr="004C502E">
                        <w:rPr>
                          <w:rFonts w:ascii="Cambria" w:hAnsi="Cambria"/>
                          <w:color w:val="0D0D0D"/>
                          <w:sz w:val="18"/>
                          <w:szCs w:val="22"/>
                          <w:lang w:val="pt-BR"/>
                        </w:rPr>
                        <w:t>2</w:t>
                      </w:r>
                      <w:r w:rsidR="00100B5A">
                        <w:rPr>
                          <w:rFonts w:ascii="Cambria" w:hAnsi="Cambria"/>
                          <w:color w:val="0D0D0D"/>
                          <w:sz w:val="18"/>
                          <w:szCs w:val="22"/>
                          <w:lang w:val="pt-BR"/>
                        </w:rPr>
                        <w:t>4</w:t>
                      </w:r>
                      <w:r w:rsidR="00E00842">
                        <w:rPr>
                          <w:rFonts w:ascii="Cambria" w:hAnsi="Cambria"/>
                          <w:color w:val="0D0D0D"/>
                          <w:sz w:val="18"/>
                          <w:szCs w:val="22"/>
                          <w:lang w:val="pt-BR"/>
                        </w:rPr>
                        <w:t>.</w:t>
                      </w:r>
                    </w:p>
                  </w:txbxContent>
                </v:textbox>
              </v:shape>
            </w:pict>
          </mc:Fallback>
        </mc:AlternateContent>
      </w:r>
    </w:p>
    <w:p w14:paraId="55807D0B" w14:textId="77777777" w:rsidR="002C1641" w:rsidRPr="00FF6DBF" w:rsidRDefault="002C1641" w:rsidP="006539EA">
      <w:pPr>
        <w:tabs>
          <w:tab w:val="center" w:pos="5400"/>
        </w:tabs>
        <w:suppressAutoHyphens/>
        <w:jc w:val="center"/>
        <w:rPr>
          <w:rFonts w:ascii="Cambria" w:hAnsi="Cambria"/>
          <w:sz w:val="18"/>
          <w:szCs w:val="22"/>
          <w:lang w:val="pt-BR"/>
        </w:rPr>
      </w:pPr>
    </w:p>
    <w:p w14:paraId="3D49EFA7" w14:textId="77777777" w:rsidR="002C1641" w:rsidRPr="00FF6DBF" w:rsidRDefault="002C1641" w:rsidP="006539EA">
      <w:pPr>
        <w:tabs>
          <w:tab w:val="center" w:pos="5400"/>
        </w:tabs>
        <w:suppressAutoHyphens/>
        <w:jc w:val="center"/>
        <w:rPr>
          <w:rFonts w:ascii="Cambria" w:hAnsi="Cambria"/>
          <w:sz w:val="18"/>
          <w:szCs w:val="22"/>
          <w:lang w:val="pt-BR"/>
        </w:rPr>
      </w:pPr>
    </w:p>
    <w:p w14:paraId="587BBFA5" w14:textId="77777777" w:rsidR="002C1641" w:rsidRPr="00FF6DBF" w:rsidRDefault="002C1641" w:rsidP="006539EA">
      <w:pPr>
        <w:tabs>
          <w:tab w:val="center" w:pos="5400"/>
        </w:tabs>
        <w:suppressAutoHyphens/>
        <w:jc w:val="center"/>
        <w:rPr>
          <w:rFonts w:ascii="Cambria" w:hAnsi="Cambria"/>
          <w:sz w:val="18"/>
          <w:szCs w:val="22"/>
          <w:lang w:val="pt-BR"/>
        </w:rPr>
      </w:pPr>
    </w:p>
    <w:p w14:paraId="1E73FEF3" w14:textId="77777777" w:rsidR="002C1641" w:rsidRPr="00FF6DBF" w:rsidRDefault="002C1641" w:rsidP="006539EA">
      <w:pPr>
        <w:tabs>
          <w:tab w:val="center" w:pos="5400"/>
        </w:tabs>
        <w:suppressAutoHyphens/>
        <w:jc w:val="center"/>
        <w:rPr>
          <w:rFonts w:ascii="Cambria" w:hAnsi="Cambria"/>
          <w:sz w:val="18"/>
          <w:szCs w:val="22"/>
          <w:lang w:val="pt-BR"/>
        </w:rPr>
      </w:pPr>
    </w:p>
    <w:p w14:paraId="63087A3B" w14:textId="77777777" w:rsidR="002C1641" w:rsidRPr="00FF6DBF" w:rsidRDefault="002C1641" w:rsidP="006539EA">
      <w:pPr>
        <w:tabs>
          <w:tab w:val="center" w:pos="5400"/>
        </w:tabs>
        <w:suppressAutoHyphens/>
        <w:jc w:val="center"/>
        <w:rPr>
          <w:rFonts w:ascii="Cambria" w:hAnsi="Cambria"/>
          <w:sz w:val="18"/>
          <w:szCs w:val="22"/>
          <w:lang w:val="pt-BR"/>
        </w:rPr>
      </w:pPr>
    </w:p>
    <w:p w14:paraId="57460DFC" w14:textId="6B95A2D3" w:rsidR="002C1641" w:rsidRPr="00FF6DBF" w:rsidRDefault="00B1473D" w:rsidP="006539EA">
      <w:pPr>
        <w:tabs>
          <w:tab w:val="center" w:pos="5400"/>
        </w:tabs>
        <w:suppressAutoHyphens/>
        <w:jc w:val="center"/>
        <w:rPr>
          <w:rFonts w:ascii="Cambria" w:hAnsi="Cambria"/>
          <w:sz w:val="18"/>
          <w:szCs w:val="22"/>
          <w:lang w:val="pt-BR"/>
        </w:rPr>
      </w:pPr>
      <w:r w:rsidRPr="00FF6DBF">
        <w:rPr>
          <w:noProof/>
        </w:rPr>
        <mc:AlternateContent>
          <mc:Choice Requires="wps">
            <w:drawing>
              <wp:anchor distT="0" distB="0" distL="114300" distR="114300" simplePos="0" relativeHeight="251660288" behindDoc="0" locked="0" layoutInCell="1" allowOverlap="1" wp14:anchorId="33A2A609" wp14:editId="0F8B3C51">
                <wp:simplePos x="0" y="0"/>
                <wp:positionH relativeFrom="column">
                  <wp:posOffset>1209675</wp:posOffset>
                </wp:positionH>
                <wp:positionV relativeFrom="paragraph">
                  <wp:posOffset>53975</wp:posOffset>
                </wp:positionV>
                <wp:extent cx="4824095" cy="609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14:paraId="7C29ED89" w14:textId="77777777" w:rsidR="0038029B" w:rsidRDefault="00412D8D" w:rsidP="00F644E6">
                            <w:pPr>
                              <w:spacing w:line="276" w:lineRule="auto"/>
                              <w:rPr>
                                <w:rFonts w:ascii="Cambria" w:hAnsi="Cambria"/>
                                <w:noProof/>
                                <w:color w:val="595959"/>
                                <w:sz w:val="18"/>
                                <w:szCs w:val="18"/>
                                <w:lang w:val="pt-BR"/>
                              </w:rPr>
                            </w:pPr>
                            <w:r w:rsidRPr="00206F45">
                              <w:rPr>
                                <w:rFonts w:ascii="Cambria" w:hAnsi="Cambria"/>
                                <w:b/>
                                <w:color w:val="595959"/>
                                <w:sz w:val="18"/>
                                <w:lang w:val="pt-BR"/>
                              </w:rPr>
                              <w:t>Citar como</w:t>
                            </w:r>
                            <w:r w:rsidRPr="00206F45">
                              <w:rPr>
                                <w:rFonts w:ascii="Cambria" w:hAnsi="Cambria"/>
                                <w:b/>
                                <w:noProof/>
                                <w:color w:val="595959"/>
                                <w:sz w:val="18"/>
                                <w:lang w:val="pt-BR"/>
                              </w:rPr>
                              <w:t>:</w:t>
                            </w:r>
                            <w:r w:rsidR="008A0B1E" w:rsidRPr="00206F45">
                              <w:rPr>
                                <w:rFonts w:ascii="Cambria" w:hAnsi="Cambria"/>
                                <w:noProof/>
                                <w:color w:val="595959"/>
                                <w:sz w:val="18"/>
                                <w:szCs w:val="18"/>
                                <w:lang w:val="pt-BR"/>
                              </w:rPr>
                              <w:t xml:space="preserve"> </w:t>
                            </w:r>
                            <w:r w:rsidR="00013992" w:rsidRPr="00013992">
                              <w:rPr>
                                <w:rFonts w:ascii="Cambria" w:hAnsi="Cambria"/>
                                <w:noProof/>
                                <w:color w:val="595959"/>
                                <w:sz w:val="18"/>
                                <w:szCs w:val="18"/>
                                <w:lang w:val="pt-BR"/>
                              </w:rPr>
                              <w:t xml:space="preserve">CIDH, Relatório No. </w:t>
                            </w:r>
                            <w:r w:rsidR="0038029B">
                              <w:rPr>
                                <w:rFonts w:ascii="Cambria" w:hAnsi="Cambria"/>
                                <w:noProof/>
                                <w:color w:val="595959"/>
                                <w:sz w:val="18"/>
                                <w:szCs w:val="18"/>
                                <w:lang w:val="pt-BR"/>
                              </w:rPr>
                              <w:t>94</w:t>
                            </w:r>
                            <w:r w:rsidR="00013992" w:rsidRPr="00013992">
                              <w:rPr>
                                <w:rFonts w:ascii="Cambria" w:hAnsi="Cambria"/>
                                <w:noProof/>
                                <w:color w:val="595959"/>
                                <w:sz w:val="18"/>
                                <w:szCs w:val="18"/>
                                <w:lang w:val="pt-BR"/>
                              </w:rPr>
                              <w:t>/</w:t>
                            </w:r>
                            <w:r w:rsidR="0038029B">
                              <w:rPr>
                                <w:rFonts w:ascii="Cambria" w:hAnsi="Cambria"/>
                                <w:noProof/>
                                <w:color w:val="595959"/>
                                <w:sz w:val="18"/>
                                <w:szCs w:val="18"/>
                                <w:lang w:val="pt-BR"/>
                              </w:rPr>
                              <w:t>24</w:t>
                            </w:r>
                            <w:r w:rsidR="00013992" w:rsidRPr="00013992">
                              <w:rPr>
                                <w:rFonts w:ascii="Cambria" w:hAnsi="Cambria"/>
                                <w:noProof/>
                                <w:color w:val="595959"/>
                                <w:sz w:val="18"/>
                                <w:szCs w:val="18"/>
                                <w:lang w:val="pt-BR"/>
                              </w:rPr>
                              <w:t xml:space="preserve">. Petição </w:t>
                            </w:r>
                            <w:r w:rsidR="00100B5A">
                              <w:rPr>
                                <w:rFonts w:ascii="Cambria" w:hAnsi="Cambria"/>
                                <w:noProof/>
                                <w:color w:val="595959"/>
                                <w:sz w:val="18"/>
                                <w:szCs w:val="18"/>
                                <w:lang w:val="pt-BR"/>
                              </w:rPr>
                              <w:t>170</w:t>
                            </w:r>
                            <w:r w:rsidR="00013992" w:rsidRPr="00013992">
                              <w:rPr>
                                <w:rFonts w:ascii="Cambria" w:hAnsi="Cambria"/>
                                <w:noProof/>
                                <w:color w:val="595959"/>
                                <w:sz w:val="18"/>
                                <w:szCs w:val="18"/>
                                <w:lang w:val="pt-BR"/>
                              </w:rPr>
                              <w:t>-1</w:t>
                            </w:r>
                            <w:r w:rsidR="00100B5A">
                              <w:rPr>
                                <w:rFonts w:ascii="Cambria" w:hAnsi="Cambria"/>
                                <w:noProof/>
                                <w:color w:val="595959"/>
                                <w:sz w:val="18"/>
                                <w:szCs w:val="18"/>
                                <w:lang w:val="pt-BR"/>
                              </w:rPr>
                              <w:t>7</w:t>
                            </w:r>
                            <w:r w:rsidR="00013992" w:rsidRPr="00013992">
                              <w:rPr>
                                <w:rFonts w:ascii="Cambria" w:hAnsi="Cambria"/>
                                <w:noProof/>
                                <w:color w:val="595959"/>
                                <w:sz w:val="18"/>
                                <w:szCs w:val="18"/>
                                <w:lang w:val="pt-BR"/>
                              </w:rPr>
                              <w:t xml:space="preserve">. Admissibilidade. </w:t>
                            </w:r>
                          </w:p>
                          <w:p w14:paraId="7547BE31" w14:textId="0979798F" w:rsidR="00F644E6" w:rsidRPr="00100B5A" w:rsidRDefault="00100B5A" w:rsidP="00F644E6">
                            <w:pPr>
                              <w:spacing w:line="276" w:lineRule="auto"/>
                              <w:rPr>
                                <w:rFonts w:ascii="Cambria" w:hAnsi="Cambria"/>
                                <w:color w:val="595959"/>
                                <w:sz w:val="18"/>
                                <w:lang w:val="pt-BR"/>
                              </w:rPr>
                            </w:pPr>
                            <w:r>
                              <w:rPr>
                                <w:rFonts w:ascii="Cambria" w:hAnsi="Cambria"/>
                                <w:noProof/>
                                <w:color w:val="595959"/>
                                <w:sz w:val="18"/>
                                <w:szCs w:val="18"/>
                                <w:lang w:val="pt-BR"/>
                              </w:rPr>
                              <w:t>Alan Raí Rehbeim de Oliveira</w:t>
                            </w:r>
                            <w:r w:rsidR="00013992" w:rsidRPr="00013992">
                              <w:rPr>
                                <w:rFonts w:ascii="Cambria" w:hAnsi="Cambria"/>
                                <w:noProof/>
                                <w:color w:val="595959"/>
                                <w:sz w:val="18"/>
                                <w:szCs w:val="18"/>
                                <w:lang w:val="pt-BR"/>
                              </w:rPr>
                              <w:t xml:space="preserve"> e outros. Brasil. </w:t>
                            </w:r>
                            <w:r w:rsidR="0038029B">
                              <w:rPr>
                                <w:rFonts w:ascii="Cambria" w:hAnsi="Cambria"/>
                                <w:noProof/>
                                <w:color w:val="595959"/>
                                <w:sz w:val="18"/>
                                <w:szCs w:val="18"/>
                                <w:lang w:val="pt-BR"/>
                              </w:rPr>
                              <w:t>19 de junho de 2024</w:t>
                            </w:r>
                            <w:r w:rsidR="00013992" w:rsidRPr="00013992">
                              <w:rPr>
                                <w:rFonts w:ascii="Cambria" w:hAnsi="Cambria"/>
                                <w:noProof/>
                                <w:color w:val="595959"/>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2A609" id="Text Box 6" o:spid="_x0000_s1030" type="#_x0000_t202" style="position:absolute;left:0;text-align:left;margin-left:95.25pt;margin-top:4.25pt;width:379.8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" filled="f" stroked="f" strokeweight=".5pt">
                <v:textbox>
                  <w:txbxContent>
                    <w:p w14:paraId="7C29ED89" w14:textId="77777777" w:rsidR="0038029B" w:rsidRDefault="00412D8D" w:rsidP="00F644E6">
                      <w:pPr>
                        <w:spacing w:line="276" w:lineRule="auto"/>
                        <w:rPr>
                          <w:rFonts w:ascii="Cambria" w:hAnsi="Cambria"/>
                          <w:noProof/>
                          <w:color w:val="595959"/>
                          <w:sz w:val="18"/>
                          <w:szCs w:val="18"/>
                          <w:lang w:val="pt-BR"/>
                        </w:rPr>
                      </w:pPr>
                      <w:r w:rsidRPr="00206F45">
                        <w:rPr>
                          <w:rFonts w:ascii="Cambria" w:hAnsi="Cambria"/>
                          <w:b/>
                          <w:color w:val="595959"/>
                          <w:sz w:val="18"/>
                          <w:lang w:val="pt-BR"/>
                        </w:rPr>
                        <w:t>Citar como</w:t>
                      </w:r>
                      <w:r w:rsidRPr="00206F45">
                        <w:rPr>
                          <w:rFonts w:ascii="Cambria" w:hAnsi="Cambria"/>
                          <w:b/>
                          <w:noProof/>
                          <w:color w:val="595959"/>
                          <w:sz w:val="18"/>
                          <w:lang w:val="pt-BR"/>
                        </w:rPr>
                        <w:t>:</w:t>
                      </w:r>
                      <w:r w:rsidR="008A0B1E" w:rsidRPr="00206F45">
                        <w:rPr>
                          <w:rFonts w:ascii="Cambria" w:hAnsi="Cambria"/>
                          <w:noProof/>
                          <w:color w:val="595959"/>
                          <w:sz w:val="18"/>
                          <w:szCs w:val="18"/>
                          <w:lang w:val="pt-BR"/>
                        </w:rPr>
                        <w:t xml:space="preserve"> </w:t>
                      </w:r>
                      <w:r w:rsidR="00013992" w:rsidRPr="00013992">
                        <w:rPr>
                          <w:rFonts w:ascii="Cambria" w:hAnsi="Cambria"/>
                          <w:noProof/>
                          <w:color w:val="595959"/>
                          <w:sz w:val="18"/>
                          <w:szCs w:val="18"/>
                          <w:lang w:val="pt-BR"/>
                        </w:rPr>
                        <w:t xml:space="preserve">CIDH, Relatório No. </w:t>
                      </w:r>
                      <w:r w:rsidR="0038029B">
                        <w:rPr>
                          <w:rFonts w:ascii="Cambria" w:hAnsi="Cambria"/>
                          <w:noProof/>
                          <w:color w:val="595959"/>
                          <w:sz w:val="18"/>
                          <w:szCs w:val="18"/>
                          <w:lang w:val="pt-BR"/>
                        </w:rPr>
                        <w:t>94</w:t>
                      </w:r>
                      <w:r w:rsidR="00013992" w:rsidRPr="00013992">
                        <w:rPr>
                          <w:rFonts w:ascii="Cambria" w:hAnsi="Cambria"/>
                          <w:noProof/>
                          <w:color w:val="595959"/>
                          <w:sz w:val="18"/>
                          <w:szCs w:val="18"/>
                          <w:lang w:val="pt-BR"/>
                        </w:rPr>
                        <w:t>/</w:t>
                      </w:r>
                      <w:r w:rsidR="0038029B">
                        <w:rPr>
                          <w:rFonts w:ascii="Cambria" w:hAnsi="Cambria"/>
                          <w:noProof/>
                          <w:color w:val="595959"/>
                          <w:sz w:val="18"/>
                          <w:szCs w:val="18"/>
                          <w:lang w:val="pt-BR"/>
                        </w:rPr>
                        <w:t>24</w:t>
                      </w:r>
                      <w:r w:rsidR="00013992" w:rsidRPr="00013992">
                        <w:rPr>
                          <w:rFonts w:ascii="Cambria" w:hAnsi="Cambria"/>
                          <w:noProof/>
                          <w:color w:val="595959"/>
                          <w:sz w:val="18"/>
                          <w:szCs w:val="18"/>
                          <w:lang w:val="pt-BR"/>
                        </w:rPr>
                        <w:t xml:space="preserve">. Petição </w:t>
                      </w:r>
                      <w:r w:rsidR="00100B5A">
                        <w:rPr>
                          <w:rFonts w:ascii="Cambria" w:hAnsi="Cambria"/>
                          <w:noProof/>
                          <w:color w:val="595959"/>
                          <w:sz w:val="18"/>
                          <w:szCs w:val="18"/>
                          <w:lang w:val="pt-BR"/>
                        </w:rPr>
                        <w:t>170</w:t>
                      </w:r>
                      <w:r w:rsidR="00013992" w:rsidRPr="00013992">
                        <w:rPr>
                          <w:rFonts w:ascii="Cambria" w:hAnsi="Cambria"/>
                          <w:noProof/>
                          <w:color w:val="595959"/>
                          <w:sz w:val="18"/>
                          <w:szCs w:val="18"/>
                          <w:lang w:val="pt-BR"/>
                        </w:rPr>
                        <w:t>-1</w:t>
                      </w:r>
                      <w:r w:rsidR="00100B5A">
                        <w:rPr>
                          <w:rFonts w:ascii="Cambria" w:hAnsi="Cambria"/>
                          <w:noProof/>
                          <w:color w:val="595959"/>
                          <w:sz w:val="18"/>
                          <w:szCs w:val="18"/>
                          <w:lang w:val="pt-BR"/>
                        </w:rPr>
                        <w:t>7</w:t>
                      </w:r>
                      <w:r w:rsidR="00013992" w:rsidRPr="00013992">
                        <w:rPr>
                          <w:rFonts w:ascii="Cambria" w:hAnsi="Cambria"/>
                          <w:noProof/>
                          <w:color w:val="595959"/>
                          <w:sz w:val="18"/>
                          <w:szCs w:val="18"/>
                          <w:lang w:val="pt-BR"/>
                        </w:rPr>
                        <w:t xml:space="preserve">. Admissibilidade. </w:t>
                      </w:r>
                    </w:p>
                    <w:p w14:paraId="7547BE31" w14:textId="0979798F" w:rsidR="00F644E6" w:rsidRPr="00100B5A" w:rsidRDefault="00100B5A" w:rsidP="00F644E6">
                      <w:pPr>
                        <w:spacing w:line="276" w:lineRule="auto"/>
                        <w:rPr>
                          <w:rFonts w:ascii="Cambria" w:hAnsi="Cambria"/>
                          <w:color w:val="595959"/>
                          <w:sz w:val="18"/>
                          <w:lang w:val="pt-BR"/>
                        </w:rPr>
                      </w:pPr>
                      <w:r>
                        <w:rPr>
                          <w:rFonts w:ascii="Cambria" w:hAnsi="Cambria"/>
                          <w:noProof/>
                          <w:color w:val="595959"/>
                          <w:sz w:val="18"/>
                          <w:szCs w:val="18"/>
                          <w:lang w:val="pt-BR"/>
                        </w:rPr>
                        <w:t>Alan Raí Rehbeim de Oliveira</w:t>
                      </w:r>
                      <w:r w:rsidR="00013992" w:rsidRPr="00013992">
                        <w:rPr>
                          <w:rFonts w:ascii="Cambria" w:hAnsi="Cambria"/>
                          <w:noProof/>
                          <w:color w:val="595959"/>
                          <w:sz w:val="18"/>
                          <w:szCs w:val="18"/>
                          <w:lang w:val="pt-BR"/>
                        </w:rPr>
                        <w:t xml:space="preserve"> e outros. Brasil. </w:t>
                      </w:r>
                      <w:r w:rsidR="0038029B">
                        <w:rPr>
                          <w:rFonts w:ascii="Cambria" w:hAnsi="Cambria"/>
                          <w:noProof/>
                          <w:color w:val="595959"/>
                          <w:sz w:val="18"/>
                          <w:szCs w:val="18"/>
                          <w:lang w:val="pt-BR"/>
                        </w:rPr>
                        <w:t>19 de junho de 2024</w:t>
                      </w:r>
                      <w:r w:rsidR="00013992" w:rsidRPr="00013992">
                        <w:rPr>
                          <w:rFonts w:ascii="Cambria" w:hAnsi="Cambria"/>
                          <w:noProof/>
                          <w:color w:val="595959"/>
                          <w:sz w:val="18"/>
                          <w:szCs w:val="18"/>
                          <w:lang w:val="pt-BR"/>
                        </w:rPr>
                        <w:t>.</w:t>
                      </w:r>
                    </w:p>
                  </w:txbxContent>
                </v:textbox>
              </v:shape>
            </w:pict>
          </mc:Fallback>
        </mc:AlternateContent>
      </w:r>
    </w:p>
    <w:p w14:paraId="3593739C" w14:textId="77777777" w:rsidR="002C1641" w:rsidRPr="00FF6DBF" w:rsidRDefault="002C1641" w:rsidP="006539EA">
      <w:pPr>
        <w:tabs>
          <w:tab w:val="center" w:pos="5400"/>
        </w:tabs>
        <w:suppressAutoHyphens/>
        <w:jc w:val="center"/>
        <w:rPr>
          <w:rFonts w:ascii="Cambria" w:hAnsi="Cambria"/>
          <w:sz w:val="18"/>
          <w:szCs w:val="22"/>
          <w:lang w:val="pt-BR"/>
        </w:rPr>
      </w:pPr>
    </w:p>
    <w:p w14:paraId="74C6F332" w14:textId="77777777" w:rsidR="002C1641" w:rsidRPr="00FF6DBF" w:rsidRDefault="002C1641" w:rsidP="006539EA">
      <w:pPr>
        <w:tabs>
          <w:tab w:val="center" w:pos="5400"/>
        </w:tabs>
        <w:suppressAutoHyphens/>
        <w:jc w:val="center"/>
        <w:rPr>
          <w:rFonts w:ascii="Cambria" w:hAnsi="Cambria"/>
          <w:sz w:val="18"/>
          <w:szCs w:val="22"/>
          <w:lang w:val="pt-BR"/>
        </w:rPr>
      </w:pPr>
    </w:p>
    <w:p w14:paraId="0F6CC8F7" w14:textId="77777777" w:rsidR="002C1641" w:rsidRPr="00FF6DBF" w:rsidRDefault="002C1641" w:rsidP="006539EA">
      <w:pPr>
        <w:tabs>
          <w:tab w:val="center" w:pos="5400"/>
        </w:tabs>
        <w:suppressAutoHyphens/>
        <w:jc w:val="center"/>
        <w:rPr>
          <w:rFonts w:ascii="Cambria" w:hAnsi="Cambria"/>
          <w:sz w:val="18"/>
          <w:szCs w:val="22"/>
          <w:lang w:val="pt-BR"/>
        </w:rPr>
      </w:pPr>
    </w:p>
    <w:p w14:paraId="5B6672B0" w14:textId="77777777" w:rsidR="007B7EAB" w:rsidRPr="00FF6DBF" w:rsidRDefault="007B7EAB" w:rsidP="006539EA">
      <w:pPr>
        <w:tabs>
          <w:tab w:val="center" w:pos="5400"/>
        </w:tabs>
        <w:suppressAutoHyphens/>
        <w:jc w:val="center"/>
        <w:rPr>
          <w:rFonts w:ascii="Cambria" w:hAnsi="Cambria"/>
          <w:sz w:val="18"/>
          <w:szCs w:val="22"/>
          <w:lang w:val="pt-BR"/>
        </w:rPr>
      </w:pPr>
    </w:p>
    <w:p w14:paraId="044AA44E" w14:textId="77777777" w:rsidR="007B7EAB" w:rsidRPr="00FF6DBF" w:rsidRDefault="007B7EAB" w:rsidP="006539EA">
      <w:pPr>
        <w:tabs>
          <w:tab w:val="center" w:pos="5400"/>
        </w:tabs>
        <w:suppressAutoHyphens/>
        <w:jc w:val="center"/>
        <w:rPr>
          <w:rFonts w:ascii="Cambria" w:hAnsi="Cambria"/>
          <w:sz w:val="18"/>
          <w:szCs w:val="22"/>
          <w:lang w:val="pt-BR"/>
        </w:rPr>
      </w:pPr>
    </w:p>
    <w:p w14:paraId="3E8DFA0F" w14:textId="77777777" w:rsidR="007C7B72" w:rsidRPr="00FF6DBF" w:rsidRDefault="007C7B72" w:rsidP="006539EA">
      <w:pPr>
        <w:tabs>
          <w:tab w:val="center" w:pos="5400"/>
        </w:tabs>
        <w:suppressAutoHyphens/>
        <w:jc w:val="center"/>
        <w:rPr>
          <w:rFonts w:ascii="Cambria" w:hAnsi="Cambria"/>
          <w:b/>
          <w:sz w:val="18"/>
          <w:szCs w:val="22"/>
          <w:lang w:val="pt-BR"/>
        </w:rPr>
      </w:pPr>
    </w:p>
    <w:p w14:paraId="67BEF45A" w14:textId="7E291179" w:rsidR="007C7B72" w:rsidRPr="00FF6DBF" w:rsidRDefault="00D65719" w:rsidP="006539EA">
      <w:pPr>
        <w:tabs>
          <w:tab w:val="center" w:pos="5400"/>
        </w:tabs>
        <w:suppressAutoHyphens/>
        <w:jc w:val="center"/>
        <w:rPr>
          <w:rFonts w:ascii="Cambria" w:hAnsi="Cambria"/>
          <w:b/>
          <w:sz w:val="18"/>
          <w:szCs w:val="22"/>
          <w:lang w:val="pt-BR"/>
        </w:rPr>
      </w:pPr>
      <w:r w:rsidRPr="00FF6DBF">
        <w:rPr>
          <w:noProof/>
        </w:rPr>
        <mc:AlternateContent>
          <mc:Choice Requires="wps">
            <w:drawing>
              <wp:anchor distT="0" distB="0" distL="114300" distR="114300" simplePos="0" relativeHeight="251661312" behindDoc="0" locked="0" layoutInCell="1" allowOverlap="1" wp14:anchorId="03DA232D" wp14:editId="732E0E12">
                <wp:simplePos x="0" y="0"/>
                <wp:positionH relativeFrom="column">
                  <wp:posOffset>1144905</wp:posOffset>
                </wp:positionH>
                <wp:positionV relativeFrom="paragraph">
                  <wp:posOffset>210348</wp:posOffset>
                </wp:positionV>
                <wp:extent cx="2381250" cy="546823"/>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546823"/>
                        </a:xfrm>
                        <a:prstGeom prst="rect">
                          <a:avLst/>
                        </a:prstGeom>
                        <a:solidFill>
                          <a:sysClr val="window" lastClr="FFFFFF"/>
                        </a:solidFill>
                        <a:ln w="6350">
                          <a:noFill/>
                        </a:ln>
                        <a:effectLst/>
                      </wps:spPr>
                      <wps:txbx>
                        <w:txbxContent>
                          <w:p w14:paraId="4507B167" w14:textId="219ECCA1" w:rsidR="007B7EAB" w:rsidRDefault="00B1473D">
                            <w:r w:rsidRPr="004C502E">
                              <w:rPr>
                                <w:noProof/>
                              </w:rPr>
                              <w:drawing>
                                <wp:inline distT="0" distB="0" distL="0" distR="0" wp14:anchorId="31921E7C" wp14:editId="15BB1357">
                                  <wp:extent cx="1582805" cy="430348"/>
                                  <wp:effectExtent l="0" t="0" r="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526" cy="4359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DA232D" id="Text Box 3" o:spid="_x0000_s1031" type="#_x0000_t202" style="position:absolute;left:0;text-align:left;margin-left:90.15pt;margin-top:16.55pt;width:187.5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" fillcolor="window" stroked="f" strokeweight=".5pt">
                <v:textbox>
                  <w:txbxContent>
                    <w:p w14:paraId="4507B167" w14:textId="219ECCA1" w:rsidR="007B7EAB" w:rsidRDefault="00B1473D">
                      <w:r w:rsidRPr="004C502E">
                        <w:rPr>
                          <w:noProof/>
                        </w:rPr>
                        <w:drawing>
                          <wp:inline distT="0" distB="0" distL="0" distR="0" wp14:anchorId="31921E7C" wp14:editId="15BB1357">
                            <wp:extent cx="1582805" cy="430348"/>
                            <wp:effectExtent l="0" t="0" r="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526" cy="435982"/>
                                    </a:xfrm>
                                    <a:prstGeom prst="rect">
                                      <a:avLst/>
                                    </a:prstGeom>
                                    <a:noFill/>
                                    <a:ln>
                                      <a:noFill/>
                                    </a:ln>
                                  </pic:spPr>
                                </pic:pic>
                              </a:graphicData>
                            </a:graphic>
                          </wp:inline>
                        </w:drawing>
                      </w:r>
                    </w:p>
                  </w:txbxContent>
                </v:textbox>
              </v:shape>
            </w:pict>
          </mc:Fallback>
        </mc:AlternateContent>
      </w:r>
      <w:r w:rsidR="00B1473D" w:rsidRPr="00FF6DBF">
        <w:rPr>
          <w:noProof/>
        </w:rPr>
        <mc:AlternateContent>
          <mc:Choice Requires="wps">
            <w:drawing>
              <wp:anchor distT="0" distB="0" distL="114300" distR="114300" simplePos="0" relativeHeight="251659264" behindDoc="0" locked="0" layoutInCell="1" allowOverlap="1" wp14:anchorId="01C87FC4" wp14:editId="4ABAC1D2">
                <wp:simplePos x="0" y="0"/>
                <wp:positionH relativeFrom="column">
                  <wp:posOffset>-285750</wp:posOffset>
                </wp:positionH>
                <wp:positionV relativeFrom="paragraph">
                  <wp:posOffset>400050</wp:posOffset>
                </wp:positionV>
                <wp:extent cx="1181100" cy="332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42AB5A40" w14:textId="77777777" w:rsidR="002C1641" w:rsidRPr="004C502E" w:rsidRDefault="002C1641" w:rsidP="002C1641">
                            <w:pPr>
                              <w:rPr>
                                <w:rFonts w:ascii="Calibri" w:hAnsi="Calibri"/>
                                <w:b/>
                              </w:rPr>
                            </w:pPr>
                            <w:r w:rsidRPr="004C502E">
                              <w:rPr>
                                <w:rFonts w:ascii="Calibri" w:hAnsi="Calibr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7FC4" id="Text Box 5" o:spid="_x0000_s1032" type="#_x0000_t202" style="position:absolute;left:0;text-align:left;margin-left:-22.5pt;margin-top:31.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" filled="f" stroked="f" strokeweight=".5pt">
                <v:textbox>
                  <w:txbxContent>
                    <w:p w14:paraId="42AB5A40" w14:textId="77777777" w:rsidR="002C1641" w:rsidRPr="004C502E" w:rsidRDefault="002C1641" w:rsidP="002C1641">
                      <w:pPr>
                        <w:rPr>
                          <w:rFonts w:ascii="Calibri" w:hAnsi="Calibri"/>
                          <w:b/>
                        </w:rPr>
                      </w:pPr>
                      <w:r w:rsidRPr="004C502E">
                        <w:rPr>
                          <w:rFonts w:ascii="Calibri" w:hAnsi="Calibri"/>
                          <w:b/>
                          <w:lang w:val="pt-BR"/>
                        </w:rPr>
                        <w:t>www.cidh.org</w:t>
                      </w:r>
                    </w:p>
                  </w:txbxContent>
                </v:textbox>
              </v:shape>
            </w:pict>
          </mc:Fallback>
        </mc:AlternateContent>
      </w:r>
    </w:p>
    <w:p w14:paraId="23B117E9" w14:textId="77777777" w:rsidR="007C7B72" w:rsidRPr="00FF6DBF" w:rsidRDefault="007C7B72" w:rsidP="007B7EAB">
      <w:pPr>
        <w:tabs>
          <w:tab w:val="center" w:pos="5400"/>
        </w:tabs>
        <w:suppressAutoHyphens/>
        <w:jc w:val="center"/>
        <w:rPr>
          <w:rFonts w:ascii="Cambria" w:hAnsi="Cambria"/>
          <w:b/>
          <w:sz w:val="18"/>
          <w:szCs w:val="22"/>
          <w:lang w:val="pt-BR"/>
        </w:rPr>
        <w:sectPr w:rsidR="007C7B72" w:rsidRPr="00FF6DBF" w:rsidSect="001512EA">
          <w:headerReference w:type="even" r:id="rId10"/>
          <w:headerReference w:type="default" r:id="rId11"/>
          <w:footerReference w:type="default" r:id="rId12"/>
          <w:headerReference w:type="first" r:id="rId13"/>
          <w:type w:val="oddPage"/>
          <w:pgSz w:w="12240" w:h="15840"/>
          <w:pgMar w:top="1440" w:right="1440" w:bottom="1440" w:left="1440" w:header="720" w:footer="720" w:gutter="0"/>
          <w:pgNumType w:start="1"/>
          <w:cols w:space="720"/>
          <w:titlePg/>
          <w:docGrid w:linePitch="326"/>
        </w:sectPr>
      </w:pPr>
    </w:p>
    <w:p w14:paraId="5BEEF8BF" w14:textId="77777777" w:rsidR="00697D1E" w:rsidRPr="00FF6DBF" w:rsidRDefault="00697D1E" w:rsidP="00697D1E">
      <w:pPr>
        <w:spacing w:after="240"/>
        <w:ind w:firstLine="720"/>
        <w:rPr>
          <w:rFonts w:ascii="Cambria" w:hAnsi="Cambria"/>
          <w:b/>
          <w:bCs/>
          <w:sz w:val="20"/>
          <w:lang w:val="pt-BR"/>
        </w:rPr>
      </w:pPr>
      <w:r w:rsidRPr="00FF6DBF">
        <w:rPr>
          <w:rFonts w:ascii="Cambria" w:hAnsi="Cambria"/>
          <w:b/>
          <w:bCs/>
          <w:sz w:val="20"/>
          <w:lang w:val="pt-BR"/>
        </w:rPr>
        <w:lastRenderedPageBreak/>
        <w:t>I.</w:t>
      </w:r>
      <w:r w:rsidRPr="00FF6DBF">
        <w:rPr>
          <w:rFonts w:ascii="Cambria" w:hAnsi="Cambria"/>
          <w:b/>
          <w:bCs/>
          <w:sz w:val="20"/>
          <w:lang w:val="pt-BR"/>
        </w:rPr>
        <w:tab/>
        <w:t>DA</w:t>
      </w:r>
      <w:r w:rsidR="009F380F" w:rsidRPr="00FF6DBF">
        <w:rPr>
          <w:rFonts w:ascii="Cambria" w:hAnsi="Cambria"/>
          <w:b/>
          <w:bCs/>
          <w:sz w:val="20"/>
          <w:lang w:val="pt-BR"/>
        </w:rPr>
        <w:t>D</w:t>
      </w:r>
      <w:r w:rsidRPr="00FF6DBF">
        <w:rPr>
          <w:rFonts w:ascii="Cambria" w:hAnsi="Cambria"/>
          <w:b/>
          <w:bCs/>
          <w:sz w:val="20"/>
          <w:lang w:val="pt-BR"/>
        </w:rPr>
        <w:t>OS DA PETI</w:t>
      </w:r>
      <w:r w:rsidR="000F38DA" w:rsidRPr="00FF6DBF">
        <w:rPr>
          <w:rFonts w:ascii="Cambria" w:hAnsi="Cambria"/>
          <w:b/>
          <w:bCs/>
          <w:sz w:val="20"/>
          <w:lang w:val="pt-BR"/>
        </w:rPr>
        <w:t>ÇÃO</w:t>
      </w:r>
      <w:r w:rsidRPr="00FF6DBF">
        <w:rPr>
          <w:rFonts w:ascii="Cambria" w:hAnsi="Cambria"/>
          <w:b/>
          <w:bCs/>
          <w:sz w:val="20"/>
          <w:lang w:val="pt-BR"/>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FF6DBF" w:rsidRPr="00BF5F78" w14:paraId="0C87C032" w14:textId="77777777" w:rsidTr="00E82851">
        <w:tc>
          <w:tcPr>
            <w:tcW w:w="3600" w:type="dxa"/>
            <w:tcBorders>
              <w:top w:val="single" w:sz="4" w:space="0" w:color="auto"/>
              <w:bottom w:val="single" w:sz="6" w:space="0" w:color="auto"/>
            </w:tcBorders>
            <w:shd w:val="clear" w:color="auto" w:fill="FFC000"/>
            <w:vAlign w:val="center"/>
          </w:tcPr>
          <w:p w14:paraId="79C98C94" w14:textId="77777777" w:rsidR="00697D1E" w:rsidRPr="00FF6DBF" w:rsidRDefault="00697D1E">
            <w:pPr>
              <w:jc w:val="center"/>
              <w:rPr>
                <w:rFonts w:ascii="Cambria" w:hAnsi="Cambria"/>
                <w:b/>
                <w:bCs/>
                <w:sz w:val="20"/>
                <w:lang w:val="pt-BR"/>
              </w:rPr>
            </w:pPr>
            <w:r w:rsidRPr="00FF6DBF">
              <w:rPr>
                <w:rFonts w:ascii="Cambria" w:hAnsi="Cambria"/>
                <w:b/>
                <w:bCs/>
                <w:sz w:val="20"/>
                <w:lang w:val="pt-BR"/>
              </w:rPr>
              <w:t xml:space="preserve">Parte </w:t>
            </w:r>
            <w:r w:rsidR="00F270BC" w:rsidRPr="00FF6DBF">
              <w:rPr>
                <w:rFonts w:ascii="Cambria" w:hAnsi="Cambria"/>
                <w:b/>
                <w:bCs/>
                <w:sz w:val="20"/>
                <w:lang w:val="pt-BR"/>
              </w:rPr>
              <w:t>peticionária</w:t>
            </w:r>
            <w:r w:rsidRPr="00FF6DBF">
              <w:rPr>
                <w:rFonts w:ascii="Cambria" w:hAnsi="Cambria"/>
                <w:b/>
                <w:bCs/>
                <w:sz w:val="20"/>
                <w:lang w:val="pt-BR"/>
              </w:rPr>
              <w:t>:</w:t>
            </w:r>
          </w:p>
        </w:tc>
        <w:tc>
          <w:tcPr>
            <w:tcW w:w="5760" w:type="dxa"/>
            <w:shd w:val="clear" w:color="auto" w:fill="auto"/>
            <w:vAlign w:val="center"/>
          </w:tcPr>
          <w:p w14:paraId="4422F7C3" w14:textId="388E860A" w:rsidR="00697D1E" w:rsidRPr="00FF6DBF" w:rsidRDefault="000F2826" w:rsidP="000F2826">
            <w:pPr>
              <w:rPr>
                <w:rFonts w:ascii="Cambria" w:hAnsi="Cambria"/>
                <w:bCs/>
                <w:sz w:val="20"/>
                <w:lang w:val="pt-BR"/>
              </w:rPr>
            </w:pPr>
            <w:r w:rsidRPr="00FF6DBF">
              <w:rPr>
                <w:rFonts w:ascii="Cambria" w:hAnsi="Cambria"/>
                <w:bCs/>
                <w:sz w:val="20"/>
                <w:lang w:val="pt-BR"/>
              </w:rPr>
              <w:t>Associação de Familiares de Vítimas e Sobreviventes da Tragédia de Santa Maria</w:t>
            </w:r>
            <w:r w:rsidR="00CA00B0" w:rsidRPr="00FF6DBF">
              <w:rPr>
                <w:rFonts w:ascii="Cambria" w:hAnsi="Cambria"/>
                <w:bCs/>
                <w:sz w:val="20"/>
                <w:lang w:val="pt-BR"/>
              </w:rPr>
              <w:t xml:space="preserve"> (AVTSM)</w:t>
            </w:r>
            <w:r w:rsidRPr="00FF6DBF">
              <w:rPr>
                <w:rFonts w:ascii="Cambria" w:hAnsi="Cambria"/>
                <w:bCs/>
                <w:sz w:val="20"/>
                <w:lang w:val="pt-BR"/>
              </w:rPr>
              <w:t>, Instituto Juntos, Conselho Regional de Engenharia e Agronomia (CREA), Conselho Regional de Psicologia (CRP), Conselho Regional de Serviço Social (CRESS), Instituto dos Arquitetos do Brasil (IAB)</w:t>
            </w:r>
            <w:r w:rsidR="00F869D6" w:rsidRPr="00FF6DBF">
              <w:rPr>
                <w:rFonts w:ascii="Cambria" w:hAnsi="Cambria"/>
                <w:bCs/>
                <w:sz w:val="20"/>
                <w:lang w:val="pt-BR"/>
              </w:rPr>
              <w:t xml:space="preserve"> e</w:t>
            </w:r>
            <w:r w:rsidRPr="00FF6DBF">
              <w:rPr>
                <w:rFonts w:ascii="Cambria" w:hAnsi="Cambria"/>
                <w:bCs/>
                <w:sz w:val="20"/>
                <w:lang w:val="pt-BR"/>
              </w:rPr>
              <w:t xml:space="preserve"> Sindicato dos Engenheiros do Rio Grande do Sul (SENGE)</w:t>
            </w:r>
          </w:p>
        </w:tc>
      </w:tr>
      <w:tr w:rsidR="00FF6DBF" w:rsidRPr="00BF5F78" w14:paraId="0A45CB81" w14:textId="77777777" w:rsidTr="00E82851">
        <w:tc>
          <w:tcPr>
            <w:tcW w:w="3600" w:type="dxa"/>
            <w:tcBorders>
              <w:top w:val="single" w:sz="6" w:space="0" w:color="auto"/>
              <w:bottom w:val="single" w:sz="6" w:space="0" w:color="auto"/>
            </w:tcBorders>
            <w:shd w:val="clear" w:color="auto" w:fill="FFC000"/>
            <w:vAlign w:val="center"/>
          </w:tcPr>
          <w:p w14:paraId="4EE4F529" w14:textId="4A7CB28D" w:rsidR="00697D1E" w:rsidRPr="00FF6DBF" w:rsidRDefault="00EB6D4D">
            <w:pPr>
              <w:jc w:val="center"/>
              <w:rPr>
                <w:rFonts w:ascii="Cambria" w:hAnsi="Cambria"/>
                <w:b/>
                <w:bCs/>
                <w:sz w:val="20"/>
                <w:lang w:val="pt-BR"/>
              </w:rPr>
            </w:pPr>
            <w:r w:rsidRPr="00FF6DBF">
              <w:rPr>
                <w:rFonts w:ascii="Cambria" w:hAnsi="Cambria"/>
                <w:b/>
                <w:bCs/>
                <w:sz w:val="20"/>
                <w:lang w:val="pt-BR"/>
              </w:rPr>
              <w:t>V</w:t>
            </w:r>
            <w:r w:rsidR="00697D1E" w:rsidRPr="00FF6DBF">
              <w:rPr>
                <w:rFonts w:ascii="Cambria" w:hAnsi="Cambria"/>
                <w:b/>
                <w:bCs/>
                <w:sz w:val="20"/>
                <w:lang w:val="pt-BR"/>
              </w:rPr>
              <w:t>ítima</w:t>
            </w:r>
            <w:r w:rsidRPr="00FF6DBF">
              <w:rPr>
                <w:rFonts w:ascii="Cambria" w:hAnsi="Cambria"/>
                <w:b/>
                <w:bCs/>
                <w:sz w:val="20"/>
                <w:lang w:val="pt-BR"/>
              </w:rPr>
              <w:t>s alegadas</w:t>
            </w:r>
            <w:r w:rsidR="00697D1E" w:rsidRPr="00FF6DBF">
              <w:rPr>
                <w:rFonts w:ascii="Cambria" w:hAnsi="Cambria"/>
                <w:b/>
                <w:bCs/>
                <w:sz w:val="20"/>
                <w:lang w:val="pt-BR"/>
              </w:rPr>
              <w:t>:</w:t>
            </w:r>
          </w:p>
        </w:tc>
        <w:tc>
          <w:tcPr>
            <w:tcW w:w="5760" w:type="dxa"/>
            <w:shd w:val="clear" w:color="auto" w:fill="auto"/>
            <w:vAlign w:val="center"/>
          </w:tcPr>
          <w:p w14:paraId="409E0C2C" w14:textId="4D1CC52A" w:rsidR="00697D1E" w:rsidRPr="00FF6DBF" w:rsidRDefault="00EB6D4D">
            <w:pPr>
              <w:rPr>
                <w:rFonts w:ascii="Cambria" w:hAnsi="Cambria"/>
                <w:bCs/>
                <w:sz w:val="20"/>
                <w:lang w:val="pt-BR"/>
              </w:rPr>
            </w:pPr>
            <w:r w:rsidRPr="00FF6DBF">
              <w:rPr>
                <w:rFonts w:ascii="Cambria" w:hAnsi="Cambria"/>
                <w:bCs/>
                <w:sz w:val="20"/>
                <w:lang w:val="pt-BR"/>
              </w:rPr>
              <w:t>Alan Raí Rehbeim de Oliveira e outros</w:t>
            </w:r>
            <w:r w:rsidRPr="00FF6DBF">
              <w:rPr>
                <w:rFonts w:ascii="Cambria" w:hAnsi="Cambria"/>
                <w:sz w:val="20"/>
                <w:vertAlign w:val="superscript"/>
                <w:lang w:val="pt-BR"/>
              </w:rPr>
              <w:footnoteReference w:id="2"/>
            </w:r>
          </w:p>
        </w:tc>
      </w:tr>
      <w:tr w:rsidR="00FF6DBF" w:rsidRPr="00FF6DBF" w14:paraId="35026270" w14:textId="77777777" w:rsidTr="00E82851">
        <w:tc>
          <w:tcPr>
            <w:tcW w:w="3600" w:type="dxa"/>
            <w:tcBorders>
              <w:top w:val="single" w:sz="6" w:space="0" w:color="auto"/>
              <w:bottom w:val="single" w:sz="6" w:space="0" w:color="auto"/>
            </w:tcBorders>
            <w:shd w:val="clear" w:color="auto" w:fill="FFC000"/>
            <w:vAlign w:val="center"/>
          </w:tcPr>
          <w:p w14:paraId="329CCD56" w14:textId="77777777" w:rsidR="00697D1E" w:rsidRPr="00FF6DBF" w:rsidRDefault="00697D1E">
            <w:pPr>
              <w:jc w:val="center"/>
              <w:rPr>
                <w:rFonts w:ascii="Cambria" w:hAnsi="Cambria"/>
                <w:b/>
                <w:bCs/>
                <w:sz w:val="20"/>
                <w:lang w:val="pt-BR"/>
              </w:rPr>
            </w:pPr>
            <w:r w:rsidRPr="00FF6DBF">
              <w:rPr>
                <w:rFonts w:ascii="Cambria" w:hAnsi="Cambria"/>
                <w:b/>
                <w:bCs/>
                <w:sz w:val="20"/>
                <w:lang w:val="pt-BR"/>
              </w:rPr>
              <w:t>Estado denunciado:</w:t>
            </w:r>
          </w:p>
        </w:tc>
        <w:tc>
          <w:tcPr>
            <w:tcW w:w="5760" w:type="dxa"/>
            <w:shd w:val="clear" w:color="auto" w:fill="auto"/>
            <w:vAlign w:val="center"/>
          </w:tcPr>
          <w:p w14:paraId="447E1BEE" w14:textId="77777777" w:rsidR="00697D1E" w:rsidRPr="00FF6DBF" w:rsidRDefault="00697D1E">
            <w:pPr>
              <w:rPr>
                <w:rFonts w:ascii="Cambria" w:hAnsi="Cambria"/>
                <w:bCs/>
                <w:sz w:val="20"/>
                <w:lang w:val="pt-BR"/>
              </w:rPr>
            </w:pPr>
            <w:r w:rsidRPr="00FF6DBF">
              <w:rPr>
                <w:rFonts w:ascii="Cambria" w:hAnsi="Cambria"/>
                <w:bCs/>
                <w:sz w:val="20"/>
                <w:lang w:val="pt-BR"/>
              </w:rPr>
              <w:t>Brasil</w:t>
            </w:r>
          </w:p>
        </w:tc>
      </w:tr>
      <w:tr w:rsidR="00FF6DBF" w:rsidRPr="00BF5F78" w14:paraId="0EFB4D11" w14:textId="77777777" w:rsidTr="00E82851">
        <w:tc>
          <w:tcPr>
            <w:tcW w:w="3600" w:type="dxa"/>
            <w:tcBorders>
              <w:top w:val="single" w:sz="6" w:space="0" w:color="auto"/>
              <w:bottom w:val="single" w:sz="6" w:space="0" w:color="auto"/>
            </w:tcBorders>
            <w:shd w:val="clear" w:color="auto" w:fill="FFC000"/>
            <w:vAlign w:val="center"/>
          </w:tcPr>
          <w:p w14:paraId="37872886" w14:textId="77777777" w:rsidR="00697D1E" w:rsidRPr="00FF6DBF" w:rsidRDefault="00D52F0C">
            <w:pPr>
              <w:jc w:val="center"/>
              <w:rPr>
                <w:rFonts w:ascii="Cambria" w:hAnsi="Cambria"/>
                <w:b/>
                <w:bCs/>
                <w:sz w:val="20"/>
                <w:lang w:val="pt-BR"/>
              </w:rPr>
            </w:pPr>
            <w:r w:rsidRPr="00FF6DBF">
              <w:rPr>
                <w:rFonts w:ascii="Cambria" w:hAnsi="Cambria"/>
                <w:b/>
                <w:bCs/>
                <w:sz w:val="20"/>
                <w:lang w:val="pt-BR"/>
              </w:rPr>
              <w:t>Direito</w:t>
            </w:r>
            <w:r w:rsidR="00697D1E" w:rsidRPr="00FF6DBF">
              <w:rPr>
                <w:rFonts w:ascii="Cambria" w:hAnsi="Cambria"/>
                <w:b/>
                <w:bCs/>
                <w:sz w:val="20"/>
                <w:lang w:val="pt-BR"/>
              </w:rPr>
              <w:t>s invocados:</w:t>
            </w:r>
          </w:p>
        </w:tc>
        <w:tc>
          <w:tcPr>
            <w:tcW w:w="5760" w:type="dxa"/>
            <w:shd w:val="clear" w:color="auto" w:fill="auto"/>
            <w:vAlign w:val="center"/>
          </w:tcPr>
          <w:p w14:paraId="572A5B3E" w14:textId="33A86DAC" w:rsidR="00697D1E" w:rsidRPr="00FF6DBF" w:rsidRDefault="00013992">
            <w:pPr>
              <w:rPr>
                <w:rFonts w:ascii="Cambria" w:hAnsi="Cambria"/>
                <w:bCs/>
                <w:sz w:val="20"/>
                <w:lang w:val="pt-BR"/>
              </w:rPr>
            </w:pPr>
            <w:r w:rsidRPr="00FF6DBF">
              <w:rPr>
                <w:rFonts w:ascii="Cambria" w:hAnsi="Cambria"/>
                <w:bCs/>
                <w:sz w:val="20"/>
                <w:lang w:val="pt-BR" w:bidi="es-ES"/>
              </w:rPr>
              <w:t>Artigos</w:t>
            </w:r>
            <w:r w:rsidR="00CF3FA4" w:rsidRPr="00FF6DBF">
              <w:rPr>
                <w:rFonts w:ascii="Cambria" w:hAnsi="Cambria"/>
                <w:bCs/>
                <w:sz w:val="20"/>
                <w:lang w:val="pt-BR" w:bidi="es-ES"/>
              </w:rPr>
              <w:t xml:space="preserve"> 4 (vida),</w:t>
            </w:r>
            <w:r w:rsidRPr="00FF6DBF">
              <w:rPr>
                <w:rFonts w:ascii="Cambria" w:hAnsi="Cambria"/>
                <w:bCs/>
                <w:sz w:val="20"/>
                <w:lang w:val="pt-BR" w:bidi="es-ES"/>
              </w:rPr>
              <w:t xml:space="preserve"> 5 (integridade pessoal)</w:t>
            </w:r>
            <w:r w:rsidR="00CF3FA4" w:rsidRPr="00FF6DBF">
              <w:rPr>
                <w:rFonts w:ascii="Cambria" w:hAnsi="Cambria"/>
                <w:bCs/>
                <w:sz w:val="20"/>
                <w:lang w:val="pt-BR" w:bidi="es-ES"/>
              </w:rPr>
              <w:t>, 7 (liberdade pessoal),</w:t>
            </w:r>
            <w:r w:rsidR="00425F34" w:rsidRPr="00FF6DBF">
              <w:rPr>
                <w:rFonts w:ascii="Cambria" w:hAnsi="Cambria"/>
                <w:bCs/>
                <w:sz w:val="20"/>
                <w:lang w:val="pt-BR" w:bidi="es-ES"/>
              </w:rPr>
              <w:t xml:space="preserve"> 8 (garantias judiciais),</w:t>
            </w:r>
            <w:r w:rsidR="00CF3FA4" w:rsidRPr="00FF6DBF">
              <w:rPr>
                <w:rFonts w:ascii="Cambria" w:hAnsi="Cambria"/>
                <w:bCs/>
                <w:sz w:val="20"/>
                <w:lang w:val="pt-BR" w:bidi="es-ES"/>
              </w:rPr>
              <w:t xml:space="preserve"> 13 (liberdade de pensamento e expressão), 16 (liberdade de associação), 17 (proteção da família)</w:t>
            </w:r>
            <w:r w:rsidRPr="00FF6DBF">
              <w:rPr>
                <w:rFonts w:ascii="Cambria" w:hAnsi="Cambria"/>
                <w:bCs/>
                <w:sz w:val="20"/>
                <w:lang w:val="pt-BR" w:bidi="es-ES"/>
              </w:rPr>
              <w:t xml:space="preserve"> e 25 (proteção judicial) da Convenção Americana sobre Direitos Humanos</w:t>
            </w:r>
            <w:r w:rsidRPr="00FF6DBF">
              <w:rPr>
                <w:rStyle w:val="FootnoteReference"/>
                <w:rFonts w:ascii="Cambria" w:hAnsi="Cambria"/>
                <w:bCs/>
                <w:sz w:val="20"/>
                <w:lang w:val="pt-BR"/>
              </w:rPr>
              <w:footnoteReference w:id="3"/>
            </w:r>
            <w:r w:rsidR="00100B5A" w:rsidRPr="00FF6DBF">
              <w:rPr>
                <w:rFonts w:ascii="Cambria" w:hAnsi="Cambria"/>
                <w:bCs/>
                <w:sz w:val="20"/>
                <w:lang w:val="pt-BR" w:bidi="es-ES"/>
              </w:rPr>
              <w:t>,</w:t>
            </w:r>
            <w:r w:rsidRPr="00FF6DBF">
              <w:rPr>
                <w:rFonts w:ascii="Cambria" w:hAnsi="Cambria"/>
                <w:bCs/>
                <w:sz w:val="20"/>
                <w:lang w:val="pt-BR" w:bidi="es-ES"/>
              </w:rPr>
              <w:t xml:space="preserve">  em relação ao</w:t>
            </w:r>
            <w:r w:rsidR="00CA00B0" w:rsidRPr="00FF6DBF">
              <w:rPr>
                <w:rFonts w:ascii="Cambria" w:hAnsi="Cambria"/>
                <w:bCs/>
                <w:sz w:val="20"/>
                <w:lang w:val="pt-BR" w:bidi="es-ES"/>
              </w:rPr>
              <w:t>s</w:t>
            </w:r>
            <w:r w:rsidRPr="00FF6DBF">
              <w:rPr>
                <w:rFonts w:ascii="Cambria" w:hAnsi="Cambria"/>
                <w:bCs/>
                <w:sz w:val="20"/>
                <w:lang w:val="pt-BR" w:bidi="es-ES"/>
              </w:rPr>
              <w:t xml:space="preserve"> artigo</w:t>
            </w:r>
            <w:r w:rsidR="00CA00B0" w:rsidRPr="00FF6DBF">
              <w:rPr>
                <w:rFonts w:ascii="Cambria" w:hAnsi="Cambria"/>
                <w:bCs/>
                <w:sz w:val="20"/>
                <w:lang w:val="pt-BR" w:bidi="es-ES"/>
              </w:rPr>
              <w:t>s</w:t>
            </w:r>
            <w:r w:rsidRPr="00FF6DBF">
              <w:rPr>
                <w:rFonts w:ascii="Cambria" w:hAnsi="Cambria"/>
                <w:bCs/>
                <w:sz w:val="20"/>
                <w:lang w:val="pt-BR" w:bidi="es-ES"/>
              </w:rPr>
              <w:t xml:space="preserve"> 1.1 (obrigação de respeitar e garantir os direitos)</w:t>
            </w:r>
            <w:r w:rsidR="00CA00B0" w:rsidRPr="00FF6DBF">
              <w:rPr>
                <w:rFonts w:ascii="Cambria" w:hAnsi="Cambria"/>
                <w:bCs/>
                <w:sz w:val="20"/>
                <w:lang w:val="pt-BR" w:bidi="es-ES"/>
              </w:rPr>
              <w:t xml:space="preserve"> e 2 (dever de adotar disposições de direito interno)</w:t>
            </w:r>
          </w:p>
        </w:tc>
      </w:tr>
    </w:tbl>
    <w:p w14:paraId="59C83C19" w14:textId="094E109F" w:rsidR="00697D1E" w:rsidRPr="00FF6DBF" w:rsidRDefault="00697D1E" w:rsidP="00697D1E">
      <w:pPr>
        <w:spacing w:before="240" w:after="240"/>
        <w:ind w:firstLine="720"/>
        <w:rPr>
          <w:rFonts w:ascii="Cambria" w:hAnsi="Cambria"/>
          <w:b/>
          <w:bCs/>
          <w:sz w:val="20"/>
          <w:lang w:val="pt-BR"/>
        </w:rPr>
      </w:pPr>
      <w:r w:rsidRPr="00FF6DBF">
        <w:rPr>
          <w:rFonts w:ascii="Cambria" w:hAnsi="Cambria"/>
          <w:b/>
          <w:bCs/>
          <w:sz w:val="20"/>
          <w:lang w:val="pt-BR"/>
        </w:rPr>
        <w:t>II.</w:t>
      </w:r>
      <w:r w:rsidRPr="00FF6DBF">
        <w:rPr>
          <w:rFonts w:ascii="Cambria" w:hAnsi="Cambria"/>
          <w:b/>
          <w:bCs/>
          <w:sz w:val="20"/>
          <w:lang w:val="pt-BR"/>
        </w:rPr>
        <w:tab/>
        <w:t>TR</w:t>
      </w:r>
      <w:r w:rsidR="00901BF1" w:rsidRPr="00FF6DBF">
        <w:rPr>
          <w:rFonts w:ascii="Cambria" w:hAnsi="Cambria"/>
          <w:b/>
          <w:bCs/>
          <w:sz w:val="20"/>
          <w:lang w:val="pt-BR"/>
        </w:rPr>
        <w:t>Â</w:t>
      </w:r>
      <w:r w:rsidRPr="00FF6DBF">
        <w:rPr>
          <w:rFonts w:ascii="Cambria" w:hAnsi="Cambria"/>
          <w:b/>
          <w:bCs/>
          <w:sz w:val="20"/>
          <w:lang w:val="pt-BR"/>
        </w:rPr>
        <w:t xml:space="preserve">MITE </w:t>
      </w:r>
      <w:r w:rsidR="00901BF1" w:rsidRPr="00FF6DBF">
        <w:rPr>
          <w:rFonts w:ascii="Cambria" w:hAnsi="Cambria"/>
          <w:b/>
          <w:bCs/>
          <w:sz w:val="20"/>
          <w:lang w:val="pt-BR"/>
        </w:rPr>
        <w:t>N</w:t>
      </w:r>
      <w:r w:rsidRPr="00FF6DBF">
        <w:rPr>
          <w:rFonts w:ascii="Cambria" w:hAnsi="Cambria"/>
          <w:b/>
          <w:bCs/>
          <w:sz w:val="20"/>
          <w:lang w:val="pt-BR"/>
        </w:rPr>
        <w:t>A</w:t>
      </w:r>
      <w:r w:rsidR="00901BF1" w:rsidRPr="00FF6DBF">
        <w:rPr>
          <w:rFonts w:ascii="Cambria" w:hAnsi="Cambria"/>
          <w:b/>
          <w:bCs/>
          <w:sz w:val="20"/>
          <w:lang w:val="pt-BR"/>
        </w:rPr>
        <w:t xml:space="preserve"> </w:t>
      </w:r>
      <w:r w:rsidRPr="00FF6DBF">
        <w:rPr>
          <w:rFonts w:ascii="Cambria" w:hAnsi="Cambria"/>
          <w:b/>
          <w:bCs/>
          <w:sz w:val="20"/>
          <w:lang w:val="pt-BR"/>
        </w:rPr>
        <w:t>CIDH</w:t>
      </w:r>
      <w:r w:rsidR="00523EB1" w:rsidRPr="00FF6DBF">
        <w:rPr>
          <w:rStyle w:val="FootnoteReference"/>
          <w:rFonts w:ascii="Cambria" w:hAnsi="Cambria"/>
          <w:b/>
          <w:sz w:val="20"/>
          <w:lang w:val="pt-BR" w:bidi="es-ES"/>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FF6DBF" w:rsidRPr="00FF6DBF" w14:paraId="20B43844" w14:textId="77777777" w:rsidTr="00E82851">
        <w:tc>
          <w:tcPr>
            <w:tcW w:w="3600" w:type="dxa"/>
            <w:tcBorders>
              <w:top w:val="single" w:sz="6" w:space="0" w:color="auto"/>
              <w:bottom w:val="single" w:sz="6" w:space="0" w:color="auto"/>
            </w:tcBorders>
            <w:shd w:val="clear" w:color="auto" w:fill="FFC000"/>
            <w:vAlign w:val="center"/>
          </w:tcPr>
          <w:p w14:paraId="71B66A63" w14:textId="77777777" w:rsidR="00100B5A" w:rsidRPr="00FF6DBF" w:rsidRDefault="00100B5A" w:rsidP="00100B5A">
            <w:pPr>
              <w:jc w:val="center"/>
              <w:rPr>
                <w:rFonts w:ascii="Cambria" w:hAnsi="Cambria"/>
                <w:b/>
                <w:bCs/>
                <w:sz w:val="20"/>
                <w:lang w:val="pt-BR"/>
              </w:rPr>
            </w:pPr>
            <w:r w:rsidRPr="00FF6DBF">
              <w:rPr>
                <w:rFonts w:ascii="Cambria" w:hAnsi="Cambria"/>
                <w:b/>
                <w:bCs/>
                <w:sz w:val="20"/>
                <w:lang w:val="pt-BR"/>
              </w:rPr>
              <w:t>Apresentação da petição:</w:t>
            </w:r>
          </w:p>
        </w:tc>
        <w:tc>
          <w:tcPr>
            <w:tcW w:w="5760" w:type="dxa"/>
            <w:shd w:val="clear" w:color="auto" w:fill="auto"/>
            <w:vAlign w:val="center"/>
          </w:tcPr>
          <w:p w14:paraId="7E1C59F6" w14:textId="32ACE7D5" w:rsidR="00100B5A" w:rsidRPr="00FF6DBF" w:rsidRDefault="002270D2" w:rsidP="00100B5A">
            <w:pPr>
              <w:rPr>
                <w:rFonts w:ascii="Cambria" w:hAnsi="Cambria"/>
                <w:bCs/>
                <w:sz w:val="20"/>
                <w:lang w:val="pt-BR"/>
              </w:rPr>
            </w:pPr>
            <w:r w:rsidRPr="00FF6DBF">
              <w:rPr>
                <w:rFonts w:ascii="Cambria" w:hAnsi="Cambria"/>
                <w:bCs/>
                <w:sz w:val="20"/>
                <w:lang w:val="pt-BR"/>
              </w:rPr>
              <w:t>3 de fevereiro de 2017</w:t>
            </w:r>
          </w:p>
        </w:tc>
      </w:tr>
      <w:tr w:rsidR="00FF6DBF" w:rsidRPr="00BF5F78" w14:paraId="307881C1" w14:textId="77777777" w:rsidTr="00E82851">
        <w:tc>
          <w:tcPr>
            <w:tcW w:w="3600" w:type="dxa"/>
            <w:tcBorders>
              <w:top w:val="single" w:sz="6" w:space="0" w:color="auto"/>
              <w:bottom w:val="single" w:sz="6" w:space="0" w:color="auto"/>
            </w:tcBorders>
            <w:shd w:val="clear" w:color="auto" w:fill="FFC000"/>
            <w:vAlign w:val="center"/>
          </w:tcPr>
          <w:p w14:paraId="3CDF52F5" w14:textId="77777777" w:rsidR="00100B5A" w:rsidRPr="00FF6DBF" w:rsidRDefault="00100B5A" w:rsidP="00100B5A">
            <w:pPr>
              <w:jc w:val="center"/>
              <w:rPr>
                <w:rFonts w:ascii="Cambria" w:hAnsi="Cambria"/>
                <w:b/>
                <w:bCs/>
                <w:sz w:val="20"/>
                <w:lang w:val="pt-BR"/>
              </w:rPr>
            </w:pPr>
            <w:r w:rsidRPr="00FF6DBF">
              <w:rPr>
                <w:rFonts w:ascii="Cambria" w:hAnsi="Cambria"/>
                <w:b/>
                <w:bCs/>
                <w:sz w:val="20"/>
                <w:lang w:val="pt-BR"/>
              </w:rPr>
              <w:t>Informação adicional durante a etapa de estudo:</w:t>
            </w:r>
          </w:p>
        </w:tc>
        <w:tc>
          <w:tcPr>
            <w:tcW w:w="5760" w:type="dxa"/>
            <w:shd w:val="clear" w:color="auto" w:fill="auto"/>
            <w:vAlign w:val="center"/>
          </w:tcPr>
          <w:p w14:paraId="5E7E5B11" w14:textId="6D0C69C8" w:rsidR="00100B5A" w:rsidRPr="00FF6DBF" w:rsidRDefault="002270D2" w:rsidP="00100B5A">
            <w:pPr>
              <w:rPr>
                <w:rFonts w:ascii="Cambria" w:hAnsi="Cambria"/>
                <w:bCs/>
                <w:sz w:val="20"/>
                <w:lang w:val="pt-BR"/>
              </w:rPr>
            </w:pPr>
            <w:r w:rsidRPr="00FF6DBF">
              <w:rPr>
                <w:rFonts w:ascii="Cambria" w:hAnsi="Cambria"/>
                <w:bCs/>
                <w:sz w:val="20"/>
                <w:lang w:val="pt-BR"/>
              </w:rPr>
              <w:t>21 de fevereiro de 2017, 29 de março de 2017, 25 de maio de 2017, 3 de julho de 2019, 27 de agosto de 2020, 20 de abril de 2021</w:t>
            </w:r>
            <w:r w:rsidR="00F869D6" w:rsidRPr="00FF6DBF">
              <w:rPr>
                <w:rFonts w:ascii="Cambria" w:hAnsi="Cambria"/>
                <w:bCs/>
                <w:sz w:val="20"/>
                <w:lang w:val="pt-BR"/>
              </w:rPr>
              <w:t xml:space="preserve"> e</w:t>
            </w:r>
            <w:r w:rsidRPr="00FF6DBF">
              <w:rPr>
                <w:rFonts w:ascii="Cambria" w:hAnsi="Cambria"/>
                <w:bCs/>
                <w:sz w:val="20"/>
                <w:lang w:val="pt-BR"/>
              </w:rPr>
              <w:t xml:space="preserve"> 27 de dezembro de 2021</w:t>
            </w:r>
          </w:p>
        </w:tc>
      </w:tr>
      <w:tr w:rsidR="00FF6DBF" w:rsidRPr="00FF6DBF" w14:paraId="36EBE726" w14:textId="77777777" w:rsidTr="00E82851">
        <w:tc>
          <w:tcPr>
            <w:tcW w:w="3600" w:type="dxa"/>
            <w:tcBorders>
              <w:top w:val="single" w:sz="6" w:space="0" w:color="auto"/>
              <w:bottom w:val="single" w:sz="6" w:space="0" w:color="auto"/>
            </w:tcBorders>
            <w:shd w:val="clear" w:color="auto" w:fill="FFC000"/>
            <w:vAlign w:val="center"/>
          </w:tcPr>
          <w:p w14:paraId="1A169624" w14:textId="77777777" w:rsidR="00100B5A" w:rsidRPr="00FF6DBF" w:rsidRDefault="00100B5A" w:rsidP="00100B5A">
            <w:pPr>
              <w:jc w:val="center"/>
              <w:rPr>
                <w:rFonts w:ascii="Cambria" w:hAnsi="Cambria"/>
                <w:b/>
                <w:bCs/>
                <w:sz w:val="20"/>
                <w:lang w:val="pt-BR"/>
              </w:rPr>
            </w:pPr>
            <w:r w:rsidRPr="00FF6DBF">
              <w:rPr>
                <w:rFonts w:ascii="Cambria" w:hAnsi="Cambria"/>
                <w:b/>
                <w:sz w:val="20"/>
                <w:lang w:val="pt-BR"/>
              </w:rPr>
              <w:t>Notificação da petição ao Estado:</w:t>
            </w:r>
          </w:p>
        </w:tc>
        <w:tc>
          <w:tcPr>
            <w:tcW w:w="5760" w:type="dxa"/>
            <w:shd w:val="clear" w:color="auto" w:fill="auto"/>
            <w:vAlign w:val="center"/>
          </w:tcPr>
          <w:p w14:paraId="6F8AB26D" w14:textId="4946FCBA" w:rsidR="00100B5A" w:rsidRPr="00FF6DBF" w:rsidRDefault="002270D2" w:rsidP="00100B5A">
            <w:pPr>
              <w:rPr>
                <w:rFonts w:ascii="Cambria" w:hAnsi="Cambria"/>
                <w:bCs/>
                <w:sz w:val="20"/>
                <w:lang w:val="pt-BR"/>
              </w:rPr>
            </w:pPr>
            <w:r w:rsidRPr="00FF6DBF">
              <w:rPr>
                <w:rFonts w:ascii="Cambria" w:hAnsi="Cambria"/>
                <w:bCs/>
                <w:sz w:val="20"/>
                <w:lang w:val="pt-BR"/>
              </w:rPr>
              <w:t>11 de fevereiro de 2022</w:t>
            </w:r>
          </w:p>
        </w:tc>
      </w:tr>
      <w:tr w:rsidR="00FF6DBF" w:rsidRPr="00FF6DBF" w14:paraId="60DC446B" w14:textId="77777777" w:rsidTr="00E82851">
        <w:tc>
          <w:tcPr>
            <w:tcW w:w="3600" w:type="dxa"/>
            <w:tcBorders>
              <w:top w:val="single" w:sz="6" w:space="0" w:color="auto"/>
              <w:bottom w:val="single" w:sz="6" w:space="0" w:color="auto"/>
            </w:tcBorders>
            <w:shd w:val="clear" w:color="auto" w:fill="FFC000"/>
            <w:vAlign w:val="center"/>
          </w:tcPr>
          <w:p w14:paraId="4F222D47" w14:textId="6F2EAEAE" w:rsidR="002270D2" w:rsidRPr="00FF6DBF" w:rsidRDefault="002270D2" w:rsidP="00100B5A">
            <w:pPr>
              <w:jc w:val="center"/>
              <w:rPr>
                <w:rFonts w:ascii="Cambria" w:hAnsi="Cambria"/>
                <w:b/>
                <w:sz w:val="20"/>
                <w:lang w:val="pt-BR"/>
              </w:rPr>
            </w:pPr>
            <w:r w:rsidRPr="00FF6DBF">
              <w:rPr>
                <w:rFonts w:ascii="Cambria" w:hAnsi="Cambria"/>
                <w:b/>
                <w:sz w:val="20"/>
                <w:lang w:val="pt-BR"/>
              </w:rPr>
              <w:t>Solicitação de prorrogação:</w:t>
            </w:r>
          </w:p>
        </w:tc>
        <w:tc>
          <w:tcPr>
            <w:tcW w:w="5760" w:type="dxa"/>
            <w:shd w:val="clear" w:color="auto" w:fill="auto"/>
            <w:vAlign w:val="center"/>
          </w:tcPr>
          <w:p w14:paraId="6D2FE11F" w14:textId="164AA239" w:rsidR="002270D2" w:rsidRPr="00FF6DBF" w:rsidRDefault="002270D2" w:rsidP="00100B5A">
            <w:pPr>
              <w:rPr>
                <w:rFonts w:ascii="Cambria" w:hAnsi="Cambria"/>
                <w:bCs/>
                <w:sz w:val="20"/>
                <w:lang w:val="pt-BR"/>
              </w:rPr>
            </w:pPr>
            <w:r w:rsidRPr="00FF6DBF">
              <w:rPr>
                <w:rFonts w:ascii="Cambria" w:hAnsi="Cambria"/>
                <w:bCs/>
                <w:sz w:val="20"/>
                <w:lang w:val="pt-BR"/>
              </w:rPr>
              <w:t>10 de maio de 2022</w:t>
            </w:r>
          </w:p>
        </w:tc>
      </w:tr>
      <w:tr w:rsidR="00FF6DBF" w:rsidRPr="00FF6DBF" w14:paraId="5A1223AD" w14:textId="77777777" w:rsidTr="00E82851">
        <w:tc>
          <w:tcPr>
            <w:tcW w:w="3600" w:type="dxa"/>
            <w:tcBorders>
              <w:top w:val="single" w:sz="6" w:space="0" w:color="auto"/>
              <w:bottom w:val="single" w:sz="6" w:space="0" w:color="auto"/>
            </w:tcBorders>
            <w:shd w:val="clear" w:color="auto" w:fill="FFC000"/>
            <w:vAlign w:val="center"/>
          </w:tcPr>
          <w:p w14:paraId="130F77D8" w14:textId="77777777" w:rsidR="00100B5A" w:rsidRPr="00FF6DBF" w:rsidRDefault="00100B5A" w:rsidP="00100B5A">
            <w:pPr>
              <w:jc w:val="center"/>
              <w:rPr>
                <w:rFonts w:ascii="Cambria" w:hAnsi="Cambria"/>
                <w:b/>
                <w:bCs/>
                <w:sz w:val="20"/>
                <w:lang w:val="pt-BR"/>
              </w:rPr>
            </w:pPr>
            <w:r w:rsidRPr="00FF6DBF">
              <w:rPr>
                <w:rFonts w:ascii="Cambria" w:hAnsi="Cambria"/>
                <w:b/>
                <w:sz w:val="20"/>
                <w:lang w:val="pt-BR"/>
              </w:rPr>
              <w:t>Primeira resposta do Estado:</w:t>
            </w:r>
          </w:p>
        </w:tc>
        <w:tc>
          <w:tcPr>
            <w:tcW w:w="5760" w:type="dxa"/>
            <w:shd w:val="clear" w:color="auto" w:fill="auto"/>
            <w:vAlign w:val="center"/>
          </w:tcPr>
          <w:p w14:paraId="5375678B" w14:textId="31AAD510" w:rsidR="00100B5A" w:rsidRPr="00FF6DBF" w:rsidRDefault="002270D2" w:rsidP="00100B5A">
            <w:pPr>
              <w:rPr>
                <w:rFonts w:ascii="Cambria" w:hAnsi="Cambria"/>
                <w:bCs/>
                <w:sz w:val="20"/>
                <w:lang w:val="pt-BR"/>
              </w:rPr>
            </w:pPr>
            <w:r w:rsidRPr="00FF6DBF">
              <w:rPr>
                <w:rFonts w:ascii="Cambria" w:hAnsi="Cambria"/>
                <w:bCs/>
                <w:sz w:val="20"/>
                <w:lang w:val="pt-BR"/>
              </w:rPr>
              <w:t>10 de junho de 2022</w:t>
            </w:r>
          </w:p>
        </w:tc>
      </w:tr>
    </w:tbl>
    <w:p w14:paraId="616A0F2C" w14:textId="77777777" w:rsidR="00697D1E" w:rsidRPr="00FF6DBF" w:rsidRDefault="00697D1E" w:rsidP="00697D1E">
      <w:pPr>
        <w:spacing w:before="240" w:after="240"/>
        <w:ind w:firstLine="720"/>
        <w:rPr>
          <w:rFonts w:ascii="Cambria" w:hAnsi="Cambria"/>
          <w:b/>
          <w:bCs/>
          <w:sz w:val="20"/>
          <w:lang w:val="pt-BR"/>
        </w:rPr>
      </w:pPr>
      <w:r w:rsidRPr="00FF6DBF">
        <w:rPr>
          <w:rFonts w:ascii="Cambria" w:hAnsi="Cambria"/>
          <w:b/>
          <w:bCs/>
          <w:sz w:val="20"/>
          <w:lang w:val="pt-BR"/>
        </w:rPr>
        <w:t xml:space="preserve">III. </w:t>
      </w:r>
      <w:r w:rsidRPr="00FF6DBF">
        <w:rPr>
          <w:rFonts w:ascii="Cambria" w:hAnsi="Cambria"/>
          <w:b/>
          <w:bCs/>
          <w:sz w:val="20"/>
          <w:lang w:val="pt-BR"/>
        </w:rPr>
        <w:tab/>
        <w:t>COMPET</w:t>
      </w:r>
      <w:r w:rsidR="000F38DA" w:rsidRPr="00FF6DBF">
        <w:rPr>
          <w:rFonts w:ascii="Cambria" w:hAnsi="Cambria"/>
          <w:b/>
          <w:bCs/>
          <w:sz w:val="20"/>
          <w:lang w:val="pt-BR"/>
        </w:rPr>
        <w:t>ÊNCIA</w:t>
      </w:r>
      <w:r w:rsidRPr="00FF6DBF">
        <w:rPr>
          <w:rFonts w:ascii="Cambria" w:hAnsi="Cambria"/>
          <w:b/>
          <w:bCs/>
          <w:sz w:val="20"/>
          <w:lang w:val="pt-BR"/>
        </w:rPr>
        <w:t xml:space="preserve"> </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1"/>
        <w:gridCol w:w="5776"/>
      </w:tblGrid>
      <w:tr w:rsidR="00FF6DBF" w:rsidRPr="00FF6DBF" w14:paraId="1E1AC355" w14:textId="77777777" w:rsidTr="00E82851">
        <w:trPr>
          <w:cantSplit/>
        </w:trPr>
        <w:tc>
          <w:tcPr>
            <w:tcW w:w="3561" w:type="dxa"/>
            <w:tcBorders>
              <w:top w:val="single" w:sz="4" w:space="0" w:color="auto"/>
              <w:bottom w:val="single" w:sz="6" w:space="0" w:color="auto"/>
            </w:tcBorders>
            <w:shd w:val="clear" w:color="auto" w:fill="FFC000"/>
            <w:vAlign w:val="center"/>
          </w:tcPr>
          <w:p w14:paraId="3CD4EE91" w14:textId="77777777" w:rsidR="00697D1E" w:rsidRPr="00FF6DBF" w:rsidRDefault="00697D1E">
            <w:pPr>
              <w:jc w:val="center"/>
              <w:rPr>
                <w:rFonts w:ascii="Cambria" w:hAnsi="Cambria"/>
                <w:b/>
                <w:bCs/>
                <w:i/>
                <w:sz w:val="20"/>
                <w:lang w:val="pt-BR"/>
              </w:rPr>
            </w:pPr>
            <w:r w:rsidRPr="00FF6DBF">
              <w:rPr>
                <w:rFonts w:ascii="Cambria" w:hAnsi="Cambria"/>
                <w:b/>
                <w:bCs/>
                <w:sz w:val="20"/>
                <w:lang w:val="pt-BR"/>
              </w:rPr>
              <w:t>Compet</w:t>
            </w:r>
            <w:r w:rsidR="000F38DA" w:rsidRPr="00FF6DBF">
              <w:rPr>
                <w:rFonts w:ascii="Cambria" w:hAnsi="Cambria"/>
                <w:b/>
                <w:bCs/>
                <w:sz w:val="20"/>
                <w:lang w:val="pt-BR"/>
              </w:rPr>
              <w:t>ência</w:t>
            </w:r>
            <w:r w:rsidRPr="00FF6DBF">
              <w:rPr>
                <w:rFonts w:ascii="Cambria" w:hAnsi="Cambria"/>
                <w:b/>
                <w:bCs/>
                <w:i/>
                <w:sz w:val="20"/>
                <w:lang w:val="pt-BR"/>
              </w:rPr>
              <w:t xml:space="preserve"> Ratione personae:</w:t>
            </w:r>
          </w:p>
        </w:tc>
        <w:tc>
          <w:tcPr>
            <w:tcW w:w="5776" w:type="dxa"/>
            <w:shd w:val="clear" w:color="auto" w:fill="auto"/>
            <w:vAlign w:val="center"/>
          </w:tcPr>
          <w:p w14:paraId="4FD0F383" w14:textId="77777777" w:rsidR="00697D1E" w:rsidRPr="00FF6DBF" w:rsidRDefault="00B35631">
            <w:pPr>
              <w:rPr>
                <w:rFonts w:ascii="Cambria" w:hAnsi="Cambria"/>
                <w:bCs/>
                <w:sz w:val="20"/>
                <w:lang w:val="pt-BR"/>
              </w:rPr>
            </w:pPr>
            <w:r w:rsidRPr="00FF6DBF">
              <w:rPr>
                <w:rFonts w:ascii="Cambria" w:hAnsi="Cambria"/>
                <w:bCs/>
                <w:sz w:val="20"/>
                <w:lang w:val="pt-BR"/>
              </w:rPr>
              <w:t>Sim</w:t>
            </w:r>
          </w:p>
        </w:tc>
      </w:tr>
      <w:tr w:rsidR="00FF6DBF" w:rsidRPr="00FF6DBF" w14:paraId="64D6BA2E" w14:textId="77777777" w:rsidTr="00E82851">
        <w:trPr>
          <w:cantSplit/>
        </w:trPr>
        <w:tc>
          <w:tcPr>
            <w:tcW w:w="3561" w:type="dxa"/>
            <w:tcBorders>
              <w:top w:val="single" w:sz="6" w:space="0" w:color="auto"/>
              <w:bottom w:val="single" w:sz="6" w:space="0" w:color="auto"/>
            </w:tcBorders>
            <w:shd w:val="clear" w:color="auto" w:fill="FFC000"/>
            <w:vAlign w:val="center"/>
          </w:tcPr>
          <w:p w14:paraId="03C44616" w14:textId="77777777" w:rsidR="00697D1E" w:rsidRPr="00FF6DBF" w:rsidRDefault="00697D1E">
            <w:pPr>
              <w:jc w:val="center"/>
              <w:rPr>
                <w:rFonts w:ascii="Cambria" w:hAnsi="Cambria"/>
                <w:b/>
                <w:bCs/>
                <w:sz w:val="20"/>
                <w:lang w:val="pt-BR"/>
              </w:rPr>
            </w:pPr>
            <w:r w:rsidRPr="00FF6DBF">
              <w:rPr>
                <w:rFonts w:ascii="Cambria" w:hAnsi="Cambria"/>
                <w:b/>
                <w:bCs/>
                <w:sz w:val="20"/>
                <w:lang w:val="pt-BR"/>
              </w:rPr>
              <w:t>Compet</w:t>
            </w:r>
            <w:r w:rsidR="000F38DA" w:rsidRPr="00FF6DBF">
              <w:rPr>
                <w:rFonts w:ascii="Cambria" w:hAnsi="Cambria"/>
                <w:b/>
                <w:bCs/>
                <w:sz w:val="20"/>
                <w:lang w:val="pt-BR"/>
              </w:rPr>
              <w:t>ência</w:t>
            </w:r>
            <w:r w:rsidRPr="00FF6DBF">
              <w:rPr>
                <w:rFonts w:ascii="Cambria" w:hAnsi="Cambria"/>
                <w:b/>
                <w:bCs/>
                <w:i/>
                <w:sz w:val="20"/>
                <w:lang w:val="pt-BR"/>
              </w:rPr>
              <w:t xml:space="preserve"> Ratione loci</w:t>
            </w:r>
            <w:r w:rsidRPr="00FF6DBF">
              <w:rPr>
                <w:rFonts w:ascii="Cambria" w:hAnsi="Cambria"/>
                <w:b/>
                <w:bCs/>
                <w:sz w:val="20"/>
                <w:lang w:val="pt-BR"/>
              </w:rPr>
              <w:t>:</w:t>
            </w:r>
          </w:p>
        </w:tc>
        <w:tc>
          <w:tcPr>
            <w:tcW w:w="5776" w:type="dxa"/>
            <w:shd w:val="clear" w:color="auto" w:fill="auto"/>
            <w:vAlign w:val="center"/>
          </w:tcPr>
          <w:p w14:paraId="1BC161EE" w14:textId="77777777" w:rsidR="00697D1E" w:rsidRPr="00FF6DBF" w:rsidRDefault="00B35631">
            <w:pPr>
              <w:rPr>
                <w:rFonts w:ascii="Cambria" w:hAnsi="Cambria"/>
                <w:bCs/>
                <w:sz w:val="20"/>
                <w:lang w:val="pt-BR"/>
              </w:rPr>
            </w:pPr>
            <w:r w:rsidRPr="00FF6DBF">
              <w:rPr>
                <w:rFonts w:ascii="Cambria" w:hAnsi="Cambria"/>
                <w:bCs/>
                <w:sz w:val="20"/>
                <w:lang w:val="pt-BR"/>
              </w:rPr>
              <w:t>Sim</w:t>
            </w:r>
          </w:p>
        </w:tc>
      </w:tr>
      <w:tr w:rsidR="00FF6DBF" w:rsidRPr="00FF6DBF" w14:paraId="4A8866D7" w14:textId="77777777" w:rsidTr="00E82851">
        <w:trPr>
          <w:cantSplit/>
        </w:trPr>
        <w:tc>
          <w:tcPr>
            <w:tcW w:w="3561" w:type="dxa"/>
            <w:tcBorders>
              <w:top w:val="single" w:sz="6" w:space="0" w:color="auto"/>
              <w:bottom w:val="single" w:sz="6" w:space="0" w:color="auto"/>
            </w:tcBorders>
            <w:shd w:val="clear" w:color="auto" w:fill="FFC000"/>
            <w:vAlign w:val="center"/>
          </w:tcPr>
          <w:p w14:paraId="1CB164EF" w14:textId="77777777" w:rsidR="00697D1E" w:rsidRPr="00FF6DBF" w:rsidRDefault="00697D1E">
            <w:pPr>
              <w:jc w:val="center"/>
              <w:rPr>
                <w:rFonts w:ascii="Cambria" w:hAnsi="Cambria"/>
                <w:b/>
                <w:bCs/>
                <w:sz w:val="20"/>
                <w:lang w:val="pt-BR"/>
              </w:rPr>
            </w:pPr>
            <w:r w:rsidRPr="00FF6DBF">
              <w:rPr>
                <w:rFonts w:ascii="Cambria" w:hAnsi="Cambria"/>
                <w:b/>
                <w:bCs/>
                <w:sz w:val="20"/>
                <w:lang w:val="pt-BR"/>
              </w:rPr>
              <w:t>Compet</w:t>
            </w:r>
            <w:r w:rsidR="000F38DA" w:rsidRPr="00FF6DBF">
              <w:rPr>
                <w:rFonts w:ascii="Cambria" w:hAnsi="Cambria"/>
                <w:b/>
                <w:bCs/>
                <w:sz w:val="20"/>
                <w:lang w:val="pt-BR"/>
              </w:rPr>
              <w:t>ência</w:t>
            </w:r>
            <w:r w:rsidRPr="00FF6DBF">
              <w:rPr>
                <w:rFonts w:ascii="Cambria" w:hAnsi="Cambria"/>
                <w:b/>
                <w:bCs/>
                <w:i/>
                <w:sz w:val="20"/>
                <w:lang w:val="pt-BR"/>
              </w:rPr>
              <w:t xml:space="preserve"> Ratione temporis</w:t>
            </w:r>
            <w:r w:rsidRPr="00FF6DBF">
              <w:rPr>
                <w:rFonts w:ascii="Cambria" w:hAnsi="Cambria"/>
                <w:b/>
                <w:bCs/>
                <w:sz w:val="20"/>
                <w:lang w:val="pt-BR"/>
              </w:rPr>
              <w:t>:</w:t>
            </w:r>
          </w:p>
        </w:tc>
        <w:tc>
          <w:tcPr>
            <w:tcW w:w="5776" w:type="dxa"/>
            <w:shd w:val="clear" w:color="auto" w:fill="auto"/>
            <w:vAlign w:val="center"/>
          </w:tcPr>
          <w:p w14:paraId="5C79DFB7" w14:textId="77777777" w:rsidR="00697D1E" w:rsidRPr="00FF6DBF" w:rsidRDefault="00B35631">
            <w:pPr>
              <w:rPr>
                <w:rFonts w:ascii="Cambria" w:hAnsi="Cambria"/>
                <w:bCs/>
                <w:sz w:val="20"/>
                <w:lang w:val="pt-BR"/>
              </w:rPr>
            </w:pPr>
            <w:r w:rsidRPr="00FF6DBF">
              <w:rPr>
                <w:rFonts w:ascii="Cambria" w:hAnsi="Cambria"/>
                <w:bCs/>
                <w:sz w:val="20"/>
                <w:lang w:val="pt-BR"/>
              </w:rPr>
              <w:t>Sim</w:t>
            </w:r>
          </w:p>
        </w:tc>
      </w:tr>
      <w:tr w:rsidR="00FF6DBF" w:rsidRPr="00BF5F78" w14:paraId="1E282A2B" w14:textId="77777777" w:rsidTr="00E82851">
        <w:trPr>
          <w:cantSplit/>
        </w:trPr>
        <w:tc>
          <w:tcPr>
            <w:tcW w:w="3561" w:type="dxa"/>
            <w:tcBorders>
              <w:top w:val="single" w:sz="6" w:space="0" w:color="auto"/>
              <w:bottom w:val="single" w:sz="6" w:space="0" w:color="auto"/>
            </w:tcBorders>
            <w:shd w:val="clear" w:color="auto" w:fill="FFC000"/>
            <w:vAlign w:val="center"/>
          </w:tcPr>
          <w:p w14:paraId="6DDE2D81" w14:textId="77777777" w:rsidR="00697D1E" w:rsidRPr="00FF6DBF" w:rsidRDefault="00697D1E">
            <w:pPr>
              <w:jc w:val="center"/>
              <w:rPr>
                <w:rFonts w:ascii="Cambria" w:hAnsi="Cambria"/>
                <w:b/>
                <w:bCs/>
                <w:sz w:val="20"/>
                <w:lang w:val="pt-BR"/>
              </w:rPr>
            </w:pPr>
            <w:r w:rsidRPr="00FF6DBF">
              <w:rPr>
                <w:rFonts w:ascii="Cambria" w:hAnsi="Cambria"/>
                <w:b/>
                <w:bCs/>
                <w:sz w:val="20"/>
                <w:lang w:val="pt-BR"/>
              </w:rPr>
              <w:t>Compet</w:t>
            </w:r>
            <w:r w:rsidR="000F38DA" w:rsidRPr="00FF6DBF">
              <w:rPr>
                <w:rFonts w:ascii="Cambria" w:hAnsi="Cambria"/>
                <w:b/>
                <w:bCs/>
                <w:sz w:val="20"/>
                <w:lang w:val="pt-BR"/>
              </w:rPr>
              <w:t>ência</w:t>
            </w:r>
            <w:r w:rsidRPr="00FF6DBF">
              <w:rPr>
                <w:rFonts w:ascii="Cambria" w:hAnsi="Cambria"/>
                <w:b/>
                <w:bCs/>
                <w:i/>
                <w:sz w:val="20"/>
                <w:lang w:val="pt-BR"/>
              </w:rPr>
              <w:t xml:space="preserve"> Ratione materiae</w:t>
            </w:r>
            <w:r w:rsidRPr="00FF6DBF">
              <w:rPr>
                <w:rFonts w:ascii="Cambria" w:hAnsi="Cambria"/>
                <w:b/>
                <w:bCs/>
                <w:sz w:val="20"/>
                <w:lang w:val="pt-BR"/>
              </w:rPr>
              <w:t>:</w:t>
            </w:r>
          </w:p>
        </w:tc>
        <w:tc>
          <w:tcPr>
            <w:tcW w:w="5776" w:type="dxa"/>
            <w:shd w:val="clear" w:color="auto" w:fill="auto"/>
            <w:vAlign w:val="center"/>
          </w:tcPr>
          <w:p w14:paraId="7F84A12D" w14:textId="52D32562" w:rsidR="00697D1E" w:rsidRPr="00FF6DBF" w:rsidRDefault="00B35631">
            <w:pPr>
              <w:rPr>
                <w:rFonts w:ascii="Cambria" w:hAnsi="Cambria"/>
                <w:bCs/>
                <w:sz w:val="20"/>
                <w:lang w:val="pt-BR"/>
              </w:rPr>
            </w:pPr>
            <w:r w:rsidRPr="00FF6DBF">
              <w:rPr>
                <w:rFonts w:ascii="Cambria" w:hAnsi="Cambria"/>
                <w:bCs/>
                <w:sz w:val="20"/>
                <w:lang w:val="pt-BR" w:bidi="es-ES"/>
              </w:rPr>
              <w:t>Sim</w:t>
            </w:r>
            <w:r w:rsidR="00697D1E" w:rsidRPr="00FF6DBF">
              <w:rPr>
                <w:rFonts w:ascii="Cambria" w:hAnsi="Cambria"/>
                <w:bCs/>
                <w:sz w:val="20"/>
                <w:lang w:val="pt-BR" w:bidi="es-ES"/>
              </w:rPr>
              <w:t>, Conven</w:t>
            </w:r>
            <w:r w:rsidR="000F38DA" w:rsidRPr="00FF6DBF">
              <w:rPr>
                <w:rFonts w:ascii="Cambria" w:hAnsi="Cambria"/>
                <w:bCs/>
                <w:sz w:val="20"/>
                <w:lang w:val="pt-BR" w:bidi="es-ES"/>
              </w:rPr>
              <w:t>ção</w:t>
            </w:r>
            <w:r w:rsidR="00697D1E" w:rsidRPr="00FF6DBF">
              <w:rPr>
                <w:rFonts w:ascii="Cambria" w:hAnsi="Cambria"/>
                <w:bCs/>
                <w:sz w:val="20"/>
                <w:lang w:val="pt-BR" w:bidi="es-ES"/>
              </w:rPr>
              <w:t xml:space="preserve"> Americana sobre </w:t>
            </w:r>
            <w:r w:rsidR="00D52F0C" w:rsidRPr="00FF6DBF">
              <w:rPr>
                <w:rFonts w:ascii="Cambria" w:hAnsi="Cambria"/>
                <w:bCs/>
                <w:sz w:val="20"/>
                <w:lang w:val="pt-BR" w:bidi="es-ES"/>
              </w:rPr>
              <w:t>Direito</w:t>
            </w:r>
            <w:r w:rsidR="00697D1E" w:rsidRPr="00FF6DBF">
              <w:rPr>
                <w:rFonts w:ascii="Cambria" w:hAnsi="Cambria"/>
                <w:bCs/>
                <w:sz w:val="20"/>
                <w:lang w:val="pt-BR" w:bidi="es-ES"/>
              </w:rPr>
              <w:t>s Humanos (depósito de instrumento realizado</w:t>
            </w:r>
            <w:r w:rsidR="00655CD0" w:rsidRPr="00FF6DBF">
              <w:rPr>
                <w:rFonts w:ascii="Cambria" w:hAnsi="Cambria"/>
                <w:bCs/>
                <w:sz w:val="20"/>
                <w:lang w:val="pt-BR" w:bidi="es-ES"/>
              </w:rPr>
              <w:t xml:space="preserve"> </w:t>
            </w:r>
            <w:r w:rsidR="00901BF1" w:rsidRPr="00FF6DBF">
              <w:rPr>
                <w:rFonts w:ascii="Cambria" w:hAnsi="Cambria"/>
                <w:bCs/>
                <w:sz w:val="20"/>
                <w:lang w:val="pt-BR" w:bidi="es-ES"/>
              </w:rPr>
              <w:t>em</w:t>
            </w:r>
            <w:r w:rsidR="00655CD0" w:rsidRPr="00FF6DBF">
              <w:rPr>
                <w:rFonts w:ascii="Cambria" w:hAnsi="Cambria"/>
                <w:bCs/>
                <w:sz w:val="20"/>
                <w:lang w:val="pt-BR" w:bidi="es-ES"/>
              </w:rPr>
              <w:t xml:space="preserve"> </w:t>
            </w:r>
            <w:r w:rsidR="00697D1E" w:rsidRPr="00FF6DBF">
              <w:rPr>
                <w:rFonts w:ascii="Cambria" w:hAnsi="Cambria"/>
                <w:bCs/>
                <w:sz w:val="20"/>
                <w:lang w:val="pt-BR" w:bidi="es-ES"/>
              </w:rPr>
              <w:t>25 de setembr</w:t>
            </w:r>
            <w:r w:rsidR="00901BF1" w:rsidRPr="00FF6DBF">
              <w:rPr>
                <w:rFonts w:ascii="Cambria" w:hAnsi="Cambria"/>
                <w:bCs/>
                <w:sz w:val="20"/>
                <w:lang w:val="pt-BR" w:bidi="es-ES"/>
              </w:rPr>
              <w:t>o</w:t>
            </w:r>
            <w:r w:rsidR="00697D1E" w:rsidRPr="00FF6DBF">
              <w:rPr>
                <w:rFonts w:ascii="Cambria" w:hAnsi="Cambria"/>
                <w:bCs/>
                <w:sz w:val="20"/>
                <w:lang w:val="pt-BR" w:bidi="es-ES"/>
              </w:rPr>
              <w:t xml:space="preserve"> de 1992)</w:t>
            </w:r>
          </w:p>
        </w:tc>
      </w:tr>
    </w:tbl>
    <w:p w14:paraId="05E67FFA" w14:textId="77777777" w:rsidR="00697D1E" w:rsidRPr="00FF6DBF" w:rsidRDefault="00697D1E" w:rsidP="00697D1E">
      <w:pPr>
        <w:spacing w:before="240" w:after="240"/>
        <w:ind w:firstLine="720"/>
        <w:rPr>
          <w:rFonts w:ascii="Cambria" w:hAnsi="Cambria"/>
          <w:b/>
          <w:bCs/>
          <w:sz w:val="20"/>
          <w:lang w:val="pt-BR"/>
        </w:rPr>
      </w:pPr>
      <w:r w:rsidRPr="00FF6DBF">
        <w:rPr>
          <w:rFonts w:ascii="Cambria" w:hAnsi="Cambria"/>
          <w:b/>
          <w:bCs/>
          <w:sz w:val="20"/>
          <w:lang w:val="pt-BR"/>
        </w:rPr>
        <w:t xml:space="preserve">IV. </w:t>
      </w:r>
      <w:r w:rsidRPr="00FF6DBF">
        <w:rPr>
          <w:rFonts w:ascii="Cambria" w:hAnsi="Cambria"/>
          <w:b/>
          <w:bCs/>
          <w:sz w:val="20"/>
          <w:lang w:val="pt-BR"/>
        </w:rPr>
        <w:tab/>
      </w:r>
      <w:r w:rsidR="00F270BC" w:rsidRPr="00FF6DBF">
        <w:rPr>
          <w:rFonts w:ascii="Cambria" w:hAnsi="Cambria"/>
          <w:b/>
          <w:bCs/>
          <w:sz w:val="20"/>
          <w:lang w:val="pt-BR"/>
        </w:rPr>
        <w:t>DUPLICAÇÃO DE PROCEDIMENTOS E CO</w:t>
      </w:r>
      <w:r w:rsidR="00655CD0" w:rsidRPr="00FF6DBF">
        <w:rPr>
          <w:rFonts w:ascii="Cambria" w:hAnsi="Cambria"/>
          <w:b/>
          <w:bCs/>
          <w:sz w:val="20"/>
          <w:lang w:val="pt-BR"/>
        </w:rPr>
        <w:t>I</w:t>
      </w:r>
      <w:r w:rsidR="00F270BC" w:rsidRPr="00FF6DBF">
        <w:rPr>
          <w:rFonts w:ascii="Cambria" w:hAnsi="Cambria"/>
          <w:b/>
          <w:bCs/>
          <w:sz w:val="20"/>
          <w:lang w:val="pt-BR"/>
        </w:rPr>
        <w:t>SA JU</w:t>
      </w:r>
      <w:r w:rsidR="00655CD0" w:rsidRPr="00FF6DBF">
        <w:rPr>
          <w:rFonts w:ascii="Cambria" w:hAnsi="Cambria"/>
          <w:b/>
          <w:bCs/>
          <w:sz w:val="20"/>
          <w:lang w:val="pt-BR"/>
        </w:rPr>
        <w:t>L</w:t>
      </w:r>
      <w:r w:rsidR="00F270BC" w:rsidRPr="00FF6DBF">
        <w:rPr>
          <w:rFonts w:ascii="Cambria" w:hAnsi="Cambria"/>
          <w:b/>
          <w:bCs/>
          <w:sz w:val="20"/>
          <w:lang w:val="pt-BR"/>
        </w:rPr>
        <w:t>GADA</w:t>
      </w:r>
      <w:r w:rsidR="00F270BC" w:rsidRPr="00FF6DBF">
        <w:rPr>
          <w:rFonts w:ascii="Cambria" w:hAnsi="Cambria"/>
          <w:b/>
          <w:bCs/>
          <w:i/>
          <w:sz w:val="20"/>
          <w:lang w:val="pt-BR"/>
        </w:rPr>
        <w:t xml:space="preserve"> </w:t>
      </w:r>
      <w:r w:rsidR="00F270BC" w:rsidRPr="00FF6DBF">
        <w:rPr>
          <w:rFonts w:ascii="Cambria" w:hAnsi="Cambria"/>
          <w:b/>
          <w:bCs/>
          <w:sz w:val="20"/>
          <w:lang w:val="pt-BR"/>
        </w:rPr>
        <w:t xml:space="preserve">INTERNACIONAL, CARACTERIZAÇÃO, </w:t>
      </w:r>
      <w:r w:rsidR="00655CD0" w:rsidRPr="00FF6DBF">
        <w:rPr>
          <w:rFonts w:ascii="Cambria" w:hAnsi="Cambria"/>
          <w:b/>
          <w:sz w:val="20"/>
          <w:lang w:val="pt-BR"/>
        </w:rPr>
        <w:t>ES</w:t>
      </w:r>
      <w:r w:rsidR="00F270BC" w:rsidRPr="00FF6DBF">
        <w:rPr>
          <w:rFonts w:ascii="Cambria" w:hAnsi="Cambria"/>
          <w:b/>
          <w:sz w:val="20"/>
          <w:lang w:val="pt-BR"/>
        </w:rPr>
        <w:t>GOTAMENTO DOS RECURSOS INTERNOS E P</w:t>
      </w:r>
      <w:r w:rsidR="00655CD0" w:rsidRPr="00FF6DBF">
        <w:rPr>
          <w:rFonts w:ascii="Cambria" w:hAnsi="Cambria"/>
          <w:b/>
          <w:sz w:val="20"/>
          <w:lang w:val="pt-BR"/>
        </w:rPr>
        <w:t>R</w:t>
      </w:r>
      <w:r w:rsidR="00F270BC" w:rsidRPr="00FF6DBF">
        <w:rPr>
          <w:rFonts w:ascii="Cambria" w:hAnsi="Cambria"/>
          <w:b/>
          <w:sz w:val="20"/>
          <w:lang w:val="pt-BR"/>
        </w:rPr>
        <w:t xml:space="preserve">AZO DE </w:t>
      </w:r>
      <w:r w:rsidR="00655CD0" w:rsidRPr="00FF6DBF">
        <w:rPr>
          <w:rFonts w:ascii="Cambria" w:hAnsi="Cambria"/>
          <w:b/>
          <w:sz w:val="20"/>
          <w:lang w:val="pt-BR"/>
        </w:rPr>
        <w:t>A</w:t>
      </w:r>
      <w:r w:rsidRPr="00FF6DBF">
        <w:rPr>
          <w:rFonts w:ascii="Cambria" w:hAnsi="Cambria"/>
          <w:b/>
          <w:sz w:val="20"/>
          <w:lang w:val="pt-BR"/>
        </w:rPr>
        <w:t>PRESENTA</w:t>
      </w:r>
      <w:r w:rsidR="000F38DA" w:rsidRPr="00FF6DBF">
        <w:rPr>
          <w:rFonts w:ascii="Cambria" w:hAnsi="Cambria"/>
          <w:b/>
          <w:sz w:val="20"/>
          <w:lang w:val="pt-BR"/>
        </w:rPr>
        <w:t>ÇÃO</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4"/>
        <w:gridCol w:w="5773"/>
      </w:tblGrid>
      <w:tr w:rsidR="00FF6DBF" w:rsidRPr="00FF6DBF" w14:paraId="60CBCA7B" w14:textId="77777777" w:rsidTr="00713224">
        <w:trPr>
          <w:cantSplit/>
        </w:trPr>
        <w:tc>
          <w:tcPr>
            <w:tcW w:w="3564" w:type="dxa"/>
            <w:tcBorders>
              <w:top w:val="single" w:sz="4" w:space="0" w:color="auto"/>
              <w:bottom w:val="single" w:sz="6" w:space="0" w:color="auto"/>
            </w:tcBorders>
            <w:shd w:val="clear" w:color="auto" w:fill="FFC000"/>
            <w:vAlign w:val="center"/>
          </w:tcPr>
          <w:p w14:paraId="76C850D1" w14:textId="77777777" w:rsidR="00697D1E" w:rsidRPr="00FF6DBF" w:rsidRDefault="00697D1E">
            <w:pPr>
              <w:jc w:val="center"/>
              <w:rPr>
                <w:rFonts w:ascii="Cambria" w:hAnsi="Cambria"/>
                <w:b/>
                <w:bCs/>
                <w:sz w:val="20"/>
                <w:lang w:val="pt-BR"/>
              </w:rPr>
            </w:pPr>
            <w:r w:rsidRPr="00FF6DBF">
              <w:rPr>
                <w:rFonts w:ascii="Cambria" w:hAnsi="Cambria"/>
                <w:b/>
                <w:bCs/>
                <w:sz w:val="20"/>
                <w:lang w:val="pt-BR"/>
              </w:rPr>
              <w:t>Duplica</w:t>
            </w:r>
            <w:r w:rsidR="000F38DA" w:rsidRPr="00FF6DBF">
              <w:rPr>
                <w:rFonts w:ascii="Cambria" w:hAnsi="Cambria"/>
                <w:b/>
                <w:bCs/>
                <w:sz w:val="20"/>
                <w:lang w:val="pt-BR"/>
              </w:rPr>
              <w:t>ção</w:t>
            </w:r>
            <w:r w:rsidRPr="00FF6DBF">
              <w:rPr>
                <w:rFonts w:ascii="Cambria" w:hAnsi="Cambria"/>
                <w:b/>
                <w:bCs/>
                <w:sz w:val="20"/>
                <w:lang w:val="pt-BR"/>
              </w:rPr>
              <w:t xml:space="preserve"> de procedi</w:t>
            </w:r>
            <w:r w:rsidR="0095584C" w:rsidRPr="00FF6DBF">
              <w:rPr>
                <w:rFonts w:ascii="Cambria" w:hAnsi="Cambria"/>
                <w:b/>
                <w:bCs/>
                <w:sz w:val="20"/>
                <w:lang w:val="pt-BR"/>
              </w:rPr>
              <w:t>mento</w:t>
            </w:r>
            <w:r w:rsidRPr="00FF6DBF">
              <w:rPr>
                <w:rFonts w:ascii="Cambria" w:hAnsi="Cambria"/>
                <w:b/>
                <w:bCs/>
                <w:sz w:val="20"/>
                <w:lang w:val="pt-BR"/>
              </w:rPr>
              <w:t>s</w:t>
            </w:r>
            <w:r w:rsidR="000F38DA" w:rsidRPr="00FF6DBF">
              <w:rPr>
                <w:rFonts w:ascii="Cambria" w:hAnsi="Cambria"/>
                <w:b/>
                <w:bCs/>
                <w:sz w:val="20"/>
                <w:lang w:val="pt-BR"/>
              </w:rPr>
              <w:t xml:space="preserve"> e </w:t>
            </w:r>
            <w:r w:rsidRPr="00FF6DBF">
              <w:rPr>
                <w:rFonts w:ascii="Cambria" w:hAnsi="Cambria"/>
                <w:b/>
                <w:bCs/>
                <w:sz w:val="20"/>
                <w:lang w:val="pt-BR"/>
              </w:rPr>
              <w:t>co</w:t>
            </w:r>
            <w:r w:rsidR="00655CD0" w:rsidRPr="00FF6DBF">
              <w:rPr>
                <w:rFonts w:ascii="Cambria" w:hAnsi="Cambria"/>
                <w:b/>
                <w:bCs/>
                <w:sz w:val="20"/>
                <w:lang w:val="pt-BR"/>
              </w:rPr>
              <w:t>i</w:t>
            </w:r>
            <w:r w:rsidRPr="00FF6DBF">
              <w:rPr>
                <w:rFonts w:ascii="Cambria" w:hAnsi="Cambria"/>
                <w:b/>
                <w:bCs/>
                <w:sz w:val="20"/>
                <w:lang w:val="pt-BR"/>
              </w:rPr>
              <w:t>sa ju</w:t>
            </w:r>
            <w:r w:rsidR="00655CD0" w:rsidRPr="00FF6DBF">
              <w:rPr>
                <w:rFonts w:ascii="Cambria" w:hAnsi="Cambria"/>
                <w:b/>
                <w:bCs/>
                <w:sz w:val="20"/>
                <w:lang w:val="pt-BR"/>
              </w:rPr>
              <w:t>l</w:t>
            </w:r>
            <w:r w:rsidRPr="00FF6DBF">
              <w:rPr>
                <w:rFonts w:ascii="Cambria" w:hAnsi="Cambria"/>
                <w:b/>
                <w:bCs/>
                <w:sz w:val="20"/>
                <w:lang w:val="pt-BR"/>
              </w:rPr>
              <w:t>gada internacional:</w:t>
            </w:r>
          </w:p>
        </w:tc>
        <w:tc>
          <w:tcPr>
            <w:tcW w:w="5773" w:type="dxa"/>
            <w:shd w:val="clear" w:color="auto" w:fill="auto"/>
            <w:vAlign w:val="center"/>
          </w:tcPr>
          <w:p w14:paraId="7DD14833" w14:textId="77777777" w:rsidR="00697D1E" w:rsidRPr="00FF6DBF" w:rsidRDefault="00697D1E">
            <w:pPr>
              <w:rPr>
                <w:rFonts w:ascii="Cambria" w:hAnsi="Cambria"/>
                <w:bCs/>
                <w:sz w:val="20"/>
                <w:lang w:val="pt-BR"/>
              </w:rPr>
            </w:pPr>
            <w:r w:rsidRPr="00FF6DBF">
              <w:rPr>
                <w:rFonts w:ascii="Cambria" w:hAnsi="Cambria"/>
                <w:bCs/>
                <w:sz w:val="20"/>
                <w:lang w:val="pt-BR"/>
              </w:rPr>
              <w:t>N</w:t>
            </w:r>
            <w:r w:rsidR="00655CD0" w:rsidRPr="00FF6DBF">
              <w:rPr>
                <w:rFonts w:ascii="Cambria" w:hAnsi="Cambria"/>
                <w:bCs/>
                <w:sz w:val="20"/>
                <w:lang w:val="pt-BR"/>
              </w:rPr>
              <w:t>ã</w:t>
            </w:r>
            <w:r w:rsidRPr="00FF6DBF">
              <w:rPr>
                <w:rFonts w:ascii="Cambria" w:hAnsi="Cambria"/>
                <w:bCs/>
                <w:sz w:val="20"/>
                <w:lang w:val="pt-BR"/>
              </w:rPr>
              <w:t>o</w:t>
            </w:r>
          </w:p>
        </w:tc>
      </w:tr>
      <w:tr w:rsidR="00FF6DBF" w:rsidRPr="00BF5F78" w14:paraId="7F90570E" w14:textId="77777777" w:rsidTr="00713224">
        <w:trPr>
          <w:cantSplit/>
        </w:trPr>
        <w:tc>
          <w:tcPr>
            <w:tcW w:w="3564" w:type="dxa"/>
            <w:tcBorders>
              <w:top w:val="single" w:sz="4" w:space="0" w:color="auto"/>
              <w:bottom w:val="single" w:sz="6" w:space="0" w:color="auto"/>
            </w:tcBorders>
            <w:shd w:val="clear" w:color="auto" w:fill="FFC000"/>
            <w:vAlign w:val="center"/>
          </w:tcPr>
          <w:p w14:paraId="0523B790" w14:textId="77777777" w:rsidR="00697D1E" w:rsidRPr="00FF6DBF" w:rsidRDefault="00D52F0C">
            <w:pPr>
              <w:jc w:val="center"/>
              <w:rPr>
                <w:rFonts w:ascii="Cambria" w:hAnsi="Cambria"/>
                <w:b/>
                <w:bCs/>
                <w:i/>
                <w:sz w:val="20"/>
                <w:lang w:val="pt-BR"/>
              </w:rPr>
            </w:pPr>
            <w:r w:rsidRPr="00FF6DBF">
              <w:rPr>
                <w:rFonts w:ascii="Cambria" w:hAnsi="Cambria"/>
                <w:b/>
                <w:bCs/>
                <w:sz w:val="20"/>
                <w:lang w:val="pt-BR"/>
              </w:rPr>
              <w:t>Direito</w:t>
            </w:r>
            <w:r w:rsidR="00697D1E" w:rsidRPr="00FF6DBF">
              <w:rPr>
                <w:rFonts w:ascii="Cambria" w:hAnsi="Cambria"/>
                <w:b/>
                <w:bCs/>
                <w:sz w:val="20"/>
                <w:lang w:val="pt-BR"/>
              </w:rPr>
              <w:t>s declarados admis</w:t>
            </w:r>
            <w:r w:rsidR="00901BF1" w:rsidRPr="00FF6DBF">
              <w:rPr>
                <w:rFonts w:ascii="Cambria" w:hAnsi="Cambria"/>
                <w:b/>
                <w:bCs/>
                <w:sz w:val="20"/>
                <w:lang w:val="pt-BR"/>
              </w:rPr>
              <w:t>sívei</w:t>
            </w:r>
            <w:r w:rsidR="00697D1E" w:rsidRPr="00FF6DBF">
              <w:rPr>
                <w:rFonts w:ascii="Cambria" w:hAnsi="Cambria"/>
                <w:b/>
                <w:bCs/>
                <w:sz w:val="20"/>
                <w:lang w:val="pt-BR"/>
              </w:rPr>
              <w:t>s</w:t>
            </w:r>
            <w:r w:rsidR="00697D1E" w:rsidRPr="00FF6DBF">
              <w:rPr>
                <w:rFonts w:ascii="Cambria" w:hAnsi="Cambria"/>
                <w:b/>
                <w:bCs/>
                <w:i/>
                <w:sz w:val="20"/>
                <w:lang w:val="pt-BR"/>
              </w:rPr>
              <w:t>:</w:t>
            </w:r>
          </w:p>
        </w:tc>
        <w:tc>
          <w:tcPr>
            <w:tcW w:w="5773" w:type="dxa"/>
            <w:shd w:val="clear" w:color="auto" w:fill="auto"/>
            <w:vAlign w:val="center"/>
          </w:tcPr>
          <w:p w14:paraId="4645D1D9" w14:textId="77AB3C8E" w:rsidR="00697D1E" w:rsidRPr="00FF6DBF" w:rsidRDefault="00523EB1">
            <w:pPr>
              <w:rPr>
                <w:rFonts w:ascii="Cambria" w:hAnsi="Cambria"/>
                <w:bCs/>
                <w:sz w:val="20"/>
                <w:lang w:val="pt-BR"/>
              </w:rPr>
            </w:pPr>
            <w:r w:rsidRPr="00FF6DBF">
              <w:rPr>
                <w:rFonts w:ascii="Cambria" w:hAnsi="Cambria"/>
                <w:bCs/>
                <w:sz w:val="20"/>
                <w:lang w:val="pt-BR" w:bidi="es-ES"/>
              </w:rPr>
              <w:t>Artigos 4 (vida), 5 (integridade pessoal), 8 (garantias judiciais) e 25 (proteção judicial) da Convenção Americana, em relação ao artigo 1.1 (obrigação de respeitar os direitos)</w:t>
            </w:r>
          </w:p>
        </w:tc>
      </w:tr>
      <w:tr w:rsidR="00FF6DBF" w:rsidRPr="00BF5F78" w14:paraId="73367485" w14:textId="77777777" w:rsidTr="00713224">
        <w:trPr>
          <w:cantSplit/>
        </w:trPr>
        <w:tc>
          <w:tcPr>
            <w:tcW w:w="3564" w:type="dxa"/>
            <w:tcBorders>
              <w:top w:val="single" w:sz="6" w:space="0" w:color="auto"/>
              <w:bottom w:val="single" w:sz="6" w:space="0" w:color="auto"/>
            </w:tcBorders>
            <w:shd w:val="clear" w:color="auto" w:fill="FFC000"/>
            <w:vAlign w:val="center"/>
          </w:tcPr>
          <w:p w14:paraId="5F68C37F" w14:textId="77777777" w:rsidR="00697D1E" w:rsidRPr="00FF6DBF" w:rsidRDefault="00655CD0">
            <w:pPr>
              <w:jc w:val="center"/>
              <w:rPr>
                <w:rFonts w:ascii="Cambria" w:hAnsi="Cambria"/>
                <w:b/>
                <w:bCs/>
                <w:sz w:val="20"/>
                <w:lang w:val="pt-BR"/>
              </w:rPr>
            </w:pPr>
            <w:r w:rsidRPr="00FF6DBF">
              <w:rPr>
                <w:rFonts w:ascii="Cambria" w:hAnsi="Cambria"/>
                <w:b/>
                <w:bCs/>
                <w:sz w:val="20"/>
                <w:lang w:val="pt-BR"/>
              </w:rPr>
              <w:lastRenderedPageBreak/>
              <w:t>Es</w:t>
            </w:r>
            <w:r w:rsidR="00697D1E" w:rsidRPr="00FF6DBF">
              <w:rPr>
                <w:rFonts w:ascii="Cambria" w:hAnsi="Cambria"/>
                <w:b/>
                <w:bCs/>
                <w:sz w:val="20"/>
                <w:lang w:val="pt-BR"/>
              </w:rPr>
              <w:t>gota</w:t>
            </w:r>
            <w:r w:rsidR="0095584C" w:rsidRPr="00FF6DBF">
              <w:rPr>
                <w:rFonts w:ascii="Cambria" w:hAnsi="Cambria"/>
                <w:b/>
                <w:bCs/>
                <w:sz w:val="20"/>
                <w:lang w:val="pt-BR"/>
              </w:rPr>
              <w:t>mento</w:t>
            </w:r>
            <w:r w:rsidR="00697D1E" w:rsidRPr="00FF6DBF">
              <w:rPr>
                <w:rFonts w:ascii="Cambria" w:hAnsi="Cambria"/>
                <w:b/>
                <w:bCs/>
                <w:sz w:val="20"/>
                <w:lang w:val="pt-BR"/>
              </w:rPr>
              <w:t xml:space="preserve"> de recursos internos o</w:t>
            </w:r>
            <w:r w:rsidRPr="00FF6DBF">
              <w:rPr>
                <w:rFonts w:ascii="Cambria" w:hAnsi="Cambria"/>
                <w:b/>
                <w:bCs/>
                <w:sz w:val="20"/>
                <w:lang w:val="pt-BR"/>
              </w:rPr>
              <w:t>u</w:t>
            </w:r>
            <w:r w:rsidR="00697D1E" w:rsidRPr="00FF6DBF">
              <w:rPr>
                <w:rFonts w:ascii="Cambria" w:hAnsi="Cambria"/>
                <w:b/>
                <w:bCs/>
                <w:sz w:val="20"/>
                <w:lang w:val="pt-BR"/>
              </w:rPr>
              <w:t xml:space="preserve"> proced</w:t>
            </w:r>
            <w:r w:rsidR="000F38DA" w:rsidRPr="00FF6DBF">
              <w:rPr>
                <w:rFonts w:ascii="Cambria" w:hAnsi="Cambria"/>
                <w:b/>
                <w:bCs/>
                <w:sz w:val="20"/>
                <w:lang w:val="pt-BR"/>
              </w:rPr>
              <w:t>ência</w:t>
            </w:r>
            <w:r w:rsidR="00697D1E" w:rsidRPr="00FF6DBF">
              <w:rPr>
                <w:rFonts w:ascii="Cambria" w:hAnsi="Cambria"/>
                <w:b/>
                <w:bCs/>
                <w:sz w:val="20"/>
                <w:lang w:val="pt-BR"/>
              </w:rPr>
              <w:t xml:space="preserve"> de</w:t>
            </w:r>
            <w:r w:rsidR="00F270BC" w:rsidRPr="00FF6DBF">
              <w:rPr>
                <w:rFonts w:ascii="Cambria" w:hAnsi="Cambria"/>
                <w:b/>
                <w:bCs/>
                <w:sz w:val="20"/>
                <w:lang w:val="pt-BR"/>
              </w:rPr>
              <w:t xml:space="preserve"> uma </w:t>
            </w:r>
            <w:r w:rsidR="00697D1E" w:rsidRPr="00FF6DBF">
              <w:rPr>
                <w:rFonts w:ascii="Cambria" w:hAnsi="Cambria"/>
                <w:b/>
                <w:bCs/>
                <w:sz w:val="20"/>
                <w:lang w:val="pt-BR"/>
              </w:rPr>
              <w:t>exce</w:t>
            </w:r>
            <w:r w:rsidR="000F38DA" w:rsidRPr="00FF6DBF">
              <w:rPr>
                <w:rFonts w:ascii="Cambria" w:hAnsi="Cambria"/>
                <w:b/>
                <w:bCs/>
                <w:sz w:val="20"/>
                <w:lang w:val="pt-BR"/>
              </w:rPr>
              <w:t>ção</w:t>
            </w:r>
            <w:r w:rsidR="00697D1E" w:rsidRPr="00FF6DBF">
              <w:rPr>
                <w:rFonts w:ascii="Cambria" w:hAnsi="Cambria"/>
                <w:b/>
                <w:bCs/>
                <w:sz w:val="20"/>
                <w:lang w:val="pt-BR"/>
              </w:rPr>
              <w:t>:</w:t>
            </w:r>
          </w:p>
        </w:tc>
        <w:tc>
          <w:tcPr>
            <w:tcW w:w="5773" w:type="dxa"/>
            <w:shd w:val="clear" w:color="auto" w:fill="auto"/>
            <w:vAlign w:val="center"/>
          </w:tcPr>
          <w:p w14:paraId="5120D273" w14:textId="7CF83A8A" w:rsidR="00697D1E" w:rsidRPr="00FF6DBF" w:rsidRDefault="00523EB1">
            <w:pPr>
              <w:rPr>
                <w:rFonts w:ascii="Cambria" w:hAnsi="Cambria"/>
                <w:bCs/>
                <w:sz w:val="20"/>
                <w:lang w:val="pt-BR"/>
              </w:rPr>
            </w:pPr>
            <w:r w:rsidRPr="00FF6DBF">
              <w:rPr>
                <w:rFonts w:ascii="Cambria" w:hAnsi="Cambria"/>
                <w:bCs/>
                <w:sz w:val="20"/>
                <w:lang w:val="pt-BR" w:bidi="es-ES"/>
              </w:rPr>
              <w:t>Parcialmente esgotamento dos recursos judiciais internos; e parcialmente aplicação da exceção constante do artigo 46.2.c) da Convenção Americana</w:t>
            </w:r>
          </w:p>
        </w:tc>
      </w:tr>
      <w:tr w:rsidR="00FF6DBF" w:rsidRPr="00BF5F78" w14:paraId="6058D220" w14:textId="77777777" w:rsidTr="008A32DE">
        <w:trPr>
          <w:cantSplit/>
        </w:trPr>
        <w:tc>
          <w:tcPr>
            <w:tcW w:w="3564" w:type="dxa"/>
            <w:tcBorders>
              <w:top w:val="single" w:sz="6" w:space="0" w:color="auto"/>
              <w:bottom w:val="single" w:sz="6" w:space="0" w:color="auto"/>
            </w:tcBorders>
            <w:shd w:val="clear" w:color="auto" w:fill="FFC000"/>
            <w:vAlign w:val="center"/>
          </w:tcPr>
          <w:p w14:paraId="0B20FDFE" w14:textId="77777777" w:rsidR="00697D1E" w:rsidRPr="00FF6DBF" w:rsidRDefault="00655CD0">
            <w:pPr>
              <w:jc w:val="center"/>
              <w:rPr>
                <w:rFonts w:ascii="Cambria" w:hAnsi="Cambria"/>
                <w:b/>
                <w:bCs/>
                <w:sz w:val="20"/>
                <w:lang w:val="pt-BR"/>
              </w:rPr>
            </w:pPr>
            <w:r w:rsidRPr="00FF6DBF">
              <w:rPr>
                <w:rFonts w:ascii="Cambria" w:hAnsi="Cambria"/>
                <w:b/>
                <w:bCs/>
                <w:sz w:val="20"/>
                <w:lang w:val="pt-BR"/>
              </w:rPr>
              <w:t>Ap</w:t>
            </w:r>
            <w:r w:rsidR="00697D1E" w:rsidRPr="00FF6DBF">
              <w:rPr>
                <w:rFonts w:ascii="Cambria" w:hAnsi="Cambria"/>
                <w:b/>
                <w:bCs/>
                <w:sz w:val="20"/>
                <w:lang w:val="pt-BR"/>
              </w:rPr>
              <w:t>resenta</w:t>
            </w:r>
            <w:r w:rsidR="000F38DA" w:rsidRPr="00FF6DBF">
              <w:rPr>
                <w:rFonts w:ascii="Cambria" w:hAnsi="Cambria"/>
                <w:b/>
                <w:bCs/>
                <w:sz w:val="20"/>
                <w:lang w:val="pt-BR"/>
              </w:rPr>
              <w:t>ção</w:t>
            </w:r>
            <w:r w:rsidR="00697D1E" w:rsidRPr="00FF6DBF">
              <w:rPr>
                <w:rFonts w:ascii="Cambria" w:hAnsi="Cambria"/>
                <w:b/>
                <w:bCs/>
                <w:sz w:val="20"/>
                <w:lang w:val="pt-BR"/>
              </w:rPr>
              <w:t xml:space="preserve"> dentro d</w:t>
            </w:r>
            <w:r w:rsidRPr="00FF6DBF">
              <w:rPr>
                <w:rFonts w:ascii="Cambria" w:hAnsi="Cambria"/>
                <w:b/>
                <w:bCs/>
                <w:sz w:val="20"/>
                <w:lang w:val="pt-BR"/>
              </w:rPr>
              <w:t>o</w:t>
            </w:r>
            <w:r w:rsidR="00697D1E" w:rsidRPr="00FF6DBF">
              <w:rPr>
                <w:rFonts w:ascii="Cambria" w:hAnsi="Cambria"/>
                <w:b/>
                <w:bCs/>
                <w:sz w:val="20"/>
                <w:lang w:val="pt-BR"/>
              </w:rPr>
              <w:t xml:space="preserve"> p</w:t>
            </w:r>
            <w:r w:rsidRPr="00FF6DBF">
              <w:rPr>
                <w:rFonts w:ascii="Cambria" w:hAnsi="Cambria"/>
                <w:b/>
                <w:bCs/>
                <w:sz w:val="20"/>
                <w:lang w:val="pt-BR"/>
              </w:rPr>
              <w:t>r</w:t>
            </w:r>
            <w:r w:rsidR="00697D1E" w:rsidRPr="00FF6DBF">
              <w:rPr>
                <w:rFonts w:ascii="Cambria" w:hAnsi="Cambria"/>
                <w:b/>
                <w:bCs/>
                <w:sz w:val="20"/>
                <w:lang w:val="pt-BR"/>
              </w:rPr>
              <w:t>azo:</w:t>
            </w:r>
          </w:p>
        </w:tc>
        <w:tc>
          <w:tcPr>
            <w:tcW w:w="5773" w:type="dxa"/>
            <w:shd w:val="clear" w:color="auto" w:fill="auto"/>
            <w:vAlign w:val="center"/>
          </w:tcPr>
          <w:p w14:paraId="0BBCAD81" w14:textId="77777777" w:rsidR="00697D1E" w:rsidRPr="00FF6DBF" w:rsidRDefault="00B35631">
            <w:pPr>
              <w:rPr>
                <w:rFonts w:ascii="Cambria" w:hAnsi="Cambria"/>
                <w:bCs/>
                <w:sz w:val="20"/>
                <w:lang w:val="pt-BR"/>
              </w:rPr>
            </w:pPr>
            <w:r w:rsidRPr="00FF6DBF">
              <w:rPr>
                <w:rFonts w:ascii="Cambria" w:hAnsi="Cambria"/>
                <w:bCs/>
                <w:sz w:val="20"/>
                <w:lang w:val="pt-BR" w:bidi="es-ES"/>
              </w:rPr>
              <w:t>Sim</w:t>
            </w:r>
            <w:r w:rsidR="00697D1E" w:rsidRPr="00FF6DBF">
              <w:rPr>
                <w:rFonts w:ascii="Cambria" w:hAnsi="Cambria"/>
                <w:bCs/>
                <w:sz w:val="20"/>
                <w:lang w:val="pt-BR" w:bidi="es-ES"/>
              </w:rPr>
              <w:t>, nos t</w:t>
            </w:r>
            <w:r w:rsidR="007D6C0A" w:rsidRPr="00FF6DBF">
              <w:rPr>
                <w:rFonts w:ascii="Cambria" w:hAnsi="Cambria"/>
                <w:bCs/>
                <w:sz w:val="20"/>
                <w:lang w:val="pt-BR" w:bidi="es-ES"/>
              </w:rPr>
              <w:t>e</w:t>
            </w:r>
            <w:r w:rsidR="00697D1E" w:rsidRPr="00FF6DBF">
              <w:rPr>
                <w:rFonts w:ascii="Cambria" w:hAnsi="Cambria"/>
                <w:bCs/>
                <w:sz w:val="20"/>
                <w:lang w:val="pt-BR" w:bidi="es-ES"/>
              </w:rPr>
              <w:t>rmos</w:t>
            </w:r>
            <w:r w:rsidR="00F270BC" w:rsidRPr="00FF6DBF">
              <w:rPr>
                <w:rFonts w:ascii="Cambria" w:hAnsi="Cambria"/>
                <w:bCs/>
                <w:sz w:val="20"/>
                <w:lang w:val="pt-BR" w:bidi="es-ES"/>
              </w:rPr>
              <w:t xml:space="preserve"> da </w:t>
            </w:r>
            <w:r w:rsidR="00697D1E" w:rsidRPr="00FF6DBF">
              <w:rPr>
                <w:rFonts w:ascii="Cambria" w:hAnsi="Cambria"/>
                <w:bCs/>
                <w:sz w:val="20"/>
                <w:lang w:val="pt-BR" w:bidi="es-ES"/>
              </w:rPr>
              <w:t>Se</w:t>
            </w:r>
            <w:r w:rsidR="00901BF1" w:rsidRPr="00FF6DBF">
              <w:rPr>
                <w:rFonts w:ascii="Cambria" w:hAnsi="Cambria"/>
                <w:bCs/>
                <w:sz w:val="20"/>
                <w:lang w:val="pt-BR" w:bidi="es-ES"/>
              </w:rPr>
              <w:t>ç</w:t>
            </w:r>
            <w:r w:rsidR="000F38DA" w:rsidRPr="00FF6DBF">
              <w:rPr>
                <w:rFonts w:ascii="Cambria" w:hAnsi="Cambria"/>
                <w:bCs/>
                <w:sz w:val="20"/>
                <w:lang w:val="pt-BR" w:bidi="es-ES"/>
              </w:rPr>
              <w:t>ão</w:t>
            </w:r>
            <w:r w:rsidR="00697D1E" w:rsidRPr="00FF6DBF">
              <w:rPr>
                <w:rFonts w:ascii="Cambria" w:hAnsi="Cambria"/>
                <w:bCs/>
                <w:sz w:val="20"/>
                <w:lang w:val="pt-BR" w:bidi="es-ES"/>
              </w:rPr>
              <w:t xml:space="preserve"> VI</w:t>
            </w:r>
          </w:p>
        </w:tc>
      </w:tr>
    </w:tbl>
    <w:p w14:paraId="4A821288" w14:textId="4EF4C3D7" w:rsidR="00697D1E" w:rsidRPr="00FF6DBF" w:rsidRDefault="00697D1E" w:rsidP="00697D1E">
      <w:pPr>
        <w:spacing w:before="240" w:after="240"/>
        <w:ind w:firstLine="720"/>
        <w:rPr>
          <w:rFonts w:ascii="Cambria" w:hAnsi="Cambria"/>
          <w:b/>
          <w:bCs/>
          <w:sz w:val="20"/>
          <w:lang w:val="pt-BR"/>
        </w:rPr>
      </w:pPr>
      <w:r w:rsidRPr="00FF6DBF">
        <w:rPr>
          <w:rFonts w:ascii="Cambria" w:hAnsi="Cambria"/>
          <w:b/>
          <w:sz w:val="20"/>
          <w:lang w:val="pt-BR"/>
        </w:rPr>
        <w:t xml:space="preserve">V. </w:t>
      </w:r>
      <w:r w:rsidRPr="00FF6DBF">
        <w:rPr>
          <w:rFonts w:ascii="Cambria" w:hAnsi="Cambria"/>
          <w:b/>
          <w:sz w:val="20"/>
          <w:lang w:val="pt-BR"/>
        </w:rPr>
        <w:tab/>
      </w:r>
      <w:r w:rsidR="00206F45" w:rsidRPr="00FF6DBF">
        <w:rPr>
          <w:rFonts w:ascii="Cambria" w:hAnsi="Cambria"/>
          <w:b/>
          <w:bCs/>
          <w:sz w:val="20"/>
          <w:lang w:val="pt-BR"/>
        </w:rPr>
        <w:t>POSIÇÃO DAS PARTES</w:t>
      </w:r>
    </w:p>
    <w:p w14:paraId="7B0DBD60" w14:textId="2DDE3646" w:rsidR="00697D1E" w:rsidRPr="00FF6DBF" w:rsidRDefault="008A32DE" w:rsidP="00697D1E">
      <w:pPr>
        <w:spacing w:before="240" w:after="240"/>
        <w:ind w:firstLine="720"/>
        <w:rPr>
          <w:rFonts w:ascii="Cambria" w:hAnsi="Cambria"/>
          <w:sz w:val="20"/>
          <w:u w:val="single"/>
          <w:lang w:val="pt-BR"/>
        </w:rPr>
      </w:pPr>
      <w:r w:rsidRPr="00FF6DBF">
        <w:rPr>
          <w:rFonts w:ascii="Cambria" w:hAnsi="Cambria"/>
          <w:sz w:val="20"/>
          <w:u w:val="single"/>
          <w:lang w:val="pt-BR"/>
        </w:rPr>
        <w:t>Posição</w:t>
      </w:r>
      <w:r w:rsidR="00F270BC" w:rsidRPr="00FF6DBF">
        <w:rPr>
          <w:rFonts w:ascii="Cambria" w:hAnsi="Cambria"/>
          <w:sz w:val="20"/>
          <w:u w:val="single"/>
          <w:lang w:val="pt-BR"/>
        </w:rPr>
        <w:t xml:space="preserve"> da </w:t>
      </w:r>
      <w:r w:rsidR="00697D1E" w:rsidRPr="00FF6DBF">
        <w:rPr>
          <w:rFonts w:ascii="Cambria" w:hAnsi="Cambria"/>
          <w:sz w:val="20"/>
          <w:u w:val="single"/>
          <w:lang w:val="pt-BR"/>
        </w:rPr>
        <w:t xml:space="preserve">parte </w:t>
      </w:r>
      <w:r w:rsidR="00F270BC" w:rsidRPr="00FF6DBF">
        <w:rPr>
          <w:rFonts w:ascii="Cambria" w:hAnsi="Cambria"/>
          <w:sz w:val="20"/>
          <w:u w:val="single"/>
          <w:lang w:val="pt-BR"/>
        </w:rPr>
        <w:t>peticionária</w:t>
      </w:r>
    </w:p>
    <w:p w14:paraId="66005EA7" w14:textId="5028D894" w:rsidR="00F869D6" w:rsidRPr="00FF6DBF" w:rsidRDefault="00F869D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parte peticionária alega que o Estado é responsável pelas mortes e lesões decorrentes do incêndio na Boate Kiss, por não adotar as medidas necessárias para prevenir o incidente, bem como pela demora nos processos internos, pela impunidade e pela falta de reparação civil dos danos causados.</w:t>
      </w:r>
    </w:p>
    <w:p w14:paraId="0576BD2F" w14:textId="78D63E04" w:rsidR="00C859BB" w:rsidRPr="00FF6DBF" w:rsidRDefault="00C859BB" w:rsidP="00C859BB">
      <w:pPr>
        <w:pStyle w:val="ListParagraph"/>
        <w:spacing w:before="240" w:after="240"/>
        <w:jc w:val="both"/>
        <w:rPr>
          <w:i/>
          <w:iCs/>
          <w:color w:val="auto"/>
          <w:sz w:val="20"/>
          <w:szCs w:val="20"/>
          <w:lang w:val="pt-BR"/>
        </w:rPr>
      </w:pPr>
      <w:r w:rsidRPr="00FF6DBF">
        <w:rPr>
          <w:i/>
          <w:iCs/>
          <w:color w:val="auto"/>
          <w:sz w:val="20"/>
          <w:szCs w:val="20"/>
          <w:lang w:val="pt-BR"/>
        </w:rPr>
        <w:t>O incêndio</w:t>
      </w:r>
      <w:r w:rsidR="00991755" w:rsidRPr="00FF6DBF">
        <w:rPr>
          <w:i/>
          <w:iCs/>
          <w:color w:val="auto"/>
          <w:sz w:val="20"/>
          <w:szCs w:val="20"/>
          <w:lang w:val="pt-BR"/>
        </w:rPr>
        <w:t xml:space="preserve"> e o </w:t>
      </w:r>
      <w:r w:rsidR="00AE2368" w:rsidRPr="00FF6DBF">
        <w:rPr>
          <w:i/>
          <w:iCs/>
          <w:color w:val="auto"/>
          <w:sz w:val="20"/>
          <w:szCs w:val="20"/>
          <w:lang w:val="pt-BR"/>
        </w:rPr>
        <w:t>tratamento dado às vítimas fatais e sobreviventes</w:t>
      </w:r>
    </w:p>
    <w:p w14:paraId="61E1E47C" w14:textId="003C1332" w:rsidR="00F869D6" w:rsidRPr="00FF6DBF" w:rsidRDefault="00F869D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Em 27 de janeiro de 2013, por volta das duas horas e trinta minutos da madrugada, </w:t>
      </w:r>
      <w:r w:rsidR="00DD47AF">
        <w:rPr>
          <w:color w:val="auto"/>
          <w:sz w:val="20"/>
          <w:szCs w:val="20"/>
          <w:lang w:val="pt-BR"/>
        </w:rPr>
        <w:t xml:space="preserve">houve </w:t>
      </w:r>
      <w:r w:rsidRPr="00FF6DBF">
        <w:rPr>
          <w:color w:val="auto"/>
          <w:sz w:val="20"/>
          <w:szCs w:val="20"/>
          <w:lang w:val="pt-BR"/>
        </w:rPr>
        <w:t xml:space="preserve">um incêndio </w:t>
      </w:r>
      <w:r w:rsidR="00DD47AF">
        <w:rPr>
          <w:color w:val="auto"/>
          <w:sz w:val="20"/>
          <w:szCs w:val="20"/>
          <w:lang w:val="pt-BR"/>
        </w:rPr>
        <w:t xml:space="preserve">na </w:t>
      </w:r>
      <w:r w:rsidR="00DD47AF" w:rsidRPr="00FF6DBF">
        <w:rPr>
          <w:color w:val="auto"/>
          <w:sz w:val="20"/>
          <w:szCs w:val="20"/>
          <w:lang w:val="pt-BR"/>
        </w:rPr>
        <w:t xml:space="preserve">Boate Kiss </w:t>
      </w:r>
      <w:r w:rsidR="00DD47AF">
        <w:rPr>
          <w:color w:val="auto"/>
          <w:sz w:val="20"/>
          <w:szCs w:val="20"/>
          <w:lang w:val="pt-BR"/>
        </w:rPr>
        <w:t xml:space="preserve">que resultou em </w:t>
      </w:r>
      <w:r w:rsidRPr="00FF6DBF">
        <w:rPr>
          <w:color w:val="auto"/>
          <w:sz w:val="20"/>
          <w:szCs w:val="20"/>
          <w:lang w:val="pt-BR"/>
        </w:rPr>
        <w:t>242 pessoas</w:t>
      </w:r>
      <w:r w:rsidR="00DD47AF">
        <w:rPr>
          <w:color w:val="auto"/>
          <w:sz w:val="20"/>
          <w:szCs w:val="20"/>
          <w:lang w:val="pt-BR"/>
        </w:rPr>
        <w:t xml:space="preserve"> mortas</w:t>
      </w:r>
      <w:r w:rsidRPr="00FF6DBF">
        <w:rPr>
          <w:color w:val="auto"/>
          <w:sz w:val="20"/>
          <w:szCs w:val="20"/>
          <w:lang w:val="pt-BR"/>
        </w:rPr>
        <w:t xml:space="preserve"> por asfixia e </w:t>
      </w:r>
      <w:r w:rsidR="00DD47AF">
        <w:rPr>
          <w:color w:val="auto"/>
          <w:sz w:val="20"/>
          <w:szCs w:val="20"/>
          <w:lang w:val="pt-BR"/>
        </w:rPr>
        <w:t xml:space="preserve">pelo menos </w:t>
      </w:r>
      <w:r w:rsidRPr="00FF6DBF">
        <w:rPr>
          <w:color w:val="auto"/>
          <w:sz w:val="20"/>
          <w:szCs w:val="20"/>
          <w:lang w:val="pt-BR"/>
        </w:rPr>
        <w:t>636 sobreviventes feridos. A boate promovia uma festa para universitários chamada “Agromerados” (um trocadilho com a palavra “aglomerado”, que significa acumulado ou apinhado) e estava superlotada: havia no local entre mil e mil e quinhentas pessoas, sendo que sua capacidade era de no máximo 691 pessoas.</w:t>
      </w:r>
    </w:p>
    <w:p w14:paraId="76D2D723" w14:textId="185EDB1A" w:rsidR="00F869D6" w:rsidRPr="00FF6DBF" w:rsidRDefault="00F869D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O fogo teve início após o uso de artefatos pirotécnicos proibidos em lugares fechados por membros da banda Gurizada Fandangueira durante sua apresentação no palco</w:t>
      </w:r>
      <w:r w:rsidR="00DD47AF">
        <w:rPr>
          <w:color w:val="auto"/>
          <w:sz w:val="20"/>
          <w:szCs w:val="20"/>
          <w:lang w:val="pt-BR"/>
        </w:rPr>
        <w:t xml:space="preserve"> da boate</w:t>
      </w:r>
      <w:r w:rsidRPr="00FF6DBF">
        <w:rPr>
          <w:color w:val="auto"/>
          <w:sz w:val="20"/>
          <w:szCs w:val="20"/>
          <w:lang w:val="pt-BR"/>
        </w:rPr>
        <w:t>. O artefato foi aceso pelo promotor da banda. O vocalista o direcionou, então, para o teto. Ao alcançarem a espuma de poliuretano que revestia o teto, os fogos de artifício fizeram com que o revestimento entrasse em combustão.</w:t>
      </w:r>
    </w:p>
    <w:p w14:paraId="29D4A49C" w14:textId="2DA4D734" w:rsidR="006F2E26" w:rsidRPr="00FF6DBF" w:rsidRDefault="006F2E2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No momento do incêndio, as pessoas tentaram, em pânico, deixar o local. Os seguranças que guardavam a entrada da boate, porém, tentaram manter as portas fechadas porque tinham ordens dos proprietários de não permitir a saída de ninguém sem que a conta estivesse paga. </w:t>
      </w:r>
      <w:r w:rsidR="00DD47AF">
        <w:rPr>
          <w:color w:val="auto"/>
          <w:sz w:val="20"/>
          <w:szCs w:val="20"/>
          <w:lang w:val="pt-BR"/>
        </w:rPr>
        <w:t>O</w:t>
      </w:r>
      <w:r w:rsidRPr="00FF6DBF">
        <w:rPr>
          <w:color w:val="auto"/>
          <w:sz w:val="20"/>
          <w:szCs w:val="20"/>
          <w:lang w:val="pt-BR"/>
        </w:rPr>
        <w:t>s funcionários não tinham treinamento sobre como atuar em situações de emergência. Nem eles, nem os membros da banda, nem os donos da boate deram instruções ao microfone sobre como proceder. Pelo menos um extintor de incêndio não funcionou ao ser manipulado por um segurança e pelo vocalista da banda. Não havia luzes de emergência nem rotas de saída iluminadas</w:t>
      </w:r>
      <w:r w:rsidR="00DD47AF">
        <w:rPr>
          <w:color w:val="auto"/>
          <w:sz w:val="20"/>
          <w:szCs w:val="20"/>
          <w:lang w:val="pt-BR"/>
        </w:rPr>
        <w:t>.</w:t>
      </w:r>
      <w:r w:rsidRPr="00FF6DBF">
        <w:rPr>
          <w:color w:val="auto"/>
          <w:sz w:val="20"/>
          <w:szCs w:val="20"/>
          <w:lang w:val="pt-BR"/>
        </w:rPr>
        <w:t xml:space="preserve"> </w:t>
      </w:r>
      <w:r w:rsidR="00DD47AF">
        <w:rPr>
          <w:color w:val="auto"/>
          <w:sz w:val="20"/>
          <w:szCs w:val="20"/>
          <w:lang w:val="pt-BR"/>
        </w:rPr>
        <w:t>A</w:t>
      </w:r>
      <w:r w:rsidRPr="00FF6DBF">
        <w:rPr>
          <w:color w:val="auto"/>
          <w:sz w:val="20"/>
          <w:szCs w:val="20"/>
          <w:lang w:val="pt-BR"/>
        </w:rPr>
        <w:t xml:space="preserve"> escuridão logo tomou conta do local.</w:t>
      </w:r>
    </w:p>
    <w:p w14:paraId="08FF85D9" w14:textId="625210A5" w:rsidR="0004673C" w:rsidRPr="00FF6DBF" w:rsidRDefault="0004673C"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 boate tinha apenas um acesso, uma porta principal que servia como entrada e saída e que não permitiu a evacuação rápida necessária numa emergência. A boate não tinha rotas claras de evacuação e era como um labirinto de corredores estreitos cercados por grades e paredes internas. As pessoas que tentavam escapar encontraram obstáculos físicos como </w:t>
      </w:r>
      <w:r w:rsidR="00DD47AF">
        <w:rPr>
          <w:color w:val="auto"/>
          <w:sz w:val="20"/>
          <w:szCs w:val="20"/>
          <w:lang w:val="pt-BR"/>
        </w:rPr>
        <w:t xml:space="preserve">as </w:t>
      </w:r>
      <w:r w:rsidRPr="00FF6DBF">
        <w:rPr>
          <w:color w:val="auto"/>
          <w:sz w:val="20"/>
          <w:szCs w:val="20"/>
          <w:lang w:val="pt-BR"/>
        </w:rPr>
        <w:t>barras de metal que faziam uma contenção próxima à porta de entrada, degraus, iluminação deficiente e falta de sinalização das saídas de emergência. A fachada externa da boate estava revestida de madeira</w:t>
      </w:r>
      <w:r w:rsidR="00DD47AF">
        <w:rPr>
          <w:color w:val="auto"/>
          <w:sz w:val="20"/>
          <w:szCs w:val="20"/>
          <w:lang w:val="pt-BR"/>
        </w:rPr>
        <w:t>;</w:t>
      </w:r>
      <w:r w:rsidRPr="00FF6DBF">
        <w:rPr>
          <w:color w:val="auto"/>
          <w:sz w:val="20"/>
          <w:szCs w:val="20"/>
          <w:lang w:val="pt-BR"/>
        </w:rPr>
        <w:t xml:space="preserve"> esse revestimento externo impediu que as pessoas conseguissem sair pelas janelas dos banheiros. À medida que se deparavam com os obstáculos, </w:t>
      </w:r>
      <w:r w:rsidR="00DD47AF">
        <w:rPr>
          <w:color w:val="auto"/>
          <w:sz w:val="20"/>
          <w:szCs w:val="20"/>
          <w:lang w:val="pt-BR"/>
        </w:rPr>
        <w:t>a</w:t>
      </w:r>
      <w:r w:rsidRPr="00FF6DBF">
        <w:rPr>
          <w:color w:val="auto"/>
          <w:sz w:val="20"/>
          <w:szCs w:val="20"/>
          <w:lang w:val="pt-BR"/>
        </w:rPr>
        <w:t>s vítimas que caíam já não conseguiam se levantar. Pilhas de corpos se formaram nos banheiros, nos corredores estreitos da boate e ao redor das barras de metal que bloqueavam a saída. A parte peticionária denuncia que as vítimas morreram sob condições cruéis, desumanas e degradantes, asfixiadas, pisoteadas, caídas umas sobre as outras.</w:t>
      </w:r>
      <w:r w:rsidR="00DD47AF">
        <w:rPr>
          <w:color w:val="auto"/>
          <w:sz w:val="20"/>
          <w:szCs w:val="20"/>
          <w:lang w:val="pt-BR"/>
        </w:rPr>
        <w:t xml:space="preserve"> </w:t>
      </w:r>
    </w:p>
    <w:p w14:paraId="23C238FD" w14:textId="1C2D7A69" w:rsidR="0004673C" w:rsidRPr="00FF6DBF" w:rsidRDefault="0004673C"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Os integrantes do Corpo de Bombeiros não dispunham dos equipamentos de proteção suficientes para ingressar na boate e proceder a um resgate </w:t>
      </w:r>
      <w:r w:rsidR="00DD47AF" w:rsidRPr="00FF6DBF">
        <w:rPr>
          <w:color w:val="auto"/>
          <w:sz w:val="20"/>
          <w:szCs w:val="20"/>
          <w:lang w:val="pt-BR"/>
        </w:rPr>
        <w:t xml:space="preserve">eficiente </w:t>
      </w:r>
      <w:r w:rsidRPr="00FF6DBF">
        <w:rPr>
          <w:color w:val="auto"/>
          <w:sz w:val="20"/>
          <w:szCs w:val="20"/>
          <w:lang w:val="pt-BR"/>
        </w:rPr>
        <w:t xml:space="preserve">das vítimas. Os corpos das vítimas fatais foram levados para o Centro Desportivo Municipal. Enfileirados, aguardaram o reconhecimento por familiares e amigos. Após serem reconhecidos e entregues aos familiares, os cadáveres foram deslocados para outra área do ginásio onde, dentro de vestíbulos improvisados com cordas e lonas pretas, as famílias despiam, vestiam e preparavam seus mortos em caixões. Um velório coletivo foi realizado durante a madrugada no próprio Centro Desportivo Municipal. Os cadáveres foram identificados pelo Instituto Geral de Perícias e pela Polícia Civil no mesmo dia do incêndio, reconhecidos e entregues aos familiares. O Instituto Geral de Perícias procedeu à coleta de material e posterior análise, inclusive de DNA, em relação aos corpos das vítimas fatais. Em relação às </w:t>
      </w:r>
      <w:r w:rsidRPr="00FF6DBF">
        <w:rPr>
          <w:color w:val="auto"/>
          <w:sz w:val="20"/>
          <w:szCs w:val="20"/>
          <w:lang w:val="pt-BR"/>
        </w:rPr>
        <w:lastRenderedPageBreak/>
        <w:t xml:space="preserve">vítimas fatais de outras localidades, muitas delas naturais de outros estados e até mesmo de outros países, a parte peticionária denuncia que o Estado brasileiro não prestou nenhum auxílio em relação ao funeral e ao deslocamento dos corpos para </w:t>
      </w:r>
      <w:r w:rsidR="00DD47AF">
        <w:rPr>
          <w:color w:val="auto"/>
          <w:sz w:val="20"/>
          <w:szCs w:val="20"/>
          <w:lang w:val="pt-BR"/>
        </w:rPr>
        <w:t>os lugares de origem</w:t>
      </w:r>
      <w:r w:rsidRPr="00FF6DBF">
        <w:rPr>
          <w:color w:val="auto"/>
          <w:sz w:val="20"/>
          <w:szCs w:val="20"/>
          <w:lang w:val="pt-BR"/>
        </w:rPr>
        <w:t>.</w:t>
      </w:r>
    </w:p>
    <w:p w14:paraId="6B7F5760" w14:textId="01704B0C" w:rsidR="0004673C" w:rsidRPr="00FF6DBF" w:rsidRDefault="0004673C"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As vítimas feridas foram atendidas em hospitais de Santa Maria</w:t>
      </w:r>
      <w:r w:rsidR="00DD47AF">
        <w:rPr>
          <w:color w:val="auto"/>
          <w:sz w:val="20"/>
          <w:szCs w:val="20"/>
          <w:lang w:val="pt-BR"/>
        </w:rPr>
        <w:t>.</w:t>
      </w:r>
      <w:r w:rsidRPr="00FF6DBF">
        <w:rPr>
          <w:color w:val="auto"/>
          <w:sz w:val="20"/>
          <w:szCs w:val="20"/>
          <w:lang w:val="pt-BR"/>
        </w:rPr>
        <w:t xml:space="preserve"> </w:t>
      </w:r>
      <w:r w:rsidR="00DD47AF">
        <w:rPr>
          <w:color w:val="auto"/>
          <w:sz w:val="20"/>
          <w:szCs w:val="20"/>
          <w:lang w:val="pt-BR"/>
        </w:rPr>
        <w:t>A</w:t>
      </w:r>
      <w:r w:rsidRPr="00FF6DBF">
        <w:rPr>
          <w:color w:val="auto"/>
          <w:sz w:val="20"/>
          <w:szCs w:val="20"/>
          <w:lang w:val="pt-BR"/>
        </w:rPr>
        <w:t>quelas que estavam em estado grave foram transferidas para hospitais nas cidades de Porto Alegre e Canoas. Dois dias depois do incêndio, 126 pessoas ainda estavam hospitalizadas, das quais setenta e quatro em estado grave. Entre os hospitalizados, seis pessoas ainda vieram a falecer.</w:t>
      </w:r>
    </w:p>
    <w:p w14:paraId="19E77AE8" w14:textId="79F4C6A5" w:rsidR="00AE2368" w:rsidRPr="00FF6DBF" w:rsidRDefault="00AE2368" w:rsidP="00AE2368">
      <w:pPr>
        <w:pStyle w:val="ListParagraph"/>
        <w:spacing w:before="240" w:after="240"/>
        <w:jc w:val="both"/>
        <w:rPr>
          <w:i/>
          <w:iCs/>
          <w:color w:val="auto"/>
          <w:sz w:val="20"/>
          <w:szCs w:val="20"/>
          <w:lang w:val="pt-BR"/>
        </w:rPr>
      </w:pPr>
      <w:r w:rsidRPr="00FF6DBF">
        <w:rPr>
          <w:i/>
          <w:iCs/>
          <w:color w:val="auto"/>
          <w:sz w:val="20"/>
          <w:szCs w:val="20"/>
          <w:lang w:val="pt-BR"/>
        </w:rPr>
        <w:t>As irregularidades no funcionamento da Boate Kiss</w:t>
      </w:r>
    </w:p>
    <w:p w14:paraId="2F8EE0FD" w14:textId="5EB00DE0" w:rsidR="000E606B" w:rsidRPr="00FF6DBF" w:rsidRDefault="00487AE4"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parte peticionária</w:t>
      </w:r>
      <w:r w:rsidR="000E606B" w:rsidRPr="00FF6DBF">
        <w:rPr>
          <w:rFonts w:ascii="Segoe UI" w:eastAsia="Arial Unicode MS" w:hAnsi="Segoe UI" w:cs="Segoe UI"/>
          <w:color w:val="auto"/>
          <w:shd w:val="clear" w:color="auto" w:fill="FFFFFF"/>
          <w:lang w:val="pt-BR" w:eastAsia="en-US"/>
        </w:rPr>
        <w:t xml:space="preserve"> </w:t>
      </w:r>
      <w:r w:rsidR="000E606B" w:rsidRPr="00FF6DBF">
        <w:rPr>
          <w:color w:val="auto"/>
          <w:sz w:val="20"/>
          <w:szCs w:val="20"/>
          <w:lang w:val="pt-BR"/>
        </w:rPr>
        <w:t xml:space="preserve">apresenta muitas informações detalhadas sobre diversas irregularidades da Boate Kiss conhecidas pelo Estado. A tabela abaixo sistematiza </w:t>
      </w:r>
      <w:r w:rsidR="00DD47AF">
        <w:rPr>
          <w:color w:val="auto"/>
          <w:sz w:val="20"/>
          <w:szCs w:val="20"/>
          <w:lang w:val="pt-BR"/>
        </w:rPr>
        <w:t>as</w:t>
      </w:r>
      <w:r w:rsidR="000E606B" w:rsidRPr="00FF6DBF">
        <w:rPr>
          <w:color w:val="auto"/>
          <w:sz w:val="20"/>
          <w:szCs w:val="20"/>
          <w:lang w:val="pt-BR"/>
        </w:rPr>
        <w:t xml:space="preserve"> informações em questão:</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978"/>
        <w:gridCol w:w="7336"/>
      </w:tblGrid>
      <w:tr w:rsidR="00FF6DBF" w:rsidRPr="00FF6DBF" w14:paraId="423720FB" w14:textId="77777777" w:rsidTr="00DC02B3">
        <w:tc>
          <w:tcPr>
            <w:tcW w:w="1980" w:type="dxa"/>
            <w:shd w:val="clear" w:color="auto" w:fill="000000" w:themeFill="text1"/>
          </w:tcPr>
          <w:p w14:paraId="6B512775" w14:textId="2C0A8461" w:rsidR="000E606B" w:rsidRPr="00FF6DBF" w:rsidRDefault="00DC02B3"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center"/>
              <w:rPr>
                <w:rFonts w:ascii="Cambria" w:hAnsi="Cambria"/>
                <w:b/>
                <w:bCs/>
                <w:color w:val="FFFFFF" w:themeColor="background1"/>
                <w:sz w:val="16"/>
                <w:szCs w:val="16"/>
                <w:lang w:val="pt-BR"/>
              </w:rPr>
            </w:pPr>
            <w:r w:rsidRPr="00FF6DBF">
              <w:rPr>
                <w:rFonts w:ascii="Cambria" w:hAnsi="Cambria"/>
                <w:b/>
                <w:bCs/>
                <w:color w:val="FFFFFF" w:themeColor="background1"/>
                <w:sz w:val="16"/>
                <w:szCs w:val="16"/>
                <w:lang w:val="pt-BR"/>
              </w:rPr>
              <w:t>IRREGULARIDADE</w:t>
            </w:r>
          </w:p>
        </w:tc>
        <w:tc>
          <w:tcPr>
            <w:tcW w:w="7370" w:type="dxa"/>
            <w:shd w:val="clear" w:color="auto" w:fill="000000" w:themeFill="text1"/>
          </w:tcPr>
          <w:p w14:paraId="2363AED7" w14:textId="55C12A96" w:rsidR="000E606B" w:rsidRPr="00FF6DBF" w:rsidRDefault="00DC02B3"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center"/>
              <w:rPr>
                <w:rFonts w:ascii="Cambria" w:hAnsi="Cambria"/>
                <w:b/>
                <w:bCs/>
                <w:color w:val="FFFFFF" w:themeColor="background1"/>
                <w:sz w:val="16"/>
                <w:szCs w:val="16"/>
                <w:lang w:val="pt-BR"/>
              </w:rPr>
            </w:pPr>
            <w:r w:rsidRPr="00FF6DBF">
              <w:rPr>
                <w:rFonts w:ascii="Cambria" w:hAnsi="Cambria"/>
                <w:b/>
                <w:bCs/>
                <w:color w:val="FFFFFF" w:themeColor="background1"/>
                <w:sz w:val="16"/>
                <w:szCs w:val="16"/>
                <w:lang w:val="pt-BR"/>
              </w:rPr>
              <w:t>DESCRIÇÃO</w:t>
            </w:r>
          </w:p>
        </w:tc>
      </w:tr>
      <w:tr w:rsidR="00FF6DBF" w:rsidRPr="00BF5F78" w14:paraId="42E9C9E3" w14:textId="77777777" w:rsidTr="00DC02B3">
        <w:tc>
          <w:tcPr>
            <w:tcW w:w="1980" w:type="dxa"/>
          </w:tcPr>
          <w:p w14:paraId="17CD2E05" w14:textId="77777777" w:rsidR="00DC02B3" w:rsidRPr="00FF6DBF" w:rsidRDefault="00DC02B3"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p>
          <w:p w14:paraId="57F923D6" w14:textId="5D4AC0A4" w:rsidR="000E606B" w:rsidRPr="00FF6DBF" w:rsidRDefault="0078022D"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r w:rsidRPr="00FF6DBF">
              <w:rPr>
                <w:rFonts w:ascii="Cambria" w:hAnsi="Cambria"/>
                <w:b/>
                <w:bCs/>
                <w:sz w:val="16"/>
                <w:szCs w:val="16"/>
                <w:lang w:val="pt-BR"/>
              </w:rPr>
              <w:t>Obras irregulares e embargo não cumprido</w:t>
            </w:r>
          </w:p>
        </w:tc>
        <w:tc>
          <w:tcPr>
            <w:tcW w:w="7370" w:type="dxa"/>
          </w:tcPr>
          <w:p w14:paraId="0BE09CBE" w14:textId="1B8EDE0B" w:rsidR="009C6A84" w:rsidRPr="00FF6DBF" w:rsidRDefault="009C6A84"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lang w:val="pt-BR"/>
              </w:rPr>
            </w:pPr>
            <w:r w:rsidRPr="009C6A84">
              <w:rPr>
                <w:rFonts w:ascii="Cambria" w:hAnsi="Cambria"/>
                <w:sz w:val="16"/>
                <w:szCs w:val="16"/>
                <w:lang w:val="pt-BR"/>
              </w:rPr>
              <w:t xml:space="preserve">O prédio da Boate Kiss passou por obras sem autorização em 2009. </w:t>
            </w:r>
            <w:r>
              <w:rPr>
                <w:rFonts w:ascii="Cambria" w:hAnsi="Cambria"/>
                <w:sz w:val="16"/>
                <w:szCs w:val="16"/>
                <w:lang w:val="pt-BR"/>
              </w:rPr>
              <w:t>A</w:t>
            </w:r>
            <w:r w:rsidRPr="009C6A84">
              <w:rPr>
                <w:rFonts w:ascii="Cambria" w:hAnsi="Cambria"/>
                <w:sz w:val="16"/>
                <w:szCs w:val="16"/>
                <w:lang w:val="pt-BR"/>
              </w:rPr>
              <w:t xml:space="preserve"> irregularidade foi denunciada e </w:t>
            </w:r>
            <w:r>
              <w:rPr>
                <w:rFonts w:ascii="Cambria" w:hAnsi="Cambria"/>
                <w:sz w:val="16"/>
                <w:szCs w:val="16"/>
                <w:lang w:val="pt-BR"/>
              </w:rPr>
              <w:t xml:space="preserve">formalmente </w:t>
            </w:r>
            <w:r w:rsidRPr="009C6A84">
              <w:rPr>
                <w:rFonts w:ascii="Cambria" w:hAnsi="Cambria"/>
                <w:sz w:val="16"/>
                <w:szCs w:val="16"/>
                <w:lang w:val="pt-BR"/>
              </w:rPr>
              <w:t>embargada pela prefeitura, mas o embargo nunca foi executado, e a boate foi inaugurada em 31 de julho de 2009.</w:t>
            </w:r>
          </w:p>
        </w:tc>
      </w:tr>
      <w:tr w:rsidR="00FF6DBF" w:rsidRPr="00BF5F78" w14:paraId="44415E90" w14:textId="77777777" w:rsidTr="00DC02B3">
        <w:tc>
          <w:tcPr>
            <w:tcW w:w="1980" w:type="dxa"/>
            <w:shd w:val="clear" w:color="auto" w:fill="D9D9D9" w:themeFill="background1" w:themeFillShade="D9"/>
          </w:tcPr>
          <w:p w14:paraId="6C7D8402" w14:textId="77777777" w:rsidR="00DC02B3" w:rsidRPr="009C6A84" w:rsidRDefault="00DC02B3"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4"/>
                <w:szCs w:val="4"/>
                <w:lang w:val="pt-BR"/>
              </w:rPr>
            </w:pPr>
          </w:p>
          <w:p w14:paraId="0FA4924A" w14:textId="77777777" w:rsidR="000E606B" w:rsidRDefault="0078022D"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r w:rsidRPr="00FF6DBF">
              <w:rPr>
                <w:rFonts w:ascii="Cambria" w:hAnsi="Cambria"/>
                <w:b/>
                <w:bCs/>
                <w:sz w:val="16"/>
                <w:szCs w:val="16"/>
                <w:lang w:val="pt-BR"/>
              </w:rPr>
              <w:t>Descumprimento da ordem de modificar o prédio para torná-lo mais seguro</w:t>
            </w:r>
          </w:p>
          <w:p w14:paraId="1DF2F165" w14:textId="356B3282" w:rsidR="009C6A84" w:rsidRPr="009C6A84" w:rsidRDefault="009C6A84"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6"/>
                <w:szCs w:val="6"/>
                <w:lang w:val="pt-BR"/>
              </w:rPr>
            </w:pPr>
          </w:p>
        </w:tc>
        <w:tc>
          <w:tcPr>
            <w:tcW w:w="7370" w:type="dxa"/>
            <w:shd w:val="clear" w:color="auto" w:fill="D9D9D9" w:themeFill="background1" w:themeFillShade="D9"/>
          </w:tcPr>
          <w:p w14:paraId="0C2360B3" w14:textId="6482ECD9" w:rsidR="009C6A84" w:rsidRPr="009C6A84" w:rsidRDefault="009C6A84" w:rsidP="009C6A84">
            <w:pPr>
              <w:pBdr>
                <w:top w:val="none" w:sz="0" w:space="0" w:color="auto"/>
                <w:left w:val="none" w:sz="0" w:space="0" w:color="auto"/>
                <w:bottom w:val="none" w:sz="0" w:space="0" w:color="auto"/>
                <w:right w:val="none" w:sz="0" w:space="0" w:color="auto"/>
                <w:between w:val="none" w:sz="0" w:space="0" w:color="auto"/>
                <w:bar w:val="none" w:sz="0" w:color="auto"/>
              </w:pBdr>
              <w:spacing w:before="120" w:after="80"/>
              <w:jc w:val="both"/>
              <w:rPr>
                <w:rFonts w:ascii="Cambria" w:hAnsi="Cambria"/>
                <w:sz w:val="16"/>
                <w:szCs w:val="16"/>
                <w:lang w:val="pt-BR"/>
              </w:rPr>
            </w:pPr>
            <w:r w:rsidRPr="009C6A84">
              <w:rPr>
                <w:rFonts w:ascii="Cambria" w:hAnsi="Cambria"/>
                <w:sz w:val="16"/>
                <w:szCs w:val="16"/>
                <w:lang w:val="pt-BR"/>
              </w:rPr>
              <w:t xml:space="preserve">Entre agosto de 2009 e fevereiro de 2010, </w:t>
            </w:r>
            <w:r w:rsidRPr="00FF6DBF">
              <w:rPr>
                <w:rFonts w:ascii="Cambria" w:hAnsi="Cambria"/>
                <w:sz w:val="16"/>
                <w:szCs w:val="16"/>
                <w:lang w:val="pt-BR"/>
              </w:rPr>
              <w:t>a empresa deliberou junto à prefeitura sobre</w:t>
            </w:r>
            <w:r w:rsidRPr="009C6A84">
              <w:rPr>
                <w:rFonts w:ascii="Cambria" w:hAnsi="Cambria"/>
                <w:sz w:val="16"/>
                <w:szCs w:val="16"/>
                <w:lang w:val="pt-BR"/>
              </w:rPr>
              <w:t xml:space="preserve"> </w:t>
            </w:r>
            <w:r>
              <w:rPr>
                <w:rFonts w:ascii="Cambria" w:hAnsi="Cambria"/>
                <w:sz w:val="16"/>
                <w:szCs w:val="16"/>
                <w:lang w:val="pt-BR"/>
              </w:rPr>
              <w:t>o prédio. A</w:t>
            </w:r>
            <w:r w:rsidRPr="009C6A84">
              <w:rPr>
                <w:rFonts w:ascii="Cambria" w:hAnsi="Cambria"/>
                <w:sz w:val="16"/>
                <w:szCs w:val="16"/>
                <w:lang w:val="pt-BR"/>
              </w:rPr>
              <w:t xml:space="preserve"> prefeitura indicou </w:t>
            </w:r>
            <w:r w:rsidRPr="00FF6DBF">
              <w:rPr>
                <w:rFonts w:ascii="Cambria" w:hAnsi="Cambria"/>
                <w:sz w:val="16"/>
                <w:szCs w:val="16"/>
                <w:lang w:val="pt-BR"/>
              </w:rPr>
              <w:t>vinte e nove modificações</w:t>
            </w:r>
            <w:r w:rsidRPr="009C6A84">
              <w:rPr>
                <w:rFonts w:ascii="Cambria" w:hAnsi="Cambria"/>
                <w:sz w:val="16"/>
                <w:szCs w:val="16"/>
                <w:lang w:val="pt-BR"/>
              </w:rPr>
              <w:t xml:space="preserve"> necessárias no prédio, incluindo duas portas de emergência. As adequações não foram feitas, </w:t>
            </w:r>
            <w:r>
              <w:rPr>
                <w:rFonts w:ascii="Cambria" w:hAnsi="Cambria"/>
                <w:sz w:val="16"/>
                <w:szCs w:val="16"/>
                <w:lang w:val="pt-BR"/>
              </w:rPr>
              <w:t>e mesmo assim a prefeitura não embargou as atividades</w:t>
            </w:r>
            <w:r w:rsidRPr="009C6A84">
              <w:rPr>
                <w:rFonts w:ascii="Cambria" w:hAnsi="Cambria"/>
                <w:sz w:val="16"/>
                <w:szCs w:val="16"/>
                <w:lang w:val="pt-BR"/>
              </w:rPr>
              <w:t>.</w:t>
            </w:r>
          </w:p>
        </w:tc>
      </w:tr>
      <w:tr w:rsidR="00FF6DBF" w:rsidRPr="00BF5F78" w14:paraId="6E42CEA0" w14:textId="77777777" w:rsidTr="00DC02B3">
        <w:tc>
          <w:tcPr>
            <w:tcW w:w="1980" w:type="dxa"/>
          </w:tcPr>
          <w:p w14:paraId="690068EE" w14:textId="77777777" w:rsidR="00DC02B3" w:rsidRPr="00E44AD3" w:rsidRDefault="00DC02B3" w:rsidP="00780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6"/>
                <w:szCs w:val="6"/>
                <w:lang w:val="pt-BR"/>
              </w:rPr>
            </w:pPr>
          </w:p>
          <w:p w14:paraId="79AE1060" w14:textId="77777777" w:rsidR="0078022D" w:rsidRDefault="0078022D" w:rsidP="00780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r w:rsidRPr="00FF6DBF">
              <w:rPr>
                <w:rFonts w:ascii="Cambria" w:hAnsi="Cambria"/>
                <w:b/>
                <w:bCs/>
                <w:sz w:val="16"/>
                <w:szCs w:val="16"/>
                <w:lang w:val="pt-BR"/>
              </w:rPr>
              <w:t>Concessão tardia e irregular do alvará de localização, funcionamento sem alvará</w:t>
            </w:r>
          </w:p>
          <w:p w14:paraId="1AD5823F" w14:textId="6095AC50" w:rsidR="00E44AD3" w:rsidRPr="00E44AD3" w:rsidRDefault="00E44AD3" w:rsidP="00780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0"/>
                <w:szCs w:val="10"/>
                <w:lang w:val="pt-BR"/>
              </w:rPr>
            </w:pPr>
          </w:p>
        </w:tc>
        <w:tc>
          <w:tcPr>
            <w:tcW w:w="7370" w:type="dxa"/>
          </w:tcPr>
          <w:p w14:paraId="0BF26CC1" w14:textId="116521FA" w:rsidR="00E44AD3" w:rsidRPr="00FF6DBF" w:rsidRDefault="00E44AD3" w:rsidP="00E44AD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lang w:val="pt-BR"/>
              </w:rPr>
            </w:pPr>
            <w:r w:rsidRPr="00E44AD3">
              <w:rPr>
                <w:rFonts w:ascii="Cambria" w:hAnsi="Cambria"/>
                <w:sz w:val="16"/>
                <w:szCs w:val="16"/>
                <w:lang w:val="pt-BR"/>
              </w:rPr>
              <w:t>Entre julho de 2009 e março de 2010, a Boate Kiss operou sem alvará de localização,</w:t>
            </w:r>
            <w:r>
              <w:rPr>
                <w:rFonts w:ascii="Cambria" w:hAnsi="Cambria"/>
                <w:sz w:val="16"/>
                <w:szCs w:val="16"/>
                <w:lang w:val="pt-BR"/>
              </w:rPr>
              <w:t xml:space="preserve"> mesmo após a prefeitura vistoriar o local, emitir três autos de infração, uma ordem (não-cumprida) de embargo das atividades e três notificações com multas de baixo valor. Em 14 de março de 2010, a boate obteve o alvará de localização de maneira irregular, pois não tinha conseguido </w:t>
            </w:r>
            <w:r w:rsidRPr="00E44AD3">
              <w:rPr>
                <w:rFonts w:ascii="Cambria" w:hAnsi="Cambria"/>
                <w:sz w:val="16"/>
                <w:szCs w:val="16"/>
                <w:lang w:val="pt-BR"/>
              </w:rPr>
              <w:t>o alvará sanitário necessário.</w:t>
            </w:r>
          </w:p>
        </w:tc>
      </w:tr>
      <w:tr w:rsidR="00FF6DBF" w:rsidRPr="00BF5F78" w14:paraId="0D1481B3" w14:textId="77777777" w:rsidTr="00DC02B3">
        <w:tc>
          <w:tcPr>
            <w:tcW w:w="1980" w:type="dxa"/>
            <w:shd w:val="clear" w:color="auto" w:fill="D9D9D9" w:themeFill="background1" w:themeFillShade="D9"/>
          </w:tcPr>
          <w:p w14:paraId="1EE31899" w14:textId="77777777" w:rsidR="00DC02B3" w:rsidRPr="00E44AD3" w:rsidRDefault="00DC02B3" w:rsidP="00780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6"/>
                <w:szCs w:val="6"/>
                <w:lang w:val="pt-BR"/>
              </w:rPr>
            </w:pPr>
          </w:p>
          <w:p w14:paraId="5A7DD9AB" w14:textId="77777777" w:rsidR="00DB73CA" w:rsidRDefault="00DB73CA" w:rsidP="00780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r w:rsidRPr="00FF6DBF">
              <w:rPr>
                <w:rFonts w:ascii="Cambria" w:hAnsi="Cambria"/>
                <w:b/>
                <w:bCs/>
                <w:sz w:val="16"/>
                <w:szCs w:val="16"/>
                <w:lang w:val="pt-BR"/>
              </w:rPr>
              <w:t>Concessão tardia e irregular do alvará sanitário, funcionamento sem alvará</w:t>
            </w:r>
          </w:p>
          <w:p w14:paraId="4978229A" w14:textId="6D603521" w:rsidR="00E44AD3" w:rsidRPr="00E44AD3" w:rsidRDefault="00E44AD3" w:rsidP="00780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8"/>
                <w:szCs w:val="8"/>
                <w:lang w:val="pt-BR"/>
              </w:rPr>
            </w:pPr>
          </w:p>
        </w:tc>
        <w:tc>
          <w:tcPr>
            <w:tcW w:w="7370" w:type="dxa"/>
            <w:shd w:val="clear" w:color="auto" w:fill="D9D9D9" w:themeFill="background1" w:themeFillShade="D9"/>
          </w:tcPr>
          <w:p w14:paraId="79C3A2B6" w14:textId="77777777" w:rsidR="00E44AD3" w:rsidRPr="00E44AD3" w:rsidRDefault="00E44AD3"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2"/>
                <w:szCs w:val="2"/>
                <w:lang w:val="pt-BR"/>
              </w:rPr>
            </w:pPr>
          </w:p>
          <w:p w14:paraId="20D456D9" w14:textId="25885222" w:rsidR="00E44AD3" w:rsidRPr="00E44AD3" w:rsidRDefault="00E44AD3"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lang w:val="pt-BR"/>
              </w:rPr>
            </w:pPr>
            <w:r w:rsidRPr="00E44AD3">
              <w:rPr>
                <w:rFonts w:ascii="Cambria" w:hAnsi="Cambria"/>
                <w:sz w:val="16"/>
                <w:szCs w:val="16"/>
                <w:lang w:val="pt-BR"/>
              </w:rPr>
              <w:t>O alvará sanitário foi solicitado apenas em dezembro de 2009 e emitido retroativamente em janeiro de 2010 sem vistoria. Renovado em 2011, expirou em 2012, e a renovação foi negada. No dia do incêndio, a boate não tinha alvará sanitário válido.</w:t>
            </w:r>
          </w:p>
        </w:tc>
      </w:tr>
      <w:tr w:rsidR="00FF6DBF" w:rsidRPr="00BF5F78" w14:paraId="0FEF2A58" w14:textId="77777777" w:rsidTr="00DC02B3">
        <w:tc>
          <w:tcPr>
            <w:tcW w:w="1980" w:type="dxa"/>
          </w:tcPr>
          <w:p w14:paraId="13FDB7E7" w14:textId="1F4CAB3C" w:rsidR="000E606B" w:rsidRPr="00FF6DBF" w:rsidRDefault="0078022D" w:rsidP="000F3533">
            <w:pPr>
              <w:pBdr>
                <w:top w:val="none" w:sz="0" w:space="0" w:color="auto"/>
                <w:left w:val="none" w:sz="0" w:space="0" w:color="auto"/>
                <w:bottom w:val="none" w:sz="0" w:space="0" w:color="auto"/>
                <w:right w:val="none" w:sz="0" w:space="0" w:color="auto"/>
                <w:between w:val="none" w:sz="0" w:space="0" w:color="auto"/>
                <w:bar w:val="none" w:sz="0" w:color="auto"/>
              </w:pBdr>
              <w:spacing w:before="80"/>
              <w:jc w:val="center"/>
              <w:rPr>
                <w:rFonts w:ascii="Cambria" w:hAnsi="Cambria"/>
                <w:b/>
                <w:bCs/>
                <w:sz w:val="16"/>
                <w:szCs w:val="16"/>
                <w:lang w:val="pt-BR"/>
              </w:rPr>
            </w:pPr>
            <w:r w:rsidRPr="00FF6DBF">
              <w:rPr>
                <w:rFonts w:ascii="Cambria" w:hAnsi="Cambria"/>
                <w:b/>
                <w:bCs/>
                <w:sz w:val="16"/>
                <w:szCs w:val="16"/>
                <w:lang w:val="pt-BR"/>
              </w:rPr>
              <w:t>Renovação irregular do alvará de localização</w:t>
            </w:r>
          </w:p>
        </w:tc>
        <w:tc>
          <w:tcPr>
            <w:tcW w:w="7370" w:type="dxa"/>
          </w:tcPr>
          <w:p w14:paraId="0784E26D" w14:textId="73A3D51B" w:rsidR="000E606B" w:rsidRPr="00FF6DBF" w:rsidRDefault="000F3533"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lang w:val="pt-BR"/>
              </w:rPr>
            </w:pPr>
            <w:r w:rsidRPr="000F3533">
              <w:rPr>
                <w:rFonts w:ascii="Cambria" w:hAnsi="Cambria"/>
                <w:sz w:val="16"/>
                <w:szCs w:val="16"/>
                <w:lang w:val="pt-BR"/>
              </w:rPr>
              <w:t>O alvará de localização emitido em março de 2010 foi renovado irregularmente em 2011 e 2012, sem os alvarás sanitário e de prevenção contra incêndios, e sem a Anotação de Responsabilidade Técnica exigida.</w:t>
            </w:r>
          </w:p>
        </w:tc>
      </w:tr>
      <w:tr w:rsidR="00FF6DBF" w:rsidRPr="00BF5F78" w14:paraId="05D326A5" w14:textId="77777777" w:rsidTr="00DC02B3">
        <w:tc>
          <w:tcPr>
            <w:tcW w:w="1980" w:type="dxa"/>
            <w:shd w:val="clear" w:color="auto" w:fill="D9D9D9" w:themeFill="background1" w:themeFillShade="D9"/>
          </w:tcPr>
          <w:p w14:paraId="65383507" w14:textId="41E67375" w:rsidR="000E606B" w:rsidRPr="00FF6DBF" w:rsidRDefault="0078022D"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center"/>
              <w:rPr>
                <w:rFonts w:ascii="Cambria" w:hAnsi="Cambria"/>
                <w:b/>
                <w:bCs/>
                <w:sz w:val="16"/>
                <w:szCs w:val="16"/>
                <w:lang w:val="pt-BR"/>
              </w:rPr>
            </w:pPr>
            <w:r w:rsidRPr="00FF6DBF">
              <w:rPr>
                <w:rFonts w:ascii="Cambria" w:hAnsi="Cambria"/>
                <w:b/>
                <w:bCs/>
                <w:sz w:val="16"/>
                <w:szCs w:val="16"/>
                <w:lang w:val="pt-BR"/>
              </w:rPr>
              <w:t>Funcionamento sem licença de operação ambiental</w:t>
            </w:r>
          </w:p>
        </w:tc>
        <w:tc>
          <w:tcPr>
            <w:tcW w:w="7370" w:type="dxa"/>
            <w:shd w:val="clear" w:color="auto" w:fill="D9D9D9" w:themeFill="background1" w:themeFillShade="D9"/>
          </w:tcPr>
          <w:p w14:paraId="38573D30" w14:textId="0E887605" w:rsidR="000E606B" w:rsidRPr="00FF6DBF" w:rsidRDefault="0078022D" w:rsidP="00AC33B6">
            <w:pPr>
              <w:pBdr>
                <w:top w:val="none" w:sz="0" w:space="0" w:color="auto"/>
                <w:left w:val="none" w:sz="0" w:space="0" w:color="auto"/>
                <w:bottom w:val="none" w:sz="0" w:space="0" w:color="auto"/>
                <w:right w:val="none" w:sz="0" w:space="0" w:color="auto"/>
                <w:between w:val="none" w:sz="0" w:space="0" w:color="auto"/>
                <w:bar w:val="none" w:sz="0" w:color="auto"/>
              </w:pBdr>
              <w:spacing w:before="120" w:after="80"/>
              <w:jc w:val="both"/>
              <w:rPr>
                <w:rFonts w:ascii="Cambria" w:hAnsi="Cambria"/>
                <w:sz w:val="16"/>
                <w:szCs w:val="16"/>
                <w:lang w:val="pt-BR"/>
              </w:rPr>
            </w:pPr>
            <w:r w:rsidRPr="00FF6DBF">
              <w:rPr>
                <w:rFonts w:ascii="Cambria" w:hAnsi="Cambria"/>
                <w:sz w:val="16"/>
                <w:szCs w:val="16"/>
                <w:lang w:val="pt-BR"/>
              </w:rPr>
              <w:t>A Boate Kiss só obteve a licença de operação ambiental em 3 de março de 2010, oito meses após sua inauguração, quando deveria tê-la obtido antes de iniciar suas atividades.</w:t>
            </w:r>
          </w:p>
        </w:tc>
      </w:tr>
      <w:tr w:rsidR="00FF6DBF" w:rsidRPr="00BF5F78" w14:paraId="0668B416" w14:textId="77777777" w:rsidTr="00DC02B3">
        <w:tc>
          <w:tcPr>
            <w:tcW w:w="1980" w:type="dxa"/>
          </w:tcPr>
          <w:p w14:paraId="3A035AFE" w14:textId="77777777" w:rsidR="00DC02B3" w:rsidRPr="00FF6DBF" w:rsidRDefault="00DC02B3"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p>
          <w:p w14:paraId="107E3101" w14:textId="085003FE" w:rsidR="000E606B" w:rsidRPr="00FF6DBF" w:rsidRDefault="0078022D"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r w:rsidRPr="00FF6DBF">
              <w:rPr>
                <w:rFonts w:ascii="Cambria" w:hAnsi="Cambria"/>
                <w:b/>
                <w:bCs/>
                <w:sz w:val="16"/>
                <w:szCs w:val="16"/>
                <w:lang w:val="pt-BR"/>
              </w:rPr>
              <w:t>Renovações irregulares da licença de operação ambiental</w:t>
            </w:r>
          </w:p>
        </w:tc>
        <w:tc>
          <w:tcPr>
            <w:tcW w:w="7370" w:type="dxa"/>
          </w:tcPr>
          <w:p w14:paraId="542ABB85" w14:textId="61CE2253" w:rsidR="000F3533" w:rsidRPr="00FF6DBF" w:rsidRDefault="000F3533"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lang w:val="pt-BR"/>
              </w:rPr>
            </w:pPr>
            <w:r w:rsidRPr="000F3533">
              <w:rPr>
                <w:rFonts w:ascii="Cambria" w:hAnsi="Cambria"/>
                <w:sz w:val="16"/>
                <w:szCs w:val="16"/>
                <w:lang w:val="pt-BR"/>
              </w:rPr>
              <w:t xml:space="preserve">Durante as renovações </w:t>
            </w:r>
            <w:r w:rsidRPr="00FF6DBF">
              <w:rPr>
                <w:rFonts w:ascii="Cambria" w:hAnsi="Cambria"/>
                <w:sz w:val="16"/>
                <w:szCs w:val="16"/>
                <w:lang w:val="pt-BR"/>
              </w:rPr>
              <w:t>da licença de operação ambiental</w:t>
            </w:r>
            <w:r w:rsidRPr="000F3533">
              <w:rPr>
                <w:rFonts w:ascii="Cambria" w:hAnsi="Cambria"/>
                <w:sz w:val="16"/>
                <w:szCs w:val="16"/>
                <w:lang w:val="pt-BR"/>
              </w:rPr>
              <w:t xml:space="preserve">, </w:t>
            </w:r>
            <w:r w:rsidRPr="00FF6DBF">
              <w:rPr>
                <w:rFonts w:ascii="Cambria" w:hAnsi="Cambria"/>
                <w:sz w:val="16"/>
                <w:szCs w:val="16"/>
                <w:lang w:val="pt-BR"/>
              </w:rPr>
              <w:t xml:space="preserve">os boletins para vistoria </w:t>
            </w:r>
            <w:r>
              <w:rPr>
                <w:rFonts w:ascii="Cambria" w:hAnsi="Cambria"/>
                <w:sz w:val="16"/>
                <w:szCs w:val="16"/>
                <w:lang w:val="pt-BR"/>
              </w:rPr>
              <w:t>de</w:t>
            </w:r>
            <w:r w:rsidRPr="00FF6DBF">
              <w:rPr>
                <w:rFonts w:ascii="Cambria" w:hAnsi="Cambria"/>
                <w:sz w:val="16"/>
                <w:szCs w:val="16"/>
                <w:lang w:val="pt-BR"/>
              </w:rPr>
              <w:t xml:space="preserve"> 11 de fevereiro de 2011 e </w:t>
            </w:r>
            <w:r>
              <w:rPr>
                <w:rFonts w:ascii="Cambria" w:hAnsi="Cambria"/>
                <w:sz w:val="16"/>
                <w:szCs w:val="16"/>
                <w:lang w:val="pt-BR"/>
              </w:rPr>
              <w:t>de</w:t>
            </w:r>
            <w:r w:rsidRPr="00FF6DBF">
              <w:rPr>
                <w:rFonts w:ascii="Cambria" w:hAnsi="Cambria"/>
                <w:sz w:val="16"/>
                <w:szCs w:val="16"/>
                <w:lang w:val="pt-BR"/>
              </w:rPr>
              <w:t xml:space="preserve"> 19 de abril de 2012</w:t>
            </w:r>
            <w:r>
              <w:rPr>
                <w:rFonts w:ascii="Cambria" w:hAnsi="Cambria"/>
                <w:sz w:val="16"/>
                <w:szCs w:val="16"/>
                <w:lang w:val="pt-BR"/>
              </w:rPr>
              <w:t xml:space="preserve"> não continham a </w:t>
            </w:r>
            <w:r w:rsidRPr="000F3533">
              <w:rPr>
                <w:rFonts w:ascii="Cambria" w:hAnsi="Cambria"/>
                <w:sz w:val="16"/>
                <w:szCs w:val="16"/>
                <w:lang w:val="pt-BR"/>
              </w:rPr>
              <w:t>Anotação de Responsabilidade Técnica</w:t>
            </w:r>
            <w:r w:rsidR="00AC33B6">
              <w:rPr>
                <w:rFonts w:ascii="Cambria" w:hAnsi="Cambria"/>
                <w:sz w:val="16"/>
                <w:szCs w:val="16"/>
                <w:lang w:val="pt-BR"/>
              </w:rPr>
              <w:t xml:space="preserve"> legalmente exigida</w:t>
            </w:r>
            <w:r w:rsidRPr="000F3533">
              <w:rPr>
                <w:rFonts w:ascii="Cambria" w:hAnsi="Cambria"/>
                <w:sz w:val="16"/>
                <w:szCs w:val="16"/>
                <w:lang w:val="pt-BR"/>
              </w:rPr>
              <w:t>. A última licença</w:t>
            </w:r>
            <w:r w:rsidR="00AC33B6">
              <w:rPr>
                <w:rFonts w:ascii="Cambria" w:hAnsi="Cambria"/>
                <w:sz w:val="16"/>
                <w:szCs w:val="16"/>
                <w:lang w:val="pt-BR"/>
              </w:rPr>
              <w:t>, emitida em 27 de abril de 2012, estava vigente quando ocorreu o incêndio e também foi renovada sem a devida Anotação de Responsabilidade Técnica.</w:t>
            </w:r>
          </w:p>
        </w:tc>
      </w:tr>
      <w:tr w:rsidR="00FF6DBF" w:rsidRPr="00BF5F78" w14:paraId="140F3712" w14:textId="77777777" w:rsidTr="00DC02B3">
        <w:tc>
          <w:tcPr>
            <w:tcW w:w="1980" w:type="dxa"/>
            <w:shd w:val="clear" w:color="auto" w:fill="D9D9D9" w:themeFill="background1" w:themeFillShade="D9"/>
          </w:tcPr>
          <w:p w14:paraId="43FB594B" w14:textId="77777777" w:rsidR="00DC02B3" w:rsidRPr="00FF6DBF" w:rsidRDefault="00DC02B3"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p>
          <w:p w14:paraId="048B80B7" w14:textId="77777777" w:rsidR="00DC02B3" w:rsidRPr="00FF6DBF" w:rsidRDefault="00DC02B3"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p>
          <w:p w14:paraId="79D17081" w14:textId="0F0316B9" w:rsidR="000E606B" w:rsidRPr="00FF6DBF" w:rsidRDefault="0078022D" w:rsidP="000E60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lang w:val="pt-BR"/>
              </w:rPr>
            </w:pPr>
            <w:r w:rsidRPr="00FF6DBF">
              <w:rPr>
                <w:rFonts w:ascii="Cambria" w:hAnsi="Cambria"/>
                <w:b/>
                <w:bCs/>
                <w:sz w:val="16"/>
                <w:szCs w:val="16"/>
                <w:lang w:val="pt-BR"/>
              </w:rPr>
              <w:t>Concessão tardia e irregular do alvará sobre prevenção, proteção e combate a incêndios; funcionamento sem alvará válido</w:t>
            </w:r>
          </w:p>
        </w:tc>
        <w:tc>
          <w:tcPr>
            <w:tcW w:w="7370" w:type="dxa"/>
            <w:shd w:val="clear" w:color="auto" w:fill="D9D9D9" w:themeFill="background1" w:themeFillShade="D9"/>
          </w:tcPr>
          <w:p w14:paraId="350F9590" w14:textId="4BFBC44E" w:rsidR="00AC33B6" w:rsidRDefault="00AC33B6"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lang w:val="pt-BR"/>
              </w:rPr>
            </w:pPr>
            <w:r w:rsidRPr="00AC33B6">
              <w:rPr>
                <w:rFonts w:ascii="Cambria" w:hAnsi="Cambria"/>
                <w:sz w:val="16"/>
                <w:szCs w:val="16"/>
                <w:lang w:val="pt-BR"/>
              </w:rPr>
              <w:t>O alvará de prevenção de incêndios foi emitido 28 dias após a inauguração</w:t>
            </w:r>
            <w:r>
              <w:rPr>
                <w:rFonts w:ascii="Cambria" w:hAnsi="Cambria"/>
                <w:sz w:val="16"/>
                <w:szCs w:val="16"/>
                <w:lang w:val="pt-BR"/>
              </w:rPr>
              <w:t xml:space="preserve"> da boate</w:t>
            </w:r>
            <w:r w:rsidRPr="00AC33B6">
              <w:rPr>
                <w:rFonts w:ascii="Cambria" w:hAnsi="Cambria"/>
                <w:sz w:val="16"/>
                <w:szCs w:val="16"/>
                <w:lang w:val="pt-BR"/>
              </w:rPr>
              <w:t>, usando um sistema</w:t>
            </w:r>
            <w:r w:rsidRPr="00FF6DBF">
              <w:rPr>
                <w:rFonts w:ascii="Cambria" w:hAnsi="Cambria"/>
                <w:sz w:val="16"/>
                <w:szCs w:val="16"/>
                <w:lang w:val="pt-BR"/>
              </w:rPr>
              <w:t xml:space="preserve"> de análise automatizada</w:t>
            </w:r>
            <w:r w:rsidRPr="00AC33B6">
              <w:rPr>
                <w:rFonts w:ascii="Cambria" w:hAnsi="Cambria"/>
                <w:sz w:val="16"/>
                <w:szCs w:val="16"/>
                <w:lang w:val="pt-BR"/>
              </w:rPr>
              <w:t xml:space="preserve"> </w:t>
            </w:r>
            <w:r w:rsidRPr="00FF6DBF">
              <w:rPr>
                <w:rFonts w:ascii="Cambria" w:hAnsi="Cambria"/>
                <w:sz w:val="16"/>
                <w:szCs w:val="16"/>
                <w:lang w:val="pt-BR"/>
              </w:rPr>
              <w:t>que dispensa a necessidade de um responsável técnico</w:t>
            </w:r>
            <w:r>
              <w:rPr>
                <w:rFonts w:ascii="Cambria" w:hAnsi="Cambria"/>
                <w:sz w:val="16"/>
                <w:szCs w:val="16"/>
                <w:lang w:val="pt-BR"/>
              </w:rPr>
              <w:t xml:space="preserve">. Esse sistema, porém, não era autorizado </w:t>
            </w:r>
            <w:r w:rsidRPr="00AC33B6">
              <w:rPr>
                <w:rFonts w:ascii="Cambria" w:hAnsi="Cambria"/>
                <w:sz w:val="16"/>
                <w:szCs w:val="16"/>
                <w:lang w:val="pt-BR"/>
              </w:rPr>
              <w:t xml:space="preserve">para </w:t>
            </w:r>
            <w:r w:rsidRPr="00FF6DBF">
              <w:rPr>
                <w:rFonts w:ascii="Cambria" w:hAnsi="Cambria"/>
                <w:sz w:val="16"/>
                <w:szCs w:val="16"/>
                <w:lang w:val="pt-BR"/>
              </w:rPr>
              <w:t>bares, boates e estabelecimentos similares</w:t>
            </w:r>
            <w:r w:rsidRPr="00AC33B6">
              <w:rPr>
                <w:rFonts w:ascii="Cambria" w:hAnsi="Cambria"/>
                <w:sz w:val="16"/>
                <w:szCs w:val="16"/>
                <w:lang w:val="pt-BR"/>
              </w:rPr>
              <w:t xml:space="preserve">. </w:t>
            </w:r>
          </w:p>
          <w:p w14:paraId="6A048959" w14:textId="77777777" w:rsidR="00AC33B6" w:rsidRDefault="00AC33B6" w:rsidP="00AC33B6">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lang w:val="pt-BR"/>
              </w:rPr>
            </w:pPr>
            <w:r w:rsidRPr="00AC33B6">
              <w:rPr>
                <w:rFonts w:ascii="Cambria" w:hAnsi="Cambria"/>
                <w:sz w:val="16"/>
                <w:szCs w:val="16"/>
                <w:lang w:val="pt-BR"/>
              </w:rPr>
              <w:t xml:space="preserve">Em </w:t>
            </w:r>
            <w:r>
              <w:rPr>
                <w:rFonts w:ascii="Cambria" w:hAnsi="Cambria"/>
                <w:sz w:val="16"/>
                <w:szCs w:val="16"/>
                <w:lang w:val="pt-BR"/>
              </w:rPr>
              <w:t xml:space="preserve">11 de abril de </w:t>
            </w:r>
            <w:r w:rsidRPr="00AC33B6">
              <w:rPr>
                <w:rFonts w:ascii="Cambria" w:hAnsi="Cambria"/>
                <w:sz w:val="16"/>
                <w:szCs w:val="16"/>
                <w:lang w:val="pt-BR"/>
              </w:rPr>
              <w:t xml:space="preserve">2011, os bombeiros </w:t>
            </w:r>
            <w:r>
              <w:rPr>
                <w:rFonts w:ascii="Cambria" w:hAnsi="Cambria"/>
                <w:sz w:val="16"/>
                <w:szCs w:val="16"/>
                <w:lang w:val="pt-BR"/>
              </w:rPr>
              <w:t xml:space="preserve">fiscalizaram a boate e </w:t>
            </w:r>
            <w:r w:rsidRPr="00AC33B6">
              <w:rPr>
                <w:rFonts w:ascii="Cambria" w:hAnsi="Cambria"/>
                <w:sz w:val="16"/>
                <w:szCs w:val="16"/>
                <w:lang w:val="pt-BR"/>
              </w:rPr>
              <w:t>notificaram irregularidades</w:t>
            </w:r>
            <w:r w:rsidRPr="00FF6DBF">
              <w:rPr>
                <w:rFonts w:ascii="Cambria" w:hAnsi="Cambria"/>
                <w:sz w:val="16"/>
                <w:szCs w:val="16"/>
                <w:lang w:val="pt-BR"/>
              </w:rPr>
              <w:t xml:space="preserve"> nos extintores, iluminação de emergência, saídas de emergência e mangueiras de gás, indicando a necessidade de duas saídas de emergência.</w:t>
            </w:r>
            <w:r>
              <w:rPr>
                <w:rFonts w:ascii="Cambria" w:hAnsi="Cambria"/>
                <w:sz w:val="16"/>
                <w:szCs w:val="16"/>
                <w:lang w:val="pt-BR"/>
              </w:rPr>
              <w:t xml:space="preserve"> Apesar disso, em 11 de agosto de 2011 uma nova vistoria dos bombeiros resultou na renovação do alvará sem que as correções fossem feitas. </w:t>
            </w:r>
          </w:p>
          <w:p w14:paraId="72D5EDC3" w14:textId="440BD0CC" w:rsidR="00AC33B6" w:rsidRPr="00FF6DBF" w:rsidRDefault="00AC33B6" w:rsidP="00DC02B3">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lang w:val="pt-BR"/>
              </w:rPr>
            </w:pPr>
            <w:r w:rsidRPr="00FF6DBF">
              <w:rPr>
                <w:rFonts w:ascii="Cambria" w:hAnsi="Cambria"/>
                <w:sz w:val="16"/>
                <w:szCs w:val="16"/>
                <w:lang w:val="pt-BR"/>
              </w:rPr>
              <w:t xml:space="preserve">Em 17 de outubro de 2012, os </w:t>
            </w:r>
            <w:r w:rsidR="00DD47AF">
              <w:rPr>
                <w:rFonts w:ascii="Cambria" w:hAnsi="Cambria"/>
                <w:sz w:val="16"/>
                <w:szCs w:val="16"/>
                <w:lang w:val="pt-BR"/>
              </w:rPr>
              <w:t>b</w:t>
            </w:r>
            <w:r w:rsidRPr="00FF6DBF">
              <w:rPr>
                <w:rFonts w:ascii="Cambria" w:hAnsi="Cambria"/>
                <w:sz w:val="16"/>
                <w:szCs w:val="16"/>
                <w:lang w:val="pt-BR"/>
              </w:rPr>
              <w:t xml:space="preserve">ombeiros notificaram o vencimento do segundo alvará. Em 7 de novembro de 2012, os proprietários da boate solicitaram a inspeção para a renovação. </w:t>
            </w:r>
            <w:r>
              <w:rPr>
                <w:rFonts w:ascii="Cambria" w:hAnsi="Cambria"/>
                <w:sz w:val="16"/>
                <w:szCs w:val="16"/>
                <w:lang w:val="pt-BR"/>
              </w:rPr>
              <w:t>O</w:t>
            </w:r>
            <w:r w:rsidRPr="00FF6DBF">
              <w:rPr>
                <w:rFonts w:ascii="Cambria" w:hAnsi="Cambria"/>
                <w:sz w:val="16"/>
                <w:szCs w:val="16"/>
                <w:lang w:val="pt-BR"/>
              </w:rPr>
              <w:t xml:space="preserve"> incêndio ocorreu em 27 de janeiro de 2013 sem que a inspeção </w:t>
            </w:r>
            <w:r>
              <w:rPr>
                <w:rFonts w:ascii="Cambria" w:hAnsi="Cambria"/>
                <w:sz w:val="16"/>
                <w:szCs w:val="16"/>
                <w:lang w:val="pt-BR"/>
              </w:rPr>
              <w:t>tivesse sido</w:t>
            </w:r>
            <w:r w:rsidRPr="00FF6DBF">
              <w:rPr>
                <w:rFonts w:ascii="Cambria" w:hAnsi="Cambria"/>
                <w:sz w:val="16"/>
                <w:szCs w:val="16"/>
                <w:lang w:val="pt-BR"/>
              </w:rPr>
              <w:t xml:space="preserve"> realizada</w:t>
            </w:r>
            <w:r>
              <w:rPr>
                <w:rFonts w:ascii="Cambria" w:hAnsi="Cambria"/>
                <w:sz w:val="16"/>
                <w:szCs w:val="16"/>
                <w:lang w:val="pt-BR"/>
              </w:rPr>
              <w:t>. A boate operava sem alvará válido de prevenção de incêndios.</w:t>
            </w:r>
          </w:p>
        </w:tc>
      </w:tr>
    </w:tbl>
    <w:p w14:paraId="64ACB7E2" w14:textId="77777777" w:rsidR="00DD47AF" w:rsidRDefault="00DD47AF" w:rsidP="00991755">
      <w:pPr>
        <w:pStyle w:val="ListParagraph"/>
        <w:spacing w:before="240" w:after="240"/>
        <w:jc w:val="both"/>
        <w:rPr>
          <w:i/>
          <w:iCs/>
          <w:color w:val="auto"/>
          <w:sz w:val="20"/>
          <w:szCs w:val="20"/>
          <w:lang w:val="pt-BR"/>
        </w:rPr>
      </w:pPr>
    </w:p>
    <w:p w14:paraId="4BCD3DE5" w14:textId="23112B09" w:rsidR="00991755" w:rsidRPr="00FF6DBF" w:rsidRDefault="003570D1" w:rsidP="00991755">
      <w:pPr>
        <w:pStyle w:val="ListParagraph"/>
        <w:spacing w:before="240" w:after="240"/>
        <w:jc w:val="both"/>
        <w:rPr>
          <w:i/>
          <w:iCs/>
          <w:color w:val="auto"/>
          <w:sz w:val="20"/>
          <w:szCs w:val="20"/>
          <w:lang w:val="pt-BR"/>
        </w:rPr>
      </w:pPr>
      <w:r w:rsidRPr="00FF6DBF">
        <w:rPr>
          <w:i/>
          <w:iCs/>
          <w:color w:val="auto"/>
          <w:sz w:val="20"/>
          <w:szCs w:val="20"/>
          <w:lang w:val="pt-BR"/>
        </w:rPr>
        <w:lastRenderedPageBreak/>
        <w:t>As investigações policiais</w:t>
      </w:r>
    </w:p>
    <w:p w14:paraId="23F4F879" w14:textId="4F0FCD85" w:rsidR="0028480C" w:rsidRPr="00FF6DBF" w:rsidRDefault="0028480C"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Polícia Civil do Rio Grande do Sul instaurou o Inquérito Policial No. 94/2013/150501 para investigar as causas do incêndio. Durante cinquenta e cinco dias de investigação, a polícia reuniu amplo material probatório documental e testemunhal, incluindo oitocentos e dez depoimentos, resultando em um Inquérito com treze mil páginas que fundamentaram as conclusões do Relatório Final adotado em 22 de março de 2013. Ao término das investigações, a Polícia Civil:</w:t>
      </w:r>
    </w:p>
    <w:p w14:paraId="466AAEA6" w14:textId="77777777" w:rsidR="00991755" w:rsidRPr="00FF6DBF" w:rsidRDefault="00991755" w:rsidP="0095032C">
      <w:pPr>
        <w:pStyle w:val="ListParagraph"/>
        <w:ind w:right="713"/>
        <w:jc w:val="both"/>
        <w:rPr>
          <w:color w:val="auto"/>
          <w:sz w:val="20"/>
          <w:szCs w:val="20"/>
          <w:lang w:val="pt-BR"/>
        </w:rPr>
      </w:pPr>
      <w:r w:rsidRPr="00FF6DBF">
        <w:rPr>
          <w:i/>
          <w:iCs/>
          <w:color w:val="auto"/>
          <w:sz w:val="20"/>
          <w:szCs w:val="20"/>
          <w:lang w:val="pt-BR"/>
        </w:rPr>
        <w:t>i) indiciou criminalmente nove pessoas ligadas à Boate Kiss e à banda por 241 vezes no crime de homicídio culposo qualificado (por asfixia) e 623 vezes no crime de lesão corporal de natureza culposa</w:t>
      </w:r>
      <w:r w:rsidRPr="00FF6DBF">
        <w:rPr>
          <w:color w:val="auto"/>
          <w:sz w:val="20"/>
          <w:szCs w:val="20"/>
          <w:lang w:val="pt-BR"/>
        </w:rPr>
        <w:t>: Marcelo de Jesus dos Santos (vocalista da banda, direcionou o fogo de artifício em direção ao teto, local onde iniciou o incêndio), Luciano Augusto Bonilha Leão (produtor da banda, comprou o fogo de artifício não indicado para uso interno, o acionou e o entregou na mão do vocalista); Elissandro Callegaro Spohr (empresário e responsável pelo funcionamento da Boate Kiss), Mauro Londero Hoffman (empresário do ramo de diversão noturna e um dos donos da Boate Kiss); Ricardo de Castro Pasche (gerente noturno da Kiss responsável por contratar a empresa Hidramix para instalar as barras de contenção na entrada da boate); Ângela Aurelia Callegaro (irmã de Elissandro e uma das sócias da boate, participava da administração); Marlene Teresinha Callegaro (mãe de Elissandro e uma das sócias da boate, também participava da administração); Gilson Martins Dias (soldado do Corpo de Bombeiros, participou da última vistoria na Kiss em 2011 e aprovou a concessão do alvará de Proteção, Promoção e Combate a Incêndios, apesar de ter constatado irregularidades); Vagner Guimarães Coelho (soldado do Corpo de Bombeiros, também participou da vistoria de 2011 e aprovou a concessão do alvará);</w:t>
      </w:r>
    </w:p>
    <w:p w14:paraId="05BAEA27" w14:textId="77777777" w:rsidR="00991755" w:rsidRPr="00FF6DBF" w:rsidRDefault="00991755" w:rsidP="0095032C">
      <w:pPr>
        <w:pStyle w:val="ListParagraph"/>
        <w:ind w:right="713"/>
        <w:jc w:val="both"/>
        <w:rPr>
          <w:color w:val="auto"/>
          <w:sz w:val="20"/>
          <w:szCs w:val="20"/>
          <w:lang w:val="pt-BR"/>
        </w:rPr>
      </w:pPr>
      <w:r w:rsidRPr="00FF6DBF">
        <w:rPr>
          <w:i/>
          <w:iCs/>
          <w:color w:val="auto"/>
          <w:sz w:val="20"/>
          <w:szCs w:val="20"/>
          <w:lang w:val="pt-BR"/>
        </w:rPr>
        <w:t>ii)  indiciou criminalmente quatro agentes públicos da Prefeitura de Santa Maria por incorrer 241 vezes no crime de homicídio culposo qualificado (por asfixia)</w:t>
      </w:r>
      <w:r w:rsidRPr="00FF6DBF">
        <w:rPr>
          <w:color w:val="auto"/>
          <w:sz w:val="20"/>
          <w:szCs w:val="20"/>
          <w:lang w:val="pt-BR"/>
        </w:rPr>
        <w:t xml:space="preserve">: Miguel Caetano Passini (Secretário de Controle e Mobilidade Urbana desde 2012); Luiz Alberto Carvalho Júnior (Secretário do Meio Ambiente), Beloyannes Orengo de Pietro Júnior (Superintendente de Fiscalização desde 2011) e Marcus Vinicius Bittencourt Biermann (Chefe da Equipe do Cadastro Mobiliário e Imobiliário); </w:t>
      </w:r>
    </w:p>
    <w:p w14:paraId="6EB59775" w14:textId="77777777" w:rsidR="00991755" w:rsidRPr="00FF6DBF" w:rsidRDefault="00991755" w:rsidP="0095032C">
      <w:pPr>
        <w:pStyle w:val="ListParagraph"/>
        <w:ind w:right="713"/>
        <w:jc w:val="both"/>
        <w:rPr>
          <w:color w:val="auto"/>
          <w:sz w:val="20"/>
          <w:szCs w:val="20"/>
          <w:lang w:val="pt-BR"/>
        </w:rPr>
      </w:pPr>
      <w:r w:rsidRPr="00FF6DBF">
        <w:rPr>
          <w:i/>
          <w:iCs/>
          <w:color w:val="auto"/>
          <w:sz w:val="20"/>
          <w:szCs w:val="20"/>
          <w:lang w:val="pt-BR"/>
        </w:rPr>
        <w:t>iii) indiciou criminalmente por fraude processual os bombeiros</w:t>
      </w:r>
      <w:r w:rsidRPr="00FF6DBF">
        <w:rPr>
          <w:color w:val="auto"/>
          <w:sz w:val="20"/>
          <w:szCs w:val="20"/>
          <w:lang w:val="pt-BR"/>
        </w:rPr>
        <w:t xml:space="preserve"> Gerson da Rosa Pereira, Renan Severo Berleza e Elton Cristiano Uroda.</w:t>
      </w:r>
    </w:p>
    <w:p w14:paraId="0170D243" w14:textId="6AE08731" w:rsidR="00991755" w:rsidRPr="00FF6DBF" w:rsidRDefault="00991755"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Além disso, considerando que não possui atribuição de investigar crimes militares, a Polícia Civil informou aos órgãos competentes a existência de indícios de autoria e materialidade da prática de ao menos cinco homicídios de natureza culposa para os quais concorreram com suas condutas os bombeiros Moisés da Silva Fuchs, Alex da Rocha Camillo, Robson Viegas Müller e Sérgio Rogerio Chaves Gulart.</w:t>
      </w:r>
      <w:r w:rsidR="005815A7" w:rsidRPr="00FF6DBF">
        <w:rPr>
          <w:color w:val="auto"/>
          <w:sz w:val="20"/>
          <w:szCs w:val="20"/>
          <w:lang w:val="pt-BR"/>
        </w:rPr>
        <w:t xml:space="preserve"> </w:t>
      </w:r>
      <w:r w:rsidRPr="00FF6DBF">
        <w:rPr>
          <w:color w:val="auto"/>
          <w:sz w:val="20"/>
          <w:szCs w:val="20"/>
          <w:lang w:val="pt-BR"/>
        </w:rPr>
        <w:t>Considerando o foro privilegiado do prefeito municipal, remeteu cópias do expediente à 4ª Câmara Criminal do Tribunal de Justiça do Estado do Rio Grande do Sul (TJRS) informando haver “indícios de que a conduta do prefeito concorreu para o resultado morte de 241 pessoas, bem como à Comissão Parlamentar de Inquérito instaurada na Câmara de Vereadores de Santa Maria para apurar eventual crime de responsabilidade do prefeito.</w:t>
      </w:r>
      <w:r w:rsidR="005815A7" w:rsidRPr="00FF6DBF">
        <w:rPr>
          <w:color w:val="auto"/>
          <w:sz w:val="20"/>
          <w:szCs w:val="20"/>
          <w:lang w:val="pt-BR"/>
        </w:rPr>
        <w:t xml:space="preserve"> </w:t>
      </w:r>
      <w:r w:rsidRPr="00FF6DBF">
        <w:rPr>
          <w:color w:val="auto"/>
          <w:sz w:val="20"/>
          <w:szCs w:val="20"/>
          <w:lang w:val="pt-BR"/>
        </w:rPr>
        <w:t>Ademais, por ter encontrado indícios da prática de improbidade administrativa por parte de agentes públicos municipais e estaduais, remeteu cópias do expediente ao Ministério Público, ao Tribunal de Justiça do Rio Grande do Sul e à Justiça Militar por serem os órgãos competentes para a apuração da responsabilidade desses agentes.</w:t>
      </w:r>
    </w:p>
    <w:p w14:paraId="6CB8822C" w14:textId="4449A350" w:rsidR="00D80E59" w:rsidRPr="00FF6DBF" w:rsidRDefault="0037144F"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 parte peticionária também se refere a uma segunda investigação policial, o inquérito 001/2013/3ª DPR, referente à constituição, alterações e licenças da Boate Kiss. A origem da investigação reside numa denúncia anônima em 3 de abril de 2013 </w:t>
      </w:r>
      <w:r w:rsidR="009A5525" w:rsidRPr="00FF6DBF">
        <w:rPr>
          <w:color w:val="auto"/>
          <w:sz w:val="20"/>
          <w:szCs w:val="20"/>
          <w:lang w:val="pt-BR"/>
        </w:rPr>
        <w:t>relatando possíveis irregularidades no Estudo de Impacto de Vizinhança (EIV) realizado para o funcionamento da Boate Kiss</w:t>
      </w:r>
      <w:r w:rsidRPr="00FF6DBF">
        <w:rPr>
          <w:color w:val="auto"/>
          <w:sz w:val="20"/>
          <w:szCs w:val="20"/>
          <w:lang w:val="pt-BR"/>
        </w:rPr>
        <w:t>.</w:t>
      </w:r>
      <w:r w:rsidR="009A5525" w:rsidRPr="00FF6DBF">
        <w:rPr>
          <w:color w:val="auto"/>
          <w:sz w:val="20"/>
          <w:szCs w:val="20"/>
          <w:lang w:val="pt-BR"/>
        </w:rPr>
        <w:t xml:space="preserve"> </w:t>
      </w:r>
      <w:r w:rsidRPr="00FF6DBF">
        <w:rPr>
          <w:color w:val="auto"/>
          <w:sz w:val="20"/>
          <w:szCs w:val="20"/>
          <w:lang w:val="pt-BR"/>
        </w:rPr>
        <w:t>A Consulta Popular para instruir o EIV teria sido realizada irregularmente com moradores que residiam a mais de cem metros de distância da Boate.</w:t>
      </w:r>
      <w:r w:rsidR="005815A7" w:rsidRPr="00FF6DBF">
        <w:rPr>
          <w:color w:val="auto"/>
          <w:sz w:val="20"/>
          <w:szCs w:val="20"/>
          <w:lang w:val="pt-BR"/>
        </w:rPr>
        <w:t xml:space="preserve"> </w:t>
      </w:r>
      <w:r w:rsidRPr="00FF6DBF">
        <w:rPr>
          <w:color w:val="auto"/>
          <w:sz w:val="20"/>
          <w:szCs w:val="20"/>
          <w:lang w:val="pt-BR"/>
        </w:rPr>
        <w:t>A investigação abrangeu toda a documentação relativa ao surgimento da Boate Kiss</w:t>
      </w:r>
      <w:r w:rsidR="003D2A0D" w:rsidRPr="00FF6DBF">
        <w:rPr>
          <w:color w:val="auto"/>
          <w:sz w:val="20"/>
          <w:szCs w:val="20"/>
          <w:lang w:val="pt-BR"/>
        </w:rPr>
        <w:t xml:space="preserve"> e da empresa a ela associada, Santo Entretenimento Ltda., desde o contrato social até os documentos necessários ao seu funcionamento e autorização perante os órgãos públicos. O inquérito final</w:t>
      </w:r>
      <w:r w:rsidR="005815A7" w:rsidRPr="00FF6DBF">
        <w:rPr>
          <w:color w:val="auto"/>
          <w:sz w:val="20"/>
          <w:szCs w:val="20"/>
          <w:lang w:val="pt-BR"/>
        </w:rPr>
        <w:t>, concluído em</w:t>
      </w:r>
      <w:r w:rsidR="00536194" w:rsidRPr="00FF6DBF">
        <w:rPr>
          <w:color w:val="auto"/>
          <w:sz w:val="20"/>
          <w:szCs w:val="20"/>
          <w:lang w:val="pt-BR"/>
        </w:rPr>
        <w:t xml:space="preserve"> julho de 2014</w:t>
      </w:r>
      <w:r w:rsidR="005815A7" w:rsidRPr="00FF6DBF">
        <w:rPr>
          <w:color w:val="auto"/>
          <w:sz w:val="20"/>
          <w:szCs w:val="20"/>
          <w:lang w:val="pt-BR"/>
        </w:rPr>
        <w:t xml:space="preserve">, </w:t>
      </w:r>
      <w:r w:rsidR="003D2A0D" w:rsidRPr="00FF6DBF">
        <w:rPr>
          <w:color w:val="auto"/>
          <w:sz w:val="20"/>
          <w:szCs w:val="20"/>
          <w:lang w:val="pt-BR"/>
        </w:rPr>
        <w:t xml:space="preserve">somou quase </w:t>
      </w:r>
      <w:r w:rsidR="0095032C" w:rsidRPr="00FF6DBF">
        <w:rPr>
          <w:color w:val="auto"/>
          <w:sz w:val="20"/>
          <w:szCs w:val="20"/>
          <w:lang w:val="pt-BR"/>
        </w:rPr>
        <w:t>quatro mil</w:t>
      </w:r>
      <w:r w:rsidR="003D2A0D" w:rsidRPr="00FF6DBF">
        <w:rPr>
          <w:color w:val="auto"/>
          <w:sz w:val="20"/>
          <w:szCs w:val="20"/>
          <w:lang w:val="pt-BR"/>
        </w:rPr>
        <w:t xml:space="preserve"> páginas e </w:t>
      </w:r>
      <w:r w:rsidR="0095032C" w:rsidRPr="00FF6DBF">
        <w:rPr>
          <w:color w:val="auto"/>
          <w:sz w:val="20"/>
          <w:szCs w:val="20"/>
          <w:lang w:val="pt-BR"/>
        </w:rPr>
        <w:t>dezoito</w:t>
      </w:r>
      <w:r w:rsidR="003D2A0D" w:rsidRPr="00FF6DBF">
        <w:rPr>
          <w:color w:val="auto"/>
          <w:sz w:val="20"/>
          <w:szCs w:val="20"/>
          <w:lang w:val="pt-BR"/>
        </w:rPr>
        <w:t xml:space="preserve"> volumes</w:t>
      </w:r>
      <w:r w:rsidR="005815A7" w:rsidRPr="00FF6DBF">
        <w:rPr>
          <w:color w:val="auto"/>
          <w:sz w:val="20"/>
          <w:szCs w:val="20"/>
          <w:lang w:val="pt-BR"/>
        </w:rPr>
        <w:t>, e resultou no indiciamento de</w:t>
      </w:r>
      <w:r w:rsidR="003D2A0D" w:rsidRPr="00FF6DBF">
        <w:rPr>
          <w:color w:val="auto"/>
          <w:sz w:val="20"/>
          <w:szCs w:val="20"/>
          <w:lang w:val="pt-BR"/>
        </w:rPr>
        <w:t xml:space="preserve"> </w:t>
      </w:r>
      <w:r w:rsidR="0095032C" w:rsidRPr="00FF6DBF">
        <w:rPr>
          <w:color w:val="auto"/>
          <w:sz w:val="20"/>
          <w:szCs w:val="20"/>
          <w:lang w:val="pt-BR"/>
        </w:rPr>
        <w:t>dezoito</w:t>
      </w:r>
      <w:r w:rsidR="003D2A0D" w:rsidRPr="00FF6DBF">
        <w:rPr>
          <w:color w:val="auto"/>
          <w:sz w:val="20"/>
          <w:szCs w:val="20"/>
          <w:lang w:val="pt-BR"/>
        </w:rPr>
        <w:t xml:space="preserve"> pessoas</w:t>
      </w:r>
      <w:r w:rsidR="00536194" w:rsidRPr="00FF6DBF">
        <w:rPr>
          <w:color w:val="auto"/>
          <w:sz w:val="20"/>
          <w:szCs w:val="20"/>
          <w:lang w:val="pt-BR"/>
        </w:rPr>
        <w:t xml:space="preserve"> (Tiago Flores Mutti, Santiago Mugica </w:t>
      </w:r>
      <w:r w:rsidR="00536194" w:rsidRPr="00FF6DBF">
        <w:rPr>
          <w:color w:val="auto"/>
          <w:sz w:val="20"/>
          <w:szCs w:val="20"/>
          <w:lang w:val="pt-BR"/>
        </w:rPr>
        <w:lastRenderedPageBreak/>
        <w:t xml:space="preserve">Mutti, Cintia Flores Mutti, Alexandre Silva da Costa, Eliseu Jorge Spohr, Elton Cristiano Uroda, Elissandro Callegaro Spohr, Marlene Terezinha Callegaro, Ângela Aurélia Callegaro, Mauro Londero Hoffman, Cristina Gorski Trevisan, Volmir Astor Panzer, Jackson Heitor Panzer, Luciane Flores Prestes, Elza Maria Prola, Marcos Vinícius Ramos Moraes, Carlos Alberto Souza Buzatti e Luiz Alberto Carvalho Junior) por crimes alegadamente cometidos entre 20 de abril de 2009 e 27 de janeiro de 2013, relacionados ao licenciamento e funcionamento irregular da Boate Kiss. </w:t>
      </w:r>
    </w:p>
    <w:p w14:paraId="266E315B" w14:textId="0F3379DE" w:rsidR="00A46616" w:rsidRPr="00FF6DBF" w:rsidRDefault="00A46616" w:rsidP="00A46616">
      <w:pPr>
        <w:pStyle w:val="ListParagraph"/>
        <w:spacing w:before="240" w:after="240"/>
        <w:jc w:val="both"/>
        <w:rPr>
          <w:i/>
          <w:iCs/>
          <w:color w:val="auto"/>
          <w:sz w:val="20"/>
          <w:szCs w:val="20"/>
          <w:lang w:val="pt-BR"/>
        </w:rPr>
      </w:pPr>
      <w:r w:rsidRPr="00FF6DBF">
        <w:rPr>
          <w:i/>
          <w:iCs/>
          <w:color w:val="auto"/>
          <w:sz w:val="20"/>
          <w:szCs w:val="20"/>
          <w:lang w:val="pt-BR"/>
        </w:rPr>
        <w:t>Inquéritos civis</w:t>
      </w:r>
      <w:r w:rsidR="00A16AE7" w:rsidRPr="00FF6DBF">
        <w:rPr>
          <w:i/>
          <w:iCs/>
          <w:color w:val="auto"/>
          <w:sz w:val="20"/>
          <w:szCs w:val="20"/>
          <w:lang w:val="pt-BR"/>
        </w:rPr>
        <w:t xml:space="preserve"> antes e após o incêndio</w:t>
      </w:r>
    </w:p>
    <w:p w14:paraId="40E68082" w14:textId="7149328E" w:rsidR="00A16AE7" w:rsidRPr="00FF6DBF" w:rsidRDefault="00DA40CA"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Anos antes do incêndio, em 10 de agosto de 2009, o Ministério Público instaurou o Inquérito Civil n° 00864.00145-2009, tendo por objeto a “investigação da poluição sonora na Boate Kiss” após denúncia de um vizinho da boate. Durante o inquérito, </w:t>
      </w:r>
      <w:r w:rsidR="005B3D00" w:rsidRPr="00FF6DBF">
        <w:rPr>
          <w:color w:val="auto"/>
          <w:sz w:val="20"/>
          <w:szCs w:val="20"/>
          <w:lang w:val="pt-BR"/>
        </w:rPr>
        <w:t>medições feitas pela Patrulha Ambiental da Brigada Militar apontaram descumprimento da legislação sobre ruído; o Ministério Público foi informado pela prefeitura sobre irregularidades a respeito da licença de operação ambiental; e os bombeiros, de sua parte, disseram que as irregularidades quanto a temas de incêndio tinham sido solucionadas.</w:t>
      </w:r>
      <w:r w:rsidR="005471B7" w:rsidRPr="00FF6DBF">
        <w:rPr>
          <w:color w:val="auto"/>
          <w:sz w:val="20"/>
          <w:szCs w:val="20"/>
          <w:lang w:val="pt-BR"/>
        </w:rPr>
        <w:t xml:space="preserve"> Até 31 de outubro de 2010, o inquérito foi coordenado pelo promotor João Marcos Adede e Castro, quando foi substituído pelo promotor Ricardo Lozza. Em 17 de novembro de 2011, a Boate Kiss passou a ser representada pelo advogado Ricardo Luís Schultz e Castro, filho do Promotor </w:t>
      </w:r>
      <w:bookmarkStart w:id="0" w:name="_Hlk165382550"/>
      <w:r w:rsidR="005471B7" w:rsidRPr="00FF6DBF">
        <w:rPr>
          <w:color w:val="auto"/>
          <w:sz w:val="20"/>
          <w:szCs w:val="20"/>
          <w:lang w:val="pt-BR"/>
        </w:rPr>
        <w:t>João Marcos Adede e Castro</w:t>
      </w:r>
      <w:bookmarkEnd w:id="0"/>
      <w:r w:rsidR="005471B7" w:rsidRPr="00FF6DBF">
        <w:rPr>
          <w:color w:val="auto"/>
          <w:sz w:val="20"/>
          <w:szCs w:val="20"/>
          <w:lang w:val="pt-BR"/>
        </w:rPr>
        <w:t xml:space="preserve">. O advogado negociou com o Ministério Público um Termo de Ajustamento de Conduta (TAC) em 22 de novembro de 2011 através do qual a Boate Kiss se comprometia a adotar medidas para evitar ruídos acima dos níveis permitidos, com a possibilidade de interrupção das atividades da boate durante as obras necessárias. Eventos subsequentes incluíram a execução de </w:t>
      </w:r>
      <w:r w:rsidR="00A16AE7" w:rsidRPr="00FF6DBF">
        <w:rPr>
          <w:color w:val="auto"/>
          <w:sz w:val="20"/>
          <w:szCs w:val="20"/>
          <w:lang w:val="pt-BR"/>
        </w:rPr>
        <w:t>serviços</w:t>
      </w:r>
      <w:r w:rsidR="005471B7" w:rsidRPr="00FF6DBF">
        <w:rPr>
          <w:color w:val="auto"/>
          <w:sz w:val="20"/>
          <w:szCs w:val="20"/>
          <w:lang w:val="pt-BR"/>
        </w:rPr>
        <w:t xml:space="preserve"> pelo engenheiro Samir Frazon até fevereiro de 2012, solicitações de extensão do TAC devido à falta de </w:t>
      </w:r>
      <w:r w:rsidR="00A16AE7" w:rsidRPr="00FF6DBF">
        <w:rPr>
          <w:color w:val="auto"/>
          <w:sz w:val="20"/>
          <w:szCs w:val="20"/>
          <w:lang w:val="pt-BR"/>
        </w:rPr>
        <w:t>licença de operação ambiental</w:t>
      </w:r>
      <w:r w:rsidR="005471B7" w:rsidRPr="00FF6DBF">
        <w:rPr>
          <w:color w:val="auto"/>
          <w:sz w:val="20"/>
          <w:szCs w:val="20"/>
          <w:lang w:val="pt-BR"/>
        </w:rPr>
        <w:t xml:space="preserve">, e a determinação de novas medidas pelo </w:t>
      </w:r>
      <w:r w:rsidR="00901A22" w:rsidRPr="00FF6DBF">
        <w:rPr>
          <w:color w:val="auto"/>
          <w:sz w:val="20"/>
          <w:szCs w:val="20"/>
          <w:lang w:val="pt-BR"/>
        </w:rPr>
        <w:t>p</w:t>
      </w:r>
      <w:r w:rsidR="005471B7" w:rsidRPr="00FF6DBF">
        <w:rPr>
          <w:color w:val="auto"/>
          <w:sz w:val="20"/>
          <w:szCs w:val="20"/>
          <w:lang w:val="pt-BR"/>
        </w:rPr>
        <w:t>romotor Ricardo Lozza, incluindo levantamentos fotográficos e medições sonoras. O processo ficou pendente</w:t>
      </w:r>
      <w:r w:rsidR="00A16AE7" w:rsidRPr="00FF6DBF">
        <w:rPr>
          <w:color w:val="auto"/>
          <w:sz w:val="20"/>
          <w:szCs w:val="20"/>
          <w:lang w:val="pt-BR"/>
        </w:rPr>
        <w:t xml:space="preserve"> de conclusão</w:t>
      </w:r>
      <w:r w:rsidR="005471B7" w:rsidRPr="00FF6DBF">
        <w:rPr>
          <w:color w:val="auto"/>
          <w:sz w:val="20"/>
          <w:szCs w:val="20"/>
          <w:lang w:val="pt-BR"/>
        </w:rPr>
        <w:t xml:space="preserve"> até março de 2013, quando foi arquivado devido à irrelevância da investigação original após </w:t>
      </w:r>
      <w:r w:rsidR="00A16AE7" w:rsidRPr="00FF6DBF">
        <w:rPr>
          <w:color w:val="auto"/>
          <w:sz w:val="20"/>
          <w:szCs w:val="20"/>
          <w:lang w:val="pt-BR"/>
        </w:rPr>
        <w:t>o</w:t>
      </w:r>
      <w:r w:rsidR="005471B7" w:rsidRPr="00FF6DBF">
        <w:rPr>
          <w:color w:val="auto"/>
          <w:sz w:val="20"/>
          <w:szCs w:val="20"/>
          <w:lang w:val="pt-BR"/>
        </w:rPr>
        <w:t xml:space="preserve"> incêndio.</w:t>
      </w:r>
      <w:r w:rsidR="00901A22" w:rsidRPr="00FF6DBF">
        <w:rPr>
          <w:color w:val="auto"/>
          <w:sz w:val="20"/>
          <w:szCs w:val="20"/>
          <w:lang w:val="pt-BR"/>
        </w:rPr>
        <w:t xml:space="preserve"> O promotor proferiu promoção de arquivamento, que foi homologada pelo Conselho Superior do Ministério Público em 30 de abril de 2013.</w:t>
      </w:r>
    </w:p>
    <w:p w14:paraId="2323EA84" w14:textId="6FF655B0" w:rsidR="00F72AF0" w:rsidRPr="00FF6DBF" w:rsidRDefault="00A16AE7"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Em novembro de 2010, o Ministério Público iniciou o Inquérito Civil 00864.00180/2010 para investigar a falta de fiscalização em bares e lancherias, com foco no prefeito Cesar Schirmer. O inquérito foi motivado por denúncias da Brigada Militar sobre irregularidades na fiscalização municipal. Uma vistoria na boate Kiss foi solicitada em 29 de novembro de 2010, realizada somente oito meses depois, em 25 de julho de 2011. O resultado foi o de que as irregularidades estariam solucionadas. Após o incêndio na boate em fevereiro de 2013, o inquérito civil foi integrado ao Procedimento Administrativo 00864.00027/2013, que abordava a política de segurança e fiscalização de locais como bares e boates em Santa Maria. Em 27 de agosto de 2013, porém, o Ministério Público </w:t>
      </w:r>
      <w:r w:rsidR="00901A22" w:rsidRPr="00FF6DBF">
        <w:rPr>
          <w:color w:val="auto"/>
          <w:sz w:val="20"/>
          <w:szCs w:val="20"/>
          <w:lang w:val="pt-BR"/>
        </w:rPr>
        <w:t>promoveu</w:t>
      </w:r>
      <w:r w:rsidRPr="00FF6DBF">
        <w:rPr>
          <w:color w:val="auto"/>
          <w:sz w:val="20"/>
          <w:szCs w:val="20"/>
          <w:lang w:val="pt-BR"/>
        </w:rPr>
        <w:t xml:space="preserve"> o arquivamento de todos os expedientes</w:t>
      </w:r>
      <w:r w:rsidR="00901A22" w:rsidRPr="00FF6DBF">
        <w:rPr>
          <w:color w:val="auto"/>
          <w:sz w:val="20"/>
          <w:szCs w:val="20"/>
          <w:lang w:val="pt-BR"/>
        </w:rPr>
        <w:t>, homologado pelo Conselho Superior do Ministério Público em 3 de setembro de 2013</w:t>
      </w:r>
      <w:r w:rsidRPr="00FF6DBF">
        <w:rPr>
          <w:color w:val="auto"/>
          <w:sz w:val="20"/>
          <w:szCs w:val="20"/>
          <w:lang w:val="pt-BR"/>
        </w:rPr>
        <w:t>. – No escrito da parte peticionária não há informação sobre as razões do arquivamento.</w:t>
      </w:r>
      <w:r w:rsidR="00901A22" w:rsidRPr="00FF6DBF">
        <w:rPr>
          <w:color w:val="auto"/>
          <w:sz w:val="20"/>
          <w:szCs w:val="20"/>
          <w:lang w:val="pt-BR"/>
        </w:rPr>
        <w:t xml:space="preserve"> –</w:t>
      </w:r>
    </w:p>
    <w:p w14:paraId="3F66AC68" w14:textId="6A36C8DD" w:rsidR="008414D5" w:rsidRPr="00FF6DBF" w:rsidRDefault="00F72AF0"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Após o incêndio</w:t>
      </w:r>
      <w:r w:rsidR="001A4758" w:rsidRPr="00FF6DBF">
        <w:rPr>
          <w:color w:val="auto"/>
          <w:sz w:val="20"/>
          <w:szCs w:val="20"/>
          <w:lang w:val="pt-BR"/>
        </w:rPr>
        <w:t xml:space="preserve"> da Boate Kiss</w:t>
      </w:r>
      <w:r w:rsidRPr="00FF6DBF">
        <w:rPr>
          <w:color w:val="auto"/>
          <w:sz w:val="20"/>
          <w:szCs w:val="20"/>
          <w:lang w:val="pt-BR"/>
        </w:rPr>
        <w:t>,</w:t>
      </w:r>
      <w:r w:rsidR="001A4758" w:rsidRPr="00FF6DBF">
        <w:rPr>
          <w:color w:val="auto"/>
          <w:sz w:val="20"/>
          <w:szCs w:val="20"/>
          <w:lang w:val="pt-BR"/>
        </w:rPr>
        <w:t xml:space="preserve"> </w:t>
      </w:r>
      <w:r w:rsidR="008414D5" w:rsidRPr="00FF6DBF">
        <w:rPr>
          <w:color w:val="auto"/>
          <w:sz w:val="20"/>
          <w:szCs w:val="20"/>
          <w:lang w:val="pt-BR"/>
        </w:rPr>
        <w:t xml:space="preserve">em 30 de janeiro de 2013, o Ministério Público instaurou o Inquérito Civil 00864.00006/2013 para apurar possíveis atos de improbidade administrativa por parte de agentes públicos municipais em relação ao incêndio da Boate Kiss. </w:t>
      </w:r>
      <w:r w:rsidR="00B20A71" w:rsidRPr="00FF6DBF">
        <w:rPr>
          <w:color w:val="auto"/>
          <w:sz w:val="20"/>
          <w:szCs w:val="20"/>
          <w:lang w:val="pt-BR"/>
        </w:rPr>
        <w:t xml:space="preserve">O inquérito apontou irregularidades e falhas administrativas relacionadas às obras e ao funcionamento da boate sem as licenças e alvarás exigidos, como o alvará de localização. </w:t>
      </w:r>
      <w:r w:rsidR="008414D5" w:rsidRPr="00FF6DBF">
        <w:rPr>
          <w:color w:val="auto"/>
          <w:sz w:val="20"/>
          <w:szCs w:val="20"/>
          <w:lang w:val="pt-BR"/>
        </w:rPr>
        <w:t>O inquérito, porém, concluiu pela inexistência desses atos após considerar que as irregularidades e falhas administrativas</w:t>
      </w:r>
      <w:r w:rsidR="00B20A71" w:rsidRPr="00FF6DBF">
        <w:rPr>
          <w:color w:val="auto"/>
          <w:sz w:val="20"/>
          <w:szCs w:val="20"/>
          <w:lang w:val="pt-BR"/>
        </w:rPr>
        <w:t xml:space="preserve"> encontradas</w:t>
      </w:r>
      <w:r w:rsidR="008414D5" w:rsidRPr="00FF6DBF">
        <w:rPr>
          <w:color w:val="auto"/>
          <w:sz w:val="20"/>
          <w:szCs w:val="20"/>
          <w:lang w:val="pt-BR"/>
        </w:rPr>
        <w:t xml:space="preserve"> </w:t>
      </w:r>
      <w:r w:rsidR="00B20A71" w:rsidRPr="00FF6DBF">
        <w:rPr>
          <w:color w:val="auto"/>
          <w:sz w:val="20"/>
          <w:szCs w:val="20"/>
          <w:lang w:val="pt-BR"/>
        </w:rPr>
        <w:t>não poderiam ser atribuídas a uma conduta dolosa por parte dos agentes públicos. Diante disso, o Ministério Público promoveu o arquivamento do inquérito.</w:t>
      </w:r>
    </w:p>
    <w:p w14:paraId="3E00C5EC" w14:textId="6DEF94FD" w:rsidR="008414D5" w:rsidRPr="00FF6DBF" w:rsidRDefault="00B20A71"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Além dos procedimentos mencionados, em 1</w:t>
      </w:r>
      <w:r w:rsidR="008414D5" w:rsidRPr="00FF6DBF">
        <w:rPr>
          <w:color w:val="auto"/>
          <w:sz w:val="20"/>
          <w:szCs w:val="20"/>
          <w:lang w:val="pt-BR"/>
        </w:rPr>
        <w:t xml:space="preserve"> de fevereiro de 2013, o Ministério Público instaurou o procedimento investigatório PA.00864.00027/2013 para investigar a política de segurança pública e fiscalização de bares, boates, teatros e assemelhados no Município de Santa Maria. Na data citada, o promotor responsável determinou ao prefeito incrementar a atividade fiscalizatória nos estabelecimentos e eventos, públicos e privados, de qualquer natureza onde haja ou possa haver aglomeração de pessoas. – No escrito da parte peticionária não houve mais informações sobre esse procedimento investigatório. –</w:t>
      </w:r>
    </w:p>
    <w:p w14:paraId="2BC3E174" w14:textId="3166E11E" w:rsidR="006D38DC" w:rsidRPr="00FF6DBF" w:rsidRDefault="00B20A71"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lastRenderedPageBreak/>
        <w:t>Após a conclusão do inquérito policial principal em 22 de março de 2013, o Ministério Público foi provocado, pela Associação das Vítimas da Tragédia de Santa Maria, a reapreciar a questão dos possíveis atos de improbidade administrativa que havia sido objeto do mencionado Inquérito Civil 00864.00006/2013. Isso o levou a instaurar um novo inquérito, o Inquérito Civil 00864.00031/2013, em 15 de julho de 2013.</w:t>
      </w:r>
      <w:r w:rsidR="006D38DC" w:rsidRPr="00FF6DBF">
        <w:rPr>
          <w:color w:val="auto"/>
          <w:sz w:val="20"/>
          <w:szCs w:val="20"/>
          <w:lang w:val="pt-BR"/>
        </w:rPr>
        <w:t xml:space="preserve"> </w:t>
      </w:r>
      <w:r w:rsidRPr="00FF6DBF">
        <w:rPr>
          <w:color w:val="auto"/>
          <w:sz w:val="20"/>
          <w:szCs w:val="20"/>
          <w:lang w:val="pt-BR"/>
        </w:rPr>
        <w:t>Nesse expediente, o Ministério Público considerou que a falta de fiscalização eficaz do município e do Corpo de Bombeiros era sistemática. A parte peticionária afirma que se trata de um problema estrutural de todo o país, sendo recorrentes os incêndios florestais, residenciais e em estabelecimentos variados (depósitos, hospitais, hotéis, escolas, prédios públicos etc.). No entanto, o Ministério Público concluiu que inexistiram atos de improbidade administrativa por parte de agentes públicos municipais em relação ao incêndio da Boate Kiss e procedeu ao arquivamento dos expedientes,</w:t>
      </w:r>
      <w:r w:rsidRPr="00FF6DBF">
        <w:rPr>
          <w:color w:val="auto"/>
          <w:lang w:val="pt-BR"/>
        </w:rPr>
        <w:t xml:space="preserve"> </w:t>
      </w:r>
      <w:r w:rsidRPr="00FF6DBF">
        <w:rPr>
          <w:color w:val="auto"/>
          <w:sz w:val="20"/>
          <w:szCs w:val="20"/>
          <w:lang w:val="pt-BR"/>
        </w:rPr>
        <w:t xml:space="preserve">principalmente devido à falta de provas de dolo ou intenção deliberada, por parte dos agentes públicos, de incorrer em improbidade. – A parte peticionária informa que a promoção de arquivamento foi homologada pelo Conselho Superior do Ministério Público em 30 de abril de 2013. A data, contudo, é incongruente com a informação, também proporcionada pela peticionária, de que o inquérito foi aberto em 15 de julho de 2013. –    </w:t>
      </w:r>
    </w:p>
    <w:p w14:paraId="301A8B4E" w14:textId="14ACFB15" w:rsidR="00B17FD7" w:rsidRPr="00FF6DBF" w:rsidRDefault="00B17FD7"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 parte peticionária indica que, especificamente no caso do prefeito, a Procuradoria de Justiça, órgão de segunda instância do Ministério Público que atua junto ao Tribunal de Justiça do Estado do Rio Grande do Sul (TJRS), se manifestou pelo arquivamento por considerar que não há possibilidade de responsabilização penal pela conduta a ele atribuída, qual seja, a de demonstrar desconhecimento sobre a burocracia municipal responsável por fiscalizar e autorizar a Boate Kiss. O TJRS promoveu o arquivamento sem examinar o mérito por considerar que não cabe aos juízes revisar ou censurar a manifestação do Ministério Público pela falta de justa causa para a propositura da ação penal. </w:t>
      </w:r>
    </w:p>
    <w:p w14:paraId="56827E42" w14:textId="5E24AA29" w:rsidR="00BC15E5" w:rsidRPr="00FF6DBF" w:rsidRDefault="00BC15E5" w:rsidP="00641CF6">
      <w:pPr>
        <w:pStyle w:val="ListParagraph"/>
        <w:spacing w:before="240" w:after="240"/>
        <w:jc w:val="both"/>
        <w:rPr>
          <w:i/>
          <w:iCs/>
          <w:color w:val="auto"/>
          <w:sz w:val="20"/>
          <w:szCs w:val="20"/>
          <w:lang w:val="pt-BR"/>
        </w:rPr>
      </w:pPr>
      <w:r w:rsidRPr="00FF6DBF">
        <w:rPr>
          <w:i/>
          <w:iCs/>
          <w:color w:val="auto"/>
          <w:sz w:val="20"/>
          <w:szCs w:val="20"/>
          <w:lang w:val="pt-BR"/>
        </w:rPr>
        <w:t>A ação penal por homicídio e tentativa de homicídio</w:t>
      </w:r>
    </w:p>
    <w:p w14:paraId="1DE325B6" w14:textId="2ACCBBCE" w:rsidR="00641CF6" w:rsidRPr="00FF6DBF" w:rsidRDefault="00641CF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Em 2 de abril de 2013 o Ministério Público </w:t>
      </w:r>
      <w:r w:rsidR="006D38DC" w:rsidRPr="00FF6DBF">
        <w:rPr>
          <w:color w:val="auto"/>
          <w:sz w:val="20"/>
          <w:szCs w:val="20"/>
          <w:lang w:val="pt-BR"/>
        </w:rPr>
        <w:t>iniciou uma ação penal</w:t>
      </w:r>
      <w:r w:rsidRPr="00FF6DBF">
        <w:rPr>
          <w:color w:val="auto"/>
          <w:sz w:val="20"/>
          <w:szCs w:val="20"/>
          <w:lang w:val="pt-BR"/>
        </w:rPr>
        <w:t>: i) pelos crimes de homicídio doloso os dois sócio-proprietários da boate, Elissandro Spohr e Mauro Hoffman, e os dois integrantes da banda Gurizada Fandangueira, Marcelo de Jesus dos Santos e Luciano Augusto Bonilha Leão; ii) por fraude processual dois bombeiros, o major Gerson da Rosa Pereira e o sargento Renan Severo Berleze, por adulterarem a documentação referente à Boate Kiss; iii) por falso testemunho, Elton Cristiano Uroda (ex-sócio da Kiss) e Volmir Astor Panzer (contador de uma empresa de propriedade da família Spohr). Por outro lado, o Ministério Público desqualificou o indiciamento dos bombeiros Gilson Martins Dias e Vagner Guimarães Coelho (responsáveis pela última vistoria da boate), de homicídio doloso para homicídio culposo,</w:t>
      </w:r>
      <w:r w:rsidR="006D38DC" w:rsidRPr="00FF6DBF">
        <w:rPr>
          <w:color w:val="auto"/>
          <w:sz w:val="20"/>
          <w:szCs w:val="20"/>
          <w:lang w:val="pt-BR"/>
        </w:rPr>
        <w:t xml:space="preserve"> por considerar que não houve dolo ou intenção de matar,</w:t>
      </w:r>
      <w:r w:rsidRPr="00FF6DBF">
        <w:rPr>
          <w:color w:val="auto"/>
          <w:sz w:val="20"/>
          <w:szCs w:val="20"/>
          <w:lang w:val="pt-BR"/>
        </w:rPr>
        <w:t xml:space="preserve"> e pediu o arquivamento do processo em relação aos agentes públicos da prefeitura municipal por considerar que não havia justa causa para propor uma ação penal. </w:t>
      </w:r>
    </w:p>
    <w:p w14:paraId="2C265BC1" w14:textId="507D132C" w:rsidR="006D38DC" w:rsidRPr="00FF6DBF" w:rsidRDefault="00BC15E5"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parte peticionária denuncia que as pessoas que constavam formalmente como sócias da boate e que exerciam papel de efetivo gerenciamento do local ao lado dos réus não foram processadas</w:t>
      </w:r>
      <w:r w:rsidR="006D38DC" w:rsidRPr="00FF6DBF">
        <w:rPr>
          <w:color w:val="auto"/>
          <w:sz w:val="20"/>
          <w:szCs w:val="20"/>
          <w:lang w:val="pt-BR"/>
        </w:rPr>
        <w:t xml:space="preserve">, como teria sido o caso de Ângela Aurelia Callegaro e Marlene Teresinha Callegaro. </w:t>
      </w:r>
    </w:p>
    <w:p w14:paraId="6A3621F4" w14:textId="51DB975F" w:rsidR="006D38DC" w:rsidRPr="00FF6DBF" w:rsidRDefault="006D38DC"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Elissandro Sphor, Mauro Hoffman, Luciano Bonilha de Leão e Marcelo Jesus dos Santos foram presos nos dias seguintes ao incêndio, mas a Justiça concedeu liberdade provisória a eles em maio de 2013. Em 27 de julho de 2016 os quatro réus foram pronunciados pelo juiz do processo, o que permite que o processo siga para a etapa do julgamento dos réus por um júri popular. </w:t>
      </w:r>
    </w:p>
    <w:p w14:paraId="4499F6CE" w14:textId="315785D6" w:rsidR="00BC15E5" w:rsidRPr="00FF6DBF" w:rsidRDefault="00BC15E5" w:rsidP="00BC15E5">
      <w:pPr>
        <w:pStyle w:val="ListParagraph"/>
        <w:spacing w:before="240" w:after="240"/>
        <w:jc w:val="both"/>
        <w:rPr>
          <w:i/>
          <w:iCs/>
          <w:color w:val="auto"/>
          <w:sz w:val="20"/>
          <w:szCs w:val="20"/>
          <w:lang w:val="pt-BR"/>
        </w:rPr>
      </w:pPr>
      <w:r w:rsidRPr="00FF6DBF">
        <w:rPr>
          <w:i/>
          <w:iCs/>
          <w:color w:val="auto"/>
          <w:sz w:val="20"/>
          <w:szCs w:val="20"/>
          <w:lang w:val="pt-BR"/>
        </w:rPr>
        <w:t>A</w:t>
      </w:r>
      <w:r w:rsidR="00DD06C4">
        <w:rPr>
          <w:i/>
          <w:iCs/>
          <w:color w:val="auto"/>
          <w:sz w:val="20"/>
          <w:szCs w:val="20"/>
          <w:lang w:val="pt-BR"/>
        </w:rPr>
        <w:t>s ações penais</w:t>
      </w:r>
      <w:r w:rsidRPr="00FF6DBF">
        <w:rPr>
          <w:i/>
          <w:iCs/>
          <w:color w:val="auto"/>
          <w:sz w:val="20"/>
          <w:szCs w:val="20"/>
          <w:lang w:val="pt-BR"/>
        </w:rPr>
        <w:t xml:space="preserve"> por falso testemunho</w:t>
      </w:r>
      <w:r w:rsidR="00DD06C4">
        <w:rPr>
          <w:i/>
          <w:iCs/>
          <w:color w:val="auto"/>
          <w:sz w:val="20"/>
          <w:szCs w:val="20"/>
          <w:lang w:val="pt-BR"/>
        </w:rPr>
        <w:t xml:space="preserve">, </w:t>
      </w:r>
      <w:r w:rsidR="00DD06C4" w:rsidRPr="00FF6DBF">
        <w:rPr>
          <w:i/>
          <w:iCs/>
          <w:color w:val="auto"/>
          <w:sz w:val="20"/>
          <w:szCs w:val="20"/>
          <w:lang w:val="pt-BR"/>
        </w:rPr>
        <w:t>fraude processual e falsificação de assinaturas</w:t>
      </w:r>
    </w:p>
    <w:p w14:paraId="1ECEB9D0" w14:textId="77777777" w:rsidR="00782473" w:rsidRPr="00FF6DBF" w:rsidRDefault="00782473"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parte peticionária também apresenta um resumo do processo penal 027/2130006199-2 sobre as irregularidades na constituição da empresa Santo Entretenimento Ltda, precursora da Boate Kiss.</w:t>
      </w:r>
    </w:p>
    <w:p w14:paraId="49242F85" w14:textId="7728065F" w:rsidR="00C859BB" w:rsidRPr="00DD06C4" w:rsidRDefault="00782473" w:rsidP="00BF5F78">
      <w:pPr>
        <w:pStyle w:val="ListParagraph"/>
        <w:numPr>
          <w:ilvl w:val="0"/>
          <w:numId w:val="55"/>
        </w:numPr>
        <w:spacing w:before="240" w:after="240"/>
        <w:ind w:left="0" w:firstLine="720"/>
        <w:jc w:val="both"/>
        <w:rPr>
          <w:color w:val="auto"/>
          <w:sz w:val="20"/>
          <w:szCs w:val="20"/>
          <w:lang w:val="pt-BR"/>
        </w:rPr>
      </w:pPr>
      <w:r w:rsidRPr="00DD06C4">
        <w:rPr>
          <w:color w:val="auto"/>
          <w:sz w:val="20"/>
          <w:szCs w:val="20"/>
          <w:lang w:val="pt-BR"/>
        </w:rPr>
        <w:t>Em 2009, Cíntia Mutti, Tiago Mutti, Alexandre Silva da Costa, Élton Uroda, Volmir Panzer, e Eliseo Jorge Sphor (pai de Elissandro Sphor) formaram essa sociedade para operar uma danceteria, um bar e estabelecimentos similares em Santa Maria. Contudo, Cíntia e Élton Cristiano atuaram como sócios de fachada, significando que</w:t>
      </w:r>
      <w:r w:rsidR="00DD06C4" w:rsidRPr="00DD06C4">
        <w:rPr>
          <w:color w:val="auto"/>
          <w:sz w:val="20"/>
          <w:szCs w:val="20"/>
          <w:lang w:val="pt-BR"/>
        </w:rPr>
        <w:t>,</w:t>
      </w:r>
      <w:r w:rsidRPr="00DD06C4">
        <w:rPr>
          <w:color w:val="auto"/>
          <w:sz w:val="20"/>
          <w:szCs w:val="20"/>
          <w:lang w:val="pt-BR"/>
        </w:rPr>
        <w:t xml:space="preserve"> embora registrados como proprietários, não eram os reais donos. Os verdadeiros proprietários eram outros membros do grupo, incluindo Tiago e Eliseo Jorge Sphor. Volmir, que sabia da </w:t>
      </w:r>
      <w:r w:rsidRPr="00DD06C4">
        <w:rPr>
          <w:color w:val="auto"/>
          <w:sz w:val="20"/>
          <w:szCs w:val="20"/>
          <w:lang w:val="pt-BR"/>
        </w:rPr>
        <w:lastRenderedPageBreak/>
        <w:t>situação real, assinou como testemunha na formação da sociedade. Em 2010, Tiago Mutti e Eliseo Jorge Sphor alteraram a titularidade das cotas da empresa para Elissandro Spohr, usando Cíntia e Élton Cristiano para mascarar essa transferência. Posteriormente, Elissandro incluiu Ângela Aurélia Callegaro como outra sócia de fachada no contrato social.</w:t>
      </w:r>
      <w:r w:rsidR="00DD06C4" w:rsidRPr="00DD06C4">
        <w:rPr>
          <w:color w:val="auto"/>
          <w:sz w:val="20"/>
          <w:szCs w:val="20"/>
          <w:lang w:val="pt-BR"/>
        </w:rPr>
        <w:t xml:space="preserve"> </w:t>
      </w:r>
      <w:r w:rsidRPr="00DD06C4">
        <w:rPr>
          <w:color w:val="auto"/>
          <w:sz w:val="20"/>
          <w:szCs w:val="20"/>
          <w:lang w:val="pt-BR"/>
        </w:rPr>
        <w:t xml:space="preserve">O Ministério Público deu início ao processo ao oferecer a denúncia penal em 2013. Essa denúncia penal foi revisada posteriormente para incluir acusações de falso testemunho contra Élton Uroda e Volmir Panzer, além de envolver outras nove pessoas, </w:t>
      </w:r>
      <w:r w:rsidR="00DD06C4" w:rsidRPr="00DD06C4">
        <w:rPr>
          <w:color w:val="auto"/>
          <w:sz w:val="20"/>
          <w:szCs w:val="20"/>
          <w:lang w:val="pt-BR"/>
        </w:rPr>
        <w:t>entre elas</w:t>
      </w:r>
      <w:r w:rsidRPr="00DD06C4">
        <w:rPr>
          <w:color w:val="auto"/>
          <w:sz w:val="20"/>
          <w:szCs w:val="20"/>
          <w:lang w:val="pt-BR"/>
        </w:rPr>
        <w:t xml:space="preserve"> Elissandro Sphor e Mauro Hoffmann.</w:t>
      </w:r>
    </w:p>
    <w:p w14:paraId="27615DE4" w14:textId="526D332C" w:rsidR="00782473" w:rsidRPr="00DD06C4" w:rsidRDefault="00DD06C4" w:rsidP="00BF5F78">
      <w:pPr>
        <w:pStyle w:val="ListParagraph"/>
        <w:numPr>
          <w:ilvl w:val="0"/>
          <w:numId w:val="55"/>
        </w:numPr>
        <w:spacing w:before="240" w:after="240"/>
        <w:ind w:left="0" w:firstLine="720"/>
        <w:jc w:val="both"/>
        <w:rPr>
          <w:color w:val="auto"/>
          <w:sz w:val="20"/>
          <w:szCs w:val="20"/>
          <w:lang w:val="pt-BR"/>
        </w:rPr>
      </w:pPr>
      <w:r w:rsidRPr="00DD06C4">
        <w:rPr>
          <w:color w:val="auto"/>
          <w:sz w:val="20"/>
          <w:szCs w:val="20"/>
          <w:lang w:val="pt-BR"/>
        </w:rPr>
        <w:t>Adicionalmente, d</w:t>
      </w:r>
      <w:r w:rsidR="00782473" w:rsidRPr="00DD06C4">
        <w:rPr>
          <w:color w:val="auto"/>
          <w:sz w:val="20"/>
          <w:szCs w:val="20"/>
          <w:lang w:val="pt-BR"/>
        </w:rPr>
        <w:t>ois bombeiros foram processados criminalmente pelo crime de fraude processual</w:t>
      </w:r>
      <w:r w:rsidRPr="00DD06C4">
        <w:rPr>
          <w:color w:val="auto"/>
          <w:sz w:val="20"/>
          <w:szCs w:val="20"/>
          <w:lang w:val="pt-BR"/>
        </w:rPr>
        <w:t>, pois teriam apresentado</w:t>
      </w:r>
      <w:r w:rsidR="00782473" w:rsidRPr="00DD06C4">
        <w:rPr>
          <w:color w:val="auto"/>
          <w:sz w:val="20"/>
          <w:szCs w:val="20"/>
          <w:lang w:val="pt-BR"/>
        </w:rPr>
        <w:t xml:space="preserve"> à polícia</w:t>
      </w:r>
      <w:r w:rsidR="006D38DC" w:rsidRPr="00DD06C4">
        <w:rPr>
          <w:color w:val="auto"/>
          <w:sz w:val="20"/>
          <w:szCs w:val="20"/>
          <w:lang w:val="pt-BR"/>
        </w:rPr>
        <w:t xml:space="preserve"> </w:t>
      </w:r>
      <w:r w:rsidR="00782473" w:rsidRPr="00DD06C4">
        <w:rPr>
          <w:color w:val="auto"/>
          <w:sz w:val="20"/>
          <w:szCs w:val="20"/>
          <w:lang w:val="pt-BR"/>
        </w:rPr>
        <w:t>documentos que não faziam parte do Plano de Prevenção e Combate a Incêndios original da Boate Kiss</w:t>
      </w:r>
      <w:r w:rsidRPr="00DD06C4">
        <w:rPr>
          <w:color w:val="auto"/>
          <w:sz w:val="20"/>
          <w:szCs w:val="20"/>
          <w:lang w:val="pt-BR"/>
        </w:rPr>
        <w:t xml:space="preserve"> – processos 07/2130006197-6 e 027/2.14.0000773-6. </w:t>
      </w:r>
      <w:r w:rsidR="00782473" w:rsidRPr="00DD06C4">
        <w:rPr>
          <w:color w:val="auto"/>
          <w:sz w:val="20"/>
          <w:szCs w:val="20"/>
          <w:lang w:val="pt-BR"/>
        </w:rPr>
        <w:t>O major do Corpo de Bombeiros Gerson da Rosa Pereira foi condenado a seis meses de detenção pelo delito de fraude em documentos relacionados ao inquérito policial que apurou as causas do incêndio na boate Kiss, decisão de 27 de outubro de 2015. A pena foi posteriormente convertida em prestação de serviços à comunidade, e o réu pode apelar da sentença em liberdade. Como a defesa de Pereira apelou da sentença, o recurso foi remetido ao Tribunal de Justiça. O outro réu teve extinta sua punibilidade ao cumprir com todas as condições da suspensão condicional do processo</w:t>
      </w:r>
      <w:r w:rsidR="00067E6E" w:rsidRPr="00FF6DBF">
        <w:rPr>
          <w:bCs/>
          <w:color w:val="auto"/>
          <w:sz w:val="20"/>
          <w:szCs w:val="20"/>
          <w:vertAlign w:val="superscript"/>
          <w:lang w:val="pt-BR"/>
        </w:rPr>
        <w:footnoteReference w:id="5"/>
      </w:r>
      <w:r w:rsidR="00B93AB1">
        <w:rPr>
          <w:color w:val="auto"/>
          <w:sz w:val="20"/>
          <w:szCs w:val="20"/>
          <w:lang w:val="pt-BR"/>
        </w:rPr>
        <w:t>.</w:t>
      </w:r>
    </w:p>
    <w:p w14:paraId="1B16E15F" w14:textId="4AF205E1" w:rsidR="00B70F67" w:rsidRPr="00FF6DBF" w:rsidRDefault="00782473"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O Ministério Público</w:t>
      </w:r>
      <w:r w:rsidR="00734C7B" w:rsidRPr="00FF6DBF">
        <w:rPr>
          <w:color w:val="auto"/>
          <w:sz w:val="20"/>
          <w:szCs w:val="20"/>
          <w:lang w:val="pt-BR"/>
        </w:rPr>
        <w:t xml:space="preserve"> também</w:t>
      </w:r>
      <w:r w:rsidRPr="00FF6DBF">
        <w:rPr>
          <w:color w:val="auto"/>
          <w:sz w:val="20"/>
          <w:szCs w:val="20"/>
          <w:lang w:val="pt-BR"/>
        </w:rPr>
        <w:t xml:space="preserve"> instaurou um processo contra </w:t>
      </w:r>
      <w:r w:rsidR="0095032C" w:rsidRPr="00FF6DBF">
        <w:rPr>
          <w:color w:val="auto"/>
          <w:sz w:val="20"/>
          <w:szCs w:val="20"/>
          <w:lang w:val="pt-BR"/>
        </w:rPr>
        <w:t>trinta e quatro</w:t>
      </w:r>
      <w:r w:rsidRPr="00FF6DBF">
        <w:rPr>
          <w:color w:val="auto"/>
          <w:sz w:val="20"/>
          <w:szCs w:val="20"/>
          <w:lang w:val="pt-BR"/>
        </w:rPr>
        <w:t xml:space="preserve"> moradores da cidade de Santa Maria por falsificação de assinaturas em um documento que expressava apoio à instalação da boate Kiss</w:t>
      </w:r>
      <w:r w:rsidR="00DD06C4">
        <w:rPr>
          <w:color w:val="auto"/>
          <w:sz w:val="20"/>
          <w:szCs w:val="20"/>
          <w:lang w:val="pt-BR"/>
        </w:rPr>
        <w:t xml:space="preserve">, relativo ao </w:t>
      </w:r>
      <w:r w:rsidRPr="00FF6DBF">
        <w:rPr>
          <w:color w:val="auto"/>
          <w:sz w:val="20"/>
          <w:szCs w:val="20"/>
          <w:lang w:val="pt-BR"/>
        </w:rPr>
        <w:t>Estudo de Impacto de Vizinhança</w:t>
      </w:r>
      <w:r w:rsidR="00DD06C4">
        <w:rPr>
          <w:color w:val="auto"/>
          <w:sz w:val="20"/>
          <w:szCs w:val="20"/>
          <w:lang w:val="pt-BR"/>
        </w:rPr>
        <w:t xml:space="preserve"> legalmente exigido para tanto. A</w:t>
      </w:r>
      <w:r w:rsidRPr="00FF6DBF">
        <w:rPr>
          <w:color w:val="auto"/>
          <w:sz w:val="20"/>
          <w:szCs w:val="20"/>
          <w:lang w:val="pt-BR"/>
        </w:rPr>
        <w:t xml:space="preserve"> ação </w:t>
      </w:r>
      <w:r w:rsidR="00DD06C4">
        <w:rPr>
          <w:color w:val="auto"/>
          <w:sz w:val="20"/>
          <w:szCs w:val="20"/>
          <w:lang w:val="pt-BR"/>
        </w:rPr>
        <w:t xml:space="preserve">foi iniciada judicialmente </w:t>
      </w:r>
      <w:r w:rsidRPr="00FF6DBF">
        <w:rPr>
          <w:color w:val="auto"/>
          <w:sz w:val="20"/>
          <w:szCs w:val="20"/>
          <w:lang w:val="pt-BR"/>
        </w:rPr>
        <w:t xml:space="preserve">em 30 de janeiro de 2015. O Ministério Público propôs a suspensão condicional do processo para </w:t>
      </w:r>
      <w:r w:rsidR="0095032C" w:rsidRPr="00FF6DBF">
        <w:rPr>
          <w:color w:val="auto"/>
          <w:sz w:val="20"/>
          <w:szCs w:val="20"/>
          <w:lang w:val="pt-BR"/>
        </w:rPr>
        <w:t>vinte e quatro</w:t>
      </w:r>
      <w:r w:rsidRPr="00FF6DBF">
        <w:rPr>
          <w:color w:val="auto"/>
          <w:sz w:val="20"/>
          <w:szCs w:val="20"/>
          <w:lang w:val="pt-BR"/>
        </w:rPr>
        <w:t xml:space="preserve"> dos acusados, dos quais </w:t>
      </w:r>
      <w:r w:rsidR="0095032C" w:rsidRPr="00FF6DBF">
        <w:rPr>
          <w:color w:val="auto"/>
          <w:sz w:val="20"/>
          <w:szCs w:val="20"/>
          <w:lang w:val="pt-BR"/>
        </w:rPr>
        <w:t>treze</w:t>
      </w:r>
      <w:r w:rsidRPr="00FF6DBF">
        <w:rPr>
          <w:color w:val="auto"/>
          <w:sz w:val="20"/>
          <w:szCs w:val="20"/>
          <w:lang w:val="pt-BR"/>
        </w:rPr>
        <w:t xml:space="preserve"> aceitaram. O juiz, então, determinou a separação dos processos, fazendo com que a ação continu</w:t>
      </w:r>
      <w:r w:rsidR="00DD06C4">
        <w:rPr>
          <w:color w:val="auto"/>
          <w:sz w:val="20"/>
          <w:szCs w:val="20"/>
          <w:lang w:val="pt-BR"/>
        </w:rPr>
        <w:t>ass</w:t>
      </w:r>
      <w:r w:rsidRPr="00FF6DBF">
        <w:rPr>
          <w:color w:val="auto"/>
          <w:sz w:val="20"/>
          <w:szCs w:val="20"/>
          <w:lang w:val="pt-BR"/>
        </w:rPr>
        <w:t>e apenas contra dez dos réus.</w:t>
      </w:r>
    </w:p>
    <w:p w14:paraId="0B0A65F0" w14:textId="6C300BD0" w:rsidR="00641CF6" w:rsidRPr="00FF6DBF" w:rsidRDefault="00734C7B" w:rsidP="00641CF6">
      <w:pPr>
        <w:pStyle w:val="ListParagraph"/>
        <w:ind w:left="758"/>
        <w:jc w:val="both"/>
        <w:rPr>
          <w:i/>
          <w:iCs/>
          <w:color w:val="auto"/>
          <w:sz w:val="20"/>
          <w:szCs w:val="20"/>
          <w:lang w:val="pt-BR"/>
        </w:rPr>
      </w:pPr>
      <w:r w:rsidRPr="00FF6DBF">
        <w:rPr>
          <w:i/>
          <w:iCs/>
          <w:color w:val="auto"/>
          <w:sz w:val="20"/>
          <w:szCs w:val="20"/>
          <w:lang w:val="pt-BR"/>
        </w:rPr>
        <w:t>Os p</w:t>
      </w:r>
      <w:r w:rsidR="00641CF6" w:rsidRPr="00FF6DBF">
        <w:rPr>
          <w:i/>
          <w:iCs/>
          <w:color w:val="auto"/>
          <w:sz w:val="20"/>
          <w:szCs w:val="20"/>
          <w:lang w:val="pt-BR"/>
        </w:rPr>
        <w:t>rocessos sobre a conduta do Ministério Público</w:t>
      </w:r>
    </w:p>
    <w:p w14:paraId="28F560E9" w14:textId="77777777" w:rsidR="00641CF6" w:rsidRPr="00FF6DBF" w:rsidRDefault="00641CF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Em 13 de fevereiro de 2014 o direito jurídico da AVTSM deu início, perante a Corregedoria Nacional do Ministério Público, a uma representação correcional contra a atuação dos Promotores de Justiça Maurício Trevisan e Joel Oliveira Dutra pelo arquivamento do processo de improbidade administrativa contra o Prefeito Cesar Schirmer. Em 17 de julho de 2014, a Corregedoria arquivou o expediente, justificando não apresentar justa causa para a responsabilização dos promotores de justiça no caso. </w:t>
      </w:r>
    </w:p>
    <w:p w14:paraId="68939160" w14:textId="77777777" w:rsidR="00641CF6" w:rsidRPr="00FF6DBF" w:rsidRDefault="00641CF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Além disso, um dos proprietários da Boate Kiss, Elissandro Callegaro Spohr, denunciado pelo crime de homicídio, promoveu procedimento administrativo de pedido de providências perante o Conselho Superior do Ministério Público, bem como apresentou notícia-crime ao Tribunal de Justiça do Rio Grande do Sul com pedido de apuração da possível responsabilidade penal do Promotor Ricardo Lozza em face de sua atuação no Inquérito Civil. O pedido de providências foi arquivado pelo Conselho Superior do Ministério Público, em decisão proferida em 30 de abril de 2013. A notícia-crime, por sua vez, foi arquivada pelo Tribunal de Justiça, que acolheu o parecer do Procurador-Geral de Justiça. </w:t>
      </w:r>
    </w:p>
    <w:p w14:paraId="003CFBB3" w14:textId="77777777" w:rsidR="00641CF6" w:rsidRPr="00FF6DBF" w:rsidRDefault="00641CF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parte peticionária considera que o Ministério Público deveria ter iniciado uma ação penal contra os agentes públicos municipais envolvidos direta e indiretamente no incêndio e ressalta que nenhum deles teve sua responsabilidade penal judicialmente averiguada.</w:t>
      </w:r>
    </w:p>
    <w:p w14:paraId="125A5E08" w14:textId="02F542ED" w:rsidR="00CF3D39" w:rsidRPr="00FF6DBF" w:rsidRDefault="00CF3D39" w:rsidP="00CF3D39">
      <w:pPr>
        <w:pStyle w:val="ListParagraph"/>
        <w:spacing w:before="240" w:after="240"/>
        <w:jc w:val="both"/>
        <w:rPr>
          <w:i/>
          <w:iCs/>
          <w:color w:val="auto"/>
          <w:sz w:val="20"/>
          <w:szCs w:val="20"/>
          <w:lang w:val="pt-BR"/>
        </w:rPr>
      </w:pPr>
      <w:r w:rsidRPr="00FF6DBF">
        <w:rPr>
          <w:i/>
          <w:iCs/>
          <w:color w:val="auto"/>
          <w:sz w:val="20"/>
          <w:szCs w:val="20"/>
          <w:lang w:val="pt-BR"/>
        </w:rPr>
        <w:t xml:space="preserve">Processos dos Promotores de Justiça contra familiares e representantes das vítimas </w:t>
      </w:r>
    </w:p>
    <w:p w14:paraId="467A6F00" w14:textId="63CC92AA" w:rsidR="00377E63" w:rsidRPr="00FF6DBF" w:rsidRDefault="003641EC"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parte peticionária informa, ademais, que três pais e uma mãe de jovens mortos no incêndio, todos eles dirigentes da AVTSM, foram processados criminalmente por calúnia e difamação após questionarem publicamente a conduta dos promotores de justiça envolvidos nos inquéritos sobre o incêndio na boate Kiss</w:t>
      </w:r>
      <w:r w:rsidR="009E0B27" w:rsidRPr="00FF6DBF">
        <w:rPr>
          <w:color w:val="auto"/>
          <w:sz w:val="20"/>
          <w:szCs w:val="20"/>
          <w:lang w:val="pt-BR"/>
        </w:rPr>
        <w:t xml:space="preserve"> (processos penais 27/2.15.0012854-3, 027/2.15.0012855-1 e 027/1.15.0009961-9)</w:t>
      </w:r>
      <w:r w:rsidRPr="00FF6DBF">
        <w:rPr>
          <w:color w:val="auto"/>
          <w:sz w:val="20"/>
          <w:szCs w:val="20"/>
          <w:lang w:val="pt-BR"/>
        </w:rPr>
        <w:t xml:space="preserve">. Sérgio da Silva e Flávio José da Silva, respectivamente presidente e vice-presidente da AVTSM, são acusados pelo promotor Ricardo </w:t>
      </w:r>
      <w:r w:rsidRPr="00FF6DBF">
        <w:rPr>
          <w:color w:val="auto"/>
          <w:sz w:val="20"/>
          <w:szCs w:val="20"/>
          <w:lang w:val="pt-BR"/>
        </w:rPr>
        <w:lastRenderedPageBreak/>
        <w:t>Lozza devido a cartazes que sugeriam conhecimento prévio do Ministério Público sobre irregularidades na boate. Paulo Tadeu Nunes de Carvalho, diretor jurídico da associação, enfrenta ações judiciais por um artigo no qual criticou o arquivamento de um processo de improbidade administrativa. Marta Beuren, tesoureira da associação, é processada por apontar ligações familiares entre o promotor do caso e o advogado da boate em um jornal local. Todos foram processados por declarações que visavam destacar falhas e possíveis conivências antes e depois da tragédia.</w:t>
      </w:r>
    </w:p>
    <w:p w14:paraId="6D28E482" w14:textId="75F23DC0" w:rsidR="00EA6655" w:rsidRPr="00FF6DBF" w:rsidRDefault="00EA6655" w:rsidP="00EA6655">
      <w:pPr>
        <w:pStyle w:val="ListParagraph"/>
        <w:spacing w:before="240" w:after="240"/>
        <w:ind w:left="758"/>
        <w:jc w:val="both"/>
        <w:rPr>
          <w:i/>
          <w:iCs/>
          <w:color w:val="auto"/>
          <w:sz w:val="20"/>
          <w:szCs w:val="20"/>
          <w:lang w:val="pt-BR"/>
        </w:rPr>
      </w:pPr>
      <w:r w:rsidRPr="00FF6DBF">
        <w:rPr>
          <w:i/>
          <w:iCs/>
          <w:color w:val="auto"/>
          <w:sz w:val="20"/>
          <w:szCs w:val="20"/>
          <w:lang w:val="pt-BR"/>
        </w:rPr>
        <w:t xml:space="preserve">Conclusões da parte peticionária </w:t>
      </w:r>
    </w:p>
    <w:p w14:paraId="1D820BA9" w14:textId="02C06833" w:rsidR="00EA6655" w:rsidRPr="00FF6DBF" w:rsidRDefault="00EA6655"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 parte peticionária argumenta que os processos internos não apuraram a responsabilidade de todos os agentes do Estado envolvidos direta e indiretamente no incêndio, como os bombeiros, funcionários da prefeitura e o próprio prefeito de Santa Maria. O arquivamento das denúncias contra agentes públicos pelo Ministério Público privou as vítimas do conhecimento da verdade dos fatos e comprometeu seu direito de acesso à justiça, bloqueando a possibilidade de esgotar quaisquer recursos judiciais. Os agentes públicos envolvidos foram exonerados de responsabilidade já na fase preliminar de investigação, sem que houvesse sequer a instauração de processos judiciais que permitiriam a produção de provas e uma análise mais profunda dos fatos. A parte peticionária considera que </w:t>
      </w:r>
      <w:r w:rsidR="00593F78" w:rsidRPr="00FF6DBF">
        <w:rPr>
          <w:color w:val="auto"/>
          <w:sz w:val="20"/>
          <w:szCs w:val="20"/>
          <w:lang w:val="pt-BR"/>
        </w:rPr>
        <w:t>a este contexto deve ser aplicada a exceção à regra do prévio esgotamento prevista no artigo 46.2.b) da Convenção Americana.</w:t>
      </w:r>
    </w:p>
    <w:p w14:paraId="4260AECD" w14:textId="113E1030" w:rsidR="00593F78" w:rsidRPr="00FF6DBF" w:rsidRDefault="00593F78"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Sobre o mesmo tema, em relação ao prazo de apresentação, a parte peticionária alega, em resumo, i) que, quanto à responsabilização desses agentes pelos crimes de homicídio e tentativa de homicídio, o arquivamento do processo penal em relação aos agentes estatais foi promovido pelo Ministério Público em março de 2013, após a conclusão do inquérito policial; ii) que, quanto à responsabilização desses agentes por improbidade administrativa, também em 2013 o Ministério Público concluiu pelo arquivamento do inquérito civil sem interpor a respectiva ação civil pública; iii) e que a parte peticionária aguardou um período de tempo razoável para permitir que as autoridades estatais reavaliassem seu posicionamento, contudo, como a situação permaneceu a mesma, decidiu denunciá-la à CIDH em 3 de fevereiro de 2017.</w:t>
      </w:r>
    </w:p>
    <w:p w14:paraId="776DED8F" w14:textId="08E70285" w:rsidR="00CA00B0" w:rsidRPr="00FF6DBF" w:rsidRDefault="00593F78"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Além das considerações sobre os agentes públicos, considerando a totalidade dos fatos narrados, a parte peticionária </w:t>
      </w:r>
      <w:r w:rsidR="00CA00B0" w:rsidRPr="00FF6DBF">
        <w:rPr>
          <w:color w:val="auto"/>
          <w:sz w:val="20"/>
          <w:szCs w:val="20"/>
          <w:lang w:val="pt-BR"/>
        </w:rPr>
        <w:t>alega violações dos direitos i) à vida</w:t>
      </w:r>
      <w:r w:rsidRPr="00FF6DBF">
        <w:rPr>
          <w:color w:val="auto"/>
          <w:sz w:val="20"/>
          <w:szCs w:val="20"/>
          <w:lang w:val="pt-BR"/>
        </w:rPr>
        <w:t>,</w:t>
      </w:r>
      <w:r w:rsidR="00CA00B0" w:rsidRPr="00FF6DBF">
        <w:rPr>
          <w:color w:val="auto"/>
          <w:sz w:val="20"/>
          <w:szCs w:val="20"/>
          <w:lang w:val="pt-BR"/>
        </w:rPr>
        <w:t xml:space="preserve"> em prejuízo das </w:t>
      </w:r>
      <w:r w:rsidRPr="00FF6DBF">
        <w:rPr>
          <w:color w:val="auto"/>
          <w:sz w:val="20"/>
          <w:szCs w:val="20"/>
          <w:lang w:val="pt-BR"/>
        </w:rPr>
        <w:t>vítimas</w:t>
      </w:r>
      <w:r w:rsidR="00CA00B0" w:rsidRPr="00FF6DBF">
        <w:rPr>
          <w:color w:val="auto"/>
          <w:sz w:val="20"/>
          <w:szCs w:val="20"/>
          <w:lang w:val="pt-BR"/>
        </w:rPr>
        <w:t xml:space="preserve"> fatais do incêndio; ii) à integridade pessoal, em prejuízo das </w:t>
      </w:r>
      <w:r w:rsidRPr="00FF6DBF">
        <w:rPr>
          <w:color w:val="auto"/>
          <w:sz w:val="20"/>
          <w:szCs w:val="20"/>
          <w:lang w:val="pt-BR"/>
        </w:rPr>
        <w:t>vítimas fatais e sobreviventes,</w:t>
      </w:r>
      <w:r w:rsidR="00CA00B0" w:rsidRPr="00FF6DBF">
        <w:rPr>
          <w:color w:val="auto"/>
          <w:sz w:val="20"/>
          <w:szCs w:val="20"/>
          <w:lang w:val="pt-BR"/>
        </w:rPr>
        <w:t xml:space="preserve"> </w:t>
      </w:r>
      <w:r w:rsidRPr="00FF6DBF">
        <w:rPr>
          <w:color w:val="auto"/>
          <w:sz w:val="20"/>
          <w:szCs w:val="20"/>
          <w:lang w:val="pt-BR"/>
        </w:rPr>
        <w:t>bem como</w:t>
      </w:r>
      <w:r w:rsidR="00CA00B0" w:rsidRPr="00FF6DBF">
        <w:rPr>
          <w:color w:val="auto"/>
          <w:sz w:val="20"/>
          <w:szCs w:val="20"/>
          <w:lang w:val="pt-BR"/>
        </w:rPr>
        <w:t xml:space="preserve"> dos familiares de ambas; iii) à liberdade e à segurança pessoais, em prejuízo das </w:t>
      </w:r>
      <w:r w:rsidRPr="00FF6DBF">
        <w:rPr>
          <w:color w:val="auto"/>
          <w:sz w:val="20"/>
          <w:szCs w:val="20"/>
          <w:lang w:val="pt-BR"/>
        </w:rPr>
        <w:t>vítimas fatais e sobreviventes</w:t>
      </w:r>
      <w:r w:rsidR="00CA00B0" w:rsidRPr="00FF6DBF">
        <w:rPr>
          <w:color w:val="auto"/>
          <w:sz w:val="20"/>
          <w:szCs w:val="20"/>
          <w:lang w:val="pt-BR"/>
        </w:rPr>
        <w:t xml:space="preserve">; iv) à liberdade de expressão e de pensamento e à liberdade de associação, em prejuízo dos defensores e defensora de direitos humanos e dirigentes da AVTSM Sérgio da Silva, Flávio da Silva, Paulo Carvalho e Marta Beuren; v) à proteção da família, em prejuízo das </w:t>
      </w:r>
      <w:r w:rsidRPr="00FF6DBF">
        <w:rPr>
          <w:color w:val="auto"/>
          <w:sz w:val="20"/>
          <w:szCs w:val="20"/>
          <w:lang w:val="pt-BR"/>
        </w:rPr>
        <w:t>vítimas fatais</w:t>
      </w:r>
      <w:r w:rsidR="00CA00B0" w:rsidRPr="00FF6DBF">
        <w:rPr>
          <w:color w:val="auto"/>
          <w:sz w:val="20"/>
          <w:szCs w:val="20"/>
          <w:lang w:val="pt-BR"/>
        </w:rPr>
        <w:t xml:space="preserve"> e de seus familiares; vi) às garantias e à proteção judiciais, em prejuízo das </w:t>
      </w:r>
      <w:r w:rsidRPr="00FF6DBF">
        <w:rPr>
          <w:color w:val="auto"/>
          <w:sz w:val="20"/>
          <w:szCs w:val="20"/>
          <w:lang w:val="pt-BR"/>
        </w:rPr>
        <w:t>vítimas fatais e sobreviventes</w:t>
      </w:r>
      <w:r w:rsidR="00CA00B0" w:rsidRPr="00FF6DBF">
        <w:rPr>
          <w:color w:val="auto"/>
          <w:sz w:val="20"/>
          <w:szCs w:val="20"/>
          <w:lang w:val="pt-BR"/>
        </w:rPr>
        <w:t xml:space="preserve"> e de seus familiares. Como consequência dessas violações, solicita que a Comissão recomende ao Estado a adoção de medidas de reparação</w:t>
      </w:r>
      <w:r w:rsidRPr="00FF6DBF">
        <w:rPr>
          <w:color w:val="auto"/>
          <w:sz w:val="20"/>
          <w:szCs w:val="20"/>
          <w:lang w:val="pt-BR"/>
        </w:rPr>
        <w:t xml:space="preserve"> que entender pertinentes</w:t>
      </w:r>
      <w:r w:rsidR="00CA00B0" w:rsidRPr="00FF6DBF">
        <w:rPr>
          <w:color w:val="auto"/>
          <w:sz w:val="20"/>
          <w:szCs w:val="20"/>
          <w:lang w:val="pt-BR"/>
        </w:rPr>
        <w:t xml:space="preserve">. </w:t>
      </w:r>
    </w:p>
    <w:p w14:paraId="487763C5" w14:textId="3E6BB0CB" w:rsidR="008A32DE" w:rsidRPr="00FF6DBF" w:rsidRDefault="008A32DE" w:rsidP="008A32DE">
      <w:pPr>
        <w:pStyle w:val="ListParagraph"/>
        <w:spacing w:before="240" w:after="240"/>
        <w:jc w:val="both"/>
        <w:rPr>
          <w:color w:val="auto"/>
          <w:sz w:val="20"/>
          <w:szCs w:val="20"/>
          <w:u w:val="single"/>
          <w:lang w:val="pt-BR"/>
        </w:rPr>
      </w:pPr>
      <w:r w:rsidRPr="00FF6DBF">
        <w:rPr>
          <w:color w:val="auto"/>
          <w:sz w:val="20"/>
          <w:szCs w:val="20"/>
          <w:u w:val="single"/>
          <w:lang w:val="pt-BR"/>
        </w:rPr>
        <w:t xml:space="preserve">Posição do Estado brasileiro </w:t>
      </w:r>
    </w:p>
    <w:p w14:paraId="3616215D" w14:textId="16063990" w:rsidR="00CF3FA4" w:rsidRPr="00FF6DBF" w:rsidRDefault="00425F34"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O Estado brasileiro apresenta uma síntese do que considera ser o escopo da petição. Neste sentido, indica que a petição abarca a alegada responsabilidade do Estado em relação ao incêndio da boate Kiss como consequência de supostos atos de omissão, negligência e falta de aplicação e cumprimento da lei pelo município de Santa Maria, pelo Corpo de Bombeiros do Rio Grande do Sul e pelo Ministério Público do Estado do Rio Grande do Sul. As alegações incluem que o município teria outorgado licenças de forma irregular e de deixado de exercer seu poder de polícia, fiscalizador e disciplinar; o Corpo de Bombeiros teria sido conivente com uma situação contrária às normas municipais, estaduais e federais de prevenção a incêndios; e o Ministério Público, teria deixado de embargar o funcionamento do local e de interpor os procedimentos cabíveis em face dos proprietários da boate, dos agentes públicos envolvidos e dos próprios promotores de justiça que teriam se omitido no exercício da persecução contra os culpados.</w:t>
      </w:r>
    </w:p>
    <w:p w14:paraId="6E7F5942" w14:textId="2D729CA3" w:rsidR="001923AA" w:rsidRPr="00FF6DBF" w:rsidRDefault="001923AA"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Além disso, o Estado alega a incompetência </w:t>
      </w:r>
      <w:r w:rsidRPr="00FF6DBF">
        <w:rPr>
          <w:i/>
          <w:iCs/>
          <w:color w:val="auto"/>
          <w:sz w:val="20"/>
          <w:szCs w:val="20"/>
          <w:lang w:val="pt-BR"/>
        </w:rPr>
        <w:t>ratione personae</w:t>
      </w:r>
      <w:r w:rsidRPr="00FF6DBF">
        <w:rPr>
          <w:color w:val="auto"/>
          <w:sz w:val="20"/>
          <w:szCs w:val="20"/>
          <w:lang w:val="pt-BR"/>
        </w:rPr>
        <w:t xml:space="preserve"> e </w:t>
      </w:r>
      <w:r w:rsidRPr="00FF6DBF">
        <w:rPr>
          <w:i/>
          <w:iCs/>
          <w:color w:val="auto"/>
          <w:sz w:val="20"/>
          <w:szCs w:val="20"/>
          <w:lang w:val="pt-BR"/>
        </w:rPr>
        <w:t>ratione materiae</w:t>
      </w:r>
      <w:r w:rsidRPr="00FF6DBF">
        <w:rPr>
          <w:color w:val="auto"/>
          <w:sz w:val="20"/>
          <w:szCs w:val="20"/>
          <w:lang w:val="pt-BR"/>
        </w:rPr>
        <w:t xml:space="preserve"> da CIDH em relação aos seguintes aspectos da petição.</w:t>
      </w:r>
    </w:p>
    <w:p w14:paraId="1FED375D" w14:textId="494618D9" w:rsidR="00425F34" w:rsidRPr="00FF6DBF" w:rsidRDefault="001923AA"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lastRenderedPageBreak/>
        <w:t>Q</w:t>
      </w:r>
      <w:r w:rsidR="003F038D" w:rsidRPr="00FF6DBF">
        <w:rPr>
          <w:color w:val="auto"/>
          <w:sz w:val="20"/>
          <w:szCs w:val="20"/>
          <w:lang w:val="pt-BR"/>
        </w:rPr>
        <w:t xml:space="preserve">uanto à competência </w:t>
      </w:r>
      <w:r w:rsidR="003F038D" w:rsidRPr="00FF6DBF">
        <w:rPr>
          <w:i/>
          <w:iCs/>
          <w:color w:val="auto"/>
          <w:sz w:val="20"/>
          <w:szCs w:val="20"/>
          <w:lang w:val="pt-BR"/>
        </w:rPr>
        <w:t>ratione personae</w:t>
      </w:r>
      <w:r w:rsidR="003F038D" w:rsidRPr="00FF6DBF">
        <w:rPr>
          <w:color w:val="auto"/>
          <w:sz w:val="20"/>
          <w:szCs w:val="20"/>
          <w:lang w:val="pt-BR"/>
        </w:rPr>
        <w:t xml:space="preserve">, </w:t>
      </w:r>
      <w:r w:rsidRPr="00FF6DBF">
        <w:rPr>
          <w:color w:val="auto"/>
          <w:sz w:val="20"/>
          <w:szCs w:val="20"/>
          <w:lang w:val="pt-BR"/>
        </w:rPr>
        <w:t xml:space="preserve">argumenta </w:t>
      </w:r>
      <w:r w:rsidR="003F038D" w:rsidRPr="00FF6DBF">
        <w:rPr>
          <w:color w:val="auto"/>
          <w:sz w:val="20"/>
          <w:szCs w:val="20"/>
          <w:lang w:val="pt-BR"/>
        </w:rPr>
        <w:t>que o artigo 4</w:t>
      </w:r>
      <w:r w:rsidR="003A5976" w:rsidRPr="00FF6DBF">
        <w:rPr>
          <w:color w:val="auto"/>
          <w:sz w:val="20"/>
          <w:szCs w:val="20"/>
          <w:lang w:val="pt-BR"/>
        </w:rPr>
        <w:t>4</w:t>
      </w:r>
      <w:r w:rsidR="003F038D" w:rsidRPr="00FF6DBF">
        <w:rPr>
          <w:color w:val="auto"/>
          <w:sz w:val="20"/>
          <w:szCs w:val="20"/>
          <w:lang w:val="pt-BR"/>
        </w:rPr>
        <w:t xml:space="preserve"> da Convenção prevê que qualquer pessoa ou entidade não-governamental pode apresentar petição à CIDH contra um estado parte. No presente caso, porém, encontram-se entidades de direito público entre os peticionários, como o Conselho Regional de Engenharia e Agronomia, o Conselho Regional de Psicologia e o Conselho Regional de Serviço Social. O Estado pede a exclusão dessas entidades como peticionárias e pede que as próximas etapas de tramitação, na hipótese de a Comissão considerar a petição admissível, se limitem às entidades de direito privado que compõem o rol de peticionários.</w:t>
      </w:r>
    </w:p>
    <w:p w14:paraId="0CA4631E" w14:textId="333754B8" w:rsidR="00BC0150" w:rsidRPr="00FF6DBF" w:rsidRDefault="001923AA"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Quanto à competência </w:t>
      </w:r>
      <w:r w:rsidRPr="00FF6DBF">
        <w:rPr>
          <w:i/>
          <w:iCs/>
          <w:color w:val="auto"/>
          <w:sz w:val="20"/>
          <w:szCs w:val="20"/>
          <w:lang w:val="pt-BR"/>
        </w:rPr>
        <w:t>ratione materiae</w:t>
      </w:r>
      <w:r w:rsidRPr="00FF6DBF">
        <w:rPr>
          <w:color w:val="auto"/>
          <w:sz w:val="20"/>
          <w:szCs w:val="20"/>
          <w:lang w:val="pt-BR"/>
        </w:rPr>
        <w:t>,</w:t>
      </w:r>
      <w:r w:rsidR="00BC0150" w:rsidRPr="00FF6DBF">
        <w:rPr>
          <w:color w:val="auto"/>
          <w:sz w:val="20"/>
          <w:szCs w:val="20"/>
          <w:lang w:val="pt-BR"/>
        </w:rPr>
        <w:t xml:space="preserve"> </w:t>
      </w:r>
      <w:r w:rsidRPr="00FF6DBF">
        <w:rPr>
          <w:color w:val="auto"/>
          <w:sz w:val="20"/>
          <w:szCs w:val="20"/>
          <w:lang w:val="pt-BR"/>
        </w:rPr>
        <w:t>a</w:t>
      </w:r>
      <w:r w:rsidR="00BC0150" w:rsidRPr="00FF6DBF">
        <w:rPr>
          <w:color w:val="auto"/>
          <w:sz w:val="20"/>
          <w:szCs w:val="20"/>
          <w:lang w:val="pt-BR"/>
        </w:rPr>
        <w:t>lega que a petição é fruto de inconformismo dos peticionários em relação às conclusões alcançadas durante os procedimentos de apuração disciplinar referente à atuação de membros do Ministério Público do Estado do Rio Grande Sul (MPRS). Neste sentido, menciona que, segundo o anexo 57 da petição inicial, em 13 de fevereiro de 2014, Paulo Tadeu Nunes de Carvalho formulou denúncia contra os promotores de justiça Maurício Trevisan e Joel Oliveira Dutra pela ausência de imputação de improbidade administrativa ao prefeito Cesar Schirmer, perante a Corregedoria Nacional do Ministério Público (CNMP). A denúncia foi autuada pelo CNMP como Reclamação Disciplinar No. 0.00.000.000274/2014-11, que posteriormente ensejou a instauração do Expediente Administrativo No. PR.00035.00192/2014-3 pela Corregedoria-Geral do MPRS. Em 17 de julho de 2014, após realizar uma série de diligências de instrução processual, a Corregedoria-Geral decidiu que os referidos promotores não incorreram em qualquer falta de cunho disciplinar, ao conduzirem as investigações contra o prefeito municipal. Isso porque, conforme apurou o órgão correcional, não se revelou qualquer omissão na apuração dos fatos, e as motivações que fundamentaram o arquivamento se mostraram plenamente razoáveis.</w:t>
      </w:r>
      <w:r w:rsidR="00FD05C0" w:rsidRPr="00FF6DBF">
        <w:rPr>
          <w:color w:val="auto"/>
          <w:sz w:val="20"/>
          <w:szCs w:val="20"/>
          <w:lang w:val="pt-BR"/>
        </w:rPr>
        <w:t xml:space="preserve"> Diante do exposto, o Estado considera que, ao contrário do que os peticionários alegam, as instituições competentes desempenharam bem suas funções. Além disso, considera que a petição é inadmissível porque pretende fazer com que a CIDH funciona como um tribunal de alçada frente </w:t>
      </w:r>
      <w:r w:rsidR="0095032C" w:rsidRPr="00FF6DBF">
        <w:rPr>
          <w:color w:val="auto"/>
          <w:sz w:val="20"/>
          <w:szCs w:val="20"/>
          <w:lang w:val="pt-BR"/>
        </w:rPr>
        <w:t>ao decidido pela Corregedoria-Geral do MPRS.</w:t>
      </w:r>
    </w:p>
    <w:p w14:paraId="61FC77F3" w14:textId="386F5070" w:rsidR="00D9208D" w:rsidRPr="00FF6DBF" w:rsidRDefault="009314DF"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Adicionalmente, o</w:t>
      </w:r>
      <w:r w:rsidR="00D9208D" w:rsidRPr="00FF6DBF">
        <w:rPr>
          <w:color w:val="auto"/>
          <w:sz w:val="20"/>
          <w:szCs w:val="20"/>
          <w:lang w:val="pt-BR"/>
        </w:rPr>
        <w:t xml:space="preserve"> Estado apresenta informações sobre os processos internos</w:t>
      </w:r>
      <w:r w:rsidRPr="00FF6DBF">
        <w:rPr>
          <w:color w:val="auto"/>
          <w:sz w:val="20"/>
          <w:szCs w:val="20"/>
          <w:lang w:val="pt-BR"/>
        </w:rPr>
        <w:t xml:space="preserve"> e menciona</w:t>
      </w:r>
      <w:r w:rsidR="00D9208D" w:rsidRPr="00FF6DBF">
        <w:rPr>
          <w:color w:val="auto"/>
          <w:sz w:val="20"/>
          <w:szCs w:val="20"/>
          <w:lang w:val="pt-BR"/>
        </w:rPr>
        <w:t xml:space="preserve"> que as </w:t>
      </w:r>
      <w:r w:rsidRPr="00FF6DBF">
        <w:rPr>
          <w:color w:val="auto"/>
          <w:sz w:val="20"/>
          <w:szCs w:val="20"/>
          <w:lang w:val="pt-BR"/>
        </w:rPr>
        <w:t xml:space="preserve">mesmas </w:t>
      </w:r>
      <w:r w:rsidR="00D9208D" w:rsidRPr="00FF6DBF">
        <w:rPr>
          <w:color w:val="auto"/>
          <w:sz w:val="20"/>
          <w:szCs w:val="20"/>
          <w:lang w:val="pt-BR"/>
        </w:rPr>
        <w:t>informações constam d</w:t>
      </w:r>
      <w:r w:rsidR="009E5DBD" w:rsidRPr="00FF6DBF">
        <w:rPr>
          <w:color w:val="auto"/>
          <w:sz w:val="20"/>
          <w:szCs w:val="20"/>
          <w:lang w:val="pt-BR"/>
        </w:rPr>
        <w:t>e</w:t>
      </w:r>
      <w:r w:rsidR="00D9208D" w:rsidRPr="00FF6DBF">
        <w:rPr>
          <w:color w:val="auto"/>
          <w:sz w:val="20"/>
          <w:szCs w:val="20"/>
          <w:lang w:val="pt-BR"/>
        </w:rPr>
        <w:t xml:space="preserve"> páginas oficiais </w:t>
      </w:r>
      <w:r w:rsidR="009E5DBD" w:rsidRPr="00FF6DBF">
        <w:rPr>
          <w:color w:val="auto"/>
          <w:sz w:val="20"/>
          <w:szCs w:val="20"/>
          <w:lang w:val="pt-BR"/>
        </w:rPr>
        <w:t xml:space="preserve">sobre o caso, </w:t>
      </w:r>
      <w:r w:rsidR="00D9208D" w:rsidRPr="00FF6DBF">
        <w:rPr>
          <w:color w:val="auto"/>
          <w:sz w:val="20"/>
          <w:szCs w:val="20"/>
          <w:lang w:val="pt-BR"/>
        </w:rPr>
        <w:t xml:space="preserve">criadas </w:t>
      </w:r>
      <w:r w:rsidR="009E5DBD" w:rsidRPr="00FF6DBF">
        <w:rPr>
          <w:color w:val="auto"/>
          <w:sz w:val="20"/>
          <w:szCs w:val="20"/>
          <w:lang w:val="pt-BR"/>
        </w:rPr>
        <w:t xml:space="preserve">e mantidas </w:t>
      </w:r>
      <w:r w:rsidRPr="00FF6DBF">
        <w:rPr>
          <w:color w:val="auto"/>
          <w:sz w:val="20"/>
          <w:szCs w:val="20"/>
          <w:lang w:val="pt-BR"/>
        </w:rPr>
        <w:t>voluntariamente</w:t>
      </w:r>
      <w:r w:rsidR="00D9208D" w:rsidRPr="00FF6DBF">
        <w:rPr>
          <w:color w:val="auto"/>
          <w:sz w:val="20"/>
          <w:szCs w:val="20"/>
          <w:lang w:val="pt-BR"/>
        </w:rPr>
        <w:t xml:space="preserve"> pelo Ministério Público do Estado do Rio Grande do Sul e pelo Tribunal de Justiça do Estado do Rio Grande do Sul: </w:t>
      </w:r>
      <w:hyperlink r:id="rId14" w:anchor="!/timeline" w:history="1">
        <w:r w:rsidR="00D9208D" w:rsidRPr="00FF6DBF">
          <w:rPr>
            <w:rStyle w:val="Hyperlink"/>
            <w:color w:val="auto"/>
            <w:sz w:val="20"/>
            <w:szCs w:val="20"/>
            <w:lang w:val="pt-BR"/>
          </w:rPr>
          <w:t>https://www.mprs.mp.br/hotsite/boatekiss/#!/timeline</w:t>
        </w:r>
      </w:hyperlink>
      <w:r w:rsidR="00D9208D" w:rsidRPr="00FF6DBF">
        <w:rPr>
          <w:color w:val="auto"/>
          <w:sz w:val="20"/>
          <w:szCs w:val="20"/>
          <w:lang w:val="pt-BR"/>
        </w:rPr>
        <w:t xml:space="preserve"> e </w:t>
      </w:r>
      <w:hyperlink r:id="rId15" w:history="1">
        <w:r w:rsidR="00D9208D" w:rsidRPr="00FF6DBF">
          <w:rPr>
            <w:rStyle w:val="Hyperlink"/>
            <w:color w:val="auto"/>
            <w:sz w:val="20"/>
            <w:szCs w:val="20"/>
            <w:lang w:val="pt-BR"/>
          </w:rPr>
          <w:t>https://www.tjrs.jus.br/novo/caso-kiss/</w:t>
        </w:r>
      </w:hyperlink>
      <w:r w:rsidR="00D9208D" w:rsidRPr="00FF6DBF">
        <w:rPr>
          <w:color w:val="auto"/>
          <w:sz w:val="20"/>
          <w:szCs w:val="20"/>
          <w:lang w:val="pt-BR"/>
        </w:rPr>
        <w:t>.</w:t>
      </w:r>
    </w:p>
    <w:p w14:paraId="146B58F7" w14:textId="7DBC190A" w:rsidR="00FD05C0" w:rsidRPr="00FF6DBF" w:rsidRDefault="009314DF"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w:t>
      </w:r>
      <w:r w:rsidR="009E5DBD" w:rsidRPr="00FF6DBF">
        <w:rPr>
          <w:color w:val="auto"/>
          <w:sz w:val="20"/>
          <w:szCs w:val="20"/>
          <w:lang w:val="pt-BR"/>
        </w:rPr>
        <w:t xml:space="preserve">s informações sobre os processos internos apresentadas pelo Estado referem-se, essencialmente, à </w:t>
      </w:r>
      <w:r w:rsidR="008858A6" w:rsidRPr="00FF6DBF">
        <w:rPr>
          <w:color w:val="auto"/>
          <w:sz w:val="20"/>
          <w:szCs w:val="20"/>
          <w:lang w:val="pt-BR"/>
        </w:rPr>
        <w:t xml:space="preserve">investigação policial; </w:t>
      </w:r>
      <w:r w:rsidR="009E5DBD" w:rsidRPr="00FF6DBF">
        <w:rPr>
          <w:color w:val="auto"/>
          <w:sz w:val="20"/>
          <w:szCs w:val="20"/>
          <w:lang w:val="pt-BR"/>
        </w:rPr>
        <w:t xml:space="preserve">ao </w:t>
      </w:r>
      <w:r w:rsidR="008858A6" w:rsidRPr="00FF6DBF">
        <w:rPr>
          <w:color w:val="auto"/>
          <w:sz w:val="20"/>
          <w:szCs w:val="20"/>
          <w:lang w:val="pt-BR"/>
        </w:rPr>
        <w:t>processo penal principal</w:t>
      </w:r>
      <w:r w:rsidR="009E5DBD" w:rsidRPr="00FF6DBF">
        <w:rPr>
          <w:color w:val="auto"/>
          <w:sz w:val="20"/>
          <w:szCs w:val="20"/>
          <w:lang w:val="pt-BR"/>
        </w:rPr>
        <w:t xml:space="preserve"> e a outros processos penais; e aos </w:t>
      </w:r>
      <w:r w:rsidR="008858A6" w:rsidRPr="00FF6DBF">
        <w:rPr>
          <w:color w:val="auto"/>
          <w:sz w:val="20"/>
          <w:szCs w:val="20"/>
          <w:lang w:val="pt-BR"/>
        </w:rPr>
        <w:t>processos de reparação civil individuais</w:t>
      </w:r>
      <w:r w:rsidR="009E5DBD" w:rsidRPr="00FF6DBF">
        <w:rPr>
          <w:color w:val="auto"/>
          <w:sz w:val="20"/>
          <w:szCs w:val="20"/>
          <w:lang w:val="pt-BR"/>
        </w:rPr>
        <w:t xml:space="preserve"> e de caráter coletivo. Além disso, o Estado apresenta seus </w:t>
      </w:r>
      <w:r w:rsidR="008858A6" w:rsidRPr="00FF6DBF">
        <w:rPr>
          <w:color w:val="auto"/>
          <w:sz w:val="20"/>
          <w:szCs w:val="20"/>
          <w:lang w:val="pt-BR"/>
        </w:rPr>
        <w:t xml:space="preserve">argumentos </w:t>
      </w:r>
      <w:r w:rsidR="00236143" w:rsidRPr="00FF6DBF">
        <w:rPr>
          <w:color w:val="auto"/>
          <w:sz w:val="20"/>
          <w:szCs w:val="20"/>
          <w:lang w:val="pt-BR"/>
        </w:rPr>
        <w:t xml:space="preserve">sobre a </w:t>
      </w:r>
      <w:r w:rsidR="0095032C" w:rsidRPr="00FF6DBF">
        <w:rPr>
          <w:color w:val="auto"/>
          <w:sz w:val="20"/>
          <w:szCs w:val="20"/>
          <w:lang w:val="pt-BR"/>
        </w:rPr>
        <w:t>possível</w:t>
      </w:r>
      <w:r w:rsidR="00236143" w:rsidRPr="00FF6DBF">
        <w:rPr>
          <w:color w:val="auto"/>
          <w:sz w:val="20"/>
          <w:szCs w:val="20"/>
          <w:lang w:val="pt-BR"/>
        </w:rPr>
        <w:t xml:space="preserve"> inadmissibilidade da petição.</w:t>
      </w:r>
    </w:p>
    <w:p w14:paraId="0F7CD2D9" w14:textId="2A55FE1A" w:rsidR="00D9208D" w:rsidRPr="00FF6DBF" w:rsidRDefault="008858A6" w:rsidP="00D9208D">
      <w:pPr>
        <w:pStyle w:val="ListParagraph"/>
        <w:spacing w:before="240" w:after="240"/>
        <w:jc w:val="both"/>
        <w:rPr>
          <w:i/>
          <w:iCs/>
          <w:color w:val="auto"/>
          <w:sz w:val="20"/>
          <w:szCs w:val="20"/>
          <w:lang w:val="pt-BR"/>
        </w:rPr>
      </w:pPr>
      <w:r w:rsidRPr="00FF6DBF">
        <w:rPr>
          <w:i/>
          <w:iCs/>
          <w:color w:val="auto"/>
          <w:sz w:val="20"/>
          <w:szCs w:val="20"/>
          <w:lang w:val="pt-BR"/>
        </w:rPr>
        <w:t xml:space="preserve">A investigação </w:t>
      </w:r>
      <w:r w:rsidR="00D55949" w:rsidRPr="00FF6DBF">
        <w:rPr>
          <w:i/>
          <w:iCs/>
          <w:color w:val="auto"/>
          <w:sz w:val="20"/>
          <w:szCs w:val="20"/>
          <w:lang w:val="pt-BR"/>
        </w:rPr>
        <w:t>e o processo penal principal</w:t>
      </w:r>
    </w:p>
    <w:p w14:paraId="7FFA2611" w14:textId="561AE7A5" w:rsidR="00C04078" w:rsidRPr="00FF6DBF" w:rsidRDefault="00CF29CC" w:rsidP="00BF5F78">
      <w:pPr>
        <w:pStyle w:val="ListParagraph"/>
        <w:numPr>
          <w:ilvl w:val="0"/>
          <w:numId w:val="55"/>
        </w:numPr>
        <w:spacing w:before="240" w:after="240"/>
        <w:ind w:left="0" w:firstLine="720"/>
        <w:jc w:val="both"/>
        <w:rPr>
          <w:color w:val="auto"/>
          <w:sz w:val="20"/>
          <w:szCs w:val="20"/>
          <w:lang w:val="pt-BR"/>
        </w:rPr>
      </w:pPr>
      <w:bookmarkStart w:id="1" w:name="_Hlk165457239"/>
      <w:r w:rsidRPr="00FF6DBF">
        <w:rPr>
          <w:color w:val="auto"/>
          <w:sz w:val="20"/>
          <w:szCs w:val="20"/>
          <w:lang w:val="pt-BR"/>
        </w:rPr>
        <w:t>Segundo o Estado, a Polícia Civil do Rio Grande do Sul instaurou imediatamente o Inquérito Policial No. 94/2013/150501 para investigar as causas do incêndio ocorrido em 27 de janeiro de 2013 na Boate Kiss, onde a utilização de pirotecnia pela banda Gurizada Fandangueira provocou a queima de espuma acústica no teto, liberando fumaça tóxica e resultando na morte de 242 pessoas e mais de 600 feridos. Após 55 dias de investigação, gerando aproximadamente 13 mil páginas de documentos, o inquérito foi concluído com a determinação de responsabilidade penal de 16 agentes públicos e privados. O inquérito foi então encaminhado para as autoridades competentes, incluindo a Justiça Militar, o Tribunal de Justiça do Rio Grande do Sul e o Ministério Público para a investigação de eventuais crimes cometidos por agentes sujeitos às suas respectivas competências.</w:t>
      </w:r>
    </w:p>
    <w:p w14:paraId="4291A677" w14:textId="5B90B7EF" w:rsidR="00C04078" w:rsidRPr="00FF6DBF" w:rsidRDefault="00CF29CC"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No dia seguinte ao incêndio, 28</w:t>
      </w:r>
      <w:r w:rsidR="002D3327" w:rsidRPr="00FF6DBF">
        <w:rPr>
          <w:color w:val="auto"/>
          <w:sz w:val="20"/>
          <w:szCs w:val="20"/>
          <w:lang w:val="pt-BR"/>
        </w:rPr>
        <w:t xml:space="preserve"> </w:t>
      </w:r>
      <w:r w:rsidRPr="00FF6DBF">
        <w:rPr>
          <w:color w:val="auto"/>
          <w:sz w:val="20"/>
          <w:szCs w:val="20"/>
          <w:lang w:val="pt-BR"/>
        </w:rPr>
        <w:t xml:space="preserve">de janeiro de 2013, a 1ª Vara Criminal de Santa Maria determinou a prisão temporária dos sócios da boate, Elissandro Callegaro Spohr e Mauro Londero Hoffmann, bem como dos músicos Marcelo de Jesus dos Santos e Luciano Augusto Bonilha Leão, com manifestação favorável do Ministério Público. Em 1 de março de 2013, a prisão temporária foi convertida em prisão </w:t>
      </w:r>
      <w:r w:rsidRPr="00FF6DBF">
        <w:rPr>
          <w:color w:val="auto"/>
          <w:sz w:val="20"/>
          <w:szCs w:val="20"/>
          <w:lang w:val="pt-BR"/>
        </w:rPr>
        <w:lastRenderedPageBreak/>
        <w:t>preventiva.</w:t>
      </w:r>
      <w:r w:rsidR="00067E6E" w:rsidRPr="00FF6DBF">
        <w:rPr>
          <w:rStyle w:val="FootnoteReference"/>
          <w:color w:val="auto"/>
          <w:sz w:val="20"/>
          <w:szCs w:val="20"/>
          <w:lang w:val="pt-BR"/>
        </w:rPr>
        <w:footnoteReference w:id="6"/>
      </w:r>
      <w:r w:rsidRPr="00FF6DBF">
        <w:rPr>
          <w:color w:val="auto"/>
          <w:sz w:val="20"/>
          <w:szCs w:val="20"/>
          <w:lang w:val="pt-BR"/>
        </w:rPr>
        <w:t xml:space="preserve"> No</w:t>
      </w:r>
      <w:r w:rsidR="00D55949" w:rsidRPr="00FF6DBF">
        <w:rPr>
          <w:color w:val="auto"/>
          <w:sz w:val="20"/>
          <w:szCs w:val="20"/>
          <w:lang w:val="pt-BR"/>
        </w:rPr>
        <w:t xml:space="preserve"> entanto, e</w:t>
      </w:r>
      <w:r w:rsidR="0073351F" w:rsidRPr="00FF6DBF">
        <w:rPr>
          <w:color w:val="auto"/>
          <w:sz w:val="20"/>
          <w:szCs w:val="20"/>
          <w:lang w:val="pt-BR"/>
        </w:rPr>
        <w:t>m</w:t>
      </w:r>
      <w:r w:rsidR="00C04078" w:rsidRPr="00FF6DBF">
        <w:rPr>
          <w:color w:val="auto"/>
          <w:sz w:val="20"/>
          <w:szCs w:val="20"/>
          <w:lang w:val="pt-BR"/>
        </w:rPr>
        <w:t xml:space="preserve"> 29 de maio de 2013</w:t>
      </w:r>
      <w:r w:rsidR="0073351F" w:rsidRPr="00FF6DBF">
        <w:rPr>
          <w:color w:val="auto"/>
          <w:sz w:val="20"/>
          <w:szCs w:val="20"/>
          <w:lang w:val="pt-BR"/>
        </w:rPr>
        <w:t>,</w:t>
      </w:r>
      <w:r w:rsidR="00C04078" w:rsidRPr="00FF6DBF">
        <w:rPr>
          <w:color w:val="auto"/>
          <w:sz w:val="20"/>
          <w:szCs w:val="20"/>
          <w:lang w:val="pt-BR"/>
        </w:rPr>
        <w:t xml:space="preserve"> a 1ª Câmara Criminal do Tribunal de Justiça do Rio Grande do Sul</w:t>
      </w:r>
      <w:r w:rsidR="0073351F" w:rsidRPr="00FF6DBF">
        <w:rPr>
          <w:color w:val="auto"/>
          <w:sz w:val="20"/>
          <w:szCs w:val="20"/>
          <w:lang w:val="pt-BR"/>
        </w:rPr>
        <w:t xml:space="preserve"> revogou a prisão preventiva </w:t>
      </w:r>
      <w:r w:rsidR="00D9208D" w:rsidRPr="00FF6DBF">
        <w:rPr>
          <w:color w:val="auto"/>
          <w:sz w:val="20"/>
          <w:szCs w:val="20"/>
          <w:lang w:val="pt-BR"/>
        </w:rPr>
        <w:t>no âmbito de um</w:t>
      </w:r>
      <w:r w:rsidR="00C04078" w:rsidRPr="00FF6DBF">
        <w:rPr>
          <w:color w:val="auto"/>
          <w:sz w:val="20"/>
          <w:szCs w:val="20"/>
          <w:lang w:val="pt-BR"/>
        </w:rPr>
        <w:t xml:space="preserve"> </w:t>
      </w:r>
      <w:r w:rsidRPr="00FF6DBF">
        <w:rPr>
          <w:color w:val="auto"/>
          <w:sz w:val="20"/>
          <w:szCs w:val="20"/>
          <w:lang w:val="pt-BR"/>
        </w:rPr>
        <w:t xml:space="preserve">recurso </w:t>
      </w:r>
      <w:r w:rsidR="00C04078" w:rsidRPr="00FF6DBF">
        <w:rPr>
          <w:color w:val="auto"/>
          <w:sz w:val="20"/>
          <w:szCs w:val="20"/>
          <w:lang w:val="pt-BR"/>
        </w:rPr>
        <w:t xml:space="preserve">habeas corpus interposto pela defesa </w:t>
      </w:r>
      <w:r w:rsidRPr="00FF6DBF">
        <w:rPr>
          <w:color w:val="auto"/>
          <w:sz w:val="20"/>
          <w:szCs w:val="20"/>
          <w:lang w:val="pt-BR"/>
        </w:rPr>
        <w:t>de</w:t>
      </w:r>
      <w:r w:rsidR="00C04078" w:rsidRPr="00FF6DBF">
        <w:rPr>
          <w:color w:val="auto"/>
          <w:sz w:val="20"/>
          <w:szCs w:val="20"/>
          <w:lang w:val="pt-BR"/>
        </w:rPr>
        <w:t xml:space="preserve"> Marcelo de Jesus dos Santos.</w:t>
      </w:r>
      <w:r w:rsidR="00D9208D" w:rsidRPr="00FF6DBF">
        <w:rPr>
          <w:color w:val="auto"/>
          <w:sz w:val="20"/>
          <w:szCs w:val="20"/>
          <w:lang w:val="pt-BR"/>
        </w:rPr>
        <w:t xml:space="preserve"> </w:t>
      </w:r>
      <w:r w:rsidR="00C04078" w:rsidRPr="00FF6DBF">
        <w:rPr>
          <w:color w:val="auto"/>
          <w:sz w:val="20"/>
          <w:szCs w:val="20"/>
          <w:lang w:val="pt-BR"/>
        </w:rPr>
        <w:t xml:space="preserve">O Ministério Público recorreu da decisão ao </w:t>
      </w:r>
      <w:r w:rsidR="001A64CA" w:rsidRPr="00FF6DBF">
        <w:rPr>
          <w:color w:val="auto"/>
          <w:sz w:val="20"/>
          <w:szCs w:val="20"/>
          <w:lang w:val="pt-BR"/>
        </w:rPr>
        <w:t>STJ</w:t>
      </w:r>
      <w:r w:rsidR="00C04078" w:rsidRPr="00FF6DBF">
        <w:rPr>
          <w:color w:val="auto"/>
          <w:sz w:val="20"/>
          <w:szCs w:val="20"/>
          <w:lang w:val="pt-BR"/>
        </w:rPr>
        <w:t xml:space="preserve"> e ao Supremo Tribunal Federal</w:t>
      </w:r>
      <w:r w:rsidR="00D9208D" w:rsidRPr="00FF6DBF">
        <w:rPr>
          <w:color w:val="auto"/>
          <w:sz w:val="20"/>
          <w:szCs w:val="20"/>
          <w:lang w:val="pt-BR"/>
        </w:rPr>
        <w:t xml:space="preserve">, além de postular </w:t>
      </w:r>
      <w:r w:rsidR="00C04078" w:rsidRPr="00FF6DBF">
        <w:rPr>
          <w:color w:val="auto"/>
          <w:sz w:val="20"/>
          <w:szCs w:val="20"/>
          <w:lang w:val="pt-BR"/>
        </w:rPr>
        <w:t xml:space="preserve">ao Tribunal de Justiça do Rio Grande do Sul </w:t>
      </w:r>
      <w:r w:rsidR="0073351F" w:rsidRPr="00FF6DBF">
        <w:rPr>
          <w:color w:val="auto"/>
          <w:sz w:val="20"/>
          <w:szCs w:val="20"/>
          <w:lang w:val="pt-BR"/>
        </w:rPr>
        <w:t xml:space="preserve">uma </w:t>
      </w:r>
      <w:r w:rsidR="00C04078" w:rsidRPr="00FF6DBF">
        <w:rPr>
          <w:color w:val="auto"/>
          <w:sz w:val="20"/>
          <w:szCs w:val="20"/>
          <w:lang w:val="pt-BR"/>
        </w:rPr>
        <w:t>medida cautelar para suspender a libertação enquanto não julgados os recursos, e ao Supremo Tribunal Federal a suspensão da decisão que libertou os réus. Todos os recursos e cautelares foram rejeitados pelas instâncias superiores, que entenderam não haver fundamentos para a prisão preventiva naquele momento.</w:t>
      </w:r>
    </w:p>
    <w:p w14:paraId="06504FD7" w14:textId="44E7F2FC" w:rsidR="00114618" w:rsidRPr="00FF6DBF" w:rsidRDefault="001923AA"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Com base nas conclusões alcançadas </w:t>
      </w:r>
      <w:r w:rsidR="00CF29CC" w:rsidRPr="00FF6DBF">
        <w:rPr>
          <w:color w:val="auto"/>
          <w:sz w:val="20"/>
          <w:szCs w:val="20"/>
          <w:lang w:val="pt-BR"/>
        </w:rPr>
        <w:t>pel</w:t>
      </w:r>
      <w:r w:rsidRPr="00FF6DBF">
        <w:rPr>
          <w:color w:val="auto"/>
          <w:sz w:val="20"/>
          <w:szCs w:val="20"/>
          <w:lang w:val="pt-BR"/>
        </w:rPr>
        <w:t xml:space="preserve">a investigação </w:t>
      </w:r>
      <w:r w:rsidR="00CF29CC" w:rsidRPr="00FF6DBF">
        <w:rPr>
          <w:color w:val="auto"/>
          <w:sz w:val="20"/>
          <w:szCs w:val="20"/>
          <w:lang w:val="pt-BR"/>
        </w:rPr>
        <w:t>policial</w:t>
      </w:r>
      <w:r w:rsidRPr="00FF6DBF">
        <w:rPr>
          <w:color w:val="auto"/>
          <w:sz w:val="20"/>
          <w:szCs w:val="20"/>
          <w:lang w:val="pt-BR"/>
        </w:rPr>
        <w:t xml:space="preserve">, </w:t>
      </w:r>
      <w:r w:rsidR="00CF29CC" w:rsidRPr="00FF6DBF">
        <w:rPr>
          <w:color w:val="auto"/>
          <w:sz w:val="20"/>
          <w:szCs w:val="20"/>
          <w:lang w:val="pt-BR"/>
        </w:rPr>
        <w:t xml:space="preserve">em 2 de abril de 2013 </w:t>
      </w:r>
      <w:r w:rsidRPr="00FF6DBF">
        <w:rPr>
          <w:color w:val="auto"/>
          <w:sz w:val="20"/>
          <w:szCs w:val="20"/>
          <w:lang w:val="pt-BR"/>
        </w:rPr>
        <w:t>o Ministério Público ajuizou a Ação Penal 027/2130000696-7 contra oito acusados</w:t>
      </w:r>
      <w:r w:rsidR="009314DF" w:rsidRPr="00FF6DBF">
        <w:rPr>
          <w:color w:val="auto"/>
          <w:sz w:val="20"/>
          <w:szCs w:val="20"/>
          <w:lang w:val="pt-BR"/>
        </w:rPr>
        <w:t>. O</w:t>
      </w:r>
      <w:r w:rsidRPr="00FF6DBF">
        <w:rPr>
          <w:color w:val="auto"/>
          <w:sz w:val="20"/>
          <w:szCs w:val="20"/>
          <w:lang w:val="pt-BR"/>
        </w:rPr>
        <w:t>s sócios da boate Kiss Elissandro Calegaro Spohr e Mauro Londero Hoffmann</w:t>
      </w:r>
      <w:r w:rsidR="009314DF" w:rsidRPr="00FF6DBF">
        <w:rPr>
          <w:color w:val="auto"/>
          <w:sz w:val="20"/>
          <w:szCs w:val="20"/>
          <w:lang w:val="pt-BR"/>
        </w:rPr>
        <w:t xml:space="preserve"> e</w:t>
      </w:r>
      <w:r w:rsidRPr="00FF6DBF">
        <w:rPr>
          <w:color w:val="auto"/>
          <w:sz w:val="20"/>
          <w:szCs w:val="20"/>
          <w:lang w:val="pt-BR"/>
        </w:rPr>
        <w:t xml:space="preserve"> os integrantes da banda Gurizada Fandangueira Marcelo de Jesus dos Santos e Luciano Augusto Bonilha Leão foram acusados </w:t>
      </w:r>
      <w:r w:rsidR="009314DF" w:rsidRPr="00FF6DBF">
        <w:rPr>
          <w:color w:val="auto"/>
          <w:sz w:val="20"/>
          <w:szCs w:val="20"/>
          <w:lang w:val="pt-BR"/>
        </w:rPr>
        <w:t>pelos crimes de</w:t>
      </w:r>
      <w:r w:rsidRPr="00FF6DBF">
        <w:rPr>
          <w:color w:val="auto"/>
          <w:sz w:val="20"/>
          <w:szCs w:val="20"/>
          <w:lang w:val="pt-BR"/>
        </w:rPr>
        <w:t xml:space="preserve"> homicídios e tentativas de homicídios praticados com dolo eventual, qualificados</w:t>
      </w:r>
      <w:r w:rsidR="009314DF" w:rsidRPr="00FF6DBF">
        <w:rPr>
          <w:color w:val="auto"/>
          <w:sz w:val="20"/>
          <w:szCs w:val="20"/>
          <w:lang w:val="pt-BR"/>
        </w:rPr>
        <w:t xml:space="preserve"> </w:t>
      </w:r>
      <w:r w:rsidRPr="00FF6DBF">
        <w:rPr>
          <w:color w:val="auto"/>
          <w:sz w:val="20"/>
          <w:szCs w:val="20"/>
          <w:lang w:val="pt-BR"/>
        </w:rPr>
        <w:t>p</w:t>
      </w:r>
      <w:r w:rsidR="009314DF" w:rsidRPr="00FF6DBF">
        <w:rPr>
          <w:color w:val="auto"/>
          <w:sz w:val="20"/>
          <w:szCs w:val="20"/>
          <w:lang w:val="pt-BR"/>
        </w:rPr>
        <w:t>elo emprego de</w:t>
      </w:r>
      <w:r w:rsidRPr="00FF6DBF">
        <w:rPr>
          <w:color w:val="auto"/>
          <w:sz w:val="20"/>
          <w:szCs w:val="20"/>
          <w:lang w:val="pt-BR"/>
        </w:rPr>
        <w:t xml:space="preserve"> fogo, asfixia e torpeza. Os dois sócios da casa noturna foram </w:t>
      </w:r>
      <w:r w:rsidR="009314DF" w:rsidRPr="00FF6DBF">
        <w:rPr>
          <w:color w:val="auto"/>
          <w:sz w:val="20"/>
          <w:szCs w:val="20"/>
          <w:lang w:val="pt-BR"/>
        </w:rPr>
        <w:t xml:space="preserve">considerados responsáveis pelas reformas estruturais na boate que incluíram a instalação da espuma que potencializou o incêndio, pela superlotação e por terem contratado um show pirotécnico sem condições de segurança. Os integrantes da banda foram considerados responsáveis pelo acionamento de fogos de artifício </w:t>
      </w:r>
      <w:r w:rsidR="00D04BD1" w:rsidRPr="00FF6DBF">
        <w:rPr>
          <w:color w:val="auto"/>
          <w:sz w:val="20"/>
          <w:szCs w:val="20"/>
          <w:lang w:val="pt-BR"/>
        </w:rPr>
        <w:t xml:space="preserve">no ambiente fechado da boate, nas proximidades de cortinas, madeira e a espuma mencionada. Os bombeiros Gerson da Rosa Pereira e Renan Severo Berleze, o ex-sócio da boate Kiss Elton Cristiano Uroda e o Sr. Volmir Astor Panzer (funcionário do pai de Elissandro Spohr, Eliseo Jorge Spohr) foram denunciados por fraude processual e falso testemunho. </w:t>
      </w:r>
      <w:r w:rsidRPr="00FF6DBF">
        <w:rPr>
          <w:color w:val="auto"/>
          <w:sz w:val="20"/>
          <w:szCs w:val="20"/>
          <w:lang w:val="pt-BR"/>
        </w:rPr>
        <w:t xml:space="preserve">Por outro lado, o Ministério Público concluiu que não havia indícios de que </w:t>
      </w:r>
      <w:r w:rsidR="00D04BD1" w:rsidRPr="00FF6DBF">
        <w:rPr>
          <w:color w:val="auto"/>
          <w:sz w:val="20"/>
          <w:szCs w:val="20"/>
          <w:lang w:val="pt-BR"/>
        </w:rPr>
        <w:t xml:space="preserve">outros </w:t>
      </w:r>
      <w:r w:rsidRPr="00FF6DBF">
        <w:rPr>
          <w:color w:val="auto"/>
          <w:sz w:val="20"/>
          <w:szCs w:val="20"/>
          <w:lang w:val="pt-BR"/>
        </w:rPr>
        <w:t>agentes públicos praticaram os crimes de homicídio ou outros crimes ligados ao incêndio.</w:t>
      </w:r>
      <w:r w:rsidR="00D04BD1" w:rsidRPr="00FF6DBF">
        <w:rPr>
          <w:color w:val="auto"/>
          <w:sz w:val="20"/>
          <w:szCs w:val="20"/>
          <w:lang w:val="pt-BR"/>
        </w:rPr>
        <w:t xml:space="preserve"> </w:t>
      </w:r>
      <w:r w:rsidR="00CF29CC" w:rsidRPr="00FF6DBF">
        <w:rPr>
          <w:color w:val="auto"/>
          <w:sz w:val="20"/>
          <w:szCs w:val="20"/>
          <w:lang w:val="pt-BR"/>
        </w:rPr>
        <w:t>O Ministério Público também solicitou o arquivamento em relação a outras pessoas indiciadas pela Polícia Civil por razões como falta de provas, condutas alheias ao incêndio, erros de caracterização.</w:t>
      </w:r>
    </w:p>
    <w:p w14:paraId="1BBEC0B1" w14:textId="54D90044" w:rsidR="00BB4089" w:rsidRPr="00FF6DBF" w:rsidRDefault="00D04BD1" w:rsidP="00BF5F78">
      <w:pPr>
        <w:pStyle w:val="ListParagraph"/>
        <w:numPr>
          <w:ilvl w:val="0"/>
          <w:numId w:val="55"/>
        </w:numPr>
        <w:spacing w:before="240" w:after="240"/>
        <w:ind w:left="0" w:firstLine="720"/>
        <w:jc w:val="both"/>
        <w:rPr>
          <w:color w:val="auto"/>
          <w:sz w:val="20"/>
          <w:szCs w:val="20"/>
          <w:lang w:val="pt-BR"/>
        </w:rPr>
      </w:pPr>
      <w:bookmarkStart w:id="2" w:name="_Hlk164273376"/>
      <w:r w:rsidRPr="00FF6DBF">
        <w:rPr>
          <w:color w:val="auto"/>
          <w:sz w:val="20"/>
          <w:szCs w:val="20"/>
          <w:lang w:val="pt-BR"/>
        </w:rPr>
        <w:t xml:space="preserve">O prefeito de Santa Maria à época, Sr. Cezar Schirmer, tinha sido mencionado pelo relatório final do inquérito policial como possível responsável por omissão por ter demonstrado desconhecer a burocracia municipal que fiscaliza e autoriza estabelecimentos como a boate Kiss. O Ministério Público, contudo, considerou que isso não era suficiente para uma responsabilização de tipo penal, </w:t>
      </w:r>
      <w:bookmarkEnd w:id="2"/>
      <w:r w:rsidRPr="00FF6DBF">
        <w:rPr>
          <w:color w:val="auto"/>
          <w:sz w:val="20"/>
          <w:szCs w:val="20"/>
          <w:lang w:val="pt-BR"/>
        </w:rPr>
        <w:t xml:space="preserve">tendo também levado em consideração, </w:t>
      </w:r>
      <w:r w:rsidRPr="00FF6DBF">
        <w:rPr>
          <w:i/>
          <w:iCs/>
          <w:color w:val="auto"/>
          <w:sz w:val="20"/>
          <w:szCs w:val="20"/>
          <w:lang w:val="pt-BR"/>
        </w:rPr>
        <w:t>inter alia</w:t>
      </w:r>
      <w:r w:rsidRPr="00FF6DBF">
        <w:rPr>
          <w:color w:val="auto"/>
          <w:sz w:val="20"/>
          <w:szCs w:val="20"/>
          <w:lang w:val="pt-BR"/>
        </w:rPr>
        <w:t xml:space="preserve">, que </w:t>
      </w:r>
      <w:r w:rsidRPr="00FF6DBF">
        <w:rPr>
          <w:rFonts w:ascii="Times New Roman" w:eastAsia="Arial Unicode MS" w:hAnsi="Times New Roman" w:cs="Times New Roman"/>
          <w:color w:val="auto"/>
          <w:sz w:val="20"/>
          <w:szCs w:val="20"/>
          <w:lang w:val="pt-BR" w:eastAsia="en-US"/>
        </w:rPr>
        <w:t>a</w:t>
      </w:r>
      <w:r w:rsidR="001923AA" w:rsidRPr="00FF6DBF">
        <w:rPr>
          <w:color w:val="auto"/>
          <w:sz w:val="20"/>
          <w:szCs w:val="20"/>
          <w:lang w:val="pt-BR"/>
        </w:rPr>
        <w:t xml:space="preserve"> expiração do prazo de validade do alvará de prevenção e proteção contra incêndio</w:t>
      </w:r>
      <w:r w:rsidRPr="00FF6DBF">
        <w:rPr>
          <w:color w:val="auto"/>
          <w:sz w:val="20"/>
          <w:szCs w:val="20"/>
          <w:lang w:val="pt-BR"/>
        </w:rPr>
        <w:t xml:space="preserve"> relativo à boa Kiss</w:t>
      </w:r>
      <w:r w:rsidR="001923AA" w:rsidRPr="00FF6DBF">
        <w:rPr>
          <w:color w:val="auto"/>
          <w:sz w:val="20"/>
          <w:szCs w:val="20"/>
          <w:lang w:val="pt-BR"/>
        </w:rPr>
        <w:t xml:space="preserve">, a cargo do Corpo de Bombeiros, não foi comunicada a nenhum órgão administrativo municipal. </w:t>
      </w:r>
      <w:r w:rsidRPr="00FF6DBF">
        <w:rPr>
          <w:color w:val="auto"/>
          <w:sz w:val="20"/>
          <w:szCs w:val="20"/>
          <w:lang w:val="pt-BR"/>
        </w:rPr>
        <w:t>Assim, o Ministério Público pronunciou-se pelo arquivamento da investigação em relação ao prefeito.</w:t>
      </w:r>
      <w:r w:rsidR="00114618" w:rsidRPr="00FF6DBF">
        <w:rPr>
          <w:color w:val="auto"/>
          <w:sz w:val="20"/>
          <w:szCs w:val="20"/>
          <w:lang w:val="pt-BR"/>
        </w:rPr>
        <w:t xml:space="preserve"> Antes de decidir sobre o arquivamento, a 4ª Câmara Criminal do Tribunal de Justiça do Rio Grande do Sul</w:t>
      </w:r>
      <w:r w:rsidR="00CF29CC" w:rsidRPr="00FF6DBF">
        <w:rPr>
          <w:color w:val="auto"/>
          <w:sz w:val="20"/>
          <w:szCs w:val="20"/>
          <w:lang w:val="pt-BR"/>
        </w:rPr>
        <w:t xml:space="preserve"> (TJRS)</w:t>
      </w:r>
      <w:r w:rsidR="00114618" w:rsidRPr="00FF6DBF">
        <w:rPr>
          <w:color w:val="auto"/>
          <w:sz w:val="20"/>
          <w:szCs w:val="20"/>
          <w:lang w:val="pt-BR"/>
        </w:rPr>
        <w:t xml:space="preserve"> encaminhou o processo ao Procurador-Geral de Justiça, que ratificou a manifestação do Ministério Público. Diante disso, a 4ª Câmara Criminal determinou, por unanimidade, o arquivamento por falta de justa causa para propositura de ação penal.</w:t>
      </w:r>
      <w:r w:rsidR="00BB4089" w:rsidRPr="00FF6DBF">
        <w:rPr>
          <w:color w:val="auto"/>
          <w:sz w:val="20"/>
          <w:szCs w:val="20"/>
          <w:lang w:val="pt-BR"/>
        </w:rPr>
        <w:t xml:space="preserve"> </w:t>
      </w:r>
    </w:p>
    <w:p w14:paraId="5990F87C" w14:textId="54403AC1" w:rsidR="003976B6" w:rsidRPr="00FF6DBF" w:rsidRDefault="00FD5CAE"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Durante o</w:t>
      </w:r>
      <w:r w:rsidR="003976B6" w:rsidRPr="00FF6DBF">
        <w:rPr>
          <w:color w:val="auto"/>
          <w:sz w:val="20"/>
          <w:szCs w:val="20"/>
          <w:lang w:val="pt-BR"/>
        </w:rPr>
        <w:t xml:space="preserve"> processo penal foram realizadas 64 audiências e ouvidas 215 pessoas, entre vítimas sobreviventes, testemunhas e peritos, além dos interrogatórios de réus. O Estado argumenta que esse fato revela, por si, a complexidade do processo. Além disso, informa que o processo contou com a participação do Ministério Público, da defesa dos réus, bem como da participação da Associação das Vítimas e Sobreviventes da Tragédia de Santa Maria (AVTSM) e de algumas vítimas sobreviventes e familiares de outras falecidas, com a concordância do Ministério Público, na condição legal de assistentes de acusação.</w:t>
      </w:r>
    </w:p>
    <w:p w14:paraId="7842BA9D" w14:textId="77777777" w:rsidR="00734C7B" w:rsidRPr="00FF6DBF" w:rsidRDefault="001923AA"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Em 27 de julho de 2016, o juiz</w:t>
      </w:r>
      <w:r w:rsidR="00D55949" w:rsidRPr="00FF6DBF">
        <w:rPr>
          <w:color w:val="auto"/>
          <w:sz w:val="20"/>
          <w:szCs w:val="20"/>
          <w:lang w:val="pt-BR"/>
        </w:rPr>
        <w:t xml:space="preserve"> da 1ª Vara Criminal da Comarca de Santa Maria</w:t>
      </w:r>
      <w:r w:rsidRPr="00FF6DBF">
        <w:rPr>
          <w:color w:val="auto"/>
          <w:sz w:val="20"/>
          <w:szCs w:val="20"/>
          <w:lang w:val="pt-BR"/>
        </w:rPr>
        <w:t xml:space="preserve"> decidiu pela pronúncia</w:t>
      </w:r>
      <w:r w:rsidR="00D55949" w:rsidRPr="00FF6DBF">
        <w:rPr>
          <w:rStyle w:val="FootnoteReference"/>
          <w:color w:val="auto"/>
          <w:sz w:val="20"/>
          <w:szCs w:val="20"/>
          <w:lang w:val="pt-BR"/>
        </w:rPr>
        <w:footnoteReference w:id="7"/>
      </w:r>
      <w:r w:rsidRPr="00FF6DBF">
        <w:rPr>
          <w:color w:val="auto"/>
          <w:sz w:val="20"/>
          <w:szCs w:val="20"/>
          <w:lang w:val="pt-BR"/>
        </w:rPr>
        <w:t xml:space="preserve"> dos quatro réus acusados de homicídios e tentativas de homicídios, nos exatos termos da denúncia do Ministério Público. As defesas dos quatro processados </w:t>
      </w:r>
      <w:r w:rsidR="00480C9D" w:rsidRPr="00FF6DBF">
        <w:rPr>
          <w:color w:val="auto"/>
          <w:sz w:val="20"/>
          <w:szCs w:val="20"/>
          <w:lang w:val="pt-BR"/>
        </w:rPr>
        <w:t>recorreram</w:t>
      </w:r>
      <w:r w:rsidRPr="00FF6DBF">
        <w:rPr>
          <w:color w:val="auto"/>
          <w:sz w:val="20"/>
          <w:szCs w:val="20"/>
          <w:lang w:val="pt-BR"/>
        </w:rPr>
        <w:t xml:space="preserve"> </w:t>
      </w:r>
      <w:r w:rsidR="00480C9D" w:rsidRPr="00FF6DBF">
        <w:rPr>
          <w:color w:val="auto"/>
          <w:sz w:val="20"/>
          <w:szCs w:val="20"/>
          <w:lang w:val="pt-BR"/>
        </w:rPr>
        <w:t xml:space="preserve">da decisão </w:t>
      </w:r>
      <w:r w:rsidRPr="00FF6DBF">
        <w:rPr>
          <w:color w:val="auto"/>
          <w:sz w:val="20"/>
          <w:szCs w:val="20"/>
          <w:lang w:val="pt-BR"/>
        </w:rPr>
        <w:t xml:space="preserve">ao </w:t>
      </w:r>
      <w:r w:rsidR="00480C9D" w:rsidRPr="00FF6DBF">
        <w:rPr>
          <w:color w:val="auto"/>
          <w:sz w:val="20"/>
          <w:szCs w:val="20"/>
          <w:lang w:val="pt-BR"/>
        </w:rPr>
        <w:t>TJRS, por meio dos chamados recursos em sentido estrito</w:t>
      </w:r>
      <w:r w:rsidRPr="00FF6DBF">
        <w:rPr>
          <w:color w:val="auto"/>
          <w:sz w:val="20"/>
          <w:szCs w:val="20"/>
          <w:lang w:val="pt-BR"/>
        </w:rPr>
        <w:t xml:space="preserve">. Em 30 de novembro de 2016, a Procuradoria de Justiça Criminal emitiu parecer pela manutenção da pronúncia. </w:t>
      </w:r>
    </w:p>
    <w:p w14:paraId="5A01008F" w14:textId="77777777" w:rsidR="00734C7B" w:rsidRPr="00FF6DBF" w:rsidRDefault="001923AA"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lastRenderedPageBreak/>
        <w:t xml:space="preserve">No dia 22 de março de 2017, por dois votos a um, a 1ª Câmara Criminal do </w:t>
      </w:r>
      <w:r w:rsidR="00480C9D" w:rsidRPr="00FF6DBF">
        <w:rPr>
          <w:color w:val="auto"/>
          <w:sz w:val="20"/>
          <w:szCs w:val="20"/>
          <w:lang w:val="pt-BR"/>
        </w:rPr>
        <w:t>TJRS</w:t>
      </w:r>
      <w:r w:rsidRPr="00FF6DBF">
        <w:rPr>
          <w:color w:val="auto"/>
          <w:sz w:val="20"/>
          <w:szCs w:val="20"/>
          <w:lang w:val="pt-BR"/>
        </w:rPr>
        <w:t xml:space="preserve"> manteve a pronúncia dos dois sócios fáticos da Boate Kiss</w:t>
      </w:r>
      <w:r w:rsidR="00BB4089" w:rsidRPr="00FF6DBF">
        <w:rPr>
          <w:color w:val="auto"/>
          <w:sz w:val="20"/>
          <w:szCs w:val="20"/>
          <w:lang w:val="pt-BR"/>
        </w:rPr>
        <w:t>,</w:t>
      </w:r>
      <w:r w:rsidRPr="00FF6DBF">
        <w:rPr>
          <w:color w:val="auto"/>
          <w:sz w:val="20"/>
          <w:szCs w:val="20"/>
          <w:lang w:val="pt-BR"/>
        </w:rPr>
        <w:t xml:space="preserve"> Elissandro Calegaro Spohr e Mauro Londero Hoffmann</w:t>
      </w:r>
      <w:r w:rsidR="00BB4089" w:rsidRPr="00FF6DBF">
        <w:rPr>
          <w:color w:val="auto"/>
          <w:sz w:val="20"/>
          <w:szCs w:val="20"/>
          <w:lang w:val="pt-BR"/>
        </w:rPr>
        <w:t>,</w:t>
      </w:r>
      <w:r w:rsidRPr="00FF6DBF">
        <w:rPr>
          <w:color w:val="auto"/>
          <w:sz w:val="20"/>
          <w:szCs w:val="20"/>
          <w:lang w:val="pt-BR"/>
        </w:rPr>
        <w:t xml:space="preserve"> e dos dois integrantes da banda Gurizada Fandangueira</w:t>
      </w:r>
      <w:r w:rsidR="00BB4089" w:rsidRPr="00FF6DBF">
        <w:rPr>
          <w:color w:val="auto"/>
          <w:sz w:val="20"/>
          <w:szCs w:val="20"/>
          <w:lang w:val="pt-BR"/>
        </w:rPr>
        <w:t>,</w:t>
      </w:r>
      <w:r w:rsidRPr="00FF6DBF">
        <w:rPr>
          <w:color w:val="auto"/>
          <w:sz w:val="20"/>
          <w:szCs w:val="20"/>
          <w:lang w:val="pt-BR"/>
        </w:rPr>
        <w:t xml:space="preserve"> Marcelo de Jesus dos Santos e Luciano Augusto Bonilha Leão</w:t>
      </w:r>
      <w:r w:rsidR="00BB4089" w:rsidRPr="00FF6DBF">
        <w:rPr>
          <w:color w:val="auto"/>
          <w:sz w:val="20"/>
          <w:szCs w:val="20"/>
          <w:lang w:val="pt-BR"/>
        </w:rPr>
        <w:t>,</w:t>
      </w:r>
      <w:r w:rsidRPr="00FF6DBF">
        <w:rPr>
          <w:color w:val="auto"/>
          <w:sz w:val="20"/>
          <w:szCs w:val="20"/>
          <w:lang w:val="pt-BR"/>
        </w:rPr>
        <w:t xml:space="preserve"> pelo homicídio de 242 pessoas e pela tentativa de homicídio de outras 636</w:t>
      </w:r>
      <w:r w:rsidR="00D55949" w:rsidRPr="00FF6DBF">
        <w:rPr>
          <w:color w:val="auto"/>
          <w:sz w:val="20"/>
          <w:szCs w:val="20"/>
          <w:lang w:val="pt-BR"/>
        </w:rPr>
        <w:t xml:space="preserve"> pessoas</w:t>
      </w:r>
      <w:r w:rsidRPr="00FF6DBF">
        <w:rPr>
          <w:color w:val="auto"/>
          <w:sz w:val="20"/>
          <w:szCs w:val="20"/>
          <w:lang w:val="pt-BR"/>
        </w:rPr>
        <w:t xml:space="preserve">. </w:t>
      </w:r>
      <w:r w:rsidR="00BB4089" w:rsidRPr="00FF6DBF">
        <w:rPr>
          <w:color w:val="auto"/>
          <w:sz w:val="20"/>
          <w:szCs w:val="20"/>
          <w:lang w:val="pt-BR"/>
        </w:rPr>
        <w:t>O Tribunal também manteve o entendimento de que os crimes foram cometidos com dolo eventual</w:t>
      </w:r>
      <w:r w:rsidR="00480C9D" w:rsidRPr="00FF6DBF">
        <w:rPr>
          <w:rStyle w:val="FootnoteReference"/>
          <w:color w:val="auto"/>
          <w:sz w:val="20"/>
          <w:szCs w:val="20"/>
          <w:lang w:val="pt-BR"/>
        </w:rPr>
        <w:footnoteReference w:id="8"/>
      </w:r>
      <w:r w:rsidR="00BB4089" w:rsidRPr="00FF6DBF">
        <w:rPr>
          <w:color w:val="auto"/>
          <w:sz w:val="20"/>
          <w:szCs w:val="20"/>
          <w:lang w:val="pt-BR"/>
        </w:rPr>
        <w:t>. Em decisão por maioria, porém, os desembargadores do Tribunal decidiram excluir as qualificadoras</w:t>
      </w:r>
      <w:r w:rsidR="00480C9D" w:rsidRPr="00FF6DBF">
        <w:rPr>
          <w:rStyle w:val="FootnoteReference"/>
          <w:color w:val="auto"/>
          <w:sz w:val="20"/>
          <w:szCs w:val="20"/>
          <w:lang w:val="pt-BR"/>
        </w:rPr>
        <w:footnoteReference w:id="9"/>
      </w:r>
      <w:r w:rsidR="00BB4089" w:rsidRPr="00FF6DBF">
        <w:rPr>
          <w:color w:val="auto"/>
          <w:sz w:val="20"/>
          <w:szCs w:val="20"/>
          <w:lang w:val="pt-BR"/>
        </w:rPr>
        <w:t xml:space="preserve"> arguidas pelo Ministério Público. </w:t>
      </w:r>
    </w:p>
    <w:p w14:paraId="44E8C046" w14:textId="32FE1F3C" w:rsidR="00480C9D" w:rsidRPr="00FF6DBF" w:rsidRDefault="00480C9D"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Em 1 de dezembro de 2017, contudo, em face de recursos dos réus, o 1° Grupo Criminal do TJRS decidiu reverter as decisões anteriores e entendeu que não havia elementos suficientes para submeter os réus ao julgamento perante o Tribunal do Júri, cuja competência abrange somente os crimes </w:t>
      </w:r>
      <w:r w:rsidRPr="00FF6DBF">
        <w:rPr>
          <w:i/>
          <w:iCs/>
          <w:color w:val="auto"/>
          <w:sz w:val="20"/>
          <w:szCs w:val="20"/>
          <w:lang w:val="pt-BR"/>
        </w:rPr>
        <w:t>dolosos</w:t>
      </w:r>
      <w:r w:rsidRPr="00FF6DBF">
        <w:rPr>
          <w:color w:val="auto"/>
          <w:sz w:val="20"/>
          <w:szCs w:val="20"/>
          <w:lang w:val="pt-BR"/>
        </w:rPr>
        <w:t xml:space="preserve"> contra a vida.</w:t>
      </w:r>
    </w:p>
    <w:p w14:paraId="7841DBE7" w14:textId="77777777" w:rsidR="00734C7B" w:rsidRPr="00FF6DBF" w:rsidRDefault="003976B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Em 8 de janeiro de 2018, a Procuradoria de Recursos do MP apresentou recurso contra a decisão do 1º Grupo Criminal do TJRS sob o argumento principal de que a decisão deixou de considerar que, comprovada a materialidade e existindo indícios suficientes da autoria, é imperativa a pronúncia dos réus para que sejam submetidos a julgamento perante o Tribunal do Júri. Após a tramitação do recurso na forma de recurso especial ao STJ, os autos foram enviados a este tribunal de terceira instância. </w:t>
      </w:r>
    </w:p>
    <w:p w14:paraId="63615BF0" w14:textId="737F5DE4" w:rsidR="003976B6" w:rsidRPr="00FF6DBF" w:rsidRDefault="003976B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Em 18 de junho de 2019, </w:t>
      </w:r>
      <w:r w:rsidR="001923AA" w:rsidRPr="00FF6DBF">
        <w:rPr>
          <w:color w:val="auto"/>
          <w:sz w:val="20"/>
          <w:szCs w:val="20"/>
          <w:lang w:val="pt-BR"/>
        </w:rPr>
        <w:t xml:space="preserve">a 6ª </w:t>
      </w:r>
      <w:r w:rsidR="008021CB" w:rsidRPr="00FF6DBF">
        <w:rPr>
          <w:color w:val="auto"/>
          <w:sz w:val="20"/>
          <w:szCs w:val="20"/>
          <w:lang w:val="pt-BR"/>
        </w:rPr>
        <w:t>T</w:t>
      </w:r>
      <w:r w:rsidR="001923AA" w:rsidRPr="00FF6DBF">
        <w:rPr>
          <w:color w:val="auto"/>
          <w:sz w:val="20"/>
          <w:szCs w:val="20"/>
          <w:lang w:val="pt-BR"/>
        </w:rPr>
        <w:t xml:space="preserve">urma do </w:t>
      </w:r>
      <w:r w:rsidR="001A64CA" w:rsidRPr="00FF6DBF">
        <w:rPr>
          <w:color w:val="auto"/>
          <w:sz w:val="20"/>
          <w:szCs w:val="20"/>
          <w:lang w:val="pt-BR"/>
        </w:rPr>
        <w:t>STJ</w:t>
      </w:r>
      <w:r w:rsidRPr="00FF6DBF">
        <w:rPr>
          <w:color w:val="auto"/>
          <w:sz w:val="20"/>
          <w:szCs w:val="20"/>
          <w:lang w:val="pt-BR"/>
        </w:rPr>
        <w:t xml:space="preserve"> acolheu o recurso especial e</w:t>
      </w:r>
      <w:r w:rsidR="001923AA" w:rsidRPr="00FF6DBF">
        <w:rPr>
          <w:color w:val="auto"/>
          <w:sz w:val="20"/>
          <w:szCs w:val="20"/>
          <w:lang w:val="pt-BR"/>
        </w:rPr>
        <w:t xml:space="preserve"> decidiu por unanimidade que os quatro acusados pelo incêndio na Boate Kiss seriam julgados pelo Tribunal do Júri.</w:t>
      </w:r>
      <w:r w:rsidR="008021CB" w:rsidRPr="00FF6DBF">
        <w:rPr>
          <w:color w:val="auto"/>
          <w:sz w:val="20"/>
          <w:szCs w:val="20"/>
          <w:lang w:val="pt-BR"/>
        </w:rPr>
        <w:t xml:space="preserve"> D</w:t>
      </w:r>
      <w:r w:rsidR="001923AA" w:rsidRPr="00FF6DBF">
        <w:rPr>
          <w:color w:val="auto"/>
          <w:sz w:val="20"/>
          <w:szCs w:val="20"/>
          <w:lang w:val="pt-BR"/>
        </w:rPr>
        <w:t>efinida a data do julgamento, o Tribunal de Justiça iniciou a preparação para a realização do júri em Porto Alegre</w:t>
      </w:r>
      <w:r w:rsidR="008021CB" w:rsidRPr="00FF6DBF">
        <w:rPr>
          <w:color w:val="auto"/>
          <w:sz w:val="20"/>
          <w:szCs w:val="20"/>
          <w:lang w:val="pt-BR"/>
        </w:rPr>
        <w:t xml:space="preserve">, o que envolveu um trabalho de vários meses realizado por centenas de servidores públicos de vários setores diferentes. </w:t>
      </w:r>
    </w:p>
    <w:p w14:paraId="16AB5A89" w14:textId="7692E9FA" w:rsidR="001923AA" w:rsidRPr="00FF6DBF" w:rsidRDefault="003976B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Em 10 de dezembro de 2021, o</w:t>
      </w:r>
      <w:r w:rsidR="001923AA" w:rsidRPr="00FF6DBF">
        <w:rPr>
          <w:color w:val="auto"/>
          <w:sz w:val="20"/>
          <w:szCs w:val="20"/>
          <w:lang w:val="pt-BR"/>
        </w:rPr>
        <w:t xml:space="preserve"> julgamento foi transmitido na íntegra por meio do YouTube, com cerca de 6 milhões de </w:t>
      </w:r>
      <w:r w:rsidR="008021CB" w:rsidRPr="00FF6DBF">
        <w:rPr>
          <w:color w:val="auto"/>
          <w:sz w:val="20"/>
          <w:szCs w:val="20"/>
          <w:lang w:val="pt-BR"/>
        </w:rPr>
        <w:t xml:space="preserve">visualizações. </w:t>
      </w:r>
      <w:r w:rsidRPr="00FF6DBF">
        <w:rPr>
          <w:color w:val="auto"/>
          <w:sz w:val="20"/>
          <w:szCs w:val="20"/>
          <w:lang w:val="pt-BR"/>
        </w:rPr>
        <w:t>O</w:t>
      </w:r>
      <w:r w:rsidR="001923AA" w:rsidRPr="00FF6DBF">
        <w:rPr>
          <w:color w:val="auto"/>
          <w:sz w:val="20"/>
          <w:szCs w:val="20"/>
          <w:lang w:val="pt-BR"/>
        </w:rPr>
        <w:t xml:space="preserve">s quatro réus foram condenados. As penas fixadas foram as seguintes: Elissandro Callegaro Spohr (sócio da boate), 22 anos e 6 meses de reclusão em regime inicial fechado; Mauro Londero Hoffmann (sócio da boate), 19 anos e 6 meses de reclusão em regime inicial fechado; Luciano Bonilha Leão (produtor da banda), 18 anos de reclusão em regime inicial fechado; e Marcelo de Jesus dos Santos (vocalista da banda), 18 anos de reclusão em regime inicial fechado. </w:t>
      </w:r>
      <w:r w:rsidR="008021CB" w:rsidRPr="00FF6DBF">
        <w:rPr>
          <w:color w:val="auto"/>
          <w:sz w:val="20"/>
          <w:szCs w:val="20"/>
          <w:lang w:val="pt-BR"/>
        </w:rPr>
        <w:t xml:space="preserve">Em seu escrito de junho de 2022, o Estado informou que os quatro condenados estavam presos, e que o processo </w:t>
      </w:r>
      <w:r w:rsidRPr="00FF6DBF">
        <w:rPr>
          <w:color w:val="auto"/>
          <w:sz w:val="20"/>
          <w:szCs w:val="20"/>
          <w:lang w:val="pt-BR"/>
        </w:rPr>
        <w:t>se encontrava</w:t>
      </w:r>
      <w:r w:rsidR="008021CB" w:rsidRPr="00FF6DBF">
        <w:rPr>
          <w:color w:val="auto"/>
          <w:sz w:val="20"/>
          <w:szCs w:val="20"/>
          <w:lang w:val="pt-BR"/>
        </w:rPr>
        <w:t xml:space="preserve"> em fase de recurso junto ao </w:t>
      </w:r>
      <w:r w:rsidRPr="00FF6DBF">
        <w:rPr>
          <w:color w:val="auto"/>
          <w:sz w:val="20"/>
          <w:szCs w:val="20"/>
          <w:lang w:val="pt-BR"/>
        </w:rPr>
        <w:t>TJRS.</w:t>
      </w:r>
      <w:r w:rsidR="001923AA" w:rsidRPr="00FF6DBF">
        <w:rPr>
          <w:color w:val="auto"/>
          <w:sz w:val="20"/>
          <w:szCs w:val="20"/>
          <w:lang w:val="pt-BR"/>
        </w:rPr>
        <w:t xml:space="preserve"> </w:t>
      </w:r>
    </w:p>
    <w:p w14:paraId="745D428D" w14:textId="2BF581B4" w:rsidR="008021CB" w:rsidRPr="00FF6DBF" w:rsidRDefault="00DA2CF5" w:rsidP="008021CB">
      <w:pPr>
        <w:pStyle w:val="ListParagraph"/>
        <w:spacing w:before="240" w:after="240"/>
        <w:jc w:val="both"/>
        <w:rPr>
          <w:i/>
          <w:iCs/>
          <w:color w:val="auto"/>
          <w:sz w:val="20"/>
          <w:szCs w:val="20"/>
          <w:lang w:val="pt-BR"/>
        </w:rPr>
      </w:pPr>
      <w:bookmarkStart w:id="3" w:name="_Hlk165472294"/>
      <w:bookmarkEnd w:id="1"/>
      <w:r w:rsidRPr="00FF6DBF">
        <w:rPr>
          <w:i/>
          <w:iCs/>
          <w:color w:val="auto"/>
          <w:sz w:val="20"/>
          <w:szCs w:val="20"/>
          <w:lang w:val="pt-BR"/>
        </w:rPr>
        <w:t>Outros processos penais</w:t>
      </w:r>
    </w:p>
    <w:p w14:paraId="24F4F386" w14:textId="7736B043" w:rsidR="008021CB" w:rsidRPr="00FF6DBF" w:rsidRDefault="00FD5CAE"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O Estado também indica que</w:t>
      </w:r>
      <w:r w:rsidR="008021CB" w:rsidRPr="00FF6DBF">
        <w:rPr>
          <w:color w:val="auto"/>
          <w:sz w:val="20"/>
          <w:szCs w:val="20"/>
          <w:lang w:val="pt-BR"/>
        </w:rPr>
        <w:t xml:space="preserve"> a</w:t>
      </w:r>
      <w:r w:rsidR="00D9208D" w:rsidRPr="00FF6DBF">
        <w:rPr>
          <w:color w:val="auto"/>
          <w:sz w:val="20"/>
          <w:szCs w:val="20"/>
          <w:lang w:val="pt-BR"/>
        </w:rPr>
        <w:t xml:space="preserve"> polícia apontou a prática de fraude processual durante os atos de investigação das causas do incêndio na Boate Kiss. A fraude teria ocorrido quando o comandante do 4º Comando Regional dos Bombeiros de Santa Maria e um bombeiro teriam enviado à polícia documentos que não tinham relação com o Plano de Prevenção e Combate a Incêndios original da boate. Diante da existência de indícios de autoria do crime e após cisões decorrentes da ação penal original, o Ministério Público do Rio Grande do Sul ofereceu duas ações penais</w:t>
      </w:r>
      <w:r w:rsidR="008021CB" w:rsidRPr="00FF6DBF">
        <w:rPr>
          <w:color w:val="auto"/>
          <w:sz w:val="20"/>
          <w:szCs w:val="20"/>
          <w:lang w:val="pt-BR"/>
        </w:rPr>
        <w:t>, processos</w:t>
      </w:r>
      <w:r w:rsidR="00D9208D" w:rsidRPr="00FF6DBF">
        <w:rPr>
          <w:color w:val="auto"/>
          <w:sz w:val="20"/>
          <w:szCs w:val="20"/>
          <w:lang w:val="pt-BR"/>
        </w:rPr>
        <w:t xml:space="preserve"> 027/2130006197-6 e 027/2.14.0000773-6. </w:t>
      </w:r>
    </w:p>
    <w:p w14:paraId="0B98F984" w14:textId="515446EA" w:rsidR="00D708DA" w:rsidRPr="00FF6DBF" w:rsidRDefault="00D9208D"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No âmbito da ação </w:t>
      </w:r>
      <w:r w:rsidR="00307070" w:rsidRPr="00FF6DBF">
        <w:rPr>
          <w:color w:val="auto"/>
          <w:sz w:val="20"/>
          <w:szCs w:val="20"/>
          <w:lang w:val="pt-BR"/>
        </w:rPr>
        <w:t xml:space="preserve">penal </w:t>
      </w:r>
      <w:r w:rsidRPr="00FF6DBF">
        <w:rPr>
          <w:color w:val="auto"/>
          <w:sz w:val="20"/>
          <w:szCs w:val="20"/>
          <w:lang w:val="pt-BR"/>
        </w:rPr>
        <w:t xml:space="preserve">027/2130006197-6, o major do Corpo de Bombeiros Gerson da Rosa Pereira foi condenado a seis meses de detenção pelo delito de fraude em documentos relacionados ao inquérito policial que apurou as causas do incêndio na Boate Kiss, em decisão de 27 de outubro de 2015. A pena foi posteriormente convertida em prestação de serviços à comunidade. O réu apelou da sentença, mas seu recurso foi improvido por decisão de 27 de outubro de 2016. O réu recorreu então ao </w:t>
      </w:r>
      <w:r w:rsidR="001A64CA" w:rsidRPr="00FF6DBF">
        <w:rPr>
          <w:color w:val="auto"/>
          <w:sz w:val="20"/>
          <w:szCs w:val="20"/>
          <w:lang w:val="pt-BR"/>
        </w:rPr>
        <w:t>STJ</w:t>
      </w:r>
      <w:r w:rsidRPr="00FF6DBF">
        <w:rPr>
          <w:color w:val="auto"/>
          <w:sz w:val="20"/>
          <w:szCs w:val="20"/>
          <w:lang w:val="pt-BR"/>
        </w:rPr>
        <w:t xml:space="preserve">, que determinou a substituição </w:t>
      </w:r>
      <w:r w:rsidRPr="00FF6DBF">
        <w:rPr>
          <w:color w:val="auto"/>
          <w:sz w:val="20"/>
          <w:szCs w:val="20"/>
          <w:lang w:val="pt-BR"/>
        </w:rPr>
        <w:lastRenderedPageBreak/>
        <w:t xml:space="preserve">da pena de detenção por pena de multa, assim estabelecida pelo Juízo de 1ª Instância por decisão de 28 de maio de 2018. Finalmente, em 08 de maio de 2019, o Juízo reconheceu a extinção da punibilidade por prescrição. </w:t>
      </w:r>
      <w:r w:rsidR="008021CB" w:rsidRPr="00FF6DBF">
        <w:rPr>
          <w:color w:val="auto"/>
          <w:sz w:val="20"/>
          <w:szCs w:val="20"/>
          <w:lang w:val="pt-BR"/>
        </w:rPr>
        <w:t>N</w:t>
      </w:r>
      <w:r w:rsidRPr="00FF6DBF">
        <w:rPr>
          <w:color w:val="auto"/>
          <w:sz w:val="20"/>
          <w:szCs w:val="20"/>
          <w:lang w:val="pt-BR"/>
        </w:rPr>
        <w:t>o âmbito da ação 027/2.14.0000773-6, o bombeiro Renan Severo Berleze teve extinta sua punibilidade após cumprir todas as condições da suspensão condicional do processo. Com isso, em 22 de fevereiro de 2016, os autos foram definitivamente arquivados</w:t>
      </w:r>
      <w:r w:rsidR="00D708DA" w:rsidRPr="00FF6DBF">
        <w:rPr>
          <w:color w:val="auto"/>
          <w:sz w:val="20"/>
          <w:szCs w:val="20"/>
          <w:lang w:val="pt-BR"/>
        </w:rPr>
        <w:t>.</w:t>
      </w:r>
    </w:p>
    <w:p w14:paraId="23A12C94" w14:textId="77777777" w:rsidR="00DD06C4" w:rsidRDefault="00D9208D"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Além dos bombeiros, o Ministério Público </w:t>
      </w:r>
      <w:r w:rsidR="00D708DA" w:rsidRPr="00FF6DBF">
        <w:rPr>
          <w:color w:val="auto"/>
          <w:sz w:val="20"/>
          <w:szCs w:val="20"/>
          <w:lang w:val="pt-BR"/>
        </w:rPr>
        <w:t>também denunciou</w:t>
      </w:r>
      <w:r w:rsidRPr="00FF6DBF">
        <w:rPr>
          <w:color w:val="auto"/>
          <w:sz w:val="20"/>
          <w:szCs w:val="20"/>
          <w:lang w:val="pt-BR"/>
        </w:rPr>
        <w:t xml:space="preserve"> Elton Cristiano Uroda e Volmir Astor Panzer</w:t>
      </w:r>
      <w:r w:rsidR="00D708DA" w:rsidRPr="00FF6DBF">
        <w:rPr>
          <w:color w:val="auto"/>
          <w:sz w:val="20"/>
          <w:szCs w:val="20"/>
          <w:lang w:val="pt-BR"/>
        </w:rPr>
        <w:t xml:space="preserve"> </w:t>
      </w:r>
      <w:r w:rsidRPr="00FF6DBF">
        <w:rPr>
          <w:color w:val="auto"/>
          <w:sz w:val="20"/>
          <w:szCs w:val="20"/>
          <w:lang w:val="pt-BR"/>
        </w:rPr>
        <w:t>(ação penal 027/2130006199-2). Elton Uroda e Volmir Panzer teriam cometido falso testemunho ao afirmar em depoimentos à Polícia Civil que Eliseo Spohr não era sócio da casa noturna, quando na verdade existiam indicativos de que ele fosse, embora não aparecesse no contrato social.</w:t>
      </w:r>
      <w:r w:rsidR="00D708DA" w:rsidRPr="00FF6DBF">
        <w:rPr>
          <w:color w:val="auto"/>
          <w:sz w:val="20"/>
          <w:szCs w:val="20"/>
          <w:lang w:val="pt-BR"/>
        </w:rPr>
        <w:t xml:space="preserve"> </w:t>
      </w:r>
    </w:p>
    <w:p w14:paraId="0068546F" w14:textId="41D8577D" w:rsidR="00D708DA" w:rsidRPr="00FF6DBF" w:rsidRDefault="00D9208D"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Em 5 de dezembro de 2014, com base em inquérito policial feito pela Polícia Civil (</w:t>
      </w:r>
      <w:r w:rsidR="00D708DA" w:rsidRPr="00FF6DBF">
        <w:rPr>
          <w:color w:val="auto"/>
          <w:sz w:val="20"/>
          <w:szCs w:val="20"/>
          <w:lang w:val="pt-BR"/>
        </w:rPr>
        <w:t xml:space="preserve">inquérito </w:t>
      </w:r>
      <w:r w:rsidRPr="00FF6DBF">
        <w:rPr>
          <w:color w:val="auto"/>
          <w:sz w:val="20"/>
          <w:szCs w:val="20"/>
          <w:lang w:val="pt-BR"/>
        </w:rPr>
        <w:t>027/2.14.0011071-5</w:t>
      </w:r>
      <w:r w:rsidR="00D708DA" w:rsidRPr="00FF6DBF">
        <w:rPr>
          <w:color w:val="auto"/>
          <w:sz w:val="20"/>
          <w:szCs w:val="20"/>
          <w:lang w:val="pt-BR"/>
        </w:rPr>
        <w:t>,</w:t>
      </w:r>
      <w:r w:rsidRPr="00FF6DBF">
        <w:rPr>
          <w:color w:val="auto"/>
          <w:sz w:val="20"/>
          <w:szCs w:val="20"/>
          <w:lang w:val="pt-BR"/>
        </w:rPr>
        <w:t xml:space="preserve"> posterior ao que baseou a ação penal original</w:t>
      </w:r>
      <w:r w:rsidR="00D708DA" w:rsidRPr="00FF6DBF">
        <w:rPr>
          <w:color w:val="auto"/>
          <w:sz w:val="20"/>
          <w:szCs w:val="20"/>
          <w:lang w:val="pt-BR"/>
        </w:rPr>
        <w:t>)</w:t>
      </w:r>
      <w:r w:rsidRPr="00FF6DBF">
        <w:rPr>
          <w:color w:val="auto"/>
          <w:sz w:val="20"/>
          <w:szCs w:val="20"/>
          <w:lang w:val="pt-BR"/>
        </w:rPr>
        <w:t>, houve aditamento</w:t>
      </w:r>
      <w:r w:rsidR="00213F82" w:rsidRPr="00FF6DBF">
        <w:rPr>
          <w:color w:val="auto"/>
          <w:sz w:val="20"/>
          <w:szCs w:val="20"/>
          <w:lang w:val="pt-BR"/>
        </w:rPr>
        <w:t xml:space="preserve"> da denúncia penal</w:t>
      </w:r>
      <w:r w:rsidRPr="00FF6DBF">
        <w:rPr>
          <w:color w:val="auto"/>
          <w:sz w:val="20"/>
          <w:szCs w:val="20"/>
          <w:lang w:val="pt-BR"/>
        </w:rPr>
        <w:t>, com a alteração da acusação de falso testemunho para crime de falsidade ideológica, praticada várias vezes no contrato social da casa noturna e suas alterações. Por esses crimes, ao lado de Elton Uroda e Volmir Panzer, foram incluídas outras oito pessoas. Passaram a ser acusados Elissandro Sphor e Mauro Hoffmann, sócios de fato da boate</w:t>
      </w:r>
      <w:r w:rsidR="00D708DA" w:rsidRPr="00FF6DBF">
        <w:rPr>
          <w:color w:val="auto"/>
          <w:sz w:val="20"/>
          <w:szCs w:val="20"/>
          <w:lang w:val="pt-BR"/>
        </w:rPr>
        <w:t>,</w:t>
      </w:r>
      <w:r w:rsidRPr="00FF6DBF">
        <w:rPr>
          <w:color w:val="auto"/>
          <w:sz w:val="20"/>
          <w:szCs w:val="20"/>
          <w:lang w:val="pt-BR"/>
        </w:rPr>
        <w:t xml:space="preserve"> também acusados pelos homicídios dolosos consumados e tentados, assim como Eliseo Jorge Spohr, Marlene Terezinha Calegaro e Ângela Aurélia Calegaro (pai, mãe e irmã de Elissandro), Cíntia Flores Mutti (sócia formal da boate), Tiago Flores Mutti e Alexandre da Silva Costa (os dois sócios de fato da boate). Além disso, Jáckson Heitor Panzer foi denunciado por falso testemunho porque, em depoimento à Polícia Civil, relatou inverdades sobre protocolo e trâmite administrativo de documentos da Boate Kiss junto à Prefeitura de Santa Maria e acerca da composição societária da casa noturna.</w:t>
      </w:r>
    </w:p>
    <w:p w14:paraId="21859D5A" w14:textId="3FC3C36B" w:rsidR="00D9208D" w:rsidRPr="00FF6DBF" w:rsidRDefault="00D9208D"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Após o recebimento do aditamento, foi feita a apresentação de defesas escritas e a realização de atos processuais previsto em lei. </w:t>
      </w:r>
      <w:r w:rsidR="00D708DA" w:rsidRPr="00FF6DBF">
        <w:rPr>
          <w:color w:val="auto"/>
          <w:sz w:val="20"/>
          <w:szCs w:val="20"/>
          <w:lang w:val="pt-BR"/>
        </w:rPr>
        <w:t xml:space="preserve">Em seu escrito de junho de 2022, o Estado </w:t>
      </w:r>
      <w:r w:rsidR="00FD5CAE" w:rsidRPr="00FF6DBF">
        <w:rPr>
          <w:color w:val="auto"/>
          <w:sz w:val="20"/>
          <w:szCs w:val="20"/>
          <w:lang w:val="pt-BR"/>
        </w:rPr>
        <w:t>mencionou</w:t>
      </w:r>
      <w:r w:rsidR="00D708DA" w:rsidRPr="00FF6DBF">
        <w:rPr>
          <w:color w:val="auto"/>
          <w:sz w:val="20"/>
          <w:szCs w:val="20"/>
          <w:lang w:val="pt-BR"/>
        </w:rPr>
        <w:t xml:space="preserve"> que o processo aguardava a</w:t>
      </w:r>
      <w:r w:rsidRPr="00FF6DBF">
        <w:rPr>
          <w:color w:val="auto"/>
          <w:sz w:val="20"/>
          <w:szCs w:val="20"/>
          <w:lang w:val="pt-BR"/>
        </w:rPr>
        <w:t xml:space="preserve"> realização de audiência para </w:t>
      </w:r>
      <w:r w:rsidR="00FD5CAE" w:rsidRPr="00FF6DBF">
        <w:rPr>
          <w:color w:val="auto"/>
          <w:sz w:val="20"/>
          <w:szCs w:val="20"/>
          <w:lang w:val="pt-BR"/>
        </w:rPr>
        <w:t>oitiva de testemunhas e interrogatório dos réus</w:t>
      </w:r>
      <w:r w:rsidRPr="00FF6DBF">
        <w:rPr>
          <w:color w:val="auto"/>
          <w:sz w:val="20"/>
          <w:szCs w:val="20"/>
          <w:lang w:val="pt-BR"/>
        </w:rPr>
        <w:t xml:space="preserve">. </w:t>
      </w:r>
    </w:p>
    <w:bookmarkEnd w:id="3"/>
    <w:p w14:paraId="385ECFC3" w14:textId="6BA8A511" w:rsidR="008050BA" w:rsidRPr="00FF6DBF" w:rsidRDefault="00FD5CAE" w:rsidP="008050BA">
      <w:pPr>
        <w:pStyle w:val="ListParagraph"/>
        <w:spacing w:before="240" w:after="240"/>
        <w:jc w:val="both"/>
        <w:rPr>
          <w:i/>
          <w:iCs/>
          <w:color w:val="auto"/>
          <w:sz w:val="20"/>
          <w:szCs w:val="20"/>
          <w:lang w:val="pt-BR"/>
        </w:rPr>
      </w:pPr>
      <w:r w:rsidRPr="00FF6DBF">
        <w:rPr>
          <w:i/>
          <w:iCs/>
          <w:color w:val="auto"/>
          <w:sz w:val="20"/>
          <w:szCs w:val="20"/>
          <w:lang w:val="pt-BR"/>
        </w:rPr>
        <w:t>As conclusões do Estado</w:t>
      </w:r>
    </w:p>
    <w:p w14:paraId="649C788A" w14:textId="127948A3" w:rsidR="00657D33" w:rsidRPr="00FF6DBF" w:rsidRDefault="00657D33"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Referindo-se a</w:t>
      </w:r>
      <w:r w:rsidR="00DA2CF5" w:rsidRPr="00FF6DBF">
        <w:rPr>
          <w:color w:val="auto"/>
          <w:sz w:val="20"/>
          <w:szCs w:val="20"/>
          <w:lang w:val="pt-BR"/>
        </w:rPr>
        <w:t xml:space="preserve">os recursos internos de natureza penal, </w:t>
      </w:r>
      <w:r w:rsidRPr="00FF6DBF">
        <w:rPr>
          <w:color w:val="auto"/>
          <w:sz w:val="20"/>
          <w:szCs w:val="20"/>
          <w:lang w:val="pt-BR"/>
        </w:rPr>
        <w:t xml:space="preserve">o Estado </w:t>
      </w:r>
      <w:r w:rsidR="00DA2CF5" w:rsidRPr="00FF6DBF">
        <w:rPr>
          <w:color w:val="auto"/>
          <w:sz w:val="20"/>
          <w:szCs w:val="20"/>
          <w:lang w:val="pt-BR"/>
        </w:rPr>
        <w:t xml:space="preserve">salienta a complexidade dos fatos envolvidos e destaca que ainda há processos penais em tramitação (os outros processos penais para além do processo principal). Além disso, o Estado menciona que as ações de reparação civil também não tinham sido esgotadas antes do peticionamento à CIDH, indicando ainda que várias delas foram interpostas após a denúncia à Comissão. </w:t>
      </w:r>
      <w:r w:rsidRPr="00FF6DBF">
        <w:rPr>
          <w:color w:val="auto"/>
          <w:sz w:val="20"/>
          <w:szCs w:val="20"/>
          <w:lang w:val="pt-BR"/>
        </w:rPr>
        <w:t xml:space="preserve">Diante do exposto, o Estado considera que diversos recursos internos ainda não tinham sido esgotados antes do peticionamento à Comissão, o que torna a petição inadmissível. </w:t>
      </w:r>
    </w:p>
    <w:p w14:paraId="738B85BA" w14:textId="08BDBCD8" w:rsidR="00657D33" w:rsidRPr="00FF6DBF" w:rsidRDefault="00657D33"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Em conclusão, o Estado pede que, na hipótese de ser ultrapassada a etapa de admissibilidade da petição de denúncia, seja a ele oportunizada a chance de manifestar-se sobre o mérito da demanda.</w:t>
      </w:r>
    </w:p>
    <w:p w14:paraId="2B7EAEA9" w14:textId="001764BC" w:rsidR="00FD41F3" w:rsidRPr="00FF6DBF" w:rsidRDefault="00FD41F3" w:rsidP="00FD41F3">
      <w:pPr>
        <w:pStyle w:val="ListParagraph"/>
        <w:spacing w:before="240" w:after="240"/>
        <w:ind w:left="758"/>
        <w:jc w:val="both"/>
        <w:rPr>
          <w:color w:val="auto"/>
          <w:sz w:val="20"/>
          <w:szCs w:val="20"/>
          <w:lang w:val="pt-BR"/>
        </w:rPr>
      </w:pPr>
      <w:r w:rsidRPr="00FF6DBF">
        <w:rPr>
          <w:b/>
          <w:color w:val="auto"/>
          <w:sz w:val="20"/>
          <w:szCs w:val="20"/>
          <w:lang w:val="pt-BR"/>
        </w:rPr>
        <w:t xml:space="preserve">VI. </w:t>
      </w:r>
      <w:r w:rsidRPr="00FF6DBF">
        <w:rPr>
          <w:b/>
          <w:color w:val="auto"/>
          <w:sz w:val="20"/>
          <w:szCs w:val="20"/>
          <w:lang w:val="pt-BR"/>
        </w:rPr>
        <w:tab/>
      </w:r>
      <w:r w:rsidRPr="00FF6DBF">
        <w:rPr>
          <w:b/>
          <w:bCs/>
          <w:color w:val="auto"/>
          <w:sz w:val="20"/>
          <w:szCs w:val="20"/>
          <w:lang w:val="pt-BR"/>
        </w:rPr>
        <w:t xml:space="preserve">COMPETÊNCIA </w:t>
      </w:r>
      <w:r w:rsidRPr="00FF6DBF">
        <w:rPr>
          <w:b/>
          <w:bCs/>
          <w:i/>
          <w:iCs/>
          <w:color w:val="auto"/>
          <w:sz w:val="20"/>
          <w:szCs w:val="20"/>
          <w:lang w:val="pt-BR"/>
        </w:rPr>
        <w:t>RATIONE PERSONAE</w:t>
      </w:r>
      <w:r w:rsidRPr="00FF6DBF">
        <w:rPr>
          <w:b/>
          <w:bCs/>
          <w:color w:val="auto"/>
          <w:sz w:val="20"/>
          <w:szCs w:val="20"/>
          <w:lang w:val="pt-BR"/>
        </w:rPr>
        <w:t xml:space="preserve"> </w:t>
      </w:r>
    </w:p>
    <w:p w14:paraId="35FF5BD1" w14:textId="318BD8CF" w:rsidR="00FD41F3" w:rsidRPr="00FF6DBF" w:rsidRDefault="00FD41F3"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O Estado argumenta que, conforme o artigo 4</w:t>
      </w:r>
      <w:r w:rsidR="003A5976" w:rsidRPr="00FF6DBF">
        <w:rPr>
          <w:color w:val="auto"/>
          <w:sz w:val="20"/>
          <w:szCs w:val="20"/>
          <w:lang w:val="pt-BR"/>
        </w:rPr>
        <w:t>4</w:t>
      </w:r>
      <w:r w:rsidRPr="00FF6DBF">
        <w:rPr>
          <w:color w:val="auto"/>
          <w:sz w:val="20"/>
          <w:szCs w:val="20"/>
          <w:lang w:val="pt-BR"/>
        </w:rPr>
        <w:t xml:space="preserve"> da Convenção, somente pessoas ou entidades não-governamentais podem apresentar petições à CIDH. Por isso, o Estado pede que sejam excluídos do processo as entidades de direito público que figuram entre os peticionários (</w:t>
      </w:r>
      <w:r w:rsidRPr="00FF6DBF">
        <w:rPr>
          <w:bCs/>
          <w:color w:val="auto"/>
          <w:sz w:val="20"/>
          <w:lang w:val="pt-BR"/>
        </w:rPr>
        <w:t>CREA, CRP e CRESS)</w:t>
      </w:r>
      <w:r w:rsidRPr="00FF6DBF">
        <w:rPr>
          <w:color w:val="auto"/>
          <w:sz w:val="20"/>
          <w:szCs w:val="20"/>
          <w:lang w:val="pt-BR"/>
        </w:rPr>
        <w:t>.</w:t>
      </w:r>
    </w:p>
    <w:p w14:paraId="1EF98757" w14:textId="7486284F" w:rsidR="003A5976" w:rsidRPr="00FF6DBF" w:rsidRDefault="003A5976"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Sobre o tema, a</w:t>
      </w:r>
      <w:r w:rsidR="00FD41F3" w:rsidRPr="00FF6DBF">
        <w:rPr>
          <w:color w:val="auto"/>
          <w:sz w:val="20"/>
          <w:szCs w:val="20"/>
          <w:lang w:val="pt-BR"/>
        </w:rPr>
        <w:t xml:space="preserve"> Comissão Interamericana nota que os conselhos profissionais, apesar de serem órgãos reguladores de profissões e terem funções delegadas pelo Estado, operam com certo grau de autonomia e representam interesses específicos de grupos profissionais. Por isso, podem ser vistos como entidades híbridas que também atual na defesa de direitos e interesses coletivos de seus membros</w:t>
      </w:r>
      <w:r w:rsidRPr="00FF6DBF">
        <w:rPr>
          <w:rStyle w:val="FootnoteReference"/>
          <w:bCs/>
          <w:color w:val="auto"/>
          <w:sz w:val="20"/>
          <w:lang w:val="pt-BR"/>
        </w:rPr>
        <w:footnoteReference w:id="10"/>
      </w:r>
      <w:r w:rsidR="00FD41F3" w:rsidRPr="00FF6DBF">
        <w:rPr>
          <w:color w:val="auto"/>
          <w:sz w:val="20"/>
          <w:szCs w:val="20"/>
          <w:lang w:val="pt-BR"/>
        </w:rPr>
        <w:t xml:space="preserve">. </w:t>
      </w:r>
      <w:r w:rsidRPr="00FF6DBF">
        <w:rPr>
          <w:color w:val="auto"/>
          <w:sz w:val="20"/>
          <w:szCs w:val="20"/>
          <w:lang w:val="pt-BR"/>
        </w:rPr>
        <w:t>O artigo 44 da Convenção Americana prevê a possibilidade de qualquer “pessoa”, “grupo de pessoas” ou “entidade não-governamental” de apresentar petições ao sistema interamericano. Embora não sejam uma entidade “não-</w:t>
      </w:r>
      <w:r w:rsidRPr="00FF6DBF">
        <w:rPr>
          <w:color w:val="auto"/>
          <w:sz w:val="20"/>
          <w:szCs w:val="20"/>
          <w:lang w:val="pt-BR"/>
        </w:rPr>
        <w:lastRenderedPageBreak/>
        <w:t xml:space="preserve">governamental” pura, os conselhos profissionais se </w:t>
      </w:r>
      <w:r w:rsidR="00AD28D7" w:rsidRPr="00FF6DBF">
        <w:rPr>
          <w:color w:val="auto"/>
          <w:sz w:val="20"/>
          <w:szCs w:val="20"/>
          <w:lang w:val="pt-BR"/>
        </w:rPr>
        <w:t>amoldam suficientemente</w:t>
      </w:r>
      <w:r w:rsidRPr="00FF6DBF">
        <w:rPr>
          <w:color w:val="auto"/>
          <w:sz w:val="20"/>
          <w:szCs w:val="20"/>
          <w:lang w:val="pt-BR"/>
        </w:rPr>
        <w:t xml:space="preserve"> </w:t>
      </w:r>
      <w:r w:rsidR="00AD28D7" w:rsidRPr="00FF6DBF">
        <w:rPr>
          <w:color w:val="auto"/>
          <w:sz w:val="20"/>
          <w:szCs w:val="20"/>
          <w:lang w:val="pt-BR"/>
        </w:rPr>
        <w:t>à</w:t>
      </w:r>
      <w:r w:rsidRPr="00FF6DBF">
        <w:rPr>
          <w:color w:val="auto"/>
          <w:sz w:val="20"/>
          <w:szCs w:val="20"/>
          <w:lang w:val="pt-BR"/>
        </w:rPr>
        <w:t xml:space="preserve"> categoria de entidade não-governamental</w:t>
      </w:r>
      <w:r w:rsidR="00AD28D7" w:rsidRPr="00FF6DBF">
        <w:rPr>
          <w:color w:val="auto"/>
          <w:sz w:val="20"/>
          <w:szCs w:val="20"/>
          <w:lang w:val="pt-BR"/>
        </w:rPr>
        <w:t xml:space="preserve">, afinal, </w:t>
      </w:r>
      <w:r w:rsidRPr="00FF6DBF">
        <w:rPr>
          <w:color w:val="auto"/>
          <w:sz w:val="20"/>
          <w:szCs w:val="20"/>
          <w:lang w:val="pt-BR"/>
        </w:rPr>
        <w:t>são entendidos pelo máximo órgão jurídico do Estado brasileiro</w:t>
      </w:r>
      <w:r w:rsidR="00AD28D7" w:rsidRPr="00FF6DBF">
        <w:rPr>
          <w:color w:val="auto"/>
          <w:sz w:val="20"/>
          <w:szCs w:val="20"/>
          <w:lang w:val="pt-BR"/>
        </w:rPr>
        <w:t>, o Supremo Tribunal Federal (STF),</w:t>
      </w:r>
      <w:r w:rsidRPr="00FF6DBF">
        <w:rPr>
          <w:color w:val="auto"/>
          <w:sz w:val="20"/>
          <w:szCs w:val="20"/>
          <w:lang w:val="pt-BR"/>
        </w:rPr>
        <w:t xml:space="preserve"> como uma “espécie sui generis de pessoa jurídica de direito público </w:t>
      </w:r>
      <w:r w:rsidRPr="00FF6DBF">
        <w:rPr>
          <w:i/>
          <w:iCs/>
          <w:color w:val="auto"/>
          <w:sz w:val="20"/>
          <w:szCs w:val="20"/>
          <w:lang w:val="pt-BR"/>
        </w:rPr>
        <w:t>não estatal</w:t>
      </w:r>
      <w:r w:rsidRPr="00FF6DBF">
        <w:rPr>
          <w:color w:val="auto"/>
          <w:sz w:val="20"/>
          <w:szCs w:val="20"/>
          <w:lang w:val="pt-BR"/>
        </w:rPr>
        <w:t>”</w:t>
      </w:r>
      <w:r w:rsidR="008A0D14" w:rsidRPr="00FF6DBF">
        <w:rPr>
          <w:rStyle w:val="FootnoteReference"/>
          <w:bCs/>
          <w:color w:val="auto"/>
          <w:sz w:val="20"/>
          <w:lang w:val="pt-BR"/>
        </w:rPr>
        <w:t xml:space="preserve"> </w:t>
      </w:r>
      <w:r w:rsidR="008A0D14" w:rsidRPr="00FF6DBF">
        <w:rPr>
          <w:rStyle w:val="FootnoteReference"/>
          <w:bCs/>
          <w:color w:val="auto"/>
          <w:sz w:val="20"/>
          <w:lang w:val="pt-BR"/>
        </w:rPr>
        <w:footnoteReference w:id="11"/>
      </w:r>
      <w:r w:rsidRPr="00FF6DBF">
        <w:rPr>
          <w:color w:val="auto"/>
          <w:sz w:val="20"/>
          <w:szCs w:val="20"/>
          <w:lang w:val="pt-BR"/>
        </w:rPr>
        <w:t xml:space="preserve">. Além disso, podem ser entendidos como representantes legítimos de grupos de pessoas, razão pela qual não devem ser excluídos do polo ativo do presente caso. Uma interpretação contrária faria com que o próprio sistema interamericano se enfraquecesse ao negar a possibilidade de acesso à justiça interamericana </w:t>
      </w:r>
      <w:r w:rsidR="00AD28D7" w:rsidRPr="00FF6DBF">
        <w:rPr>
          <w:color w:val="auto"/>
          <w:sz w:val="20"/>
          <w:szCs w:val="20"/>
          <w:lang w:val="pt-BR"/>
        </w:rPr>
        <w:t>aos</w:t>
      </w:r>
      <w:r w:rsidRPr="00FF6DBF">
        <w:rPr>
          <w:color w:val="auto"/>
          <w:sz w:val="20"/>
          <w:szCs w:val="20"/>
          <w:lang w:val="pt-BR"/>
        </w:rPr>
        <w:t xml:space="preserve"> conselhos profissionais</w:t>
      </w:r>
      <w:r w:rsidR="00AD28D7" w:rsidRPr="00FF6DBF">
        <w:rPr>
          <w:color w:val="auto"/>
          <w:sz w:val="20"/>
          <w:szCs w:val="20"/>
          <w:lang w:val="pt-BR"/>
        </w:rPr>
        <w:t xml:space="preserve"> e às pessoas representadas por eles</w:t>
      </w:r>
      <w:r w:rsidR="000331DB" w:rsidRPr="00FF6DBF">
        <w:rPr>
          <w:rStyle w:val="FootnoteReference"/>
          <w:bCs/>
          <w:color w:val="auto"/>
          <w:sz w:val="20"/>
          <w:lang w:val="pt-BR"/>
        </w:rPr>
        <w:footnoteReference w:id="12"/>
      </w:r>
      <w:r w:rsidR="000331DB" w:rsidRPr="00FF6DBF">
        <w:rPr>
          <w:color w:val="auto"/>
          <w:sz w:val="20"/>
          <w:szCs w:val="20"/>
          <w:lang w:val="pt-BR"/>
        </w:rPr>
        <w:t>.</w:t>
      </w:r>
    </w:p>
    <w:p w14:paraId="272AC6A1" w14:textId="316BFE5B" w:rsidR="00697D1E" w:rsidRPr="00FF6DBF" w:rsidRDefault="00697D1E" w:rsidP="00697D1E">
      <w:pPr>
        <w:pStyle w:val="ListParagraph"/>
        <w:spacing w:before="240" w:after="240"/>
        <w:ind w:left="758"/>
        <w:jc w:val="both"/>
        <w:rPr>
          <w:color w:val="auto"/>
          <w:sz w:val="20"/>
          <w:szCs w:val="20"/>
          <w:lang w:val="pt-BR"/>
        </w:rPr>
      </w:pPr>
      <w:r w:rsidRPr="00FF6DBF">
        <w:rPr>
          <w:b/>
          <w:color w:val="auto"/>
          <w:sz w:val="20"/>
          <w:szCs w:val="20"/>
          <w:lang w:val="pt-BR"/>
        </w:rPr>
        <w:t>V</w:t>
      </w:r>
      <w:r w:rsidR="00FD41F3" w:rsidRPr="00FF6DBF">
        <w:rPr>
          <w:b/>
          <w:color w:val="auto"/>
          <w:sz w:val="20"/>
          <w:szCs w:val="20"/>
          <w:lang w:val="pt-BR"/>
        </w:rPr>
        <w:t>I</w:t>
      </w:r>
      <w:r w:rsidRPr="00FF6DBF">
        <w:rPr>
          <w:b/>
          <w:color w:val="auto"/>
          <w:sz w:val="20"/>
          <w:szCs w:val="20"/>
          <w:lang w:val="pt-BR"/>
        </w:rPr>
        <w:t xml:space="preserve">I. </w:t>
      </w:r>
      <w:r w:rsidRPr="00FF6DBF">
        <w:rPr>
          <w:b/>
          <w:color w:val="auto"/>
          <w:sz w:val="20"/>
          <w:szCs w:val="20"/>
          <w:lang w:val="pt-BR"/>
        </w:rPr>
        <w:tab/>
      </w:r>
      <w:r w:rsidR="00FB7BCA" w:rsidRPr="00FF6DBF">
        <w:rPr>
          <w:b/>
          <w:bCs/>
          <w:color w:val="auto"/>
          <w:sz w:val="20"/>
          <w:szCs w:val="20"/>
          <w:lang w:val="pt-BR"/>
        </w:rPr>
        <w:t xml:space="preserve">ANÁLISE DE </w:t>
      </w:r>
      <w:r w:rsidR="00FB7BCA" w:rsidRPr="00FF6DBF">
        <w:rPr>
          <w:b/>
          <w:color w:val="auto"/>
          <w:sz w:val="20"/>
          <w:szCs w:val="20"/>
          <w:lang w:val="pt-BR"/>
        </w:rPr>
        <w:t>ESGOTAMENTO DOS RECURSOS INTERNOS E PRAZO DE APRESENTAÇÃO</w:t>
      </w:r>
      <w:r w:rsidR="00FB7BCA" w:rsidRPr="00FF6DBF">
        <w:rPr>
          <w:b/>
          <w:bCs/>
          <w:color w:val="auto"/>
          <w:sz w:val="20"/>
          <w:szCs w:val="20"/>
          <w:lang w:val="pt-BR"/>
        </w:rPr>
        <w:t xml:space="preserve"> </w:t>
      </w:r>
    </w:p>
    <w:p w14:paraId="5B301AE3" w14:textId="75FA3F58" w:rsidR="00A350C4" w:rsidRPr="00FF6DBF" w:rsidRDefault="008A32DE"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Comissão Interamericana observa que a presente controvérsia se refere</w:t>
      </w:r>
      <w:r w:rsidR="00A350C4" w:rsidRPr="00FF6DBF">
        <w:rPr>
          <w:color w:val="auto"/>
          <w:sz w:val="20"/>
          <w:szCs w:val="20"/>
          <w:lang w:val="pt-BR"/>
        </w:rPr>
        <w:t xml:space="preserve"> fundamentalmente à alegada responsabilidade do Estado i) pelas mortes, lesões e danos decorrentes do incêndio da Boate Kiss, pela falta de investigação e punição de todos os responsáveis, pela falta de reparação civil adequada para as vítimas e seus familiares, e pelo decorrente sofrimento causado aos familiares; </w:t>
      </w:r>
      <w:r w:rsidR="0028480C" w:rsidRPr="00FF6DBF">
        <w:rPr>
          <w:color w:val="auto"/>
          <w:sz w:val="20"/>
          <w:szCs w:val="20"/>
          <w:lang w:val="pt-BR"/>
        </w:rPr>
        <w:t xml:space="preserve">e </w:t>
      </w:r>
      <w:r w:rsidR="00A350C4" w:rsidRPr="00FF6DBF">
        <w:rPr>
          <w:color w:val="auto"/>
          <w:sz w:val="20"/>
          <w:szCs w:val="20"/>
          <w:lang w:val="pt-BR"/>
        </w:rPr>
        <w:t>ii) pela possível violação das liberdades de expressão, pensamento e associação dos defensores e defensora de direitos humanos e dirigentes da AVTSM Sérgio da Silva, Flávio da Silva, Paulo Carvalho e Marta Beuren.</w:t>
      </w:r>
    </w:p>
    <w:p w14:paraId="3C49D667" w14:textId="21783D9F" w:rsidR="00F82543" w:rsidRPr="00FF6DBF" w:rsidRDefault="00942213"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Quanto ao assunto i), c</w:t>
      </w:r>
      <w:r w:rsidR="00F82543" w:rsidRPr="00FF6DBF">
        <w:rPr>
          <w:color w:val="auto"/>
          <w:sz w:val="20"/>
          <w:szCs w:val="20"/>
          <w:lang w:val="pt-BR"/>
        </w:rPr>
        <w:t>omo já pôde se pronunciar em reiteradas oportunidades, a Comissão Interamericana nota que, em situações que incluam delitos contra a vida e a integridade, os recursos internos que devem ser levados em conta para efeitos de admissibilidade das petições são aqueles relacionados à investigação penal e punição dos responsáveis</w:t>
      </w:r>
      <w:r w:rsidR="00307070" w:rsidRPr="00FF6DBF">
        <w:rPr>
          <w:color w:val="auto"/>
          <w:sz w:val="20"/>
          <w:szCs w:val="20"/>
          <w:lang w:val="pt-BR"/>
        </w:rPr>
        <w:t>, cabendo ao Estado promovê-los de ofício, de maneira oportuna e diligente, em consonância com a Convenção Americana</w:t>
      </w:r>
      <w:r w:rsidR="009057B5">
        <w:rPr>
          <w:color w:val="auto"/>
          <w:sz w:val="20"/>
          <w:szCs w:val="20"/>
          <w:lang w:val="pt-BR"/>
        </w:rPr>
        <w:t>.</w:t>
      </w:r>
      <w:bookmarkStart w:id="4" w:name="_Hlk167360408"/>
      <w:r w:rsidR="0091273D" w:rsidRPr="00FF6DBF">
        <w:rPr>
          <w:rStyle w:val="FootnoteReference"/>
          <w:bCs/>
          <w:color w:val="auto"/>
          <w:sz w:val="20"/>
          <w:lang w:val="pt-BR"/>
        </w:rPr>
        <w:footnoteReference w:id="13"/>
      </w:r>
      <w:bookmarkEnd w:id="4"/>
    </w:p>
    <w:p w14:paraId="37FB0730" w14:textId="32FF1464" w:rsidR="001A64CA" w:rsidRDefault="00307070" w:rsidP="00BF5F78">
      <w:pPr>
        <w:pStyle w:val="ListParagraph"/>
        <w:numPr>
          <w:ilvl w:val="0"/>
          <w:numId w:val="55"/>
        </w:numPr>
        <w:spacing w:before="240" w:after="240"/>
        <w:ind w:left="0" w:firstLine="720"/>
        <w:jc w:val="both"/>
        <w:rPr>
          <w:color w:val="auto"/>
          <w:sz w:val="20"/>
          <w:szCs w:val="20"/>
          <w:lang w:val="pt-BR"/>
        </w:rPr>
      </w:pPr>
      <w:r w:rsidRPr="007A0C59">
        <w:rPr>
          <w:color w:val="auto"/>
          <w:sz w:val="20"/>
          <w:szCs w:val="20"/>
          <w:lang w:val="pt-BR"/>
        </w:rPr>
        <w:t xml:space="preserve">De acordo com as informações proporcionadas </w:t>
      </w:r>
      <w:r w:rsidR="007A0C59">
        <w:rPr>
          <w:color w:val="auto"/>
          <w:sz w:val="20"/>
          <w:szCs w:val="20"/>
          <w:lang w:val="pt-BR"/>
        </w:rPr>
        <w:t>pelas partes</w:t>
      </w:r>
      <w:r w:rsidRPr="007A0C59">
        <w:rPr>
          <w:color w:val="auto"/>
          <w:sz w:val="20"/>
          <w:szCs w:val="20"/>
          <w:lang w:val="pt-BR"/>
        </w:rPr>
        <w:t xml:space="preserve">, o incêndio ocorreu em 27 de janeiro de 2013. A Polícia Civil instaurou imediatamente o inquérito policial. Em </w:t>
      </w:r>
      <w:r w:rsidR="001A64CA" w:rsidRPr="007A0C59">
        <w:rPr>
          <w:color w:val="auto"/>
          <w:sz w:val="20"/>
          <w:szCs w:val="20"/>
          <w:lang w:val="pt-BR"/>
        </w:rPr>
        <w:t>22 de março de 2013</w:t>
      </w:r>
      <w:r w:rsidRPr="007A0C59">
        <w:rPr>
          <w:color w:val="auto"/>
          <w:sz w:val="20"/>
          <w:szCs w:val="20"/>
          <w:lang w:val="pt-BR"/>
        </w:rPr>
        <w:t>, o inquérito foi concluído.</w:t>
      </w:r>
      <w:r w:rsidR="001A64CA" w:rsidRPr="007A0C59">
        <w:rPr>
          <w:color w:val="auto"/>
          <w:sz w:val="20"/>
          <w:szCs w:val="20"/>
          <w:lang w:val="pt-BR"/>
        </w:rPr>
        <w:t xml:space="preserve"> Em 2 de abril de 2013 o Ministério Público deu início à ação penal</w:t>
      </w:r>
      <w:r w:rsidR="006F19EB">
        <w:rPr>
          <w:color w:val="auto"/>
          <w:sz w:val="20"/>
          <w:szCs w:val="20"/>
          <w:lang w:val="pt-BR"/>
        </w:rPr>
        <w:t xml:space="preserve"> principal</w:t>
      </w:r>
      <w:r w:rsidR="001A64CA" w:rsidRPr="007A0C59">
        <w:rPr>
          <w:color w:val="auto"/>
          <w:sz w:val="20"/>
          <w:szCs w:val="20"/>
          <w:lang w:val="pt-BR"/>
        </w:rPr>
        <w:t xml:space="preserve">. </w:t>
      </w:r>
      <w:r w:rsidR="007A0C59">
        <w:rPr>
          <w:color w:val="auto"/>
          <w:sz w:val="20"/>
          <w:szCs w:val="20"/>
          <w:lang w:val="pt-BR"/>
        </w:rPr>
        <w:t>Porém, somente em 10 de dezembro de 2021 os réus</w:t>
      </w:r>
      <w:r w:rsidR="00AE425A" w:rsidRPr="007A0C59">
        <w:rPr>
          <w:color w:val="auto"/>
          <w:sz w:val="20"/>
          <w:szCs w:val="20"/>
          <w:lang w:val="pt-BR"/>
        </w:rPr>
        <w:t xml:space="preserve"> foram julgados</w:t>
      </w:r>
      <w:r w:rsidR="007A0C59" w:rsidRPr="007A0C59">
        <w:rPr>
          <w:color w:val="auto"/>
          <w:sz w:val="20"/>
          <w:szCs w:val="20"/>
          <w:lang w:val="pt-BR"/>
        </w:rPr>
        <w:t xml:space="preserve"> e condenados</w:t>
      </w:r>
      <w:r w:rsidR="00AE425A" w:rsidRPr="007A0C59">
        <w:rPr>
          <w:color w:val="auto"/>
          <w:sz w:val="20"/>
          <w:szCs w:val="20"/>
          <w:lang w:val="pt-BR"/>
        </w:rPr>
        <w:t xml:space="preserve"> pelo Tribunal do Júri </w:t>
      </w:r>
      <w:r w:rsidR="007A0C59" w:rsidRPr="007A0C59">
        <w:rPr>
          <w:color w:val="auto"/>
          <w:sz w:val="20"/>
          <w:szCs w:val="20"/>
          <w:lang w:val="pt-BR"/>
        </w:rPr>
        <w:t>a penas privativas de liberdade</w:t>
      </w:r>
      <w:r w:rsidR="001A64CA" w:rsidRPr="007A0C59">
        <w:rPr>
          <w:color w:val="auto"/>
          <w:sz w:val="20"/>
          <w:szCs w:val="20"/>
          <w:lang w:val="pt-BR"/>
        </w:rPr>
        <w:t xml:space="preserve">. </w:t>
      </w:r>
      <w:r w:rsidR="00AE425A" w:rsidRPr="007A0C59">
        <w:rPr>
          <w:color w:val="auto"/>
          <w:sz w:val="20"/>
          <w:szCs w:val="20"/>
          <w:lang w:val="pt-BR"/>
        </w:rPr>
        <w:t>Segundo o escrito do Estado de</w:t>
      </w:r>
      <w:r w:rsidR="001A64CA" w:rsidRPr="007A0C59">
        <w:rPr>
          <w:color w:val="auto"/>
          <w:sz w:val="20"/>
          <w:szCs w:val="20"/>
          <w:lang w:val="pt-BR"/>
        </w:rPr>
        <w:t xml:space="preserve"> junho de 2022, os condenados estavam presos e o processo se encontrava</w:t>
      </w:r>
      <w:r w:rsidR="007A0C59" w:rsidRPr="007A0C59">
        <w:rPr>
          <w:color w:val="auto"/>
          <w:sz w:val="20"/>
          <w:szCs w:val="20"/>
          <w:lang w:val="pt-BR"/>
        </w:rPr>
        <w:t xml:space="preserve"> em etapa de recurso perante o TJRS (segunda instância).</w:t>
      </w:r>
    </w:p>
    <w:p w14:paraId="6842FFEC" w14:textId="298F3061" w:rsidR="00107FC0" w:rsidRPr="005F50D3" w:rsidRDefault="00107FC0" w:rsidP="00BF5F78">
      <w:pPr>
        <w:pStyle w:val="ListParagraph"/>
        <w:numPr>
          <w:ilvl w:val="0"/>
          <w:numId w:val="55"/>
        </w:numPr>
        <w:spacing w:before="240"/>
        <w:ind w:left="0" w:firstLine="720"/>
        <w:jc w:val="both"/>
        <w:rPr>
          <w:sz w:val="20"/>
          <w:szCs w:val="20"/>
          <w:lang w:val="pt-BR"/>
        </w:rPr>
      </w:pPr>
      <w:r w:rsidRPr="005F50D3">
        <w:rPr>
          <w:sz w:val="20"/>
          <w:szCs w:val="20"/>
          <w:lang w:val="pt-BR"/>
        </w:rPr>
        <w:t>A</w:t>
      </w:r>
      <w:r>
        <w:rPr>
          <w:sz w:val="20"/>
          <w:szCs w:val="20"/>
          <w:lang w:val="pt-BR"/>
        </w:rPr>
        <w:t xml:space="preserve"> </w:t>
      </w:r>
      <w:r w:rsidRPr="005F50D3">
        <w:rPr>
          <w:sz w:val="20"/>
          <w:szCs w:val="20"/>
          <w:lang w:val="pt-BR"/>
        </w:rPr>
        <w:t>Comissão recorda que o artigo 46.2 da Convenção, por sua natureza e objeto, é uma norma com conteúdo autônomo em relação às normas substantivas da Convenção Americana. Portanto, a determinação s</w:t>
      </w:r>
      <w:r>
        <w:rPr>
          <w:sz w:val="20"/>
          <w:szCs w:val="20"/>
          <w:lang w:val="pt-BR"/>
        </w:rPr>
        <w:t>obre se</w:t>
      </w:r>
      <w:r w:rsidRPr="005F50D3">
        <w:rPr>
          <w:sz w:val="20"/>
          <w:szCs w:val="20"/>
          <w:lang w:val="pt-BR"/>
        </w:rPr>
        <w:t xml:space="preserve"> as exceções à regra do esgotamento dos recursos internos são aplicáveis ​​ao caso em questão deve ser realizada antes</w:t>
      </w:r>
      <w:r>
        <w:rPr>
          <w:sz w:val="20"/>
          <w:szCs w:val="20"/>
          <w:lang w:val="pt-BR"/>
        </w:rPr>
        <w:t>,</w:t>
      </w:r>
      <w:r w:rsidRPr="005F50D3">
        <w:rPr>
          <w:sz w:val="20"/>
          <w:szCs w:val="20"/>
          <w:lang w:val="pt-BR"/>
        </w:rPr>
        <w:t xml:space="preserve"> e separada da análise do mérito, uma vez que depende de um padrão de apreciação diferente daquele utilizado para esclarecer a possível violação dos artigos 8 e 25 da Convenção. </w:t>
      </w:r>
      <w:r>
        <w:rPr>
          <w:sz w:val="20"/>
          <w:szCs w:val="20"/>
          <w:lang w:val="pt-BR"/>
        </w:rPr>
        <w:t>N</w:t>
      </w:r>
      <w:r w:rsidRPr="005F50D3">
        <w:rPr>
          <w:sz w:val="20"/>
          <w:szCs w:val="20"/>
          <w:lang w:val="pt-BR"/>
        </w:rPr>
        <w:t>ão existem disposições convencionais ou regulamentares que regulem especificamente o período que constitui um atraso injustificado, razão pela qual a Comissão avalia caso a caso para determinar se tal atraso ocorre.</w:t>
      </w:r>
      <w:r w:rsidRPr="005F50D3">
        <w:rPr>
          <w:sz w:val="20"/>
          <w:szCs w:val="20"/>
          <w:vertAlign w:val="superscript"/>
          <w:lang w:val="es-ES_tradnl"/>
        </w:rPr>
        <w:footnoteReference w:id="14"/>
      </w:r>
      <w:r w:rsidRPr="005F50D3">
        <w:rPr>
          <w:sz w:val="20"/>
          <w:szCs w:val="20"/>
          <w:lang w:val="pt-BR"/>
        </w:rPr>
        <w:t xml:space="preserve"> </w:t>
      </w:r>
      <w:r>
        <w:rPr>
          <w:sz w:val="20"/>
          <w:szCs w:val="20"/>
          <w:lang w:val="pt-BR"/>
        </w:rPr>
        <w:t>Neste sentido</w:t>
      </w:r>
      <w:r w:rsidRPr="005F50D3">
        <w:rPr>
          <w:sz w:val="20"/>
          <w:szCs w:val="20"/>
          <w:lang w:val="pt-BR"/>
        </w:rPr>
        <w:t>, estabeleceu</w:t>
      </w:r>
      <w:r>
        <w:rPr>
          <w:sz w:val="20"/>
          <w:szCs w:val="20"/>
          <w:lang w:val="pt-BR"/>
        </w:rPr>
        <w:t>,</w:t>
      </w:r>
      <w:r w:rsidRPr="005F50D3">
        <w:rPr>
          <w:sz w:val="20"/>
          <w:szCs w:val="20"/>
          <w:lang w:val="pt-BR"/>
        </w:rPr>
        <w:t xml:space="preserve"> como princípio norteador</w:t>
      </w:r>
      <w:r>
        <w:rPr>
          <w:sz w:val="20"/>
          <w:szCs w:val="20"/>
          <w:lang w:val="pt-BR"/>
        </w:rPr>
        <w:t>,</w:t>
      </w:r>
      <w:r w:rsidRPr="005F50D3">
        <w:rPr>
          <w:sz w:val="20"/>
          <w:szCs w:val="20"/>
          <w:lang w:val="pt-BR"/>
        </w:rPr>
        <w:t xml:space="preserve"> que “</w:t>
      </w:r>
      <w:r w:rsidRPr="005F50D3">
        <w:rPr>
          <w:i/>
          <w:iCs/>
          <w:sz w:val="20"/>
          <w:szCs w:val="20"/>
          <w:lang w:val="pt-BR"/>
        </w:rPr>
        <w:t>de forma alguma a regra do esgotamento prévio deve levar à suspensão ou atrasar até “a futilidade da ação internacional para ajudar a vítima indefesa</w:t>
      </w:r>
      <w:r w:rsidRPr="005F50D3">
        <w:rPr>
          <w:sz w:val="20"/>
          <w:szCs w:val="20"/>
          <w:lang w:val="pt-BR"/>
        </w:rPr>
        <w:t>”.</w:t>
      </w:r>
      <w:r w:rsidRPr="005F50D3">
        <w:rPr>
          <w:sz w:val="20"/>
          <w:szCs w:val="20"/>
          <w:vertAlign w:val="superscript"/>
          <w:lang w:val="es-ES_tradnl"/>
        </w:rPr>
        <w:footnoteReference w:id="15"/>
      </w:r>
      <w:r w:rsidRPr="005F50D3">
        <w:rPr>
          <w:sz w:val="20"/>
          <w:szCs w:val="20"/>
          <w:lang w:val="pt-BR"/>
        </w:rPr>
        <w:t xml:space="preserve"> </w:t>
      </w:r>
      <w:r>
        <w:rPr>
          <w:sz w:val="20"/>
          <w:szCs w:val="20"/>
          <w:lang w:val="pt-BR"/>
        </w:rPr>
        <w:t>A</w:t>
      </w:r>
      <w:r w:rsidRPr="005F50D3">
        <w:rPr>
          <w:sz w:val="20"/>
          <w:szCs w:val="20"/>
          <w:lang w:val="pt-BR"/>
        </w:rPr>
        <w:t xml:space="preserve"> complementaridade da proteção internacional prevista na Convenção Americana implica também que a intervenção dos órgãos do Sistema Interamericano seja oportuna para que possa ter algum tipo de ajuda útil efeito na proteção dos direitos das supostas vítimas.</w:t>
      </w:r>
    </w:p>
    <w:p w14:paraId="44D38FF4" w14:textId="52CE645A" w:rsidR="00942213" w:rsidRPr="00FF6DBF" w:rsidRDefault="00107FC0" w:rsidP="00BF5F78">
      <w:pPr>
        <w:pStyle w:val="ListParagraph"/>
        <w:numPr>
          <w:ilvl w:val="0"/>
          <w:numId w:val="55"/>
        </w:numPr>
        <w:spacing w:before="240" w:after="240"/>
        <w:ind w:left="0" w:firstLine="720"/>
        <w:jc w:val="both"/>
        <w:rPr>
          <w:color w:val="auto"/>
          <w:sz w:val="20"/>
          <w:szCs w:val="20"/>
          <w:lang w:val="pt-BR"/>
        </w:rPr>
      </w:pPr>
      <w:r>
        <w:rPr>
          <w:color w:val="auto"/>
          <w:sz w:val="20"/>
          <w:szCs w:val="20"/>
          <w:lang w:val="pt-BR"/>
        </w:rPr>
        <w:lastRenderedPageBreak/>
        <w:t>Ademais, p</w:t>
      </w:r>
      <w:r w:rsidR="00942213" w:rsidRPr="00FF6DBF">
        <w:rPr>
          <w:color w:val="auto"/>
          <w:sz w:val="20"/>
          <w:szCs w:val="20"/>
          <w:lang w:val="pt-BR"/>
        </w:rPr>
        <w:t>ara estabelecer se a investigação e punição dos responsáveis foi realizada “com prontidão”, a Comissão considera uma série de fatores, como o tempo transcorrido desde que o delito foi cometido, se a investigação avançou da fase preliminar, as medidas que foram adotadas pelas autoridades, bem como a complexidade do caso</w:t>
      </w:r>
      <w:r w:rsidR="009057B5">
        <w:rPr>
          <w:color w:val="auto"/>
          <w:sz w:val="20"/>
          <w:szCs w:val="20"/>
          <w:lang w:val="pt-BR"/>
        </w:rPr>
        <w:t>.</w:t>
      </w:r>
      <w:r w:rsidR="0091273D" w:rsidRPr="00FF6DBF">
        <w:rPr>
          <w:rStyle w:val="FootnoteReference"/>
          <w:bCs/>
          <w:color w:val="auto"/>
          <w:sz w:val="20"/>
          <w:lang w:val="pt-BR"/>
        </w:rPr>
        <w:footnoteReference w:id="16"/>
      </w:r>
    </w:p>
    <w:p w14:paraId="64304F44" w14:textId="6657FEEC" w:rsidR="00EA3C5C" w:rsidRPr="00FF6DBF" w:rsidRDefault="00EA3C5C"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Comissão Interamericana reconhece a complexidade do tema. Segundo os fatos narrados, o incêndio resultou na morte de 242 pessoas e deixou pelo menos 636 sobreviventes feridos. A cadeia de possíveis responsáveis</w:t>
      </w:r>
      <w:r w:rsidR="006139C6" w:rsidRPr="00FF6DBF">
        <w:rPr>
          <w:color w:val="auto"/>
          <w:sz w:val="20"/>
          <w:szCs w:val="20"/>
          <w:lang w:val="pt-BR"/>
        </w:rPr>
        <w:t>, em algum grau,</w:t>
      </w:r>
      <w:r w:rsidRPr="00FF6DBF">
        <w:rPr>
          <w:color w:val="auto"/>
          <w:sz w:val="20"/>
          <w:szCs w:val="20"/>
          <w:lang w:val="pt-BR"/>
        </w:rPr>
        <w:t xml:space="preserve"> inclui desde os proprietários da boate e membros da banda que usou os artefatos pirotécnicos, até os funcionários públicos que falharam na fiscalização e manutenção de normas de segurança. </w:t>
      </w:r>
      <w:r w:rsidR="006139C6" w:rsidRPr="00FF6DBF">
        <w:rPr>
          <w:color w:val="auto"/>
          <w:sz w:val="20"/>
          <w:szCs w:val="20"/>
          <w:lang w:val="pt-BR"/>
        </w:rPr>
        <w:t>Além disso, a</w:t>
      </w:r>
      <w:r w:rsidRPr="00FF6DBF">
        <w:rPr>
          <w:color w:val="auto"/>
          <w:sz w:val="20"/>
          <w:szCs w:val="20"/>
          <w:lang w:val="pt-BR"/>
        </w:rPr>
        <w:t xml:space="preserve">s falhas no sistema de prevenção e combate a incêndios, como a inadequação da espuma usada no isolamento acústico, </w:t>
      </w:r>
      <w:r w:rsidR="00107FC0">
        <w:rPr>
          <w:color w:val="auto"/>
          <w:sz w:val="20"/>
          <w:szCs w:val="20"/>
          <w:lang w:val="pt-BR"/>
        </w:rPr>
        <w:t>demandam</w:t>
      </w:r>
      <w:r w:rsidRPr="00FF6DBF">
        <w:rPr>
          <w:color w:val="auto"/>
          <w:sz w:val="20"/>
          <w:szCs w:val="20"/>
          <w:lang w:val="pt-BR"/>
        </w:rPr>
        <w:t xml:space="preserve"> análises técnicas</w:t>
      </w:r>
      <w:r w:rsidR="006139C6" w:rsidRPr="00FF6DBF">
        <w:rPr>
          <w:color w:val="auto"/>
          <w:sz w:val="20"/>
          <w:szCs w:val="20"/>
          <w:lang w:val="pt-BR"/>
        </w:rPr>
        <w:t xml:space="preserve"> sobre </w:t>
      </w:r>
      <w:r w:rsidRPr="00FF6DBF">
        <w:rPr>
          <w:color w:val="auto"/>
          <w:sz w:val="20"/>
          <w:szCs w:val="20"/>
          <w:lang w:val="pt-BR"/>
        </w:rPr>
        <w:t>conformidade com as normas de segurança, eficácia d</w:t>
      </w:r>
      <w:r w:rsidR="00107FC0">
        <w:rPr>
          <w:color w:val="auto"/>
          <w:sz w:val="20"/>
          <w:szCs w:val="20"/>
          <w:lang w:val="pt-BR"/>
        </w:rPr>
        <w:t>e</w:t>
      </w:r>
      <w:r w:rsidRPr="00FF6DBF">
        <w:rPr>
          <w:color w:val="auto"/>
          <w:sz w:val="20"/>
          <w:szCs w:val="20"/>
          <w:lang w:val="pt-BR"/>
        </w:rPr>
        <w:t xml:space="preserve"> dispositivos de segurança como extintores e saídas de emergência, o papel das autoridades na supervisão desses aspectos, entre outros pontos. </w:t>
      </w:r>
      <w:r w:rsidR="006139C6" w:rsidRPr="00FF6DBF">
        <w:rPr>
          <w:color w:val="auto"/>
          <w:sz w:val="20"/>
          <w:szCs w:val="20"/>
          <w:lang w:val="pt-BR"/>
        </w:rPr>
        <w:t>O</w:t>
      </w:r>
      <w:r w:rsidRPr="00FF6DBF">
        <w:rPr>
          <w:color w:val="auto"/>
          <w:sz w:val="20"/>
          <w:szCs w:val="20"/>
          <w:lang w:val="pt-BR"/>
        </w:rPr>
        <w:t xml:space="preserve"> incêndio é associado a uma longa sequência de </w:t>
      </w:r>
      <w:r w:rsidR="006139C6" w:rsidRPr="00FF6DBF">
        <w:rPr>
          <w:color w:val="auto"/>
          <w:sz w:val="20"/>
          <w:szCs w:val="20"/>
          <w:lang w:val="pt-BR"/>
        </w:rPr>
        <w:t>ações</w:t>
      </w:r>
      <w:r w:rsidRPr="00FF6DBF">
        <w:rPr>
          <w:color w:val="auto"/>
          <w:sz w:val="20"/>
          <w:szCs w:val="20"/>
          <w:lang w:val="pt-BR"/>
        </w:rPr>
        <w:t xml:space="preserve"> e omissões, desde a alegada concessão irregular de alvarás e a negligência na fiscalização das condições de segurança da boate até a conduta de agentes públicos e privados antes, durante e após o incêndio</w:t>
      </w:r>
      <w:r w:rsidR="006139C6" w:rsidRPr="00FF6DBF">
        <w:rPr>
          <w:color w:val="auto"/>
          <w:sz w:val="20"/>
          <w:szCs w:val="20"/>
          <w:lang w:val="pt-BR"/>
        </w:rPr>
        <w:t>.</w:t>
      </w:r>
    </w:p>
    <w:p w14:paraId="1B22E655" w14:textId="13735253" w:rsidR="009E0B27" w:rsidRDefault="00107FC0" w:rsidP="00BF5F78">
      <w:pPr>
        <w:pStyle w:val="ListParagraph"/>
        <w:numPr>
          <w:ilvl w:val="0"/>
          <w:numId w:val="55"/>
        </w:numPr>
        <w:spacing w:before="240" w:after="240"/>
        <w:ind w:left="0" w:firstLine="720"/>
        <w:jc w:val="both"/>
        <w:rPr>
          <w:color w:val="auto"/>
          <w:sz w:val="20"/>
          <w:szCs w:val="20"/>
          <w:lang w:val="pt-BR"/>
        </w:rPr>
      </w:pPr>
      <w:r>
        <w:rPr>
          <w:color w:val="auto"/>
          <w:sz w:val="20"/>
          <w:szCs w:val="20"/>
          <w:lang w:val="pt-BR"/>
        </w:rPr>
        <w:t>Por outro lado,</w:t>
      </w:r>
      <w:r w:rsidR="00EA3C5C" w:rsidRPr="00FF6DBF">
        <w:rPr>
          <w:color w:val="auto"/>
          <w:sz w:val="20"/>
          <w:szCs w:val="20"/>
          <w:lang w:val="pt-BR"/>
        </w:rPr>
        <w:t xml:space="preserve"> a Comissão Interamericana também nota que</w:t>
      </w:r>
      <w:r w:rsidR="002D2F70" w:rsidRPr="00FF6DBF">
        <w:rPr>
          <w:color w:val="auto"/>
          <w:sz w:val="20"/>
          <w:szCs w:val="20"/>
          <w:lang w:val="pt-BR"/>
        </w:rPr>
        <w:t>,</w:t>
      </w:r>
      <w:r w:rsidR="00EA3C5C" w:rsidRPr="00FF6DBF">
        <w:rPr>
          <w:color w:val="auto"/>
          <w:sz w:val="20"/>
          <w:szCs w:val="20"/>
          <w:lang w:val="pt-BR"/>
        </w:rPr>
        <w:t xml:space="preserve"> </w:t>
      </w:r>
      <w:r w:rsidR="002D2F70" w:rsidRPr="00FF6DBF">
        <w:rPr>
          <w:color w:val="auto"/>
          <w:sz w:val="20"/>
          <w:szCs w:val="20"/>
          <w:lang w:val="pt-BR"/>
        </w:rPr>
        <w:t>embora as investigações tenham sido iniciadas rapidamente, a progressão para as etapas subsequentes foi notadamente lenta e problemática</w:t>
      </w:r>
      <w:r w:rsidR="006F19EB">
        <w:rPr>
          <w:color w:val="auto"/>
          <w:sz w:val="20"/>
          <w:szCs w:val="20"/>
          <w:lang w:val="pt-BR"/>
        </w:rPr>
        <w:t>, com o decurso de</w:t>
      </w:r>
      <w:r w:rsidR="00EA3C5C" w:rsidRPr="00FF6DBF">
        <w:rPr>
          <w:color w:val="auto"/>
          <w:sz w:val="20"/>
          <w:szCs w:val="20"/>
          <w:lang w:val="pt-BR"/>
        </w:rPr>
        <w:t xml:space="preserve"> mais de dez anos sem que o processo penal alcançasse seu fim com seu trânsito em julgado e arquivamento. </w:t>
      </w:r>
      <w:r w:rsidR="002D2F70" w:rsidRPr="00FF6DBF">
        <w:rPr>
          <w:color w:val="auto"/>
          <w:sz w:val="20"/>
          <w:szCs w:val="20"/>
          <w:lang w:val="pt-BR"/>
        </w:rPr>
        <w:t xml:space="preserve">A Comissão não encontrou, nas alegações do Estado, </w:t>
      </w:r>
      <w:r w:rsidR="009577C8" w:rsidRPr="00FF6DBF">
        <w:rPr>
          <w:color w:val="auto"/>
          <w:sz w:val="20"/>
          <w:szCs w:val="20"/>
          <w:lang w:val="pt-BR"/>
        </w:rPr>
        <w:t xml:space="preserve">justificativa </w:t>
      </w:r>
      <w:r w:rsidR="002D2F70" w:rsidRPr="00FF6DBF">
        <w:rPr>
          <w:color w:val="auto"/>
          <w:sz w:val="20"/>
          <w:szCs w:val="20"/>
          <w:lang w:val="pt-BR"/>
        </w:rPr>
        <w:t xml:space="preserve">suficiente para a demora em questão. </w:t>
      </w:r>
      <w:r w:rsidR="006139C6" w:rsidRPr="00FF6DBF">
        <w:rPr>
          <w:color w:val="auto"/>
          <w:sz w:val="20"/>
          <w:szCs w:val="20"/>
          <w:lang w:val="pt-BR"/>
        </w:rPr>
        <w:t>Ao contrário</w:t>
      </w:r>
      <w:r>
        <w:rPr>
          <w:color w:val="auto"/>
          <w:sz w:val="20"/>
          <w:szCs w:val="20"/>
          <w:lang w:val="pt-BR"/>
        </w:rPr>
        <w:t>:</w:t>
      </w:r>
      <w:r w:rsidR="006139C6" w:rsidRPr="00FF6DBF">
        <w:rPr>
          <w:color w:val="auto"/>
          <w:sz w:val="20"/>
          <w:szCs w:val="20"/>
          <w:lang w:val="pt-BR"/>
        </w:rPr>
        <w:t xml:space="preserve"> os fatos narrados indicam que a</w:t>
      </w:r>
      <w:r w:rsidR="002D2F70" w:rsidRPr="00FF6DBF">
        <w:rPr>
          <w:color w:val="auto"/>
          <w:sz w:val="20"/>
          <w:szCs w:val="20"/>
          <w:lang w:val="pt-BR"/>
        </w:rPr>
        <w:t xml:space="preserve"> lentidão observada reflete possíveis falhas no sistema judicial, como a demora na realização de audiências críticas e atrasos nas decisões judiciais, exacerbadas pela aparente falta de </w:t>
      </w:r>
      <w:r w:rsidR="006F19EB">
        <w:rPr>
          <w:color w:val="auto"/>
          <w:sz w:val="20"/>
          <w:szCs w:val="20"/>
          <w:lang w:val="pt-BR"/>
        </w:rPr>
        <w:t xml:space="preserve">condições </w:t>
      </w:r>
      <w:r w:rsidR="002D2F70" w:rsidRPr="00FF6DBF">
        <w:rPr>
          <w:color w:val="auto"/>
          <w:sz w:val="20"/>
          <w:szCs w:val="20"/>
          <w:lang w:val="pt-BR"/>
        </w:rPr>
        <w:t xml:space="preserve">do sistema para lidar com casos de grande magnitude e impacto público. </w:t>
      </w:r>
      <w:r w:rsidR="009577C8" w:rsidRPr="00FF6DBF">
        <w:rPr>
          <w:color w:val="auto"/>
          <w:sz w:val="20"/>
          <w:szCs w:val="20"/>
          <w:lang w:val="pt-BR"/>
        </w:rPr>
        <w:t xml:space="preserve">Neste sentido, </w:t>
      </w:r>
      <w:r w:rsidR="006F19EB" w:rsidRPr="006F19EB">
        <w:rPr>
          <w:i/>
          <w:iCs/>
          <w:color w:val="auto"/>
          <w:sz w:val="20"/>
          <w:szCs w:val="20"/>
          <w:lang w:val="pt-BR"/>
        </w:rPr>
        <w:t>e.g.</w:t>
      </w:r>
      <w:r w:rsidR="009577C8" w:rsidRPr="00FF6DBF">
        <w:rPr>
          <w:color w:val="auto"/>
          <w:sz w:val="20"/>
          <w:szCs w:val="20"/>
          <w:lang w:val="pt-BR"/>
        </w:rPr>
        <w:t xml:space="preserve">, embora a decisão de pronúncia </w:t>
      </w:r>
      <w:r>
        <w:rPr>
          <w:color w:val="auto"/>
          <w:sz w:val="20"/>
          <w:szCs w:val="20"/>
          <w:lang w:val="pt-BR"/>
        </w:rPr>
        <w:t>do</w:t>
      </w:r>
      <w:r w:rsidR="009577C8" w:rsidRPr="00FF6DBF">
        <w:rPr>
          <w:color w:val="auto"/>
          <w:sz w:val="20"/>
          <w:szCs w:val="20"/>
          <w:lang w:val="pt-BR"/>
        </w:rPr>
        <w:t xml:space="preserve"> processo penal principal tenha ocorrido em 2016, sinalizando a possibilidade de julgamento subsequente dos réus pelo Tribunal de Júri, </w:t>
      </w:r>
      <w:r w:rsidR="002D2F70" w:rsidRPr="00FF6DBF">
        <w:rPr>
          <w:color w:val="auto"/>
          <w:sz w:val="20"/>
          <w:szCs w:val="20"/>
          <w:lang w:val="pt-BR"/>
        </w:rPr>
        <w:t xml:space="preserve">expedientes de natureza processual alheios à complexidade do incêndio e preparativos </w:t>
      </w:r>
      <w:r>
        <w:rPr>
          <w:color w:val="auto"/>
          <w:sz w:val="20"/>
          <w:szCs w:val="20"/>
          <w:lang w:val="pt-BR"/>
        </w:rPr>
        <w:t>para a</w:t>
      </w:r>
      <w:r w:rsidR="002D2F70" w:rsidRPr="00FF6DBF">
        <w:rPr>
          <w:color w:val="auto"/>
          <w:sz w:val="20"/>
          <w:szCs w:val="20"/>
          <w:lang w:val="pt-BR"/>
        </w:rPr>
        <w:t xml:space="preserve"> realização do julgamento fizeram com que somente em dezembro de 2021 os réus fossem julgados em primeira instância.</w:t>
      </w:r>
      <w:r w:rsidR="00BD3F0F">
        <w:rPr>
          <w:color w:val="auto"/>
          <w:sz w:val="20"/>
          <w:szCs w:val="20"/>
          <w:lang w:val="pt-BR"/>
        </w:rPr>
        <w:t xml:space="preserve"> </w:t>
      </w:r>
      <w:r w:rsidR="002D2F70" w:rsidRPr="00FF6DBF">
        <w:rPr>
          <w:color w:val="auto"/>
          <w:sz w:val="20"/>
          <w:szCs w:val="20"/>
          <w:lang w:val="pt-BR"/>
        </w:rPr>
        <w:t>Diante do exposto</w:t>
      </w:r>
      <w:r w:rsidR="00942213" w:rsidRPr="00FF6DBF">
        <w:rPr>
          <w:color w:val="auto"/>
          <w:sz w:val="20"/>
          <w:szCs w:val="20"/>
          <w:lang w:val="pt-BR"/>
        </w:rPr>
        <w:t>, dadas as características da presente petição, a Comissão considera que é aplicável a exceção estabelecida no artigo 46.2.c) da Convenção Americana.</w:t>
      </w:r>
    </w:p>
    <w:p w14:paraId="1EE7CFEB" w14:textId="3AFB1AB2" w:rsidR="00942213" w:rsidRPr="00FF6DBF" w:rsidRDefault="009E0B27"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Com relação ao requisito do prazo razoável, de acordo com o artigo 46.2 da Convenção Americana, o requisito específico do artigo 46.1.b) desse tratado não será aplicado quando forem pertinentes algumas das exceções à regra do esgotamento dos recursos internos dispostas nesse mesmo artigo. A este respeito, é aplicável o artigo 32.2 do Regulamento da CIDH que estabelece que nestes casos: "</w:t>
      </w:r>
      <w:r w:rsidRPr="00AE425A">
        <w:rPr>
          <w:i/>
          <w:iCs/>
          <w:color w:val="auto"/>
          <w:sz w:val="20"/>
          <w:szCs w:val="20"/>
          <w:lang w:val="pt-BR"/>
        </w:rPr>
        <w:t>a petição deverá ser apresentada dentro de um prazo razoável, a critério da Comissão. Para tal efeito, a Comissão considerará a data em que ocorreu a suposta violação dos direitos e as circunstâncias de cada caso</w:t>
      </w:r>
      <w:r w:rsidRPr="00FF6DBF">
        <w:rPr>
          <w:color w:val="auto"/>
          <w:sz w:val="20"/>
          <w:szCs w:val="20"/>
          <w:lang w:val="pt-BR"/>
        </w:rPr>
        <w:t xml:space="preserve">". No presente caso, a Comissão observa que os fatos denunciados relativos ao incêndio da Boate Kiss ocorreram em 27 de janeiro de 2013 e suas consequências, em termos da alegada impunidade, se estenderiam até o presente, mais de dez anos depois. A petição à CIDH, por sua vez, foi apresentada em </w:t>
      </w:r>
      <w:r w:rsidRPr="00FF6DBF">
        <w:rPr>
          <w:bCs/>
          <w:color w:val="auto"/>
          <w:sz w:val="20"/>
          <w:lang w:val="pt-BR"/>
        </w:rPr>
        <w:t xml:space="preserve">3 de fevereiro de 2017. Diante do exposto, a </w:t>
      </w:r>
      <w:r w:rsidRPr="00FF6DBF">
        <w:rPr>
          <w:color w:val="auto"/>
          <w:sz w:val="20"/>
          <w:szCs w:val="20"/>
          <w:lang w:val="pt-BR"/>
        </w:rPr>
        <w:t>Comissão considera que a presente petição foi apresentada dentro de um prazo razoável nos termos do artigo 32.2 da Convenção Americana.</w:t>
      </w:r>
    </w:p>
    <w:p w14:paraId="490A8DA5" w14:textId="55F2C63D" w:rsidR="009E0B27" w:rsidRDefault="009E0B27"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Em relação ao assunto ii), a parte peticionária informa que três pais e uma mãe de jovens mortos no incêndio, todos eles dirigentes da AVTSM, foram processados criminalmente por calúnia e difamação após questionarem publicamente a conduta dos promotores de justiça envolvidos nos inquéritos sobre o incêndio na boate Kiss. Não há, porém, mais informações sobre os processos penais em questão. De sua parte, o Estado brasileiro também não prestou informações adicionais sobre esses processos. Por isso, a Comissão Interamericana considera que não possui elementos suficientes para emitir um juízo sobre o esgotamento dos recursos internos ou a eventual aplicação de uma exceção à regra do prévio esgotamento.</w:t>
      </w:r>
    </w:p>
    <w:p w14:paraId="44299B32" w14:textId="77777777" w:rsidR="00107FC0" w:rsidRPr="00FF6DBF" w:rsidRDefault="00107FC0" w:rsidP="00107FC0">
      <w:pPr>
        <w:pStyle w:val="ListParagraph"/>
        <w:spacing w:before="240" w:after="240"/>
        <w:jc w:val="both"/>
        <w:rPr>
          <w:color w:val="auto"/>
          <w:sz w:val="20"/>
          <w:szCs w:val="20"/>
          <w:lang w:val="pt-BR"/>
        </w:rPr>
      </w:pPr>
    </w:p>
    <w:p w14:paraId="35B53FA8" w14:textId="4BF5D4A9" w:rsidR="00697D1E" w:rsidRPr="00FF6DBF" w:rsidRDefault="00697D1E" w:rsidP="00697D1E">
      <w:pPr>
        <w:pStyle w:val="ListParagraph"/>
        <w:spacing w:before="240" w:after="240"/>
        <w:ind w:left="758"/>
        <w:jc w:val="both"/>
        <w:rPr>
          <w:b/>
          <w:color w:val="auto"/>
          <w:sz w:val="20"/>
          <w:szCs w:val="20"/>
          <w:lang w:val="pt-BR"/>
        </w:rPr>
      </w:pPr>
      <w:r w:rsidRPr="00FF6DBF">
        <w:rPr>
          <w:b/>
          <w:color w:val="auto"/>
          <w:sz w:val="20"/>
          <w:szCs w:val="20"/>
          <w:lang w:val="pt-BR"/>
        </w:rPr>
        <w:lastRenderedPageBreak/>
        <w:t>V</w:t>
      </w:r>
      <w:r w:rsidR="00FD41F3" w:rsidRPr="00FF6DBF">
        <w:rPr>
          <w:b/>
          <w:color w:val="auto"/>
          <w:sz w:val="20"/>
          <w:szCs w:val="20"/>
          <w:lang w:val="pt-BR"/>
        </w:rPr>
        <w:t>I</w:t>
      </w:r>
      <w:r w:rsidRPr="00FF6DBF">
        <w:rPr>
          <w:b/>
          <w:color w:val="auto"/>
          <w:sz w:val="20"/>
          <w:szCs w:val="20"/>
          <w:lang w:val="pt-BR"/>
        </w:rPr>
        <w:t xml:space="preserve">II. </w:t>
      </w:r>
      <w:r w:rsidRPr="00FF6DBF">
        <w:rPr>
          <w:b/>
          <w:color w:val="auto"/>
          <w:sz w:val="20"/>
          <w:szCs w:val="20"/>
          <w:lang w:val="pt-BR"/>
        </w:rPr>
        <w:tab/>
      </w:r>
      <w:r w:rsidR="00FB7BCA" w:rsidRPr="00FF6DBF">
        <w:rPr>
          <w:b/>
          <w:bCs/>
          <w:color w:val="auto"/>
          <w:sz w:val="20"/>
          <w:szCs w:val="20"/>
          <w:lang w:val="pt-BR"/>
        </w:rPr>
        <w:t xml:space="preserve">ANÁLISE DE CARACTERIZAÇÃO </w:t>
      </w:r>
      <w:r w:rsidR="000E1B72" w:rsidRPr="00FF6DBF">
        <w:rPr>
          <w:b/>
          <w:bCs/>
          <w:color w:val="auto"/>
          <w:sz w:val="20"/>
          <w:szCs w:val="20"/>
          <w:lang w:val="pt-BR"/>
        </w:rPr>
        <w:t>DOS FATOS ALEGADOS</w:t>
      </w:r>
    </w:p>
    <w:p w14:paraId="3C0D4C06" w14:textId="3FC876E3" w:rsidR="008C2DA7" w:rsidRPr="00FF6DBF" w:rsidRDefault="008C2DA7"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A petição diz respeito essencialmente à</w:t>
      </w:r>
      <w:r w:rsidR="000E1B72" w:rsidRPr="00FF6DBF">
        <w:rPr>
          <w:color w:val="auto"/>
          <w:sz w:val="20"/>
          <w:szCs w:val="20"/>
          <w:lang w:val="pt-BR"/>
        </w:rPr>
        <w:t xml:space="preserve"> possível responsabilidade do Estado pel</w:t>
      </w:r>
      <w:r w:rsidRPr="00FF6DBF">
        <w:rPr>
          <w:color w:val="auto"/>
          <w:sz w:val="20"/>
          <w:szCs w:val="20"/>
          <w:lang w:val="pt-BR"/>
        </w:rPr>
        <w:t>as mortes, lesões e</w:t>
      </w:r>
      <w:r w:rsidR="000E1B72" w:rsidRPr="00FF6DBF">
        <w:rPr>
          <w:color w:val="auto"/>
          <w:sz w:val="20"/>
          <w:szCs w:val="20"/>
          <w:lang w:val="pt-BR"/>
        </w:rPr>
        <w:t xml:space="preserve"> danos decorrentes de um incêndio em uma casa de shows, </w:t>
      </w:r>
      <w:r w:rsidRPr="00FF6DBF">
        <w:rPr>
          <w:color w:val="auto"/>
          <w:sz w:val="20"/>
          <w:szCs w:val="20"/>
          <w:lang w:val="pt-BR"/>
        </w:rPr>
        <w:t>pela alegada falta de oportuna e exaustiva investigação e punição dos responsáveis, e pela falta de reparação dos danos associados.</w:t>
      </w:r>
    </w:p>
    <w:p w14:paraId="433FC988" w14:textId="77777777" w:rsidR="000E1B72" w:rsidRPr="00FF6DBF" w:rsidRDefault="000E1B72"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 Comissão Interamericana esclarece que, no âmbito do exame de admissibilidade, a ela compete realizar uma análise </w:t>
      </w:r>
      <w:r w:rsidRPr="00FF6DBF">
        <w:rPr>
          <w:i/>
          <w:iCs/>
          <w:color w:val="auto"/>
          <w:sz w:val="20"/>
          <w:szCs w:val="20"/>
          <w:lang w:val="pt-BR"/>
        </w:rPr>
        <w:t>prima facie</w:t>
      </w:r>
      <w:r w:rsidRPr="00FF6DBF">
        <w:rPr>
          <w:color w:val="auto"/>
          <w:sz w:val="20"/>
          <w:szCs w:val="20"/>
          <w:lang w:val="pt-BR"/>
        </w:rPr>
        <w:t xml:space="preserve"> com o único objetivo de determinar se os fatos expostos caracterizam uma possível violação dos direitos humanos, bem como se os fatos não são manifestamente infundados ou infundados.</w:t>
      </w:r>
    </w:p>
    <w:p w14:paraId="012344D2" w14:textId="6557EA0C" w:rsidR="000E1B72" w:rsidRPr="00FF6DBF" w:rsidRDefault="000E1B72"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Ao se pronunciar em relação a um caso comparável ao presente, cujo objeto incluiu denúncias sobre mortos e feridos por explosão e incêndio em um estabelecimento privado (uma fábrica de fogos de artifício que funcionava </w:t>
      </w:r>
      <w:r w:rsidR="008C2DA7" w:rsidRPr="00FF6DBF">
        <w:rPr>
          <w:color w:val="auto"/>
          <w:sz w:val="20"/>
          <w:szCs w:val="20"/>
          <w:lang w:val="pt-BR"/>
        </w:rPr>
        <w:t>de maneira irregular</w:t>
      </w:r>
      <w:r w:rsidRPr="00FF6DBF">
        <w:rPr>
          <w:color w:val="auto"/>
          <w:sz w:val="20"/>
          <w:szCs w:val="20"/>
          <w:lang w:val="pt-BR"/>
        </w:rPr>
        <w:t>), a Comissão Interamericana esclareceu que o cumprimento das obrigações do artigo 1.1 da Convenção não só pressupõe que nenhuma pessoa seja privada da vida arbitrariamente, mas exige, além disso, que os Estados tomem todas as medidas apropriadas para proteger e preservar o direito à vida,  e que essas obrigações são igualmente aplicáveis ao direito à integridade pessoal.</w:t>
      </w:r>
      <w:bookmarkStart w:id="5" w:name="_Hlk167360451"/>
      <w:r w:rsidR="0091273D" w:rsidRPr="00FF6DBF">
        <w:rPr>
          <w:rStyle w:val="FootnoteReference"/>
          <w:bCs/>
          <w:color w:val="auto"/>
          <w:sz w:val="20"/>
          <w:lang w:val="pt-BR"/>
        </w:rPr>
        <w:footnoteReference w:id="17"/>
      </w:r>
      <w:bookmarkEnd w:id="5"/>
      <w:r w:rsidRPr="00FF6DBF">
        <w:rPr>
          <w:color w:val="auto"/>
          <w:sz w:val="20"/>
          <w:szCs w:val="20"/>
          <w:lang w:val="pt-BR"/>
        </w:rPr>
        <w:t xml:space="preserve"> Além disso, esclareceu que uma violação dos direitos humanos protegidos pela Convenção pode comprometer a responsabilidade internacional de um Estado Parte, caso o ato ilícito tenha contado com a participação, o apoio ou a tolerância de agentes estatais ou tenha resultado do descumprimento, por parte do Estado, da obrigação de prevenir, de maneira razoável, as violações dos direitos humanos, de investigar seriamente, com vistas a identificar e punir os responsáveis e de reparar adequadamente a vítima ou seus familiares pelos prejuízos causados.</w:t>
      </w:r>
      <w:bookmarkStart w:id="6" w:name="_Hlk167360463"/>
      <w:r w:rsidR="0091273D" w:rsidRPr="00FF6DBF">
        <w:rPr>
          <w:rStyle w:val="FootnoteReference"/>
          <w:bCs/>
          <w:color w:val="auto"/>
          <w:sz w:val="20"/>
          <w:lang w:val="pt-BR"/>
        </w:rPr>
        <w:footnoteReference w:id="18"/>
      </w:r>
      <w:bookmarkEnd w:id="6"/>
      <w:r w:rsidRPr="00FF6DBF">
        <w:rPr>
          <w:color w:val="auto"/>
          <w:sz w:val="20"/>
          <w:szCs w:val="20"/>
          <w:lang w:val="pt-BR"/>
        </w:rPr>
        <w:t xml:space="preserve"> Finalmente, concluiu que, embora não sejam atribuíveis ao Estado todo</w:t>
      </w:r>
      <w:r w:rsidR="001C0B3E" w:rsidRPr="00FF6DBF">
        <w:rPr>
          <w:color w:val="auto"/>
          <w:sz w:val="20"/>
          <w:szCs w:val="20"/>
          <w:lang w:val="pt-BR"/>
        </w:rPr>
        <w:t xml:space="preserve"> e qualquer</w:t>
      </w:r>
      <w:r w:rsidRPr="00FF6DBF">
        <w:rPr>
          <w:color w:val="auto"/>
          <w:sz w:val="20"/>
          <w:szCs w:val="20"/>
          <w:lang w:val="pt-BR"/>
        </w:rPr>
        <w:t xml:space="preserve"> dano à vida e à integridade, o Estado, sim, pode ser internacionalmente responsável por esses danos quando tenham ocorrido na ausência de mecanismos adequados de regulamentação, supervisão e fiscalização. Essas obrigações são reforçadas frente a atores privados que realizam atividades de especial risco.</w:t>
      </w:r>
      <w:bookmarkStart w:id="7" w:name="_Hlk167360477"/>
      <w:r w:rsidR="0091273D" w:rsidRPr="00FF6DBF">
        <w:rPr>
          <w:rStyle w:val="FootnoteReference"/>
          <w:bCs/>
          <w:color w:val="auto"/>
          <w:sz w:val="20"/>
          <w:lang w:val="pt-BR"/>
        </w:rPr>
        <w:footnoteReference w:id="19"/>
      </w:r>
      <w:bookmarkEnd w:id="7"/>
      <w:r w:rsidRPr="00FF6DBF">
        <w:rPr>
          <w:color w:val="auto"/>
          <w:sz w:val="20"/>
          <w:szCs w:val="20"/>
          <w:lang w:val="pt-BR"/>
        </w:rPr>
        <w:t xml:space="preserve"> </w:t>
      </w:r>
    </w:p>
    <w:p w14:paraId="43B61559" w14:textId="77128EF6" w:rsidR="00C31873" w:rsidRPr="00FF6DBF" w:rsidRDefault="007A0C59" w:rsidP="00BF5F78">
      <w:pPr>
        <w:pStyle w:val="ListParagraph"/>
        <w:numPr>
          <w:ilvl w:val="0"/>
          <w:numId w:val="55"/>
        </w:numPr>
        <w:spacing w:before="240" w:after="240"/>
        <w:ind w:left="0" w:firstLine="720"/>
        <w:jc w:val="both"/>
        <w:rPr>
          <w:color w:val="auto"/>
          <w:sz w:val="20"/>
          <w:szCs w:val="20"/>
          <w:lang w:val="pt-BR"/>
        </w:rPr>
      </w:pPr>
      <w:r>
        <w:rPr>
          <w:color w:val="auto"/>
          <w:sz w:val="20"/>
          <w:szCs w:val="20"/>
          <w:lang w:val="pt-BR"/>
        </w:rPr>
        <w:t>De sua parte</w:t>
      </w:r>
      <w:r w:rsidR="00C31873" w:rsidRPr="00FF6DBF">
        <w:rPr>
          <w:color w:val="auto"/>
          <w:sz w:val="20"/>
          <w:szCs w:val="20"/>
          <w:lang w:val="pt-BR"/>
        </w:rPr>
        <w:t>, a Corte Interamericana de Direitos Humanos destacou que a obrigação de garantir os direitos humanos prevista no artigo 1.1 da Convenção Americana “</w:t>
      </w:r>
      <w:r w:rsidR="00C31873" w:rsidRPr="00FF6DBF">
        <w:rPr>
          <w:i/>
          <w:iCs/>
          <w:color w:val="auto"/>
          <w:sz w:val="20"/>
          <w:szCs w:val="20"/>
          <w:lang w:val="pt-BR"/>
        </w:rPr>
        <w:t>implica o dever dos Estados Partes de organizar todo o aparato governamental e, em geral, todas as estruturas através das quais se manifesta o exercício do poder público, de maneira tal que sejam capazes de assegurar juridicamente o livre e pleno exercício dos direitos humanos</w:t>
      </w:r>
      <w:r w:rsidR="00C31873" w:rsidRPr="00FF6DBF">
        <w:rPr>
          <w:color w:val="auto"/>
          <w:sz w:val="20"/>
          <w:szCs w:val="20"/>
          <w:lang w:val="pt-BR"/>
        </w:rPr>
        <w:t>”. Como consequência, os Estados devem prevenir, investigar e sancionar toda violação dos direitos reconhecidos pela Convenção</w:t>
      </w:r>
      <w:r>
        <w:rPr>
          <w:color w:val="auto"/>
          <w:sz w:val="20"/>
          <w:szCs w:val="20"/>
          <w:lang w:val="pt-BR"/>
        </w:rPr>
        <w:t xml:space="preserve">, além de garantir </w:t>
      </w:r>
      <w:r w:rsidR="00C31873" w:rsidRPr="00FF6DBF">
        <w:rPr>
          <w:color w:val="auto"/>
          <w:sz w:val="20"/>
          <w:szCs w:val="20"/>
          <w:lang w:val="pt-BR"/>
        </w:rPr>
        <w:t>a reparação dos danos produzidos.</w:t>
      </w:r>
      <w:bookmarkStart w:id="8" w:name="_Hlk167360507"/>
      <w:r w:rsidR="00C31873" w:rsidRPr="00FF6DBF">
        <w:rPr>
          <w:rStyle w:val="FootnoteReference"/>
          <w:bCs/>
          <w:color w:val="auto"/>
          <w:sz w:val="20"/>
          <w:lang w:val="pt-BR"/>
        </w:rPr>
        <w:footnoteReference w:id="20"/>
      </w:r>
      <w:bookmarkEnd w:id="8"/>
      <w:r w:rsidR="00C31873" w:rsidRPr="00FF6DBF">
        <w:rPr>
          <w:color w:val="auto"/>
          <w:sz w:val="20"/>
          <w:szCs w:val="20"/>
          <w:lang w:val="pt-BR"/>
        </w:rPr>
        <w:t xml:space="preserve"> A Corte </w:t>
      </w:r>
      <w:r w:rsidR="00E30913" w:rsidRPr="00FF6DBF">
        <w:rPr>
          <w:color w:val="auto"/>
          <w:sz w:val="20"/>
          <w:szCs w:val="20"/>
          <w:lang w:val="pt-BR"/>
        </w:rPr>
        <w:t>se pronunciou</w:t>
      </w:r>
      <w:r>
        <w:rPr>
          <w:color w:val="auto"/>
          <w:sz w:val="20"/>
          <w:szCs w:val="20"/>
          <w:lang w:val="pt-BR"/>
        </w:rPr>
        <w:t>, ademais,</w:t>
      </w:r>
      <w:r w:rsidR="00E30913" w:rsidRPr="00FF6DBF">
        <w:rPr>
          <w:color w:val="auto"/>
          <w:sz w:val="20"/>
          <w:szCs w:val="20"/>
          <w:lang w:val="pt-BR"/>
        </w:rPr>
        <w:t xml:space="preserve"> sobre </w:t>
      </w:r>
      <w:r w:rsidR="000517EC" w:rsidRPr="00FF6DBF">
        <w:rPr>
          <w:color w:val="auto"/>
          <w:sz w:val="20"/>
          <w:szCs w:val="20"/>
          <w:lang w:val="pt-BR"/>
        </w:rPr>
        <w:t>o dever</w:t>
      </w:r>
      <w:r>
        <w:rPr>
          <w:color w:val="auto"/>
          <w:sz w:val="20"/>
          <w:szCs w:val="20"/>
          <w:lang w:val="pt-BR"/>
        </w:rPr>
        <w:t xml:space="preserve"> dos Estados</w:t>
      </w:r>
      <w:r w:rsidR="000517EC" w:rsidRPr="00FF6DBF">
        <w:rPr>
          <w:color w:val="auto"/>
          <w:sz w:val="20"/>
          <w:szCs w:val="20"/>
          <w:lang w:val="pt-BR"/>
        </w:rPr>
        <w:t xml:space="preserve"> de regular, supervisionar e fiscalizar atividades perigosas</w:t>
      </w:r>
      <w:r w:rsidR="00C31873" w:rsidRPr="00FF6DBF">
        <w:rPr>
          <w:color w:val="auto"/>
          <w:sz w:val="20"/>
          <w:szCs w:val="20"/>
          <w:lang w:val="pt-BR"/>
        </w:rPr>
        <w:t>:</w:t>
      </w:r>
    </w:p>
    <w:p w14:paraId="0A2721B5" w14:textId="3A878D01" w:rsidR="00C31873" w:rsidRPr="00FF6DBF" w:rsidRDefault="00C31873" w:rsidP="00C31873">
      <w:pPr>
        <w:pStyle w:val="ListParagraph"/>
        <w:ind w:left="709" w:right="713"/>
        <w:jc w:val="both"/>
        <w:rPr>
          <w:color w:val="auto"/>
          <w:sz w:val="20"/>
          <w:szCs w:val="20"/>
          <w:lang w:val="pt-BR"/>
        </w:rPr>
      </w:pPr>
      <w:r w:rsidRPr="00FF6DBF">
        <w:rPr>
          <w:color w:val="auto"/>
          <w:sz w:val="20"/>
          <w:szCs w:val="20"/>
          <w:lang w:val="pt-BR"/>
        </w:rPr>
        <w:t xml:space="preserve">A observância do artigo 4, relacionado com o artigo 1.1 da Convenção Americana, não só pressupõe que nenhuma pessoa seja privada de sua vida arbitrariamente (obrigação negativa), mas também exige que os Estados adotem todas as medidas apropriadas para proteger e preservar o direito à vida (obrigação positiva), conforme o dever de garantir o </w:t>
      </w:r>
      <w:r w:rsidRPr="00FF6DBF">
        <w:rPr>
          <w:color w:val="auto"/>
          <w:sz w:val="20"/>
          <w:szCs w:val="20"/>
          <w:lang w:val="pt-BR"/>
        </w:rPr>
        <w:lastRenderedPageBreak/>
        <w:t>pleno e livre exercício dos direitos de todas as pessoas sob sua jurisdição. [...]</w:t>
      </w:r>
      <w:r w:rsidR="00E30913" w:rsidRPr="00FF6DBF">
        <w:rPr>
          <w:color w:val="auto"/>
          <w:sz w:val="20"/>
          <w:szCs w:val="20"/>
          <w:lang w:val="pt-BR"/>
        </w:rPr>
        <w:t xml:space="preserve"> </w:t>
      </w:r>
      <w:r w:rsidRPr="00FF6DBF">
        <w:rPr>
          <w:color w:val="auto"/>
          <w:sz w:val="20"/>
          <w:szCs w:val="20"/>
          <w:lang w:val="pt-BR"/>
        </w:rPr>
        <w:t>Em cumprimento de seu dever de garantir os direitos à vida e à integridade pessoal, [...] os Estados têm o dever de regular, supervisionar e fiscalizar a prática de atividades perigosas por parte de empresas privadas que impliquem riscos significativos para a vida e a integridade das pessoas sob sua jurisdição.</w:t>
      </w:r>
      <w:bookmarkStart w:id="9" w:name="_Hlk167360514"/>
      <w:r w:rsidRPr="00FF6DBF">
        <w:rPr>
          <w:rStyle w:val="FootnoteReference"/>
          <w:bCs/>
          <w:color w:val="auto"/>
          <w:sz w:val="20"/>
          <w:lang w:val="pt-BR"/>
        </w:rPr>
        <w:footnoteReference w:id="21"/>
      </w:r>
      <w:bookmarkEnd w:id="9"/>
    </w:p>
    <w:p w14:paraId="1F0B02EF" w14:textId="1603C363" w:rsidR="00E62A05" w:rsidRPr="00FF6DBF" w:rsidRDefault="00E62A05"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 xml:space="preserve">Levando em conta </w:t>
      </w:r>
      <w:r w:rsidR="000517EC" w:rsidRPr="00FF6DBF">
        <w:rPr>
          <w:color w:val="auto"/>
          <w:sz w:val="20"/>
          <w:szCs w:val="20"/>
          <w:lang w:val="pt-BR"/>
        </w:rPr>
        <w:t xml:space="preserve">todo </w:t>
      </w:r>
      <w:r w:rsidRPr="00FF6DBF">
        <w:rPr>
          <w:color w:val="auto"/>
          <w:sz w:val="20"/>
          <w:szCs w:val="20"/>
          <w:lang w:val="pt-BR"/>
        </w:rPr>
        <w:t>o exposto</w:t>
      </w:r>
      <w:r w:rsidR="000517EC" w:rsidRPr="00FF6DBF">
        <w:rPr>
          <w:color w:val="auto"/>
          <w:sz w:val="20"/>
          <w:szCs w:val="20"/>
          <w:lang w:val="pt-BR"/>
        </w:rPr>
        <w:t xml:space="preserve"> e as decisões de admissibilidade da CIDH em casos muito similares</w:t>
      </w:r>
      <w:r w:rsidR="000517EC" w:rsidRPr="00FF6DBF">
        <w:rPr>
          <w:rStyle w:val="FootnoteReference"/>
          <w:bCs/>
          <w:color w:val="auto"/>
          <w:sz w:val="20"/>
          <w:lang w:val="pt-BR"/>
        </w:rPr>
        <w:footnoteReference w:id="22"/>
      </w:r>
      <w:r w:rsidR="000517EC" w:rsidRPr="00FF6DBF">
        <w:rPr>
          <w:color w:val="auto"/>
          <w:sz w:val="20"/>
          <w:szCs w:val="20"/>
          <w:lang w:val="pt-BR"/>
        </w:rPr>
        <w:t xml:space="preserve">; </w:t>
      </w:r>
      <w:r w:rsidRPr="00FF6DBF">
        <w:rPr>
          <w:color w:val="auto"/>
          <w:sz w:val="20"/>
          <w:szCs w:val="20"/>
          <w:lang w:val="pt-BR"/>
        </w:rPr>
        <w:t xml:space="preserve">considerando que as alegações apresentadas incluem falhas de inspeção e irregularidades do estabelecimento que podem ter contribuído para </w:t>
      </w:r>
      <w:r w:rsidR="008C2DA7" w:rsidRPr="00FF6DBF">
        <w:rPr>
          <w:color w:val="auto"/>
          <w:sz w:val="20"/>
          <w:szCs w:val="20"/>
          <w:lang w:val="pt-BR"/>
        </w:rPr>
        <w:t>as mortes, lesões e danos decorrentes do incêndio da Boate Kiss</w:t>
      </w:r>
      <w:r w:rsidRPr="00FF6DBF">
        <w:rPr>
          <w:color w:val="auto"/>
          <w:sz w:val="20"/>
          <w:szCs w:val="20"/>
          <w:lang w:val="pt-BR"/>
        </w:rPr>
        <w:t xml:space="preserve">, além da possível falta de </w:t>
      </w:r>
      <w:r w:rsidR="008C2DA7" w:rsidRPr="00FF6DBF">
        <w:rPr>
          <w:color w:val="auto"/>
          <w:sz w:val="20"/>
          <w:szCs w:val="20"/>
          <w:lang w:val="pt-BR"/>
        </w:rPr>
        <w:t xml:space="preserve">investigação, punição e </w:t>
      </w:r>
      <w:r w:rsidRPr="00FF6DBF">
        <w:rPr>
          <w:color w:val="auto"/>
          <w:sz w:val="20"/>
          <w:szCs w:val="20"/>
          <w:lang w:val="pt-BR"/>
        </w:rPr>
        <w:t>reparação total e oportuna</w:t>
      </w:r>
      <w:r w:rsidR="000517EC" w:rsidRPr="00FF6DBF">
        <w:rPr>
          <w:color w:val="auto"/>
          <w:sz w:val="20"/>
          <w:szCs w:val="20"/>
          <w:lang w:val="pt-BR"/>
        </w:rPr>
        <w:t>;</w:t>
      </w:r>
      <w:r w:rsidRPr="00FF6DBF">
        <w:rPr>
          <w:color w:val="auto"/>
          <w:sz w:val="20"/>
          <w:szCs w:val="20"/>
          <w:lang w:val="pt-BR"/>
        </w:rPr>
        <w:t xml:space="preserve"> a Comissão Interamericana conclui que, caso sejam provadas, essas alegações podem caracterizar violações dos direitos protegidos pelos artigos 4 (direito à vida), 5 (integridade pessoal), 8 (garantias judiciais) e 25 (proteção judicial) da Convenção Americana sobre Direitos Humanos, em relação às obrigações dispostas no artigo 1.1 (obrigação de respeitar os direitos) da Convenção Americana, </w:t>
      </w:r>
      <w:r w:rsidR="008C2DA7" w:rsidRPr="00FF6DBF">
        <w:rPr>
          <w:color w:val="auto"/>
          <w:sz w:val="20"/>
          <w:szCs w:val="20"/>
          <w:lang w:val="pt-BR"/>
        </w:rPr>
        <w:t>em prejuízo das vítimas apontadas no presente relatório.</w:t>
      </w:r>
    </w:p>
    <w:p w14:paraId="0D824C15" w14:textId="27734F21" w:rsidR="00FA5065" w:rsidRPr="00FF6DBF" w:rsidRDefault="00FA5065"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Em relação aos artigos 13 (liberdade de pensamento e expressão) e 16 (liberdade de associação) invocados pela parte peticionária, a Comissão recorda que, na seção anterior, não pôde determinar o cumprimento das regras do esgotamento dos recursos internos e do prazo de apresentação em relação aos fatos associados a esses artigos.</w:t>
      </w:r>
    </w:p>
    <w:p w14:paraId="0C7515F9" w14:textId="77777777" w:rsidR="00FD41F3" w:rsidRPr="00FF6DBF" w:rsidRDefault="008C2DA7"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Em relação ao artigo 17 (proteção da família) invocado pela parte peticionária, a Comissão Interamericana esclarece o referido artigo, ao tratar da proteção da família, tem um enfoque nos direitos e deveres dos membros da família, incluindo o casamento, a igualdade de direitos dos cônjuges e a proteção das crianças</w:t>
      </w:r>
      <w:r w:rsidR="00FA5065" w:rsidRPr="00FF6DBF">
        <w:rPr>
          <w:color w:val="auto"/>
          <w:sz w:val="20"/>
          <w:szCs w:val="20"/>
          <w:lang w:val="pt-BR"/>
        </w:rPr>
        <w:t xml:space="preserve">. O contexto descrito na petição sobre a Boate Kiss, por sua vez, envolve possível negligência e falhas administrativas que resultaram em um desastre com múltiplas vítimas fatais e feridos. A discussão se concentra principalmente em violações de direitos como vida, integridade pessoal, garantias e proteção judiciais. As possíveis falhas em questão (como, </w:t>
      </w:r>
      <w:r w:rsidR="00FA5065" w:rsidRPr="00FF6DBF">
        <w:rPr>
          <w:i/>
          <w:iCs/>
          <w:color w:val="auto"/>
          <w:sz w:val="20"/>
          <w:szCs w:val="20"/>
          <w:lang w:val="pt-BR"/>
        </w:rPr>
        <w:t>e.g.</w:t>
      </w:r>
      <w:r w:rsidR="00FA5065" w:rsidRPr="00FF6DBF">
        <w:rPr>
          <w:color w:val="auto"/>
          <w:sz w:val="20"/>
          <w:szCs w:val="20"/>
          <w:lang w:val="pt-BR"/>
        </w:rPr>
        <w:t xml:space="preserve">, falhas de segurança, supervisão inadequada da boate, deficiências nas respostas de emergência e investigações subsequentes) não estão diretamente relacionadas à proteção da estrutura familiar per se ou aos direitos dentro do contexto familiar. Por essa razão, a presente análise </w:t>
      </w:r>
      <w:r w:rsidR="00FA5065" w:rsidRPr="00FF6DBF">
        <w:rPr>
          <w:i/>
          <w:iCs/>
          <w:color w:val="auto"/>
          <w:sz w:val="20"/>
          <w:szCs w:val="20"/>
          <w:lang w:val="pt-BR"/>
        </w:rPr>
        <w:t>prima facie</w:t>
      </w:r>
      <w:r w:rsidR="00FA5065" w:rsidRPr="00FF6DBF">
        <w:rPr>
          <w:color w:val="auto"/>
          <w:sz w:val="20"/>
          <w:szCs w:val="20"/>
          <w:lang w:val="pt-BR"/>
        </w:rPr>
        <w:t xml:space="preserve"> de caracterização jurídica dos fatos narrados não inclui o artigo invocado</w:t>
      </w:r>
      <w:r w:rsidR="00FD41F3" w:rsidRPr="00FF6DBF">
        <w:rPr>
          <w:color w:val="auto"/>
          <w:sz w:val="20"/>
          <w:szCs w:val="20"/>
          <w:lang w:val="pt-BR"/>
        </w:rPr>
        <w:t>.</w:t>
      </w:r>
    </w:p>
    <w:p w14:paraId="4B450BEF" w14:textId="25DB3807" w:rsidR="00FD41F3" w:rsidRPr="00FF6DBF" w:rsidRDefault="00FD41F3" w:rsidP="00BF5F78">
      <w:pPr>
        <w:pStyle w:val="ListParagraph"/>
        <w:numPr>
          <w:ilvl w:val="0"/>
          <w:numId w:val="55"/>
        </w:numPr>
        <w:spacing w:before="240" w:after="240"/>
        <w:ind w:left="0" w:firstLine="720"/>
        <w:jc w:val="both"/>
        <w:rPr>
          <w:color w:val="auto"/>
          <w:sz w:val="20"/>
          <w:szCs w:val="20"/>
          <w:lang w:val="pt-BR"/>
        </w:rPr>
      </w:pPr>
      <w:r w:rsidRPr="00FF6DBF">
        <w:rPr>
          <w:color w:val="auto"/>
          <w:sz w:val="20"/>
          <w:szCs w:val="20"/>
          <w:lang w:val="pt-BR"/>
        </w:rPr>
        <w:t>Finalmente, em relação à alegação do Estado de que a admissão da presente petição constituiria uma violação da denominada “fórmula da quarta instância”, a Comissão reitera que, no âmbito de seu mandato, tem competência para declarar uma petição admissível e decidir sobre o mérito quando se trate de processos internos que possam violar os direitos garantidos pela Convenção Americana</w:t>
      </w:r>
      <w:r w:rsidRPr="00FF6DBF">
        <w:rPr>
          <w:bCs/>
          <w:color w:val="auto"/>
          <w:sz w:val="20"/>
          <w:szCs w:val="20"/>
          <w:vertAlign w:val="superscript"/>
          <w:lang w:val="pt-BR"/>
        </w:rPr>
        <w:footnoteReference w:id="23"/>
      </w:r>
      <w:r w:rsidRPr="00FF6DBF">
        <w:rPr>
          <w:color w:val="auto"/>
          <w:sz w:val="20"/>
          <w:szCs w:val="20"/>
          <w:lang w:val="pt-BR"/>
        </w:rPr>
        <w:t xml:space="preserve">.  </w:t>
      </w:r>
    </w:p>
    <w:p w14:paraId="6D6AE254" w14:textId="7B023FBE" w:rsidR="00697D1E" w:rsidRPr="00FF6DBF" w:rsidRDefault="00FD41F3" w:rsidP="00697D1E">
      <w:pPr>
        <w:pStyle w:val="ListParagraph"/>
        <w:spacing w:before="240" w:after="240"/>
        <w:ind w:left="0" w:firstLine="709"/>
        <w:jc w:val="both"/>
        <w:rPr>
          <w:b/>
          <w:color w:val="auto"/>
          <w:sz w:val="20"/>
          <w:szCs w:val="20"/>
          <w:lang w:val="pt-BR"/>
        </w:rPr>
      </w:pPr>
      <w:r w:rsidRPr="00FF6DBF">
        <w:rPr>
          <w:b/>
          <w:color w:val="auto"/>
          <w:sz w:val="20"/>
          <w:szCs w:val="20"/>
          <w:lang w:val="pt-BR"/>
        </w:rPr>
        <w:t>IX</w:t>
      </w:r>
      <w:r w:rsidR="00697D1E" w:rsidRPr="00FF6DBF">
        <w:rPr>
          <w:b/>
          <w:color w:val="auto"/>
          <w:sz w:val="20"/>
          <w:szCs w:val="20"/>
          <w:lang w:val="pt-BR"/>
        </w:rPr>
        <w:t xml:space="preserve">. </w:t>
      </w:r>
      <w:r w:rsidR="00697D1E" w:rsidRPr="00FF6DBF">
        <w:rPr>
          <w:b/>
          <w:color w:val="auto"/>
          <w:sz w:val="20"/>
          <w:szCs w:val="20"/>
          <w:lang w:val="pt-BR"/>
        </w:rPr>
        <w:tab/>
      </w:r>
      <w:r w:rsidR="00697D1E" w:rsidRPr="00FF6DBF">
        <w:rPr>
          <w:b/>
          <w:bCs/>
          <w:color w:val="auto"/>
          <w:sz w:val="20"/>
          <w:szCs w:val="20"/>
          <w:lang w:val="pt-BR"/>
        </w:rPr>
        <w:t>DECIS</w:t>
      </w:r>
      <w:r w:rsidR="00FB7BCA" w:rsidRPr="00FF6DBF">
        <w:rPr>
          <w:b/>
          <w:bCs/>
          <w:color w:val="auto"/>
          <w:sz w:val="20"/>
          <w:szCs w:val="20"/>
          <w:lang w:val="pt-BR"/>
        </w:rPr>
        <w:t>ÃO</w:t>
      </w:r>
    </w:p>
    <w:p w14:paraId="0F74D56A" w14:textId="77777777" w:rsidR="00F4666D" w:rsidRDefault="00E62A05" w:rsidP="00BF5F78">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color w:val="auto"/>
          <w:sz w:val="20"/>
          <w:szCs w:val="20"/>
          <w:lang w:val="pt-BR"/>
        </w:rPr>
      </w:pPr>
      <w:r w:rsidRPr="00FF6DBF">
        <w:rPr>
          <w:color w:val="auto"/>
          <w:sz w:val="20"/>
          <w:szCs w:val="20"/>
          <w:lang w:val="pt-BR"/>
        </w:rPr>
        <w:t>Declarar admissível a presente petição em relação aos artigos 4, 5, 8 e 25 da Convenção Americana, em concordância com seu artigo 1.1.</w:t>
      </w:r>
    </w:p>
    <w:p w14:paraId="1CC8C8BE" w14:textId="1CBC42B9" w:rsidR="00F4666D" w:rsidRPr="00F4666D" w:rsidRDefault="00F4666D" w:rsidP="00BF5F78">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color w:val="auto"/>
          <w:sz w:val="20"/>
          <w:szCs w:val="20"/>
          <w:lang w:val="pt-BR"/>
        </w:rPr>
      </w:pPr>
      <w:r w:rsidRPr="00F4666D">
        <w:rPr>
          <w:sz w:val="20"/>
          <w:szCs w:val="20"/>
          <w:lang w:val="pt-BR"/>
        </w:rPr>
        <w:t>Declarar inadmissível a presente petição em relação ao artigo</w:t>
      </w:r>
      <w:r>
        <w:rPr>
          <w:sz w:val="20"/>
          <w:szCs w:val="20"/>
          <w:lang w:val="pt-BR"/>
        </w:rPr>
        <w:t xml:space="preserve"> 1</w:t>
      </w:r>
      <w:r w:rsidRPr="00F4666D">
        <w:rPr>
          <w:sz w:val="20"/>
          <w:szCs w:val="20"/>
          <w:lang w:val="pt-BR"/>
        </w:rPr>
        <w:t>7 da Convenção Americana</w:t>
      </w:r>
      <w:r w:rsidR="008F0E31">
        <w:rPr>
          <w:sz w:val="20"/>
          <w:szCs w:val="20"/>
          <w:lang w:val="pt-BR"/>
        </w:rPr>
        <w:t>.</w:t>
      </w:r>
    </w:p>
    <w:p w14:paraId="410F8A31" w14:textId="18817ED9" w:rsidR="00143BBD" w:rsidRPr="00BF5F78" w:rsidRDefault="00E62A05" w:rsidP="00BF5F78">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color w:val="auto"/>
          <w:sz w:val="20"/>
          <w:szCs w:val="20"/>
          <w:lang w:val="pt-BR"/>
        </w:rPr>
      </w:pPr>
      <w:r w:rsidRPr="00FF6DBF">
        <w:rPr>
          <w:color w:val="auto"/>
          <w:sz w:val="20"/>
          <w:szCs w:val="20"/>
          <w:lang w:val="pt-BR"/>
        </w:rPr>
        <w:t>Notificar as partes da presente decisão; continuar a análise do mérito da questão; e publicar esta decisão e incluí-la em seu Relatório Anual à Assembleia Geral da Organização dos Estados Americanos.</w:t>
      </w:r>
      <w:bookmarkStart w:id="10" w:name="_Hlk89363282"/>
    </w:p>
    <w:p w14:paraId="66456E1D" w14:textId="51263964" w:rsidR="00280CD3" w:rsidRDefault="00143BBD" w:rsidP="00BF5F78">
      <w:pPr>
        <w:ind w:firstLine="720"/>
        <w:jc w:val="both"/>
        <w:rPr>
          <w:rFonts w:ascii="Cambria" w:hAnsi="Cambria" w:cs="BookAntiqua"/>
          <w:sz w:val="20"/>
          <w:szCs w:val="20"/>
          <w:lang w:val="pt-BR"/>
        </w:rPr>
      </w:pPr>
      <w:r w:rsidRPr="004D5FAD">
        <w:rPr>
          <w:rFonts w:ascii="Cambria" w:hAnsi="Cambria" w:cs="BookAntiqua"/>
          <w:sz w:val="20"/>
          <w:szCs w:val="20"/>
          <w:lang w:val="pt-BR"/>
        </w:rPr>
        <w:lastRenderedPageBreak/>
        <w:t xml:space="preserve">Aprovado pela Comissão Interamericana de Direitos Humanos aos </w:t>
      </w:r>
      <w:r w:rsidR="002269A1">
        <w:rPr>
          <w:rFonts w:ascii="Cambria" w:hAnsi="Cambria" w:cs="BookAntiqua"/>
          <w:sz w:val="20"/>
          <w:szCs w:val="20"/>
          <w:lang w:val="pt-BR"/>
        </w:rPr>
        <w:t>19</w:t>
      </w:r>
      <w:r w:rsidRPr="004D5FAD">
        <w:rPr>
          <w:rFonts w:ascii="Cambria" w:hAnsi="Cambria" w:cs="BookAntiqua"/>
          <w:sz w:val="20"/>
          <w:szCs w:val="20"/>
          <w:lang w:val="pt-BR"/>
        </w:rPr>
        <w:t xml:space="preserve"> dias do mês de </w:t>
      </w:r>
      <w:r w:rsidR="002269A1">
        <w:rPr>
          <w:rFonts w:ascii="Cambria" w:hAnsi="Cambria" w:cs="BookAntiqua"/>
          <w:sz w:val="20"/>
          <w:szCs w:val="20"/>
          <w:lang w:val="pt-BR"/>
        </w:rPr>
        <w:t>junho</w:t>
      </w:r>
      <w:r w:rsidRPr="004D5FAD">
        <w:rPr>
          <w:rFonts w:ascii="Cambria" w:hAnsi="Cambria" w:cs="BookAntiqua"/>
          <w:sz w:val="20"/>
          <w:szCs w:val="20"/>
          <w:lang w:val="pt-BR"/>
        </w:rPr>
        <w:t xml:space="preserve"> de 2024. (Assinado): Roberta Clarke, Presidenta; Carlos Bernal Pulido, Primeiro Vicepresidente; Arif Bulkan e Gloria Monique de Mees, membros da Comissão.</w:t>
      </w:r>
      <w:bookmarkEnd w:id="10"/>
    </w:p>
    <w:p w14:paraId="6B3F9C41" w14:textId="77777777" w:rsidR="00BF5F78" w:rsidRDefault="00BF5F78" w:rsidP="00BF5F78">
      <w:pPr>
        <w:ind w:firstLine="720"/>
        <w:jc w:val="both"/>
        <w:rPr>
          <w:rFonts w:ascii="Cambria" w:hAnsi="Cambria" w:cs="BookAntiqua"/>
          <w:sz w:val="20"/>
          <w:szCs w:val="20"/>
          <w:lang w:val="pt-BR"/>
        </w:rPr>
      </w:pPr>
    </w:p>
    <w:p w14:paraId="5DD47420" w14:textId="77777777" w:rsidR="00BF5F78" w:rsidRDefault="00BF5F78" w:rsidP="00BF5F78">
      <w:pPr>
        <w:ind w:firstLine="720"/>
        <w:jc w:val="both"/>
        <w:rPr>
          <w:rFonts w:ascii="Cambria" w:hAnsi="Cambria" w:cs="BookAntiqua"/>
          <w:sz w:val="20"/>
          <w:szCs w:val="20"/>
          <w:lang w:val="pt-BR"/>
        </w:rPr>
      </w:pPr>
    </w:p>
    <w:p w14:paraId="21FCD173" w14:textId="77777777" w:rsidR="00BF5F78" w:rsidRDefault="00BF5F78" w:rsidP="00BF5F78">
      <w:pPr>
        <w:ind w:firstLine="720"/>
        <w:jc w:val="both"/>
        <w:rPr>
          <w:rFonts w:ascii="Cambria" w:hAnsi="Cambria" w:cs="BookAntiqua"/>
          <w:sz w:val="20"/>
          <w:szCs w:val="20"/>
          <w:lang w:val="pt-BR"/>
        </w:rPr>
      </w:pPr>
    </w:p>
    <w:p w14:paraId="2CAD6ABC" w14:textId="77777777" w:rsidR="00BF5F78" w:rsidRDefault="00BF5F78" w:rsidP="00BF5F78">
      <w:pPr>
        <w:ind w:firstLine="720"/>
        <w:jc w:val="both"/>
        <w:rPr>
          <w:rFonts w:ascii="Cambria" w:hAnsi="Cambria" w:cs="BookAntiqua"/>
          <w:sz w:val="20"/>
          <w:szCs w:val="20"/>
          <w:lang w:val="pt-BR"/>
        </w:rPr>
      </w:pPr>
    </w:p>
    <w:p w14:paraId="3CEC2A91" w14:textId="77777777" w:rsidR="00BF5F78" w:rsidRDefault="00BF5F78" w:rsidP="00BF5F78">
      <w:pPr>
        <w:ind w:firstLine="720"/>
        <w:jc w:val="both"/>
        <w:rPr>
          <w:rFonts w:ascii="Cambria" w:hAnsi="Cambria" w:cs="BookAntiqua"/>
          <w:sz w:val="20"/>
          <w:szCs w:val="20"/>
          <w:lang w:val="pt-BR"/>
        </w:rPr>
      </w:pPr>
    </w:p>
    <w:p w14:paraId="1D2EAD9D" w14:textId="77777777" w:rsidR="00BF5F78" w:rsidRDefault="00BF5F78" w:rsidP="00BF5F78">
      <w:pPr>
        <w:ind w:firstLine="720"/>
        <w:jc w:val="both"/>
        <w:rPr>
          <w:rFonts w:ascii="Cambria" w:hAnsi="Cambria" w:cs="BookAntiqua"/>
          <w:sz w:val="20"/>
          <w:szCs w:val="20"/>
          <w:lang w:val="pt-BR"/>
        </w:rPr>
      </w:pPr>
    </w:p>
    <w:p w14:paraId="4BB449B5" w14:textId="77777777" w:rsidR="00BF5F78" w:rsidRDefault="00BF5F78" w:rsidP="00BF5F78">
      <w:pPr>
        <w:ind w:firstLine="720"/>
        <w:jc w:val="both"/>
        <w:rPr>
          <w:rFonts w:ascii="Cambria" w:hAnsi="Cambria" w:cs="BookAntiqua"/>
          <w:sz w:val="20"/>
          <w:szCs w:val="20"/>
          <w:lang w:val="pt-BR"/>
        </w:rPr>
      </w:pPr>
    </w:p>
    <w:p w14:paraId="6A700F1C" w14:textId="77777777" w:rsidR="00BF5F78" w:rsidRDefault="00BF5F78" w:rsidP="00BF5F78">
      <w:pPr>
        <w:ind w:firstLine="720"/>
        <w:jc w:val="both"/>
        <w:rPr>
          <w:rFonts w:ascii="Cambria" w:hAnsi="Cambria" w:cs="BookAntiqua"/>
          <w:sz w:val="20"/>
          <w:szCs w:val="20"/>
          <w:lang w:val="pt-BR"/>
        </w:rPr>
      </w:pPr>
    </w:p>
    <w:p w14:paraId="7B28AD4E" w14:textId="77777777" w:rsidR="00BF5F78" w:rsidRDefault="00BF5F78" w:rsidP="00BF5F78">
      <w:pPr>
        <w:ind w:firstLine="720"/>
        <w:jc w:val="both"/>
        <w:rPr>
          <w:rFonts w:ascii="Cambria" w:hAnsi="Cambria" w:cs="BookAntiqua"/>
          <w:sz w:val="20"/>
          <w:szCs w:val="20"/>
          <w:lang w:val="pt-BR"/>
        </w:rPr>
      </w:pPr>
    </w:p>
    <w:p w14:paraId="67A0AA62" w14:textId="77777777" w:rsidR="00BF5F78" w:rsidRDefault="00BF5F78" w:rsidP="00BF5F78">
      <w:pPr>
        <w:ind w:firstLine="720"/>
        <w:jc w:val="both"/>
        <w:rPr>
          <w:rFonts w:ascii="Cambria" w:hAnsi="Cambria" w:cs="BookAntiqua"/>
          <w:sz w:val="20"/>
          <w:szCs w:val="20"/>
          <w:lang w:val="pt-BR"/>
        </w:rPr>
      </w:pPr>
    </w:p>
    <w:p w14:paraId="5CF64A62" w14:textId="77777777" w:rsidR="00BF5F78" w:rsidRDefault="00BF5F78" w:rsidP="00BF5F78">
      <w:pPr>
        <w:ind w:firstLine="720"/>
        <w:jc w:val="both"/>
        <w:rPr>
          <w:rFonts w:ascii="Cambria" w:hAnsi="Cambria" w:cs="BookAntiqua"/>
          <w:sz w:val="20"/>
          <w:szCs w:val="20"/>
          <w:lang w:val="pt-BR"/>
        </w:rPr>
      </w:pPr>
    </w:p>
    <w:p w14:paraId="13FAAE44" w14:textId="77777777" w:rsidR="00BF5F78" w:rsidRDefault="00BF5F78" w:rsidP="00BF5F78">
      <w:pPr>
        <w:ind w:firstLine="720"/>
        <w:jc w:val="both"/>
        <w:rPr>
          <w:rFonts w:ascii="Cambria" w:hAnsi="Cambria" w:cs="BookAntiqua"/>
          <w:sz w:val="20"/>
          <w:szCs w:val="20"/>
          <w:lang w:val="pt-BR"/>
        </w:rPr>
      </w:pPr>
    </w:p>
    <w:p w14:paraId="6F53C80C" w14:textId="77777777" w:rsidR="00BF5F78" w:rsidRDefault="00BF5F78" w:rsidP="00BF5F78">
      <w:pPr>
        <w:ind w:firstLine="720"/>
        <w:jc w:val="both"/>
        <w:rPr>
          <w:rFonts w:ascii="Cambria" w:hAnsi="Cambria" w:cs="BookAntiqua"/>
          <w:sz w:val="20"/>
          <w:szCs w:val="20"/>
          <w:lang w:val="pt-BR"/>
        </w:rPr>
      </w:pPr>
    </w:p>
    <w:p w14:paraId="1DFE0144" w14:textId="77777777" w:rsidR="00BF5F78" w:rsidRDefault="00BF5F78" w:rsidP="00BF5F78">
      <w:pPr>
        <w:ind w:firstLine="720"/>
        <w:jc w:val="both"/>
        <w:rPr>
          <w:rFonts w:ascii="Cambria" w:hAnsi="Cambria" w:cs="BookAntiqua"/>
          <w:sz w:val="20"/>
          <w:szCs w:val="20"/>
          <w:lang w:val="pt-BR"/>
        </w:rPr>
      </w:pPr>
    </w:p>
    <w:p w14:paraId="2F6499F7" w14:textId="77777777" w:rsidR="00BF5F78" w:rsidRDefault="00BF5F78" w:rsidP="00BF5F78">
      <w:pPr>
        <w:ind w:firstLine="720"/>
        <w:jc w:val="both"/>
        <w:rPr>
          <w:rFonts w:ascii="Cambria" w:hAnsi="Cambria" w:cs="BookAntiqua"/>
          <w:sz w:val="20"/>
          <w:szCs w:val="20"/>
          <w:lang w:val="pt-BR"/>
        </w:rPr>
      </w:pPr>
    </w:p>
    <w:p w14:paraId="00EE8B88" w14:textId="77777777" w:rsidR="00BF5F78" w:rsidRDefault="00BF5F78" w:rsidP="00BF5F78">
      <w:pPr>
        <w:ind w:firstLine="720"/>
        <w:jc w:val="both"/>
        <w:rPr>
          <w:rFonts w:ascii="Cambria" w:hAnsi="Cambria" w:cs="BookAntiqua"/>
          <w:sz w:val="20"/>
          <w:szCs w:val="20"/>
          <w:lang w:val="pt-BR"/>
        </w:rPr>
      </w:pPr>
    </w:p>
    <w:p w14:paraId="6B5D1F0D" w14:textId="77777777" w:rsidR="00BF5F78" w:rsidRDefault="00BF5F78" w:rsidP="00BF5F78">
      <w:pPr>
        <w:ind w:firstLine="720"/>
        <w:jc w:val="both"/>
        <w:rPr>
          <w:rFonts w:ascii="Cambria" w:hAnsi="Cambria" w:cs="BookAntiqua"/>
          <w:sz w:val="20"/>
          <w:szCs w:val="20"/>
          <w:lang w:val="pt-BR"/>
        </w:rPr>
      </w:pPr>
    </w:p>
    <w:p w14:paraId="4FB96E66" w14:textId="77777777" w:rsidR="00BF5F78" w:rsidRDefault="00BF5F78" w:rsidP="00BF5F78">
      <w:pPr>
        <w:ind w:firstLine="720"/>
        <w:jc w:val="both"/>
        <w:rPr>
          <w:rFonts w:ascii="Cambria" w:hAnsi="Cambria" w:cs="BookAntiqua"/>
          <w:sz w:val="20"/>
          <w:szCs w:val="20"/>
          <w:lang w:val="pt-BR"/>
        </w:rPr>
      </w:pPr>
    </w:p>
    <w:p w14:paraId="34C4BDE5" w14:textId="77777777" w:rsidR="00BF5F78" w:rsidRDefault="00BF5F78" w:rsidP="00BF5F78">
      <w:pPr>
        <w:ind w:firstLine="720"/>
        <w:jc w:val="both"/>
        <w:rPr>
          <w:rFonts w:ascii="Cambria" w:hAnsi="Cambria" w:cs="BookAntiqua"/>
          <w:sz w:val="20"/>
          <w:szCs w:val="20"/>
          <w:lang w:val="pt-BR"/>
        </w:rPr>
      </w:pPr>
    </w:p>
    <w:p w14:paraId="2C26CD7E" w14:textId="77777777" w:rsidR="00BF5F78" w:rsidRDefault="00BF5F78" w:rsidP="00BF5F78">
      <w:pPr>
        <w:ind w:firstLine="720"/>
        <w:jc w:val="both"/>
        <w:rPr>
          <w:rFonts w:ascii="Cambria" w:hAnsi="Cambria" w:cs="BookAntiqua"/>
          <w:sz w:val="20"/>
          <w:szCs w:val="20"/>
          <w:lang w:val="pt-BR"/>
        </w:rPr>
      </w:pPr>
    </w:p>
    <w:p w14:paraId="6EA4B80C" w14:textId="77777777" w:rsidR="00BF5F78" w:rsidRDefault="00BF5F78" w:rsidP="00BF5F78">
      <w:pPr>
        <w:ind w:firstLine="720"/>
        <w:jc w:val="both"/>
        <w:rPr>
          <w:rFonts w:ascii="Cambria" w:hAnsi="Cambria" w:cs="BookAntiqua"/>
          <w:sz w:val="20"/>
          <w:szCs w:val="20"/>
          <w:lang w:val="pt-BR"/>
        </w:rPr>
      </w:pPr>
    </w:p>
    <w:p w14:paraId="65A9320A" w14:textId="77777777" w:rsidR="00BF5F78" w:rsidRDefault="00BF5F78" w:rsidP="00BF5F78">
      <w:pPr>
        <w:ind w:firstLine="720"/>
        <w:jc w:val="both"/>
        <w:rPr>
          <w:rFonts w:ascii="Cambria" w:hAnsi="Cambria" w:cs="BookAntiqua"/>
          <w:sz w:val="20"/>
          <w:szCs w:val="20"/>
          <w:lang w:val="pt-BR"/>
        </w:rPr>
      </w:pPr>
    </w:p>
    <w:p w14:paraId="1D3BC8E1" w14:textId="77777777" w:rsidR="00BF5F78" w:rsidRDefault="00BF5F78" w:rsidP="00BF5F78">
      <w:pPr>
        <w:ind w:firstLine="720"/>
        <w:jc w:val="both"/>
        <w:rPr>
          <w:rFonts w:ascii="Cambria" w:hAnsi="Cambria" w:cs="BookAntiqua"/>
          <w:sz w:val="20"/>
          <w:szCs w:val="20"/>
          <w:lang w:val="pt-BR"/>
        </w:rPr>
      </w:pPr>
    </w:p>
    <w:p w14:paraId="2D2419E3" w14:textId="77777777" w:rsidR="00BF5F78" w:rsidRDefault="00BF5F78" w:rsidP="00BF5F78">
      <w:pPr>
        <w:ind w:firstLine="720"/>
        <w:jc w:val="both"/>
        <w:rPr>
          <w:rFonts w:ascii="Cambria" w:hAnsi="Cambria" w:cs="BookAntiqua"/>
          <w:sz w:val="20"/>
          <w:szCs w:val="20"/>
          <w:lang w:val="pt-BR"/>
        </w:rPr>
      </w:pPr>
    </w:p>
    <w:p w14:paraId="2CFFBE9B" w14:textId="77777777" w:rsidR="00BF5F78" w:rsidRDefault="00BF5F78" w:rsidP="00BF5F78">
      <w:pPr>
        <w:ind w:firstLine="720"/>
        <w:jc w:val="both"/>
        <w:rPr>
          <w:rFonts w:ascii="Cambria" w:hAnsi="Cambria" w:cs="BookAntiqua"/>
          <w:sz w:val="20"/>
          <w:szCs w:val="20"/>
          <w:lang w:val="pt-BR"/>
        </w:rPr>
      </w:pPr>
    </w:p>
    <w:p w14:paraId="37CD9A43" w14:textId="77777777" w:rsidR="00BF5F78" w:rsidRDefault="00BF5F78" w:rsidP="00BF5F78">
      <w:pPr>
        <w:ind w:firstLine="720"/>
        <w:jc w:val="both"/>
        <w:rPr>
          <w:rFonts w:ascii="Cambria" w:hAnsi="Cambria" w:cs="BookAntiqua"/>
          <w:sz w:val="20"/>
          <w:szCs w:val="20"/>
          <w:lang w:val="pt-BR"/>
        </w:rPr>
      </w:pPr>
    </w:p>
    <w:p w14:paraId="5925D6D7" w14:textId="77777777" w:rsidR="00BF5F78" w:rsidRDefault="00BF5F78" w:rsidP="00BF5F78">
      <w:pPr>
        <w:ind w:firstLine="720"/>
        <w:jc w:val="both"/>
        <w:rPr>
          <w:rFonts w:ascii="Cambria" w:hAnsi="Cambria" w:cs="BookAntiqua"/>
          <w:sz w:val="20"/>
          <w:szCs w:val="20"/>
          <w:lang w:val="pt-BR"/>
        </w:rPr>
      </w:pPr>
    </w:p>
    <w:p w14:paraId="42F466A5" w14:textId="77777777" w:rsidR="00BF5F78" w:rsidRDefault="00BF5F78" w:rsidP="00BF5F78">
      <w:pPr>
        <w:ind w:firstLine="720"/>
        <w:jc w:val="both"/>
        <w:rPr>
          <w:rFonts w:ascii="Cambria" w:hAnsi="Cambria" w:cs="BookAntiqua"/>
          <w:sz w:val="20"/>
          <w:szCs w:val="20"/>
          <w:lang w:val="pt-BR"/>
        </w:rPr>
      </w:pPr>
    </w:p>
    <w:p w14:paraId="29000E5F" w14:textId="77777777" w:rsidR="00BF5F78" w:rsidRDefault="00BF5F78" w:rsidP="00BF5F78">
      <w:pPr>
        <w:ind w:firstLine="720"/>
        <w:jc w:val="both"/>
        <w:rPr>
          <w:rFonts w:ascii="Cambria" w:hAnsi="Cambria" w:cs="BookAntiqua"/>
          <w:sz w:val="20"/>
          <w:szCs w:val="20"/>
          <w:lang w:val="pt-BR"/>
        </w:rPr>
      </w:pPr>
    </w:p>
    <w:p w14:paraId="224F1BA4" w14:textId="77777777" w:rsidR="00BF5F78" w:rsidRDefault="00BF5F78" w:rsidP="00BF5F78">
      <w:pPr>
        <w:ind w:firstLine="720"/>
        <w:jc w:val="both"/>
        <w:rPr>
          <w:rFonts w:ascii="Cambria" w:hAnsi="Cambria" w:cs="BookAntiqua"/>
          <w:sz w:val="20"/>
          <w:szCs w:val="20"/>
          <w:lang w:val="pt-BR"/>
        </w:rPr>
      </w:pPr>
    </w:p>
    <w:p w14:paraId="0173231C" w14:textId="77777777" w:rsidR="00BF5F78" w:rsidRDefault="00BF5F78" w:rsidP="00BF5F78">
      <w:pPr>
        <w:ind w:firstLine="720"/>
        <w:jc w:val="both"/>
        <w:rPr>
          <w:rFonts w:ascii="Cambria" w:hAnsi="Cambria" w:cs="BookAntiqua"/>
          <w:sz w:val="20"/>
          <w:szCs w:val="20"/>
          <w:lang w:val="pt-BR"/>
        </w:rPr>
      </w:pPr>
    </w:p>
    <w:p w14:paraId="35A68568" w14:textId="77777777" w:rsidR="00BF5F78" w:rsidRDefault="00BF5F78" w:rsidP="00BF5F78">
      <w:pPr>
        <w:ind w:firstLine="720"/>
        <w:jc w:val="both"/>
        <w:rPr>
          <w:rFonts w:ascii="Cambria" w:hAnsi="Cambria" w:cs="BookAntiqua"/>
          <w:sz w:val="20"/>
          <w:szCs w:val="20"/>
          <w:lang w:val="pt-BR"/>
        </w:rPr>
      </w:pPr>
    </w:p>
    <w:p w14:paraId="772D4D94" w14:textId="77777777" w:rsidR="00BF5F78" w:rsidRDefault="00BF5F78" w:rsidP="00BF5F78">
      <w:pPr>
        <w:ind w:firstLine="720"/>
        <w:jc w:val="both"/>
        <w:rPr>
          <w:rFonts w:ascii="Cambria" w:hAnsi="Cambria" w:cs="BookAntiqua"/>
          <w:sz w:val="20"/>
          <w:szCs w:val="20"/>
          <w:lang w:val="pt-BR"/>
        </w:rPr>
      </w:pPr>
    </w:p>
    <w:p w14:paraId="25AA7A15" w14:textId="77777777" w:rsidR="00BF5F78" w:rsidRDefault="00BF5F78" w:rsidP="00BF5F78">
      <w:pPr>
        <w:ind w:firstLine="720"/>
        <w:jc w:val="both"/>
        <w:rPr>
          <w:rFonts w:ascii="Cambria" w:hAnsi="Cambria" w:cs="BookAntiqua"/>
          <w:sz w:val="20"/>
          <w:szCs w:val="20"/>
          <w:lang w:val="pt-BR"/>
        </w:rPr>
      </w:pPr>
    </w:p>
    <w:p w14:paraId="436F68E1" w14:textId="77777777" w:rsidR="00BF5F78" w:rsidRDefault="00BF5F78" w:rsidP="00BF5F78">
      <w:pPr>
        <w:ind w:firstLine="720"/>
        <w:jc w:val="both"/>
        <w:rPr>
          <w:rFonts w:ascii="Cambria" w:hAnsi="Cambria" w:cs="BookAntiqua"/>
          <w:sz w:val="20"/>
          <w:szCs w:val="20"/>
          <w:lang w:val="pt-BR"/>
        </w:rPr>
      </w:pPr>
    </w:p>
    <w:p w14:paraId="2F8F2C08" w14:textId="77777777" w:rsidR="00BF5F78" w:rsidRDefault="00BF5F78" w:rsidP="00BF5F78">
      <w:pPr>
        <w:ind w:firstLine="720"/>
        <w:jc w:val="both"/>
        <w:rPr>
          <w:rFonts w:ascii="Cambria" w:hAnsi="Cambria" w:cs="BookAntiqua"/>
          <w:sz w:val="20"/>
          <w:szCs w:val="20"/>
          <w:lang w:val="pt-BR"/>
        </w:rPr>
      </w:pPr>
    </w:p>
    <w:p w14:paraId="63F9F8AB" w14:textId="77777777" w:rsidR="00BF5F78" w:rsidRDefault="00BF5F78" w:rsidP="00BF5F78">
      <w:pPr>
        <w:ind w:firstLine="720"/>
        <w:jc w:val="both"/>
        <w:rPr>
          <w:rFonts w:ascii="Cambria" w:hAnsi="Cambria" w:cs="BookAntiqua"/>
          <w:sz w:val="20"/>
          <w:szCs w:val="20"/>
          <w:lang w:val="pt-BR"/>
        </w:rPr>
      </w:pPr>
    </w:p>
    <w:p w14:paraId="45518FF0" w14:textId="77777777" w:rsidR="00BF5F78" w:rsidRDefault="00BF5F78" w:rsidP="00BF5F78">
      <w:pPr>
        <w:ind w:firstLine="720"/>
        <w:jc w:val="both"/>
        <w:rPr>
          <w:rFonts w:ascii="Cambria" w:hAnsi="Cambria" w:cs="BookAntiqua"/>
          <w:sz w:val="20"/>
          <w:szCs w:val="20"/>
          <w:lang w:val="pt-BR"/>
        </w:rPr>
      </w:pPr>
    </w:p>
    <w:p w14:paraId="117A1A8D" w14:textId="77777777" w:rsidR="00BF5F78" w:rsidRDefault="00BF5F78" w:rsidP="00BF5F78">
      <w:pPr>
        <w:ind w:firstLine="720"/>
        <w:jc w:val="both"/>
        <w:rPr>
          <w:rFonts w:ascii="Cambria" w:hAnsi="Cambria" w:cs="BookAntiqua"/>
          <w:sz w:val="20"/>
          <w:szCs w:val="20"/>
          <w:lang w:val="pt-BR"/>
        </w:rPr>
      </w:pPr>
    </w:p>
    <w:p w14:paraId="41DFDCD8" w14:textId="77777777" w:rsidR="00BF5F78" w:rsidRDefault="00BF5F78" w:rsidP="00BF5F78">
      <w:pPr>
        <w:ind w:firstLine="720"/>
        <w:jc w:val="both"/>
        <w:rPr>
          <w:rFonts w:ascii="Cambria" w:hAnsi="Cambria" w:cs="BookAntiqua"/>
          <w:sz w:val="20"/>
          <w:szCs w:val="20"/>
          <w:lang w:val="pt-BR"/>
        </w:rPr>
      </w:pPr>
    </w:p>
    <w:p w14:paraId="5211675D" w14:textId="77777777" w:rsidR="00BF5F78" w:rsidRDefault="00BF5F78" w:rsidP="00BF5F78">
      <w:pPr>
        <w:ind w:firstLine="720"/>
        <w:jc w:val="both"/>
        <w:rPr>
          <w:rFonts w:ascii="Cambria" w:hAnsi="Cambria" w:cs="BookAntiqua"/>
          <w:sz w:val="20"/>
          <w:szCs w:val="20"/>
          <w:lang w:val="pt-BR"/>
        </w:rPr>
      </w:pPr>
    </w:p>
    <w:p w14:paraId="101A07E9" w14:textId="77777777" w:rsidR="00BF5F78" w:rsidRDefault="00BF5F78" w:rsidP="00BF5F78">
      <w:pPr>
        <w:ind w:firstLine="720"/>
        <w:jc w:val="both"/>
        <w:rPr>
          <w:rFonts w:ascii="Cambria" w:hAnsi="Cambria" w:cs="BookAntiqua"/>
          <w:sz w:val="20"/>
          <w:szCs w:val="20"/>
          <w:lang w:val="pt-BR"/>
        </w:rPr>
      </w:pPr>
    </w:p>
    <w:p w14:paraId="23ED6A99" w14:textId="77777777" w:rsidR="00BF5F78" w:rsidRDefault="00BF5F78" w:rsidP="00BF5F78">
      <w:pPr>
        <w:ind w:firstLine="720"/>
        <w:jc w:val="both"/>
        <w:rPr>
          <w:rFonts w:ascii="Cambria" w:hAnsi="Cambria" w:cs="BookAntiqua"/>
          <w:sz w:val="20"/>
          <w:szCs w:val="20"/>
          <w:lang w:val="pt-BR"/>
        </w:rPr>
      </w:pPr>
    </w:p>
    <w:p w14:paraId="55F50C93" w14:textId="77777777" w:rsidR="00BF5F78" w:rsidRDefault="00BF5F78" w:rsidP="00BF5F78">
      <w:pPr>
        <w:ind w:firstLine="720"/>
        <w:jc w:val="both"/>
        <w:rPr>
          <w:rFonts w:ascii="Cambria" w:hAnsi="Cambria" w:cs="BookAntiqua"/>
          <w:sz w:val="20"/>
          <w:szCs w:val="20"/>
          <w:lang w:val="pt-BR"/>
        </w:rPr>
      </w:pPr>
    </w:p>
    <w:p w14:paraId="00085E16" w14:textId="77777777" w:rsidR="00BF5F78" w:rsidRDefault="00BF5F78" w:rsidP="00BF5F78">
      <w:pPr>
        <w:ind w:firstLine="720"/>
        <w:jc w:val="both"/>
        <w:rPr>
          <w:rFonts w:ascii="Cambria" w:hAnsi="Cambria" w:cs="BookAntiqua"/>
          <w:sz w:val="20"/>
          <w:szCs w:val="20"/>
          <w:lang w:val="pt-BR"/>
        </w:rPr>
      </w:pPr>
    </w:p>
    <w:p w14:paraId="263618F7" w14:textId="77777777" w:rsidR="00BF5F78" w:rsidRDefault="00BF5F78" w:rsidP="00BF5F78">
      <w:pPr>
        <w:ind w:firstLine="720"/>
        <w:jc w:val="both"/>
        <w:rPr>
          <w:rFonts w:ascii="Cambria" w:hAnsi="Cambria" w:cs="BookAntiqua"/>
          <w:sz w:val="20"/>
          <w:szCs w:val="20"/>
          <w:lang w:val="pt-BR"/>
        </w:rPr>
      </w:pPr>
    </w:p>
    <w:p w14:paraId="3AE5B7B8" w14:textId="77777777" w:rsidR="00BF5F78" w:rsidRDefault="00BF5F78" w:rsidP="00BF5F78">
      <w:pPr>
        <w:ind w:firstLine="720"/>
        <w:jc w:val="both"/>
        <w:rPr>
          <w:rFonts w:ascii="Cambria" w:hAnsi="Cambria" w:cs="BookAntiqua"/>
          <w:sz w:val="20"/>
          <w:szCs w:val="20"/>
          <w:lang w:val="pt-BR"/>
        </w:rPr>
      </w:pPr>
    </w:p>
    <w:p w14:paraId="5A2A812A" w14:textId="77777777" w:rsidR="00BF5F78" w:rsidRPr="00BF5F78" w:rsidRDefault="00BF5F78" w:rsidP="00BF5F78">
      <w:pPr>
        <w:ind w:firstLine="720"/>
        <w:jc w:val="both"/>
        <w:rPr>
          <w:rFonts w:ascii="Cambria" w:hAnsi="Cambria" w:cs="BookAntiqua"/>
          <w:sz w:val="20"/>
          <w:szCs w:val="20"/>
          <w:lang w:val="pt-BR"/>
        </w:rPr>
      </w:pPr>
    </w:p>
    <w:p w14:paraId="47495758" w14:textId="77777777" w:rsidR="00143BBD" w:rsidRDefault="00143BBD" w:rsidP="00143BB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color w:val="auto"/>
          <w:sz w:val="20"/>
          <w:szCs w:val="20"/>
          <w:lang w:val="pt-BR"/>
        </w:rPr>
      </w:pPr>
    </w:p>
    <w:p w14:paraId="0BBB8089" w14:textId="77777777" w:rsidR="00BF5F78" w:rsidRPr="00F4666D" w:rsidRDefault="00BF5F78" w:rsidP="00143BB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color w:val="auto"/>
          <w:sz w:val="20"/>
          <w:szCs w:val="20"/>
          <w:lang w:val="pt-BR"/>
        </w:rPr>
      </w:pPr>
    </w:p>
    <w:p w14:paraId="53C16F7D" w14:textId="701C351D" w:rsidR="00F10D53" w:rsidRPr="00FF6DBF" w:rsidRDefault="00605B57" w:rsidP="00605B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center"/>
        <w:rPr>
          <w:rFonts w:ascii="Cambria" w:hAnsi="Cambria"/>
          <w:b/>
          <w:bCs/>
          <w:sz w:val="20"/>
          <w:szCs w:val="20"/>
          <w:lang w:val="pt-BR"/>
        </w:rPr>
      </w:pPr>
      <w:r w:rsidRPr="00FF6DBF">
        <w:rPr>
          <w:rFonts w:ascii="Cambria" w:hAnsi="Cambria"/>
          <w:b/>
          <w:bCs/>
          <w:sz w:val="20"/>
          <w:szCs w:val="20"/>
          <w:lang w:val="pt-BR"/>
        </w:rPr>
        <w:lastRenderedPageBreak/>
        <w:t>ANEXO I</w:t>
      </w:r>
      <w:r w:rsidR="00F10D53" w:rsidRPr="00FF6DBF">
        <w:rPr>
          <w:rFonts w:ascii="Cambria" w:hAnsi="Cambria"/>
          <w:b/>
          <w:bCs/>
          <w:sz w:val="20"/>
          <w:szCs w:val="20"/>
          <w:lang w:val="pt-BR"/>
        </w:rPr>
        <w:t xml:space="preserve">: Lista das vítimas </w:t>
      </w:r>
      <w:r w:rsidR="00EB6402" w:rsidRPr="00FF6DBF">
        <w:rPr>
          <w:rFonts w:ascii="Cambria" w:hAnsi="Cambria"/>
          <w:b/>
          <w:bCs/>
          <w:sz w:val="20"/>
          <w:szCs w:val="20"/>
          <w:lang w:val="pt-BR"/>
        </w:rPr>
        <w:t>indicadas</w:t>
      </w:r>
      <w:r w:rsidR="00F10D53" w:rsidRPr="00FF6DBF">
        <w:rPr>
          <w:rFonts w:ascii="Cambria" w:hAnsi="Cambria"/>
          <w:b/>
          <w:bCs/>
          <w:sz w:val="20"/>
          <w:szCs w:val="20"/>
          <w:lang w:val="pt-BR"/>
        </w:rPr>
        <w:t xml:space="preserve"> pela parte peticionária</w:t>
      </w:r>
    </w:p>
    <w:p w14:paraId="041BC8C3" w14:textId="410A0032" w:rsidR="00605B57" w:rsidRPr="00FF6DBF" w:rsidRDefault="00F10D53" w:rsidP="00605B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Cambria" w:hAnsi="Cambria"/>
          <w:sz w:val="20"/>
          <w:szCs w:val="20"/>
          <w:lang w:val="pt-BR"/>
        </w:rPr>
      </w:pPr>
      <w:r w:rsidRPr="00FF6DBF">
        <w:rPr>
          <w:rFonts w:ascii="Cambria" w:hAnsi="Cambria"/>
          <w:i/>
          <w:iCs/>
          <w:sz w:val="20"/>
          <w:szCs w:val="20"/>
          <w:lang w:val="pt-BR"/>
        </w:rPr>
        <w:t>Vítimas fatais</w:t>
      </w:r>
      <w:r w:rsidRPr="00FF6DBF">
        <w:rPr>
          <w:rFonts w:ascii="Cambria" w:hAnsi="Cambria"/>
          <w:sz w:val="20"/>
          <w:szCs w:val="20"/>
          <w:lang w:val="pt-BR"/>
        </w:rPr>
        <w:t>:</w:t>
      </w:r>
    </w:p>
    <w:p w14:paraId="0A453411" w14:textId="0C1A465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Alan Raí Rehbein De Oliveira</w:t>
      </w:r>
    </w:p>
    <w:p w14:paraId="1BEB2082" w14:textId="00B0C05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Alex Giacomolli</w:t>
      </w:r>
    </w:p>
    <w:p w14:paraId="264AD4C6" w14:textId="62DD710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Alexandre Ames Prado</w:t>
      </w:r>
    </w:p>
    <w:p w14:paraId="1FD17697" w14:textId="00FBF64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Alisson Oliveira Da Silva</w:t>
      </w:r>
    </w:p>
    <w:p w14:paraId="41BF3D59" w14:textId="5E6133F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Allana Willers</w:t>
      </w:r>
    </w:p>
    <w:p w14:paraId="60A1458A" w14:textId="6E95E42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Ana Caroline Rodrigues</w:t>
      </w:r>
    </w:p>
    <w:p w14:paraId="25F5A08B" w14:textId="557AB0A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Ana Paula Anibaletto Dos Santos</w:t>
      </w:r>
    </w:p>
    <w:p w14:paraId="5B1CAD11" w14:textId="32EF4B4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Ana Paula Rodrigues</w:t>
      </w:r>
    </w:p>
    <w:p w14:paraId="76284455" w14:textId="2FD82D4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André Cadore Posser</w:t>
      </w:r>
    </w:p>
    <w:p w14:paraId="01D264F2" w14:textId="2A8F094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Andressa Ferreira Flores</w:t>
      </w:r>
    </w:p>
    <w:p w14:paraId="7F775953" w14:textId="27AD8F5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Andressa Inaja De Moura Ferreira</w:t>
      </w:r>
    </w:p>
    <w:p w14:paraId="20AAB4F3" w14:textId="683ABB8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Andressa Rooz Paz</w:t>
      </w:r>
    </w:p>
    <w:p w14:paraId="4FEC9921" w14:textId="33ADD4D9"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Andressa Thalita Farias Brissow</w:t>
      </w:r>
    </w:p>
    <w:p w14:paraId="42BB7270" w14:textId="478780D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Andrieli Righi Da Silva</w:t>
      </w:r>
    </w:p>
    <w:p w14:paraId="2C21F84C" w14:textId="62636FC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Andrise Farias Nicoletti</w:t>
      </w:r>
    </w:p>
    <w:p w14:paraId="2E3F4BA2" w14:textId="30D0450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Ângelo Nicoloso Aita</w:t>
      </w:r>
    </w:p>
    <w:p w14:paraId="4D455F64" w14:textId="7CF7804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Ariel Nunes Andreatta</w:t>
      </w:r>
    </w:p>
    <w:p w14:paraId="79695B7D" w14:textId="43744B3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Augusto Cezar Neves</w:t>
      </w:r>
    </w:p>
    <w:p w14:paraId="59E7B448" w14:textId="30BB027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Augusto Malezan De Almeida Gomes</w:t>
      </w:r>
    </w:p>
    <w:p w14:paraId="28FC2153" w14:textId="49AD85C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Augusto Sergio Krauspenhar Da Silva</w:t>
      </w:r>
    </w:p>
    <w:p w14:paraId="6B972798" w14:textId="58CBA5B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Barbara Moraes Nunes</w:t>
      </w:r>
    </w:p>
    <w:p w14:paraId="20D6E623" w14:textId="76C6C3C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Benhur Retzlaff Rodrigues</w:t>
      </w:r>
    </w:p>
    <w:p w14:paraId="6F478030" w14:textId="3BCFDD1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Bernardo Carlo Robe</w:t>
      </w:r>
    </w:p>
    <w:p w14:paraId="250DA979" w14:textId="21A6F86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Bibiana Berleze</w:t>
      </w:r>
    </w:p>
    <w:p w14:paraId="182B6080" w14:textId="0313432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Brady Adrian Gonçalves Silveira</w:t>
      </w:r>
    </w:p>
    <w:p w14:paraId="5321C44C" w14:textId="6348743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Bruna Brondani Papalia</w:t>
      </w:r>
    </w:p>
    <w:p w14:paraId="5174817B" w14:textId="3162416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Bruna Camila Graeff</w:t>
      </w:r>
    </w:p>
    <w:p w14:paraId="7D983EC5" w14:textId="70CF034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Bruna Eduarda Neu</w:t>
      </w:r>
    </w:p>
    <w:p w14:paraId="54AD0BC5" w14:textId="1310273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Bruna Karoline Occai</w:t>
      </w:r>
    </w:p>
    <w:p w14:paraId="0DA95651" w14:textId="7F5A6C0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Bruno Kraulich</w:t>
      </w:r>
    </w:p>
    <w:p w14:paraId="34611B6C" w14:textId="5403CFF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Bruno Portella Fricks</w:t>
      </w:r>
    </w:p>
    <w:p w14:paraId="0C65C858" w14:textId="1EFD734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Camila Massulo Ramos</w:t>
      </w:r>
    </w:p>
    <w:p w14:paraId="37C37DBC" w14:textId="046298D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Carlitos Chaves Soares</w:t>
      </w:r>
    </w:p>
    <w:p w14:paraId="61BB5DC0" w14:textId="76A54EB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Carlos Alexandre Dos Santos Machado</w:t>
      </w:r>
    </w:p>
    <w:p w14:paraId="6C088163" w14:textId="4639CE7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Carolina Simões Corte Real</w:t>
      </w:r>
    </w:p>
    <w:p w14:paraId="1D58AFB9" w14:textId="5F9FEB3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Cássio Garcez Biscaino</w:t>
      </w:r>
    </w:p>
    <w:p w14:paraId="6E5A1050" w14:textId="2ECCC62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Cecília Soares Vargas</w:t>
      </w:r>
    </w:p>
    <w:p w14:paraId="1030D18A" w14:textId="099F2A8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Clarissa Lima Teixeira</w:t>
      </w:r>
    </w:p>
    <w:p w14:paraId="3BE35401" w14:textId="6C40D6D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Crisley Caroline Saraiva De Freitas Da Palma</w:t>
      </w:r>
    </w:p>
    <w:p w14:paraId="1B1A7F09" w14:textId="27C19E6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Cristiane Quevedo Da Rosa</w:t>
      </w:r>
    </w:p>
    <w:p w14:paraId="6288397C" w14:textId="3100F29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Daniel Cechin</w:t>
      </w:r>
    </w:p>
    <w:p w14:paraId="1F123340" w14:textId="0E0C184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Daniel Knabben Da Rosa</w:t>
      </w:r>
    </w:p>
    <w:p w14:paraId="1844D2A1" w14:textId="4ABA8D4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Daniela Betega Ahmad</w:t>
      </w:r>
    </w:p>
    <w:p w14:paraId="23511CB1" w14:textId="393AF43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Daniele Dias De Mattos</w:t>
      </w:r>
    </w:p>
    <w:p w14:paraId="79C68099" w14:textId="061FE09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Danilo Brauner Jaques</w:t>
      </w:r>
    </w:p>
    <w:p w14:paraId="4F4066AA" w14:textId="113FEFE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Danrlei Darin</w:t>
      </w:r>
    </w:p>
    <w:p w14:paraId="74AF75F9" w14:textId="2B6C57A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David Santiago E Souza</w:t>
      </w:r>
    </w:p>
    <w:p w14:paraId="0A4DD915" w14:textId="309CF74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Débora Chiappa Forner</w:t>
      </w:r>
    </w:p>
    <w:p w14:paraId="678DA569" w14:textId="5924921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Deivis Marques Gonçalves</w:t>
      </w:r>
    </w:p>
    <w:p w14:paraId="400FA27C" w14:textId="3C90C38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Diego Silvestri Comim</w:t>
      </w:r>
    </w:p>
    <w:p w14:paraId="32D933C2" w14:textId="428FE20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Dionatha Kamphorst Paulo</w:t>
      </w:r>
    </w:p>
    <w:p w14:paraId="51A3629B" w14:textId="4913A46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lastRenderedPageBreak/>
        <w:t>Douglas Da Silva Flores</w:t>
      </w:r>
    </w:p>
    <w:p w14:paraId="040AB8F1" w14:textId="1040FD7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Driele Pedroso Lucas</w:t>
      </w:r>
    </w:p>
    <w:p w14:paraId="2A65A6DB" w14:textId="1F3C427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Dulce Ranieri Gomes Machado</w:t>
      </w:r>
    </w:p>
    <w:p w14:paraId="18BEE6F8" w14:textId="466C4FD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Elisandro Oliveira Rolim</w:t>
      </w:r>
    </w:p>
    <w:p w14:paraId="6EAF6F8A" w14:textId="7F9000B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Emerson Cardoso Pain</w:t>
      </w:r>
    </w:p>
    <w:p w14:paraId="5B56EADB" w14:textId="4C5EEC6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Emili Contreira Ercolani</w:t>
      </w:r>
    </w:p>
    <w:p w14:paraId="307CB8CA" w14:textId="4B5768B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Éricson Avila Dos Santos</w:t>
      </w:r>
    </w:p>
    <w:p w14:paraId="3BC9E012" w14:textId="269BD6E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Érika Sarturi Becker</w:t>
      </w:r>
    </w:p>
    <w:p w14:paraId="4AA5DF57" w14:textId="74DCCB7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Évelin Costa Lopes</w:t>
      </w:r>
    </w:p>
    <w:p w14:paraId="5875ED69" w14:textId="666ACAF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Fábio José Cervinski</w:t>
      </w:r>
    </w:p>
    <w:p w14:paraId="3F21C90F" w14:textId="5E4FC47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Felipe Vieira</w:t>
      </w:r>
    </w:p>
    <w:p w14:paraId="0E2B1E37" w14:textId="079EE6B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Fernanda De Lima Malheiros</w:t>
      </w:r>
    </w:p>
    <w:p w14:paraId="2732EEB0" w14:textId="4B389A8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Fernanda Tischer</w:t>
      </w:r>
    </w:p>
    <w:p w14:paraId="67FB8D15" w14:textId="1757ADF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Fernando Michel Devagarins Parcianello</w:t>
      </w:r>
    </w:p>
    <w:p w14:paraId="386052D8" w14:textId="76C2B04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Fernando Pellin</w:t>
      </w:r>
    </w:p>
    <w:p w14:paraId="6256F7BE" w14:textId="59EB425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Flávia De Carli Magalhães</w:t>
      </w:r>
    </w:p>
    <w:p w14:paraId="3D6B149B" w14:textId="2AF1198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Flávia Maria Torres Lemos</w:t>
      </w:r>
    </w:p>
    <w:p w14:paraId="50025D51" w14:textId="259481A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Franciele Soares Vargas</w:t>
      </w:r>
    </w:p>
    <w:p w14:paraId="05C2D28F" w14:textId="6B91275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Francieli Araujo Vieira</w:t>
      </w:r>
    </w:p>
    <w:p w14:paraId="1E145B2B" w14:textId="799CA90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Francieli Vizioli</w:t>
      </w:r>
    </w:p>
    <w:p w14:paraId="0DFA4256" w14:textId="2E30B49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Gabriella Corcini Sanchotene</w:t>
      </w:r>
    </w:p>
    <w:p w14:paraId="54CF9C2E" w14:textId="5E2EEBF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Gabriella Dos Santos Saenger</w:t>
      </w:r>
    </w:p>
    <w:p w14:paraId="3BA780BB" w14:textId="2B74F10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Geni Lourença Da Silva</w:t>
      </w:r>
    </w:p>
    <w:p w14:paraId="24024E9E" w14:textId="5B0ED3A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Gilmara Quintanilha Oliveira</w:t>
      </w:r>
    </w:p>
    <w:p w14:paraId="078EBE39" w14:textId="6A472E3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Giovani Krauchenberg Simões</w:t>
      </w:r>
    </w:p>
    <w:p w14:paraId="0A243460" w14:textId="7CB2C79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Greicy Pazini Bairro</w:t>
      </w:r>
    </w:p>
    <w:p w14:paraId="29FA0C09" w14:textId="3409BCF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Guilherme Pontes Gonçalves</w:t>
      </w:r>
    </w:p>
    <w:p w14:paraId="78AC81D8" w14:textId="2FAA384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Guido Ramom Brites Burro</w:t>
      </w:r>
    </w:p>
    <w:p w14:paraId="0CFE2DBD" w14:textId="7213E81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Gustavo Ferreira Soares</w:t>
      </w:r>
    </w:p>
    <w:p w14:paraId="0E2D5F4A" w14:textId="401B6D3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Gustavo Marques Gonçalves</w:t>
      </w:r>
    </w:p>
    <w:p w14:paraId="7DAD5320" w14:textId="0BCB66E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Heitor Santos Oliveira Teixeira</w:t>
      </w:r>
    </w:p>
    <w:p w14:paraId="7D5AEA22" w14:textId="33B683A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Heitor Teixeira Gonçalves</w:t>
      </w:r>
    </w:p>
    <w:p w14:paraId="23D50FC4" w14:textId="26E2901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Helena Poletto Dambrós</w:t>
      </w:r>
    </w:p>
    <w:p w14:paraId="3FCA9DF5" w14:textId="6ED54FF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Hélio Trentin Júnior</w:t>
      </w:r>
    </w:p>
    <w:p w14:paraId="5B1A8BFB" w14:textId="02053AA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Henrique Nemitz Martins</w:t>
      </w:r>
    </w:p>
    <w:p w14:paraId="2478FD11" w14:textId="38BF97D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Herberth Magalhães Charão</w:t>
      </w:r>
    </w:p>
    <w:p w14:paraId="509149B2" w14:textId="03307D8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Igor Stephan De Oliveira Pereira</w:t>
      </w:r>
    </w:p>
    <w:p w14:paraId="70C5074E" w14:textId="0115CE8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rPr>
      </w:pPr>
      <w:r w:rsidRPr="00FF6DBF">
        <w:rPr>
          <w:color w:val="auto"/>
          <w:sz w:val="20"/>
          <w:szCs w:val="20"/>
        </w:rPr>
        <w:t>Ilivelton Martins Koglin</w:t>
      </w:r>
    </w:p>
    <w:p w14:paraId="51B62CC7" w14:textId="6AF9964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rPr>
      </w:pPr>
      <w:r w:rsidRPr="00FF6DBF">
        <w:rPr>
          <w:color w:val="auto"/>
          <w:sz w:val="20"/>
          <w:szCs w:val="20"/>
        </w:rPr>
        <w:t>Isabella Fiorini</w:t>
      </w:r>
    </w:p>
    <w:p w14:paraId="54E0A86E" w14:textId="4A83839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rPr>
      </w:pPr>
      <w:r w:rsidRPr="00FF6DBF">
        <w:rPr>
          <w:color w:val="auto"/>
          <w:sz w:val="20"/>
          <w:szCs w:val="20"/>
        </w:rPr>
        <w:t>Ivan Munchen</w:t>
      </w:r>
    </w:p>
    <w:p w14:paraId="49AA7181" w14:textId="737820E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rPr>
      </w:pPr>
      <w:r w:rsidRPr="00FF6DBF">
        <w:rPr>
          <w:color w:val="auto"/>
          <w:sz w:val="20"/>
          <w:szCs w:val="20"/>
        </w:rPr>
        <w:t>Jacob Francisco Thiele</w:t>
      </w:r>
    </w:p>
    <w:p w14:paraId="2AD15122" w14:textId="273B3C9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Jaderson Da Silva</w:t>
      </w:r>
    </w:p>
    <w:p w14:paraId="3B225513" w14:textId="6B9AD2E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Janaína Portela</w:t>
      </w:r>
    </w:p>
    <w:p w14:paraId="2F269DEF" w14:textId="633C9D1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Jennefer Mendes Ferreira</w:t>
      </w:r>
    </w:p>
    <w:p w14:paraId="7785A01B" w14:textId="2B32350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Jéssica Almeida Konzen</w:t>
      </w:r>
    </w:p>
    <w:p w14:paraId="5C5C142F" w14:textId="0AFA512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João Aloisio Treulieb</w:t>
      </w:r>
    </w:p>
    <w:p w14:paraId="537F29F6" w14:textId="2EC0BD2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João Carlos Barcellos Silva</w:t>
      </w:r>
    </w:p>
    <w:p w14:paraId="5079A8DE" w14:textId="618AD2F9"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João Paulo Pozzobon</w:t>
      </w:r>
    </w:p>
    <w:p w14:paraId="66503911" w14:textId="3273584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João Renato Chagas De Souza</w:t>
      </w:r>
    </w:p>
    <w:p w14:paraId="2EAA3B03" w14:textId="01AEC4C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José Luiz Weiss Neto</w:t>
      </w:r>
    </w:p>
    <w:p w14:paraId="53A6A2E7" w14:textId="7690148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José Manoel Rosa Da Cruz</w:t>
      </w:r>
    </w:p>
    <w:p w14:paraId="3AC45654" w14:textId="25A8E36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Julia Cristofali Saul</w:t>
      </w:r>
    </w:p>
    <w:p w14:paraId="1930A943" w14:textId="46FF832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Juliana Moro Medeiros</w:t>
      </w:r>
    </w:p>
    <w:p w14:paraId="7ADA3385" w14:textId="5A3359E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Juliana Oliveira Dos Santos</w:t>
      </w:r>
    </w:p>
    <w:p w14:paraId="1FF780C3" w14:textId="0F41C9B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Juliana Speroni Lentz</w:t>
      </w:r>
    </w:p>
    <w:p w14:paraId="75136DA9" w14:textId="0860C8B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lastRenderedPageBreak/>
        <w:t>Juliano De Almeida Farias</w:t>
      </w:r>
    </w:p>
    <w:p w14:paraId="0562EEC6" w14:textId="1494ED1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Karen Fernanda Knirsch</w:t>
      </w:r>
    </w:p>
    <w:p w14:paraId="3F6ED781" w14:textId="48ADD22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Kellen Karsten Favarin</w:t>
      </w:r>
    </w:p>
    <w:p w14:paraId="1A4E44D6" w14:textId="5D3A4A6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Kellen Pereira Da Rosa</w:t>
      </w:r>
    </w:p>
    <w:p w14:paraId="47B37878" w14:textId="1DF756D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Kelli Anne Dos Santos Azzolin</w:t>
      </w:r>
    </w:p>
    <w:p w14:paraId="4B216C4F" w14:textId="693664C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Larissa Holsbach</w:t>
      </w:r>
    </w:p>
    <w:p w14:paraId="5C44EEEF" w14:textId="60F6666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Larissa Terres Teixeira</w:t>
      </w:r>
    </w:p>
    <w:p w14:paraId="5B8F37AA" w14:textId="323AF91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Lauriane Salapata Da Silva</w:t>
      </w:r>
    </w:p>
    <w:p w14:paraId="205763BB" w14:textId="75516F2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Leandra Fernandes Toniolo</w:t>
      </w:r>
    </w:p>
    <w:p w14:paraId="5399B0C8" w14:textId="3E952F9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Leandro Ávila Leivas</w:t>
      </w:r>
    </w:p>
    <w:p w14:paraId="4A1FDD2B" w14:textId="3DD1E9F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Leandro Nunes Da Silva</w:t>
      </w:r>
    </w:p>
    <w:p w14:paraId="4374A5C5" w14:textId="3266258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Leonardo De Lima Machado</w:t>
      </w:r>
    </w:p>
    <w:p w14:paraId="6D0846AA" w14:textId="4F483B1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Leonardo Lemos Karsburg</w:t>
      </w:r>
    </w:p>
    <w:p w14:paraId="718BC843" w14:textId="5330F38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Leonardo Machado De Lacerda</w:t>
      </w:r>
    </w:p>
    <w:p w14:paraId="1A8EB0BF" w14:textId="46D20B3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Leonardo Schopf Vendrúscolo</w:t>
      </w:r>
    </w:p>
    <w:p w14:paraId="6F1F5358" w14:textId="6523C1E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Letícia Baú</w:t>
      </w:r>
    </w:p>
    <w:p w14:paraId="1FCD4D82" w14:textId="7F86511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Letícia Ferraz Da Cruz</w:t>
      </w:r>
    </w:p>
    <w:p w14:paraId="2223357E" w14:textId="4A95766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Letícia Vasconcellos</w:t>
      </w:r>
    </w:p>
    <w:p w14:paraId="3BC7DE44" w14:textId="073AC97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Lincon Turcato Carabagiale</w:t>
      </w:r>
    </w:p>
    <w:p w14:paraId="7DA6B915" w14:textId="34E904F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Louise Victoria Farias Brissow</w:t>
      </w:r>
    </w:p>
    <w:p w14:paraId="0017476E" w14:textId="1B53C34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Luana Behr Vianna</w:t>
      </w:r>
    </w:p>
    <w:p w14:paraId="181BF08D" w14:textId="33A10E7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Luana Facco Ferreira</w:t>
      </w:r>
    </w:p>
    <w:p w14:paraId="02E7FD70" w14:textId="4615847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Lucas Dias De Oliveira</w:t>
      </w:r>
    </w:p>
    <w:p w14:paraId="18F252E7" w14:textId="16E76519"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Lucas Foggiato</w:t>
      </w:r>
    </w:p>
    <w:p w14:paraId="23632575" w14:textId="0F35606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Lucas Leite Teixeira</w:t>
      </w:r>
    </w:p>
    <w:p w14:paraId="2DA0C101" w14:textId="7AAE884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Luciane Moraes Lopes</w:t>
      </w:r>
    </w:p>
    <w:p w14:paraId="0B192047" w14:textId="0846D86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Luciano Ariel Silva Da Silva</w:t>
      </w:r>
    </w:p>
    <w:p w14:paraId="5DF80042" w14:textId="72B0D1C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Luciano Tagliapietra Esperdião</w:t>
      </w:r>
    </w:p>
    <w:p w14:paraId="0E2ED439" w14:textId="77A5D2A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Luis Felipe Balest Piovesan</w:t>
      </w:r>
    </w:p>
    <w:p w14:paraId="359045EE" w14:textId="0FA106E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Luísa Batistella Puttow</w:t>
      </w:r>
    </w:p>
    <w:p w14:paraId="7AD79047" w14:textId="1A5A918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Luiz Antonio Xisto</w:t>
      </w:r>
    </w:p>
    <w:p w14:paraId="3AC6E54F" w14:textId="7909433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 Carlos Ludin De Oliveira</w:t>
      </w:r>
    </w:p>
    <w:p w14:paraId="7B57E8BA" w14:textId="1AC3E7D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 Eduardo Viegas Flores</w:t>
      </w:r>
    </w:p>
    <w:p w14:paraId="76883063" w14:textId="54A6AFF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 Fernando Riva Donati</w:t>
      </w:r>
    </w:p>
    <w:p w14:paraId="61B539E1" w14:textId="557FC89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 Fernando Rodrigues Wagner</w:t>
      </w:r>
    </w:p>
    <w:p w14:paraId="007A4695" w14:textId="50AE890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Luiza Alves Da Silva</w:t>
      </w:r>
    </w:p>
    <w:p w14:paraId="6DF26D6F" w14:textId="6AE7DB5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Maicon Apolinario Cardoso</w:t>
      </w:r>
    </w:p>
    <w:p w14:paraId="085D3B15" w14:textId="69260C4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Maicon Douglas Moreira Iensen</w:t>
      </w:r>
    </w:p>
    <w:p w14:paraId="7BB0481A" w14:textId="21D5EF1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Maicon Francisco Evaldt</w:t>
      </w:r>
    </w:p>
    <w:p w14:paraId="34CB057B" w14:textId="0C7FDCC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Manoeli Moreira Passamani</w:t>
      </w:r>
    </w:p>
    <w:p w14:paraId="6B9E1938" w14:textId="130A9DF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Marcelo De Freitas Salla Filho</w:t>
      </w:r>
    </w:p>
    <w:p w14:paraId="2B3A7BDF" w14:textId="39B7794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Marcos André Rigoli</w:t>
      </w:r>
    </w:p>
    <w:p w14:paraId="7DAEDDAB" w14:textId="7879A6B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Marfisa Soares Caminha</w:t>
      </w:r>
    </w:p>
    <w:p w14:paraId="387AEA26" w14:textId="5150501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 Mariana Rodrigues Ferreira</w:t>
      </w:r>
    </w:p>
    <w:p w14:paraId="5E75858D" w14:textId="092528F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Mariana Comassetto Dos Santos</w:t>
      </w:r>
    </w:p>
    <w:p w14:paraId="5D915294" w14:textId="31E597C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Mariana Machado Bona</w:t>
      </w:r>
    </w:p>
    <w:p w14:paraId="2B19E83C" w14:textId="43D99B7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Mariana Moreira Macedo</w:t>
      </w:r>
    </w:p>
    <w:p w14:paraId="1BEF11ED" w14:textId="15398D0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Mariana Pereira Freitas</w:t>
      </w:r>
    </w:p>
    <w:p w14:paraId="3D8F798E" w14:textId="03D85D7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Mariane Wallau Vielmo</w:t>
      </w:r>
    </w:p>
    <w:p w14:paraId="443708DD" w14:textId="4DF7A3B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Marilene Iensen Castro</w:t>
      </w:r>
    </w:p>
    <w:p w14:paraId="0E5BDCAE" w14:textId="2CC4B69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Marina De Jesus Nunes</w:t>
      </w:r>
    </w:p>
    <w:p w14:paraId="752DC33E" w14:textId="4ED0810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Marina Kettermann Callegaro</w:t>
      </w:r>
    </w:p>
    <w:p w14:paraId="77A81F06" w14:textId="6F9444F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Martim Francisco Mascarenhas De Souza Onofrio</w:t>
      </w:r>
    </w:p>
    <w:p w14:paraId="07BB32FA" w14:textId="3BB220C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Marton Matana</w:t>
      </w:r>
    </w:p>
    <w:p w14:paraId="339F55CC" w14:textId="1F00347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Matheus De Lima Librelotto</w:t>
      </w:r>
    </w:p>
    <w:p w14:paraId="02AB36B3" w14:textId="44196EA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lastRenderedPageBreak/>
        <w:t>Matheus Engers Rebolho</w:t>
      </w:r>
    </w:p>
    <w:p w14:paraId="7D5E1E5B" w14:textId="763C3F0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Matheus Pacheco Brondani</w:t>
      </w:r>
    </w:p>
    <w:p w14:paraId="1EBF8525" w14:textId="4BA759C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Matheus Rafael Raschen</w:t>
      </w:r>
    </w:p>
    <w:p w14:paraId="34639F34" w14:textId="17F23C3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Mauricio Loreto Jaime</w:t>
      </w:r>
    </w:p>
    <w:p w14:paraId="6CDF61A8" w14:textId="4C96947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Melissa Berguemaier Correa</w:t>
      </w:r>
    </w:p>
    <w:p w14:paraId="50B26D15" w14:textId="62001D5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Melissa Do Amaral Dalforno</w:t>
      </w:r>
    </w:p>
    <w:p w14:paraId="680F8CA1" w14:textId="69BEECF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Merylin De Camargo Dos Santos</w:t>
      </w:r>
    </w:p>
    <w:p w14:paraId="3792D9B3" w14:textId="585271A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Michéli Dias De Campos</w:t>
      </w:r>
    </w:p>
    <w:p w14:paraId="17B6805F" w14:textId="4197784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Micheli Froehlich Cardoso</w:t>
      </w:r>
    </w:p>
    <w:p w14:paraId="4F6775E8" w14:textId="4B8430B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Miguel Webber May</w:t>
      </w:r>
    </w:p>
    <w:p w14:paraId="4F23245D" w14:textId="3A8B454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Mirela Rosa Da Cruz</w:t>
      </w:r>
    </w:p>
    <w:p w14:paraId="1236F0E2" w14:textId="4B875A0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Monica Andressa Glanzel</w:t>
      </w:r>
    </w:p>
    <w:p w14:paraId="60C3D38F" w14:textId="5C1B664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Murilo De Souza Baroni Silveira</w:t>
      </w:r>
    </w:p>
    <w:p w14:paraId="5397FD66" w14:textId="172EBEF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Murilo Garcez Fumaco</w:t>
      </w:r>
    </w:p>
    <w:p w14:paraId="08E113D7" w14:textId="475B0C4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Natana Pereira Canto</w:t>
      </w:r>
    </w:p>
    <w:p w14:paraId="3DC2D428" w14:textId="33F299F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Natasha Oliveira Urquiza</w:t>
      </w:r>
    </w:p>
    <w:p w14:paraId="7651CD15" w14:textId="5328977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Nathiéle Dos Santos Soares</w:t>
      </w:r>
    </w:p>
    <w:p w14:paraId="3B359491" w14:textId="13A1FAE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Neiva Carina De Oliveira Marin</w:t>
      </w:r>
    </w:p>
    <w:p w14:paraId="119154EC" w14:textId="24321BE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Octacilio Altissimo Gonçalves</w:t>
      </w:r>
    </w:p>
    <w:p w14:paraId="0F7397D6" w14:textId="0607828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Odomar Gonzaga Noronha</w:t>
      </w:r>
    </w:p>
    <w:p w14:paraId="6094A5C3" w14:textId="43B9D8D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Pâmella De Jesus Lopes</w:t>
      </w:r>
    </w:p>
    <w:p w14:paraId="41A80C72" w14:textId="11147239"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Paola Porto Rodrigues Costa</w:t>
      </w:r>
    </w:p>
    <w:p w14:paraId="66F24CC0" w14:textId="2B8F7E3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Patrícia Pazzini Bairro</w:t>
      </w:r>
    </w:p>
    <w:p w14:paraId="78774BB2" w14:textId="2D4D98F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Paula Batistela Gatto</w:t>
      </w:r>
    </w:p>
    <w:p w14:paraId="139FE5BA" w14:textId="054C0EA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Paula Simone Melo Prates</w:t>
      </w:r>
    </w:p>
    <w:p w14:paraId="783CBFFF" w14:textId="3FA9C559"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Pedro Almeida</w:t>
      </w:r>
    </w:p>
    <w:p w14:paraId="4D9E9904" w14:textId="2223614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Pedro De Oliveira Salla</w:t>
      </w:r>
    </w:p>
    <w:p w14:paraId="58610033" w14:textId="580AD7B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Pedro Falcão Pinheiro</w:t>
      </w:r>
    </w:p>
    <w:p w14:paraId="1C5184E3" w14:textId="583D440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Pedro Morgental Silva</w:t>
      </w:r>
    </w:p>
    <w:p w14:paraId="7E63C291" w14:textId="285373D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Priscila Ferreira Escobar</w:t>
      </w:r>
    </w:p>
    <w:p w14:paraId="542C272A" w14:textId="55283D3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 De Oliveira Dorneles</w:t>
      </w:r>
    </w:p>
    <w:p w14:paraId="3CE76514" w14:textId="37BB535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 Dias Ferreira</w:t>
      </w:r>
    </w:p>
    <w:p w14:paraId="141D7C8C" w14:textId="5997EE0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 Paulo Nunes De Carvalho</w:t>
      </w:r>
    </w:p>
    <w:p w14:paraId="4A3FB6E3" w14:textId="77A4374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 Quilião De Oliveira</w:t>
      </w:r>
    </w:p>
    <w:p w14:paraId="09580CDE" w14:textId="5941142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Rafaela Schimitt Nunes</w:t>
      </w:r>
    </w:p>
    <w:p w14:paraId="11F2516E" w14:textId="211AC44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Raquel Daiane Fischer</w:t>
      </w:r>
    </w:p>
    <w:p w14:paraId="182AA5F5" w14:textId="4C32534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Rhaissa Gross Curia</w:t>
      </w:r>
    </w:p>
    <w:p w14:paraId="372D55F0" w14:textId="38FF465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Rhuan Scherer De Andrade</w:t>
      </w:r>
    </w:p>
    <w:p w14:paraId="614698ED" w14:textId="3DAC449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Ricardo Custódio</w:t>
      </w:r>
    </w:p>
    <w:p w14:paraId="6C659389" w14:textId="6FAD7B2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Ricardo Dariva</w:t>
      </w:r>
    </w:p>
    <w:p w14:paraId="0FD9EE00" w14:textId="4894706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Ricardo Stefanello Piovesan</w:t>
      </w:r>
    </w:p>
    <w:p w14:paraId="368C39F6" w14:textId="3A7D624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Robson Van Der Ham</w:t>
      </w:r>
    </w:p>
    <w:p w14:paraId="3C98628A" w14:textId="1F4ED56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Rodrigo Dellinghausen Bairros Costa</w:t>
      </w:r>
    </w:p>
    <w:p w14:paraId="3D092F9C" w14:textId="7B903919"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Rodrigo Taugen</w:t>
      </w:r>
    </w:p>
    <w:p w14:paraId="24744798" w14:textId="7331D6B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Róger Barcellos Farias</w:t>
      </w:r>
    </w:p>
    <w:p w14:paraId="1BEB567B" w14:textId="09D68B6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Roger Dall’agnol</w:t>
      </w:r>
    </w:p>
    <w:p w14:paraId="2E61725E" w14:textId="7477408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Rogério Cardoso Ivaniski</w:t>
      </w:r>
    </w:p>
    <w:p w14:paraId="6B6D5723" w14:textId="0152BC1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Rogério Floriano Cardoso</w:t>
      </w:r>
    </w:p>
    <w:p w14:paraId="5CB4D57F" w14:textId="1092B37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Rosane Fernandes Rehermann</w:t>
      </w:r>
    </w:p>
    <w:p w14:paraId="206F45AD" w14:textId="74228BC9"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Ruan Pendeza Callegaro</w:t>
      </w:r>
    </w:p>
    <w:p w14:paraId="67D0BDD6" w14:textId="446B4A3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Sabrina Soares Mendes</w:t>
      </w:r>
    </w:p>
    <w:p w14:paraId="4E0F993A" w14:textId="34EB584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Sandra Leone Pacheco Ernesto</w:t>
      </w:r>
    </w:p>
    <w:p w14:paraId="477621C8" w14:textId="1238C4F6"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Sandra Victorino Goulart</w:t>
      </w:r>
    </w:p>
    <w:p w14:paraId="19FADC16" w14:textId="4E6C3AC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Shaiana Tauchen Antolini</w:t>
      </w:r>
    </w:p>
    <w:p w14:paraId="47D9F715" w14:textId="6FEE14B4"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Silvio Beuren Junior</w:t>
      </w:r>
    </w:p>
    <w:p w14:paraId="0FE8B839" w14:textId="760C731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lastRenderedPageBreak/>
        <w:t>Stefani Posser Simeoni</w:t>
      </w:r>
    </w:p>
    <w:p w14:paraId="6DF02325" w14:textId="25A58C8F"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Susiele Cassol</w:t>
      </w:r>
    </w:p>
    <w:p w14:paraId="30812460" w14:textId="47DBF56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Taís Da Silva Scaphn De Freitas</w:t>
      </w:r>
    </w:p>
    <w:p w14:paraId="655D39EF" w14:textId="64E9E2F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Taise Carolina Vinas Silveira</w:t>
      </w:r>
    </w:p>
    <w:p w14:paraId="44847578" w14:textId="0A428959"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Taíse Santos Dos Santos</w:t>
      </w:r>
    </w:p>
    <w:p w14:paraId="289B48CC" w14:textId="37A9D23B"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Tanise Lopes Cielo</w:t>
      </w:r>
    </w:p>
    <w:p w14:paraId="68448988" w14:textId="6BCF8769"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Thailan Rehbein De Oliveira</w:t>
      </w:r>
    </w:p>
    <w:p w14:paraId="285D14ED" w14:textId="4C76457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Thailan De Oliveira</w:t>
      </w:r>
    </w:p>
    <w:p w14:paraId="15F89EDE" w14:textId="37ED9570"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Thais Zimermann Darif</w:t>
      </w:r>
    </w:p>
    <w:p w14:paraId="7DF36B29" w14:textId="54A478EC"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Thanise Correa Garcia</w:t>
      </w:r>
    </w:p>
    <w:p w14:paraId="7E62ECCA" w14:textId="110623FD"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Tiago Amaro Cechinatto</w:t>
      </w:r>
    </w:p>
    <w:p w14:paraId="34230CFA" w14:textId="00A9405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Tiago Dovigi Segabinazzi</w:t>
      </w:r>
    </w:p>
    <w:p w14:paraId="3FB59595" w14:textId="741E191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Ubirajara Soares Bastos Junior</w:t>
      </w:r>
    </w:p>
    <w:p w14:paraId="343848E6" w14:textId="69F0A3C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Vagner Rolim Marostega</w:t>
      </w:r>
    </w:p>
    <w:p w14:paraId="6E517C3D" w14:textId="4DEF3BF2"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Vandelcork Marques Lara Junior</w:t>
      </w:r>
    </w:p>
    <w:p w14:paraId="47182473" w14:textId="1D4B9BE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Vanessa Vanovicht Soares</w:t>
      </w:r>
    </w:p>
    <w:p w14:paraId="043B2606" w14:textId="0A60021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Victor Datria Mcagnam</w:t>
      </w:r>
    </w:p>
    <w:p w14:paraId="6C2E6A47" w14:textId="50BBAF4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Vinícius Marconato Uggeri</w:t>
      </w:r>
    </w:p>
    <w:p w14:paraId="4BB0052D" w14:textId="6A6D9461"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Vinícius Montardo Rosado</w:t>
      </w:r>
    </w:p>
    <w:p w14:paraId="3AC37207" w14:textId="6A54D5A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Vinicius Pagnossim De Moraes</w:t>
      </w:r>
    </w:p>
    <w:p w14:paraId="76FA58D9" w14:textId="26D85B03"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Vinícius Pinton Greff</w:t>
      </w:r>
    </w:p>
    <w:p w14:paraId="7D2F62A8" w14:textId="05422ED5"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Vinicius Silveira Marques De Mello</w:t>
      </w:r>
    </w:p>
    <w:p w14:paraId="1DE8C18B" w14:textId="66AC7F48"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Vitória Dacorso Saccol</w:t>
      </w:r>
    </w:p>
    <w:p w14:paraId="0555A460" w14:textId="32BFB62A"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Viviane Tolio Soares</w:t>
      </w:r>
    </w:p>
    <w:p w14:paraId="418FB72A" w14:textId="72B7D227"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Walter De Mello Cabistani</w:t>
      </w:r>
    </w:p>
    <w:p w14:paraId="04972D47" w14:textId="329DF10E" w:rsidR="00605B57" w:rsidRPr="00FF6DBF" w:rsidRDefault="00605B57" w:rsidP="00BF5F7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Wicton Martins Schimitz</w:t>
      </w:r>
    </w:p>
    <w:p w14:paraId="7A8BF6F3" w14:textId="77777777" w:rsidR="00F10D53" w:rsidRPr="00FF6DBF" w:rsidRDefault="00F10D53" w:rsidP="00605B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p>
    <w:p w14:paraId="7C69C1FB" w14:textId="42EA6759" w:rsidR="00EB6402" w:rsidRPr="00FF6DBF" w:rsidRDefault="00EB6402" w:rsidP="00605B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p>
    <w:p w14:paraId="4C5438F4" w14:textId="4AE50473" w:rsidR="00605B57" w:rsidRPr="00FF6DBF" w:rsidRDefault="00605B57" w:rsidP="00605B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i/>
          <w:iCs/>
          <w:sz w:val="20"/>
          <w:szCs w:val="20"/>
          <w:lang w:val="pt-BR"/>
        </w:rPr>
        <w:t>Familiares</w:t>
      </w:r>
      <w:r w:rsidRPr="00FF6DBF">
        <w:rPr>
          <w:rFonts w:ascii="Cambria" w:hAnsi="Cambria"/>
          <w:sz w:val="20"/>
          <w:szCs w:val="20"/>
          <w:lang w:val="pt-BR"/>
        </w:rPr>
        <w:t>:</w:t>
      </w:r>
    </w:p>
    <w:p w14:paraId="4C080C25" w14:textId="77777777" w:rsidR="00605B57" w:rsidRPr="00FF6DBF" w:rsidRDefault="00605B57" w:rsidP="00605B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p>
    <w:p w14:paraId="7EE2C68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Adherbal Alves Ferreira</w:t>
      </w:r>
    </w:p>
    <w:p w14:paraId="5CE8180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Leocarlos Oliveira Becker</w:t>
      </w:r>
    </w:p>
    <w:p w14:paraId="4EEF2B8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Teresinha Chaves Chagas</w:t>
      </w:r>
    </w:p>
    <w:p w14:paraId="486673A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Walter Souza Cabistani</w:t>
      </w:r>
    </w:p>
    <w:p w14:paraId="1D6E8BD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Alexandre de Oliveira Almeida</w:t>
      </w:r>
    </w:p>
    <w:p w14:paraId="34F7218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Sergio da Silva</w:t>
      </w:r>
    </w:p>
    <w:p w14:paraId="07CE05E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Ogier de Vargas Rosado</w:t>
      </w:r>
    </w:p>
    <w:p w14:paraId="05C4F17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Rodolfino Dorneles Vianna Neto</w:t>
      </w:r>
    </w:p>
    <w:p w14:paraId="6F7042C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Batista Jorge Oliveira Saenger</w:t>
      </w:r>
    </w:p>
    <w:p w14:paraId="40C0049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Alexander Treulieb</w:t>
      </w:r>
    </w:p>
    <w:p w14:paraId="217C3B2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Jandira Maria Avila dos Santos</w:t>
      </w:r>
    </w:p>
    <w:p w14:paraId="35F6AA3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Claudio Reges Ferreira da Rosa</w:t>
      </w:r>
    </w:p>
    <w:p w14:paraId="52EC4E9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Ariane Pires Floriano Aguirre</w:t>
      </w:r>
    </w:p>
    <w:p w14:paraId="4E904F3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Renato Montanha Vasconcellos</w:t>
      </w:r>
    </w:p>
    <w:p w14:paraId="113D13E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Ildo Victorino Toniolo</w:t>
      </w:r>
    </w:p>
    <w:p w14:paraId="6F3173F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Ildo Victorino TonioloIldo Victorino Toniolo</w:t>
      </w:r>
    </w:p>
    <w:p w14:paraId="573A858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Isabel dos Reis Rodrigues</w:t>
      </w:r>
    </w:p>
    <w:p w14:paraId="7B223C5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Nilda dos Santos Machado</w:t>
      </w:r>
    </w:p>
    <w:p w14:paraId="6B712EA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Inocencio da Cunha Fernandez Gonçalvez</w:t>
      </w:r>
    </w:p>
    <w:p w14:paraId="7017386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Carlos da Silva Prado</w:t>
      </w:r>
    </w:p>
    <w:p w14:paraId="45DB6D6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Pedro Fortes dos Santos</w:t>
      </w:r>
    </w:p>
    <w:p w14:paraId="0E010C3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Cibele Garlet Facco</w:t>
      </w:r>
    </w:p>
    <w:p w14:paraId="593E873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Livia Neusa Santos Oliveira</w:t>
      </w:r>
    </w:p>
    <w:p w14:paraId="4ED68F7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Jorge Alberto dos Santos Nunes</w:t>
      </w:r>
    </w:p>
    <w:p w14:paraId="184AA87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Mario José do Canto Filho</w:t>
      </w:r>
    </w:p>
    <w:p w14:paraId="032CB33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Adair José Papalia</w:t>
      </w:r>
    </w:p>
    <w:p w14:paraId="64E43FB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Adalberto da Costa Diaz</w:t>
      </w:r>
    </w:p>
    <w:p w14:paraId="236D173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Adamir Oliveira do Amaral</w:t>
      </w:r>
    </w:p>
    <w:p w14:paraId="2B1F76C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Adão Dall'Agnol</w:t>
      </w:r>
    </w:p>
    <w:p w14:paraId="711BE70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Adão Sidnei de Oliveira</w:t>
      </w:r>
    </w:p>
    <w:p w14:paraId="567A459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Adão Vito da Silva</w:t>
      </w:r>
    </w:p>
    <w:p w14:paraId="2BCB9FA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Adelcio Greff</w:t>
      </w:r>
    </w:p>
    <w:p w14:paraId="3DB954B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Adelina Maria Pivetta Prates</w:t>
      </w:r>
    </w:p>
    <w:p w14:paraId="09F3B20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Ademar Tobola Carabagialle</w:t>
      </w:r>
    </w:p>
    <w:p w14:paraId="6502275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Adriana Botega Ahmad</w:t>
      </w:r>
    </w:p>
    <w:p w14:paraId="1EACECA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Adriana de Moura Ferreira</w:t>
      </w:r>
    </w:p>
    <w:p w14:paraId="6B00BD8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Adriano Bruno de Paiva Rodrigues</w:t>
      </w:r>
    </w:p>
    <w:p w14:paraId="1672E61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Adriano Machado de Lacerda</w:t>
      </w:r>
    </w:p>
    <w:p w14:paraId="50F1CD4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Adriano Quilião de Oliveira</w:t>
      </w:r>
    </w:p>
    <w:p w14:paraId="675E181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Adriele Roth da Silva</w:t>
      </w:r>
    </w:p>
    <w:p w14:paraId="1FCEA2F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Alanna Rooz Paz</w:t>
      </w:r>
    </w:p>
    <w:p w14:paraId="554DABB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Alcemar Moraes da Silva</w:t>
      </w:r>
    </w:p>
    <w:p w14:paraId="1FC0DC0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Alcy Aita</w:t>
      </w:r>
    </w:p>
    <w:p w14:paraId="44C6B96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Alessandra Ferraz da Cruz</w:t>
      </w:r>
    </w:p>
    <w:p w14:paraId="16C2DC9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Alessandra Silveira Marques</w:t>
      </w:r>
    </w:p>
    <w:p w14:paraId="4C9452B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Alexandre Piveta Prates</w:t>
      </w:r>
    </w:p>
    <w:p w14:paraId="7136C8A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Alves Jacobsen</w:t>
      </w:r>
    </w:p>
    <w:p w14:paraId="5DBC2D5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da Silva Bacelar</w:t>
      </w:r>
    </w:p>
    <w:p w14:paraId="1723727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Henriques Maia</w:t>
      </w:r>
    </w:p>
    <w:p w14:paraId="45EA0FC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Kettermann Callegaro</w:t>
      </w:r>
    </w:p>
    <w:p w14:paraId="3F6B032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Munchen</w:t>
      </w:r>
    </w:p>
    <w:p w14:paraId="0764D72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Parcianello Navarro</w:t>
      </w:r>
    </w:p>
    <w:p w14:paraId="429F6AF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Allisson Prado Menezes</w:t>
      </w:r>
    </w:p>
    <w:p w14:paraId="78D706C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Almiro Carvalho Lopes</w:t>
      </w:r>
    </w:p>
    <w:p w14:paraId="6C2BEEF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Amanda Knackfuss Flôres</w:t>
      </w:r>
    </w:p>
    <w:p w14:paraId="6C7B382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Carolina de Almeida Gonçalves</w:t>
      </w:r>
    </w:p>
    <w:p w14:paraId="4E25C91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Carolina Soares da Costa</w:t>
      </w:r>
    </w:p>
    <w:p w14:paraId="1AA1707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Luisa Moro Pozzobon</w:t>
      </w:r>
    </w:p>
    <w:p w14:paraId="3E648D0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Lundin de Oliveira</w:t>
      </w:r>
    </w:p>
    <w:p w14:paraId="328217E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Maria de Oliveira</w:t>
      </w:r>
    </w:p>
    <w:p w14:paraId="43DD0AF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Paula Costa</w:t>
      </w:r>
    </w:p>
    <w:p w14:paraId="11FB334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Paula Gottlieb Almeida</w:t>
      </w:r>
    </w:p>
    <w:p w14:paraId="6CE9DF9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Rosa Brondani</w:t>
      </w:r>
    </w:p>
    <w:p w14:paraId="6333665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Anderson Lima de Campos</w:t>
      </w:r>
    </w:p>
    <w:p w14:paraId="45E90FC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André de Moura Ferreira</w:t>
      </w:r>
    </w:p>
    <w:p w14:paraId="190E799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Andrei Darin</w:t>
      </w:r>
    </w:p>
    <w:p w14:paraId="5B5C6AB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Andressa Balin Teixeira</w:t>
      </w:r>
    </w:p>
    <w:p w14:paraId="0376601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Andressa de Mello Cabistani</w:t>
      </w:r>
    </w:p>
    <w:p w14:paraId="6F51575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Andriele Costa Lopes</w:t>
      </w:r>
    </w:p>
    <w:p w14:paraId="1E91015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Ângela Adelina Lundin de Oliveira</w:t>
      </w:r>
    </w:p>
    <w:p w14:paraId="3BED6B4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Ângela Márcia Andrade Farias</w:t>
      </w:r>
    </w:p>
    <w:p w14:paraId="1E3A5D1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Angélica Carvalho Lunardi</w:t>
      </w:r>
    </w:p>
    <w:p w14:paraId="4012E9D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Angélica Sampaio</w:t>
      </w:r>
    </w:p>
    <w:p w14:paraId="30A1C1C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Anna Maria Dala Lana Zimmermann</w:t>
      </w:r>
    </w:p>
    <w:p w14:paraId="489500D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Antônio Carlos Cechinatto</w:t>
      </w:r>
    </w:p>
    <w:p w14:paraId="174DD50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Ari Bueno Rodrigues</w:t>
      </w:r>
    </w:p>
    <w:p w14:paraId="1FF24BB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Ariana da Silva Bacelar Deponti</w:t>
      </w:r>
    </w:p>
    <w:p w14:paraId="2D5004C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Ariolino de Castilhos Ferreira</w:t>
      </w:r>
    </w:p>
    <w:p w14:paraId="71D3F07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Arlindo Jose Fumaco</w:t>
      </w:r>
    </w:p>
    <w:p w14:paraId="6ABD5C4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Arthur Rodrigues Martins</w:t>
      </w:r>
    </w:p>
    <w:p w14:paraId="7D89CF4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Artidor Machado Barcellos</w:t>
      </w:r>
    </w:p>
    <w:p w14:paraId="2AE0EB0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Assan da Silva Ahmad</w:t>
      </w:r>
    </w:p>
    <w:p w14:paraId="11A5FDB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Aurea Viegas Flores</w:t>
      </w:r>
    </w:p>
    <w:p w14:paraId="2802D42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Bárbara Aline Soldatti Felipeto</w:t>
      </w:r>
    </w:p>
    <w:p w14:paraId="0F90EBD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Bárbara Kuchinski</w:t>
      </w:r>
    </w:p>
    <w:p w14:paraId="45B4D95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Beatriz Gross Curia</w:t>
      </w:r>
    </w:p>
    <w:p w14:paraId="4601F16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Belinda Silva Pereira</w:t>
      </w:r>
    </w:p>
    <w:p w14:paraId="5398169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Beloni Balest Piovesan</w:t>
      </w:r>
    </w:p>
    <w:p w14:paraId="0CA6EAC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Bruna Costa Lopes</w:t>
      </w:r>
    </w:p>
    <w:p w14:paraId="7A89CB4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Bruna Pilar da Silva</w:t>
      </w:r>
    </w:p>
    <w:p w14:paraId="13484DB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Bruna Raquel Hach</w:t>
      </w:r>
    </w:p>
    <w:p w14:paraId="57DA471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Bruna Vizioli</w:t>
      </w:r>
    </w:p>
    <w:p w14:paraId="6BE6F10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Bruno Brauner Jaques</w:t>
      </w:r>
    </w:p>
    <w:p w14:paraId="15B8D2E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Bruno Rupollo Grethe</w:t>
      </w:r>
    </w:p>
    <w:p w14:paraId="6E7F1D5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Bryan Zeppenfeld</w:t>
      </w:r>
    </w:p>
    <w:p w14:paraId="1D965CE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Camila de Lima Pires</w:t>
      </w:r>
    </w:p>
    <w:p w14:paraId="2C76641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Camila Delevati de Quadros</w:t>
      </w:r>
    </w:p>
    <w:p w14:paraId="54EA378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Camila Souza Baroni Silveira</w:t>
      </w:r>
    </w:p>
    <w:p w14:paraId="3860C48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Camille Kirinos Reghelin</w:t>
      </w:r>
    </w:p>
    <w:p w14:paraId="735F64D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Capricie Pereira Hubner</w:t>
      </w:r>
    </w:p>
    <w:p w14:paraId="2DADC15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Caren Cristine de Castro Stangherlin</w:t>
      </w:r>
    </w:p>
    <w:p w14:paraId="7DDDEF1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Cariane Foggiato Castro</w:t>
      </w:r>
    </w:p>
    <w:p w14:paraId="462ABED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Carina Adriane Corrêa Garcia</w:t>
      </w:r>
    </w:p>
    <w:p w14:paraId="70E91F6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Carina Quevedo da Rosa</w:t>
      </w:r>
    </w:p>
    <w:p w14:paraId="3A6629E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Carla Machado de Lacerda</w:t>
      </w:r>
    </w:p>
    <w:p w14:paraId="7C615B9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 Nazário Maia</w:t>
      </w:r>
    </w:p>
    <w:p w14:paraId="3E040BF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de Mello</w:t>
      </w:r>
    </w:p>
    <w:p w14:paraId="3C4D029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Escobar</w:t>
      </w:r>
    </w:p>
    <w:p w14:paraId="7169233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Favarin</w:t>
      </w:r>
    </w:p>
    <w:p w14:paraId="6979A07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Gomes Martins</w:t>
      </w:r>
    </w:p>
    <w:p w14:paraId="7A0DF62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Nemitz Martins</w:t>
      </w:r>
    </w:p>
    <w:p w14:paraId="04AA33B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Antonio Machado</w:t>
      </w:r>
    </w:p>
    <w:p w14:paraId="108E56F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Antonio Vendruscolo</w:t>
      </w:r>
    </w:p>
    <w:p w14:paraId="3FA9E0C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Artur de Oliveira</w:t>
      </w:r>
    </w:p>
    <w:p w14:paraId="7321C10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Juarez Iensen</w:t>
      </w:r>
    </w:p>
    <w:p w14:paraId="70F64DD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Carolina Quintana Castro</w:t>
      </w:r>
    </w:p>
    <w:p w14:paraId="3414B1A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Caroline Posser Simeoni</w:t>
      </w:r>
    </w:p>
    <w:p w14:paraId="18EF51D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Cassiano Dambrós</w:t>
      </w:r>
    </w:p>
    <w:p w14:paraId="3022A11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Catarina Arboite Foggiato</w:t>
      </w:r>
    </w:p>
    <w:p w14:paraId="3B8A7A8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Cátia Stefanello Piovesan</w:t>
      </w:r>
    </w:p>
    <w:p w14:paraId="4A8B1CA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Cedenir Gomes Machado</w:t>
      </w:r>
    </w:p>
    <w:p w14:paraId="55D61DE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Celanira Dariva</w:t>
      </w:r>
    </w:p>
    <w:p w14:paraId="124744A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Celita Maria Pazini Bairro</w:t>
      </w:r>
    </w:p>
    <w:p w14:paraId="5322551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Cezar Augusto Madruga Neves</w:t>
      </w:r>
    </w:p>
    <w:p w14:paraId="6726848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Charles Baroni da Silveira</w:t>
      </w:r>
    </w:p>
    <w:p w14:paraId="0D70F527" w14:textId="5FFB26BD"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Charles Gilmar de Oliveira</w:t>
      </w:r>
    </w:p>
    <w:p w14:paraId="417996E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Cladimir Callegaro</w:t>
      </w:r>
    </w:p>
    <w:p w14:paraId="709F35E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Clairton Munchen</w:t>
      </w:r>
    </w:p>
    <w:p w14:paraId="26E3767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Clarita Souza Baroni Silveira</w:t>
      </w:r>
    </w:p>
    <w:p w14:paraId="7F43CEC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Cláudia Fabiane Trentin</w:t>
      </w:r>
    </w:p>
    <w:p w14:paraId="675F85B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Claudia Kerle Ferreira Flores</w:t>
      </w:r>
    </w:p>
    <w:p w14:paraId="5698F7D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Claudia Renata Flôres Fettermann da Rosa</w:t>
      </w:r>
    </w:p>
    <w:p w14:paraId="456A09A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Claudio Almiro Berleze</w:t>
      </w:r>
    </w:p>
    <w:p w14:paraId="1001AEE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Claudio Neu</w:t>
      </w:r>
    </w:p>
    <w:p w14:paraId="2BA090B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Claudio Van Der Ham</w:t>
      </w:r>
    </w:p>
    <w:p w14:paraId="49DC956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Cléber Scaphin de Freitas</w:t>
      </w:r>
    </w:p>
    <w:p w14:paraId="2E5D1B0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Clécio Rubem Silva da Rosa</w:t>
      </w:r>
    </w:p>
    <w:p w14:paraId="44E2269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Cleneida Marques da Silva</w:t>
      </w:r>
    </w:p>
    <w:p w14:paraId="32EE78C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Cleonisse Maria Nicoloso Aita</w:t>
      </w:r>
    </w:p>
    <w:p w14:paraId="019BED3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Cleusa Maria Poletto Dambrós</w:t>
      </w:r>
    </w:p>
    <w:p w14:paraId="55E8340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Clóvis Engers Rebolho</w:t>
      </w:r>
    </w:p>
    <w:p w14:paraId="4821546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Cristiene Noronha</w:t>
      </w:r>
    </w:p>
    <w:p w14:paraId="41AFC08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Cristina Maria Rigoli Schruber</w:t>
      </w:r>
    </w:p>
    <w:p w14:paraId="0E7984A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Cristina Peiter</w:t>
      </w:r>
    </w:p>
    <w:p w14:paraId="66E21E4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Damião Righi Becker</w:t>
      </w:r>
    </w:p>
    <w:p w14:paraId="0BB08B6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Cabreira Jaques</w:t>
      </w:r>
    </w:p>
    <w:p w14:paraId="0EE16AD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de Almeida Farias</w:t>
      </w:r>
    </w:p>
    <w:p w14:paraId="78CD050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do Amaral Dalforno</w:t>
      </w:r>
    </w:p>
    <w:p w14:paraId="6C46196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Oliveira Nunes de Carvalho</w:t>
      </w:r>
    </w:p>
    <w:p w14:paraId="584A8CF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Pereira Brites</w:t>
      </w:r>
    </w:p>
    <w:p w14:paraId="3F0ED13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Daniela de Lima Medina</w:t>
      </w:r>
    </w:p>
    <w:p w14:paraId="367E3ED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Daniela Santos dos Santos</w:t>
      </w:r>
    </w:p>
    <w:p w14:paraId="243DBFF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Daniele Marques Gonçalves</w:t>
      </w:r>
    </w:p>
    <w:p w14:paraId="6FF9EB8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Danieli Ferreira Flores</w:t>
      </w:r>
    </w:p>
    <w:p w14:paraId="61CD657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Darci Andreatta</w:t>
      </w:r>
    </w:p>
    <w:p w14:paraId="1FBB8FA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Dari Edison Conti</w:t>
      </w:r>
    </w:p>
    <w:p w14:paraId="7983D82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Débora Dias De Campos</w:t>
      </w:r>
    </w:p>
    <w:p w14:paraId="520951F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Débora Knabben da Rosa</w:t>
      </w:r>
    </w:p>
    <w:p w14:paraId="4A9AA1A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Delçon Mossi da Cruz</w:t>
      </w:r>
    </w:p>
    <w:p w14:paraId="2937BE7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Denise Amaral Zimmermann Darif</w:t>
      </w:r>
    </w:p>
    <w:p w14:paraId="5A91887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Denise Felipeto de Almeida</w:t>
      </w:r>
    </w:p>
    <w:p w14:paraId="1C2CCC1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Denise Gonçalves Silveira</w:t>
      </w:r>
    </w:p>
    <w:p w14:paraId="7D9D80A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Denise Maria de Mello Cabistani</w:t>
      </w:r>
    </w:p>
    <w:p w14:paraId="1E5DE77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Deocleci Inês Turra Kraulich</w:t>
      </w:r>
    </w:p>
    <w:p w14:paraId="138523F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Derli Vera Tonatto Lopes</w:t>
      </w:r>
    </w:p>
    <w:p w14:paraId="75C2420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Diana Beatriz Hörlle Tischer</w:t>
      </w:r>
    </w:p>
    <w:p w14:paraId="386BEB5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Dilane José de Lima Jaime</w:t>
      </w:r>
    </w:p>
    <w:p w14:paraId="1F2F8E7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Dilce Maria Moro</w:t>
      </w:r>
    </w:p>
    <w:p w14:paraId="7E7957B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Dilvane Loreto Jaime</w:t>
      </w:r>
    </w:p>
    <w:p w14:paraId="1027550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Diogo Bonazza dos Anjos</w:t>
      </w:r>
    </w:p>
    <w:p w14:paraId="4FF510D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Dionatan de Oliveira Nadalon</w:t>
      </w:r>
    </w:p>
    <w:p w14:paraId="0794875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Dirceu Marostega</w:t>
      </w:r>
    </w:p>
    <w:p w14:paraId="6817D52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Douglas da Silva Flores</w:t>
      </w:r>
    </w:p>
    <w:p w14:paraId="75598293"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Douglas Van Der Ham</w:t>
      </w:r>
    </w:p>
    <w:p w14:paraId="05F324D6"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Édina Rodrigues Alderete</w:t>
      </w:r>
    </w:p>
    <w:p w14:paraId="5BD8DAB7"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Edmilson Pozzobon</w:t>
      </w:r>
    </w:p>
    <w:p w14:paraId="294B886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Edson Leilo Nicoletti</w:t>
      </w:r>
    </w:p>
    <w:p w14:paraId="51BDB7A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Edson Luiz Pereira Biscaino</w:t>
      </w:r>
    </w:p>
    <w:p w14:paraId="763B7DB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Beuren</w:t>
      </w:r>
    </w:p>
    <w:p w14:paraId="635400C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Engers Rebolho</w:t>
      </w:r>
    </w:p>
    <w:p w14:paraId="28AF680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Pagnossim de Moraes</w:t>
      </w:r>
    </w:p>
    <w:p w14:paraId="6C37A1A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Penna e Souza</w:t>
      </w:r>
    </w:p>
    <w:p w14:paraId="2D42335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Schwanck Saraiva</w:t>
      </w:r>
    </w:p>
    <w:p w14:paraId="5FB8E4E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Elaine Marques Gonçalves</w:t>
      </w:r>
    </w:p>
    <w:p w14:paraId="533155C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 Sandra de Oliveira Pereira</w:t>
      </w:r>
    </w:p>
    <w:p w14:paraId="26B42BB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Elígia Engers Rebolho</w:t>
      </w:r>
    </w:p>
    <w:p w14:paraId="68FE4B2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Elio Nunes de Andreade</w:t>
      </w:r>
    </w:p>
    <w:p w14:paraId="7E95BCB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Elisete Chiappa Forner</w:t>
      </w:r>
    </w:p>
    <w:p w14:paraId="517545A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Elisete Isabel Santini Fiorini</w:t>
      </w:r>
    </w:p>
    <w:p w14:paraId="1AFE89C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Elizete Maria Moro Medeiros</w:t>
      </w:r>
    </w:p>
    <w:p w14:paraId="31F7D31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Elizete Pereira Rodrigues</w:t>
      </w:r>
    </w:p>
    <w:p w14:paraId="0B6AA7C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Elizete Terezinha Nunes Andreatta</w:t>
      </w:r>
    </w:p>
    <w:p w14:paraId="15B31F2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Elke Quilião de Oliveira</w:t>
      </w:r>
    </w:p>
    <w:p w14:paraId="13BF45A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Elson José Uggeri</w:t>
      </w:r>
    </w:p>
    <w:p w14:paraId="2BDF143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Eluiza Turcato Carabagialle</w:t>
      </w:r>
    </w:p>
    <w:p w14:paraId="281877C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Emanuela Boezzio</w:t>
      </w:r>
    </w:p>
    <w:p w14:paraId="4DB8AED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Emerson da Silva Bacelar</w:t>
      </w:r>
    </w:p>
    <w:p w14:paraId="41175C5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Emma Dumke</w:t>
      </w:r>
    </w:p>
    <w:p w14:paraId="383F773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Enio Marin</w:t>
      </w:r>
    </w:p>
    <w:p w14:paraId="75CC3BA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Eraci de Moura Ferreira</w:t>
      </w:r>
    </w:p>
    <w:p w14:paraId="3718B5D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Erci Teresinha Vasconcellos</w:t>
      </w:r>
    </w:p>
    <w:p w14:paraId="4A04692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Éricmar Avila dos Santos</w:t>
      </w:r>
    </w:p>
    <w:p w14:paraId="2642963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Erico Juscelino Conceição dos Santos</w:t>
      </w:r>
    </w:p>
    <w:p w14:paraId="6388C94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Eriton Luiz Tonetto Lopes</w:t>
      </w:r>
    </w:p>
    <w:p w14:paraId="119E0C0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Erlei José Dambrós</w:t>
      </w:r>
    </w:p>
    <w:p w14:paraId="773FFF3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Eudes Noal Pozzobon</w:t>
      </w:r>
    </w:p>
    <w:p w14:paraId="6D2FEF2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Eugenio Graeff</w:t>
      </w:r>
    </w:p>
    <w:p w14:paraId="62F667E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Eva Terezinha Maciel Massulo</w:t>
      </w:r>
    </w:p>
    <w:p w14:paraId="21FE21A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Everton Drusião</w:t>
      </w:r>
    </w:p>
    <w:p w14:paraId="2D5DD7B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Fabiane Brondani Papalia</w:t>
      </w:r>
    </w:p>
    <w:p w14:paraId="042A3FD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Fabiane Quevedo da Rosa</w:t>
      </w:r>
    </w:p>
    <w:p w14:paraId="63E0985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Fabiani Gonzaga Noronha</w:t>
      </w:r>
    </w:p>
    <w:p w14:paraId="3A41FF8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Fabiano Albarelo Zatt</w:t>
      </w:r>
    </w:p>
    <w:p w14:paraId="10F4AC6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Fabio Cadore Posser</w:t>
      </w:r>
    </w:p>
    <w:p w14:paraId="15875E9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Fabio de Oliveira Bastos</w:t>
      </w:r>
    </w:p>
    <w:p w14:paraId="05437E0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Beatriz Moreira</w:t>
      </w:r>
    </w:p>
    <w:p w14:paraId="094773F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de Oliveira Carvalho</w:t>
      </w:r>
    </w:p>
    <w:p w14:paraId="1539A4C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Garcia Cardoso</w:t>
      </w:r>
    </w:p>
    <w:p w14:paraId="5F722C8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Maria Zanchet Cervinski</w:t>
      </w:r>
    </w:p>
    <w:p w14:paraId="3A23C5A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Patrícia Alves da Silva</w:t>
      </w:r>
    </w:p>
    <w:p w14:paraId="0963A7B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Faustino Cervinski</w:t>
      </w:r>
    </w:p>
    <w:p w14:paraId="4F25C27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Felipe Ceni</w:t>
      </w:r>
    </w:p>
    <w:p w14:paraId="76A3194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Felipe Santos Azzolin</w:t>
      </w:r>
    </w:p>
    <w:p w14:paraId="6A0E0A9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Buriol Londero</w:t>
      </w:r>
    </w:p>
    <w:p w14:paraId="37B9337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de Mello Cabistani</w:t>
      </w:r>
    </w:p>
    <w:p w14:paraId="56F8830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Poletto Dambrós</w:t>
      </w:r>
    </w:p>
    <w:p w14:paraId="16C73D6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Rodrigues</w:t>
      </w:r>
    </w:p>
    <w:p w14:paraId="748B18B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Rosa de Oliveira</w:t>
      </w:r>
    </w:p>
    <w:p w14:paraId="17401A3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Flávia Regina Cervinski</w:t>
      </w:r>
    </w:p>
    <w:p w14:paraId="1139B16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Flaviana Chiappa Forner</w:t>
      </w:r>
    </w:p>
    <w:p w14:paraId="6D58847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Flavio Alexandre de Lacerda</w:t>
      </w:r>
    </w:p>
    <w:p w14:paraId="77DE388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Flavio Antonio Azzolin</w:t>
      </w:r>
    </w:p>
    <w:p w14:paraId="232B333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Flávio Fintan Lentz</w:t>
      </w:r>
    </w:p>
    <w:p w14:paraId="4B578F6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Flávio José da Silva</w:t>
      </w:r>
    </w:p>
    <w:p w14:paraId="7926446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Francieli Juliani Pellin</w:t>
      </w:r>
    </w:p>
    <w:p w14:paraId="4C1A19C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Francielly Marchi Andrade</w:t>
      </w:r>
    </w:p>
    <w:p w14:paraId="205BA75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Francine Luana Gomes da Silva</w:t>
      </w:r>
    </w:p>
    <w:p w14:paraId="7730338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Carlos Machado Paz</w:t>
      </w:r>
    </w:p>
    <w:p w14:paraId="0F35002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de Assis Pereira Félix</w:t>
      </w:r>
    </w:p>
    <w:p w14:paraId="7F54CB9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Eloi Thiele</w:t>
      </w:r>
    </w:p>
    <w:p w14:paraId="7313226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Godinho Pinto</w:t>
      </w:r>
    </w:p>
    <w:p w14:paraId="401B3B8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Humberto Willers</w:t>
      </w:r>
    </w:p>
    <w:p w14:paraId="6FC89FB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Machado Sanchotene</w:t>
      </w:r>
    </w:p>
    <w:p w14:paraId="7EA3DCE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Pellin</w:t>
      </w:r>
    </w:p>
    <w:p w14:paraId="6F5DCD4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Pellin Júnior</w:t>
      </w:r>
    </w:p>
    <w:p w14:paraId="7C99DEE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Francisco Severiano Ribeiro Vieira</w:t>
      </w:r>
    </w:p>
    <w:p w14:paraId="360965B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Gabriel Cadore Posser</w:t>
      </w:r>
    </w:p>
    <w:p w14:paraId="218EF11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Gabriel Klein Lunkes</w:t>
      </w:r>
    </w:p>
    <w:p w14:paraId="03C31B1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Gabriel Madalozzo Pereira</w:t>
      </w:r>
    </w:p>
    <w:p w14:paraId="6EF38CE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Gabriela França de Abreu</w:t>
      </w:r>
    </w:p>
    <w:p w14:paraId="10729A8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Gabriela Machado de Borba</w:t>
      </w:r>
    </w:p>
    <w:p w14:paraId="01BBB2A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Gabriéli Mello Toniolo</w:t>
      </w:r>
    </w:p>
    <w:p w14:paraId="18C1964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Gabrielle Rigui da Silva</w:t>
      </w:r>
    </w:p>
    <w:p w14:paraId="55AEBA9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Gelsa Iná Barcellos</w:t>
      </w:r>
    </w:p>
    <w:p w14:paraId="2B394EC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Genilton Dezete Paulo</w:t>
      </w:r>
    </w:p>
    <w:p w14:paraId="5090284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Genira de Lima Librelotto</w:t>
      </w:r>
    </w:p>
    <w:p w14:paraId="4565C23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Geranilda Maria Cassol</w:t>
      </w:r>
    </w:p>
    <w:p w14:paraId="6BD7DDE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Géslen Costa Lopes</w:t>
      </w:r>
    </w:p>
    <w:p w14:paraId="53694D7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Geulise Dacorso Saccol</w:t>
      </w:r>
    </w:p>
    <w:p w14:paraId="09CDF15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Giana Giacomolli</w:t>
      </w:r>
    </w:p>
    <w:p w14:paraId="3CB0CDB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Antolini</w:t>
      </w:r>
    </w:p>
    <w:p w14:paraId="65D1561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Antonio Vizioli</w:t>
      </w:r>
    </w:p>
    <w:p w14:paraId="2ADFFA4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Luiz Fiorini</w:t>
      </w:r>
    </w:p>
    <w:p w14:paraId="6D908A4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Puttow</w:t>
      </w:r>
    </w:p>
    <w:p w14:paraId="5D15602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Quintanilha Oliveira</w:t>
      </w:r>
    </w:p>
    <w:p w14:paraId="1817291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Gilmar Silvestri</w:t>
      </w:r>
    </w:p>
    <w:p w14:paraId="4B8F23A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Gilson Luis Rigoli</w:t>
      </w:r>
    </w:p>
    <w:p w14:paraId="4D588E0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Gilzelia Quintanilha de Castro Oliveira</w:t>
      </w:r>
    </w:p>
    <w:p w14:paraId="594D3E6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Giovane Alves Dias</w:t>
      </w:r>
    </w:p>
    <w:p w14:paraId="0360583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Gisele Beatriz Santos do Santos</w:t>
      </w:r>
    </w:p>
    <w:p w14:paraId="22257C3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Gisele Terres Teixeira</w:t>
      </w:r>
    </w:p>
    <w:p w14:paraId="131C21D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Gissele Cassol</w:t>
      </w:r>
    </w:p>
    <w:p w14:paraId="394A8A8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Gládis Margareta Zitzmann Neu</w:t>
      </w:r>
    </w:p>
    <w:p w14:paraId="7BB1F01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Gladis Olinda Lemos</w:t>
      </w:r>
    </w:p>
    <w:p w14:paraId="74550E1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Graciela Geraldo</w:t>
      </w:r>
    </w:p>
    <w:p w14:paraId="7E0A002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Graziela Dias de Campos</w:t>
      </w:r>
    </w:p>
    <w:p w14:paraId="60B6131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Guilherme Luiz Vogt</w:t>
      </w:r>
    </w:p>
    <w:p w14:paraId="4406671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Guilherme Patatt</w:t>
      </w:r>
    </w:p>
    <w:p w14:paraId="44ADB71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Guilherme Speroni Lentz</w:t>
      </w:r>
    </w:p>
    <w:p w14:paraId="5756EAF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Gustavo Cauduro Cadore</w:t>
      </w:r>
    </w:p>
    <w:p w14:paraId="3C80E33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Helena Maria Rosa da Cruz</w:t>
      </w:r>
    </w:p>
    <w:p w14:paraId="379A8F6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Hélio Suliman Trentin</w:t>
      </w:r>
    </w:p>
    <w:p w14:paraId="3F7B252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Henrique da Costa Mendes Muniz</w:t>
      </w:r>
    </w:p>
    <w:p w14:paraId="724D036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Henrique Pinton Greff</w:t>
      </w:r>
    </w:p>
    <w:p w14:paraId="0F87CBF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Homero Pinto de Bairro</w:t>
      </w:r>
    </w:p>
    <w:p w14:paraId="67A8F59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Hugo da Cunha Fernandez Gonçalvez (voltou)</w:t>
      </w:r>
    </w:p>
    <w:p w14:paraId="57E2451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Iara Cecília Pellin</w:t>
      </w:r>
    </w:p>
    <w:p w14:paraId="1E80AB9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Ignês Teresinha Rigoli</w:t>
      </w:r>
    </w:p>
    <w:p w14:paraId="49448B5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Ignez Liberalesso Darin</w:t>
      </w:r>
    </w:p>
    <w:p w14:paraId="65A2524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Igor Massulo Ramos</w:t>
      </w:r>
    </w:p>
    <w:p w14:paraId="1F3A9D0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Ildo Forner</w:t>
      </w:r>
    </w:p>
    <w:p w14:paraId="26A6AA0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Ildo Santo Saccol</w:t>
      </w:r>
    </w:p>
    <w:p w14:paraId="62D48C0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Ingrid Preigschadt Goldani</w:t>
      </w:r>
    </w:p>
    <w:p w14:paraId="0F0CD41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Irá Mourão Beuren</w:t>
      </w:r>
    </w:p>
    <w:p w14:paraId="7A305CC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Iracema Teixeira Soares C. Nasc.</w:t>
      </w:r>
    </w:p>
    <w:p w14:paraId="2C63240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Irmtraut Kohn</w:t>
      </w:r>
    </w:p>
    <w:p w14:paraId="7269877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Isabelle Bianca Farias Brissow</w:t>
      </w:r>
    </w:p>
    <w:p w14:paraId="557DD9A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Iure de Almeida Konzen</w:t>
      </w:r>
    </w:p>
    <w:p w14:paraId="5813F98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Ivonete Marcia Cristofari Sául</w:t>
      </w:r>
    </w:p>
    <w:p w14:paraId="1159187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Izabel Cristina Fragozo Costa</w:t>
      </w:r>
    </w:p>
    <w:p w14:paraId="220C9EA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Izabel Cristina Moreira Macedo</w:t>
      </w:r>
    </w:p>
    <w:p w14:paraId="592FCF4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Jacqueline Malezan de Almeida Gomes</w:t>
      </w:r>
    </w:p>
    <w:p w14:paraId="1A2EAEE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Jacqueline Medianeira de Lima Machado</w:t>
      </w:r>
    </w:p>
    <w:p w14:paraId="0BF7C56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Jaderson Tiani Lemos Flores</w:t>
      </w:r>
    </w:p>
    <w:p w14:paraId="3B5CEE3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Jaime Freiberger Junior</w:t>
      </w:r>
    </w:p>
    <w:p w14:paraId="772A853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Jair Antonio Matana</w:t>
      </w:r>
    </w:p>
    <w:p w14:paraId="3546AB9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Jairo Antonio Segabinazzi</w:t>
      </w:r>
    </w:p>
    <w:p w14:paraId="733264E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Jaline Avila dos Santos</w:t>
      </w:r>
    </w:p>
    <w:p w14:paraId="6F55B49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Jamir Bueno Farias</w:t>
      </w:r>
    </w:p>
    <w:p w14:paraId="45FE6B4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Jânea Maíde Santiago e Souza</w:t>
      </w:r>
    </w:p>
    <w:p w14:paraId="4C65B1C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Janete Maria Salapata da Silva</w:t>
      </w:r>
    </w:p>
    <w:p w14:paraId="7462AB6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Janice Inês Fischer Conti</w:t>
      </w:r>
    </w:p>
    <w:p w14:paraId="0855CB5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Janice Riva Donati</w:t>
      </w:r>
    </w:p>
    <w:p w14:paraId="5E674C8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Jarlene Spitzmacher Moreira</w:t>
      </w:r>
    </w:p>
    <w:p w14:paraId="3BEFDB8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Carlo Marques Gonçalves</w:t>
      </w:r>
    </w:p>
    <w:p w14:paraId="7BC5362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Carlo Robe</w:t>
      </w:r>
    </w:p>
    <w:p w14:paraId="57BCA41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Carlo Rosa de Oliveira</w:t>
      </w:r>
    </w:p>
    <w:p w14:paraId="7AF0838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Carlos Ferreira Escobar</w:t>
      </w:r>
    </w:p>
    <w:p w14:paraId="77F315E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Messias Halberstadt</w:t>
      </w:r>
    </w:p>
    <w:p w14:paraId="439C37E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Jeneci Bica Oliveira</w:t>
      </w:r>
    </w:p>
    <w:p w14:paraId="5B1A666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Jessica Duarte da Rosa</w:t>
      </w:r>
    </w:p>
    <w:p w14:paraId="1ED8299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Jéssica Lapinski</w:t>
      </w:r>
    </w:p>
    <w:p w14:paraId="65C005A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Jessica Montardo Rosado</w:t>
      </w:r>
    </w:p>
    <w:p w14:paraId="12A4DCC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Alberto Dalforno</w:t>
      </w:r>
    </w:p>
    <w:p w14:paraId="59B6E90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Alberto de Almeida Gonçalves</w:t>
      </w:r>
    </w:p>
    <w:p w14:paraId="5917965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Carlos Nunes da Silva</w:t>
      </w:r>
    </w:p>
    <w:p w14:paraId="78EFD37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Cechin</w:t>
      </w:r>
    </w:p>
    <w:p w14:paraId="23911F4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Francisco Fernandes da Silveira</w:t>
      </w:r>
    </w:p>
    <w:p w14:paraId="1168C6F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Francisco Paim Teixeira</w:t>
      </w:r>
    </w:p>
    <w:p w14:paraId="7BA6076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Konzen</w:t>
      </w:r>
    </w:p>
    <w:p w14:paraId="2B782A6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Leal Malheiros Neto</w:t>
      </w:r>
    </w:p>
    <w:p w14:paraId="3BFEAB3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Luis Jaques Cechin</w:t>
      </w:r>
    </w:p>
    <w:p w14:paraId="33FB775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Pedro de Mello Vieira</w:t>
      </w:r>
    </w:p>
    <w:p w14:paraId="511DD89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Joarez João Dariva</w:t>
      </w:r>
    </w:p>
    <w:p w14:paraId="010BC59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Jocelaine da Costa Weiss Scobar</w:t>
      </w:r>
    </w:p>
    <w:p w14:paraId="3BA91C4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Jocenara de Fatima Barboza Corrêa</w:t>
      </w:r>
    </w:p>
    <w:p w14:paraId="61AEE6D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Jocileu José Donati</w:t>
      </w:r>
    </w:p>
    <w:p w14:paraId="0DDAFF5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Joel Berwanger</w:t>
      </w:r>
    </w:p>
    <w:p w14:paraId="258213F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Joice Pereira da Rosa</w:t>
      </w:r>
    </w:p>
    <w:p w14:paraId="0A445AB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Jonathan Mendes Ferreira</w:t>
      </w:r>
    </w:p>
    <w:p w14:paraId="7B583D7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Joraci Abreu Trentin</w:t>
      </w:r>
    </w:p>
    <w:p w14:paraId="033A360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Jorge Ulumar Soares Oliveira</w:t>
      </w:r>
    </w:p>
    <w:p w14:paraId="6B3673F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Jorge Luis Brandão Malheiros</w:t>
      </w:r>
    </w:p>
    <w:p w14:paraId="230ACB8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Antônio Fontoura Rebolho</w:t>
      </w:r>
    </w:p>
    <w:p w14:paraId="702DF47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Diamantino Fricks</w:t>
      </w:r>
    </w:p>
    <w:p w14:paraId="2E07986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Jose Inacio Torres de Souza</w:t>
      </w:r>
    </w:p>
    <w:p w14:paraId="746F4D5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Inocencio Barbosa Macedo</w:t>
      </w:r>
    </w:p>
    <w:p w14:paraId="6CF7B25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Jose Joel Canto</w:t>
      </w:r>
    </w:p>
    <w:p w14:paraId="7582820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Luiz Pereira Medeiros</w:t>
      </w:r>
    </w:p>
    <w:p w14:paraId="2AC27A0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Nilton Rodrigues Dorneles</w:t>
      </w:r>
    </w:p>
    <w:p w14:paraId="01D0C07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Paulo Gatto</w:t>
      </w:r>
    </w:p>
    <w:p w14:paraId="4073EE6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Rodrigues Filho</w:t>
      </w:r>
    </w:p>
    <w:p w14:paraId="3A8E554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Josiane de Lima Machado</w:t>
      </w:r>
    </w:p>
    <w:p w14:paraId="0169ECB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Juarez de Mello Librelotto</w:t>
      </w:r>
    </w:p>
    <w:p w14:paraId="57AC031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Juciane Bonella</w:t>
      </w:r>
    </w:p>
    <w:p w14:paraId="7CFFBA4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Julian Albino Spanholi Calgaroto</w:t>
      </w:r>
    </w:p>
    <w:p w14:paraId="79997C0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Juliana Chiappa Forner Ferreira</w:t>
      </w:r>
    </w:p>
    <w:p w14:paraId="1037CA6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Juliana dos Santos Bastos</w:t>
      </w:r>
    </w:p>
    <w:p w14:paraId="475B706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Juliano Almeida da Silva</w:t>
      </w:r>
    </w:p>
    <w:p w14:paraId="19F4341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Juliano Henriques da Motta</w:t>
      </w:r>
    </w:p>
    <w:p w14:paraId="487EA52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Juliano Macedo da Silva</w:t>
      </w:r>
    </w:p>
    <w:p w14:paraId="3D91AFD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Júlio Celso Moreira Magalhães</w:t>
      </w:r>
    </w:p>
    <w:p w14:paraId="1914991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Karina Dias Silveira</w:t>
      </w:r>
    </w:p>
    <w:p w14:paraId="4640C43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Kátia Giane Pacheco Siqueira</w:t>
      </w:r>
    </w:p>
    <w:p w14:paraId="3DB558A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Kawê Machado Dias</w:t>
      </w:r>
    </w:p>
    <w:p w14:paraId="711738F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Kelen Giovana Leite Ferreira</w:t>
      </w:r>
    </w:p>
    <w:p w14:paraId="22F03E7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Kellen Brondani Papalia</w:t>
      </w:r>
    </w:p>
    <w:p w14:paraId="7598DE4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Kellen dos Santos Soares</w:t>
      </w:r>
    </w:p>
    <w:p w14:paraId="04951AF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Kellen Sabrina Pistóia Padilha</w:t>
      </w:r>
    </w:p>
    <w:p w14:paraId="6738849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Lais Fernandes Toniolo</w:t>
      </w:r>
    </w:p>
    <w:p w14:paraId="7E448A2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Laís Lemos Karsburg</w:t>
      </w:r>
    </w:p>
    <w:p w14:paraId="2674AB1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Lane Rosie Scherer de andrade</w:t>
      </w:r>
    </w:p>
    <w:p w14:paraId="64D4A91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Larissa Lemos Karsburg</w:t>
      </w:r>
    </w:p>
    <w:p w14:paraId="4D67840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Laura Alves da Silva</w:t>
      </w:r>
    </w:p>
    <w:p w14:paraId="17404AD2" w14:textId="5CABCB03"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Laurício Pastório da Fonseca</w:t>
      </w:r>
    </w:p>
    <w:p w14:paraId="08DD48D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Lauro Airton Medeiros da Silva</w:t>
      </w:r>
    </w:p>
    <w:p w14:paraId="2C3FD04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Lauro Jocenir Farias dos Santos</w:t>
      </w:r>
    </w:p>
    <w:p w14:paraId="2726C0F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Leila Aparecida Comassetto do Canto</w:t>
      </w:r>
    </w:p>
    <w:p w14:paraId="14C47C0D"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Lenir Schmitt Nunes</w:t>
      </w:r>
    </w:p>
    <w:p w14:paraId="50D7AF6D"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Lenir Terezinha Van Der Ham</w:t>
      </w:r>
    </w:p>
    <w:p w14:paraId="7D71C4F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Araujo Vieira</w:t>
      </w:r>
    </w:p>
    <w:p w14:paraId="109ECFF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Cristo da Palma</w:t>
      </w:r>
    </w:p>
    <w:p w14:paraId="379CF71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da Rosa Contrera</w:t>
      </w:r>
    </w:p>
    <w:p w14:paraId="1BC02EA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do Amaral Dalforno</w:t>
      </w:r>
    </w:p>
    <w:p w14:paraId="36CBB6A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Moro Medeiros</w:t>
      </w:r>
    </w:p>
    <w:p w14:paraId="402C198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Nogueira Fontoura da Silva</w:t>
      </w:r>
    </w:p>
    <w:p w14:paraId="76DB8A6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Leones de Jesus de Oliveira Pereira</w:t>
      </w:r>
    </w:p>
    <w:p w14:paraId="5F5AA7F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Leonir José Esperdião</w:t>
      </w:r>
    </w:p>
    <w:p w14:paraId="33EB122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Leonir Pimentel Ferreira</w:t>
      </w:r>
    </w:p>
    <w:p w14:paraId="5C23AD4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da Gloria Ferraz</w:t>
      </w:r>
    </w:p>
    <w:p w14:paraId="5FBB00C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Letícia Trentin Piasson</w:t>
      </w:r>
    </w:p>
    <w:p w14:paraId="24192ABC"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Leyla Kraülich</w:t>
      </w:r>
    </w:p>
    <w:p w14:paraId="7489255E"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Liane de Jesus Lopes</w:t>
      </w:r>
    </w:p>
    <w:p w14:paraId="4C6B7465"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Liane Willers</w:t>
      </w:r>
    </w:p>
    <w:p w14:paraId="515D1A3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Ligiane Marta Righi da Silva</w:t>
      </w:r>
    </w:p>
    <w:p w14:paraId="7BC45DF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Lilia Maria Montardo Rosado</w:t>
      </w:r>
    </w:p>
    <w:p w14:paraId="3754C0D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Liliana Poletto Dambrós</w:t>
      </w:r>
    </w:p>
    <w:p w14:paraId="4976CD4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Lindomar Darin</w:t>
      </w:r>
    </w:p>
    <w:p w14:paraId="6DAECA9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Lisette Catarina Araujo Vieira</w:t>
      </w:r>
    </w:p>
    <w:p w14:paraId="659F68A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Lisiane Lara</w:t>
      </w:r>
    </w:p>
    <w:p w14:paraId="2F7EF8D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Litiele da Silva Rosa</w:t>
      </w:r>
    </w:p>
    <w:p w14:paraId="351CCA4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Lorena Luiz de Sena</w:t>
      </w:r>
    </w:p>
    <w:p w14:paraId="2C883FB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Lourdes Elisete de Oliveira Rolim</w:t>
      </w:r>
    </w:p>
    <w:p w14:paraId="0201EF8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Lourdes Souza Terres</w:t>
      </w:r>
    </w:p>
    <w:p w14:paraId="1F4E0A6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Luan Bolson Branco</w:t>
      </w:r>
    </w:p>
    <w:p w14:paraId="0FF1991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Lucas Marcovig Moreira Veiga</w:t>
      </w:r>
    </w:p>
    <w:p w14:paraId="4289D98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Lucas Mateus Fricks Pereira</w:t>
      </w:r>
    </w:p>
    <w:p w14:paraId="3D6AB3E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Lucas Nicoloso Aita</w:t>
      </w:r>
    </w:p>
    <w:p w14:paraId="4185B1E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Lucas Ribas Isa</w:t>
      </w:r>
    </w:p>
    <w:p w14:paraId="4106380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Lucas Silveira Marques de Mello</w:t>
      </w:r>
    </w:p>
    <w:p w14:paraId="26A0CB0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Lúcia Regina Behr</w:t>
      </w:r>
    </w:p>
    <w:p w14:paraId="0199748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Luciana de Fátima de Vogarins Oliveira</w:t>
      </w:r>
    </w:p>
    <w:p w14:paraId="7718469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Luciane Treulieb</w:t>
      </w:r>
    </w:p>
    <w:p w14:paraId="7959101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Luciano dos Santos Machado</w:t>
      </w:r>
    </w:p>
    <w:p w14:paraId="68CBCDE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Luciano Santis Lopes</w:t>
      </w:r>
    </w:p>
    <w:p w14:paraId="6DA7C92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Luciene Louzeiro Silva</w:t>
      </w:r>
    </w:p>
    <w:p w14:paraId="58DC9EA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Lucio Beuren</w:t>
      </w:r>
    </w:p>
    <w:p w14:paraId="22BF639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Ludimila Baratti Mendonça</w:t>
      </w:r>
    </w:p>
    <w:p w14:paraId="235C08B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Alberto Rodrigues Costa</w:t>
      </w:r>
    </w:p>
    <w:p w14:paraId="1CC7608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Alberto Seibt Karsburg</w:t>
      </w:r>
    </w:p>
    <w:p w14:paraId="27CEBAD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Carlos de Oliveira</w:t>
      </w:r>
    </w:p>
    <w:p w14:paraId="40E1980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Cláudio Fernandes de Oliveira</w:t>
      </w:r>
    </w:p>
    <w:p w14:paraId="29911B0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Felipe Moura de Oliveira</w:t>
      </w:r>
    </w:p>
    <w:p w14:paraId="3EC7C6D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Henrique Moreira</w:t>
      </w:r>
    </w:p>
    <w:p w14:paraId="11252A3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Luís Octávio Outeiral Velho</w:t>
      </w:r>
    </w:p>
    <w:p w14:paraId="59D215B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Luisa Berlato Silva</w:t>
      </w:r>
    </w:p>
    <w:p w14:paraId="6B98DA9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Luísa Kopp Jornada Pereira</w:t>
      </w:r>
    </w:p>
    <w:p w14:paraId="6207828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Alberto Terres Teixeira</w:t>
      </w:r>
    </w:p>
    <w:p w14:paraId="5527C95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De Carli</w:t>
      </w:r>
    </w:p>
    <w:p w14:paraId="7262F27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Donato Ferreira Ramos</w:t>
      </w:r>
    </w:p>
    <w:p w14:paraId="58FC37A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Eduardo Custódio</w:t>
      </w:r>
    </w:p>
    <w:p w14:paraId="5EF0416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Foggiato</w:t>
      </w:r>
    </w:p>
    <w:p w14:paraId="420A2C0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Luiza Ilha Borges</w:t>
      </w:r>
    </w:p>
    <w:p w14:paraId="1B476B4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Luiza Malezan de Almeida Gomes</w:t>
      </w:r>
    </w:p>
    <w:p w14:paraId="1DEA28E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Maiara Aline Felipetto</w:t>
      </w:r>
    </w:p>
    <w:p w14:paraId="3B2FF7A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Maiara Moreira Macedo</w:t>
      </w:r>
    </w:p>
    <w:p w14:paraId="3A3D151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Maicon Cristiano Darin</w:t>
      </w:r>
    </w:p>
    <w:p w14:paraId="545FEA0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Maike Adriel dos Santos</w:t>
      </w:r>
    </w:p>
    <w:p w14:paraId="7EA0F47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Malu Dias dos Santos</w:t>
      </w:r>
    </w:p>
    <w:p w14:paraId="7FD04E3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Mara Lúcia Godinho Machado</w:t>
      </w:r>
    </w:p>
    <w:p w14:paraId="7555F9C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Mara Moreira dos Santos</w:t>
      </w:r>
    </w:p>
    <w:p w14:paraId="7E5C717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Mara Rejane Corcini Sanchotene</w:t>
      </w:r>
    </w:p>
    <w:p w14:paraId="3B795C7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Marcel Leal Minas Novas</w:t>
      </w:r>
    </w:p>
    <w:p w14:paraId="39DCF54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Marcelo de Freitas Salla</w:t>
      </w:r>
    </w:p>
    <w:p w14:paraId="6CBB946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Marcelo Gomes Bona</w:t>
      </w:r>
    </w:p>
    <w:p w14:paraId="73389F1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Marcelo Salapata da Silva</w:t>
      </w:r>
    </w:p>
    <w:p w14:paraId="5E3CECD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Marcia Andrade Rodrigues</w:t>
      </w:r>
    </w:p>
    <w:p w14:paraId="6256845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Márcia Anita Golçalves Dias</w:t>
      </w:r>
    </w:p>
    <w:p w14:paraId="2C20CD9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Márcia Batistella Puttow</w:t>
      </w:r>
    </w:p>
    <w:p w14:paraId="017BB94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Marcia Cristina Lameira Fernandes</w:t>
      </w:r>
    </w:p>
    <w:p w14:paraId="027EAA3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Marcia Helena de Oliveira Salla</w:t>
      </w:r>
    </w:p>
    <w:p w14:paraId="5054AAE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Márcia Severo Brum</w:t>
      </w:r>
    </w:p>
    <w:p w14:paraId="5B2DBB6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Marciano Tagliapietra</w:t>
      </w:r>
    </w:p>
    <w:p w14:paraId="047BD26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Marcio Gomes Bona</w:t>
      </w:r>
    </w:p>
    <w:p w14:paraId="1D42E3A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Márcio Spiazzi de Almeida Poerschke</w:t>
      </w:r>
    </w:p>
    <w:p w14:paraId="2A234BC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Marco Aurelio Rolim</w:t>
      </w:r>
    </w:p>
    <w:p w14:paraId="271F55F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Marcus Vinicius Back Ferreira</w:t>
      </w:r>
    </w:p>
    <w:p w14:paraId="7832509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Margarete Teresa Neu Matana</w:t>
      </w:r>
    </w:p>
    <w:p w14:paraId="3D4B1CA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Margareth Teresinha Rehbein</w:t>
      </w:r>
    </w:p>
    <w:p w14:paraId="0597247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Aparecida Loreto Jaime</w:t>
      </w:r>
    </w:p>
    <w:p w14:paraId="125F7F8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Aparecida Neves</w:t>
      </w:r>
    </w:p>
    <w:p w14:paraId="74ABB5F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Cecilia Morgental</w:t>
      </w:r>
    </w:p>
    <w:p w14:paraId="7A704B0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de Fatima Michelin</w:t>
      </w:r>
    </w:p>
    <w:p w14:paraId="40FB08E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Denise Marconato Uggeri</w:t>
      </w:r>
    </w:p>
    <w:p w14:paraId="7991A37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Dolores Rolém Marostega</w:t>
      </w:r>
    </w:p>
    <w:p w14:paraId="6339F23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Maria Elena Stefanello Piovesan</w:t>
      </w:r>
    </w:p>
    <w:p w14:paraId="410EE38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Elizabete Mendes Ferreira</w:t>
      </w:r>
    </w:p>
    <w:p w14:paraId="733AA16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Goreti Pereira Canto</w:t>
      </w:r>
    </w:p>
    <w:p w14:paraId="2B4FE37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Lisete Boufleur Munchen</w:t>
      </w:r>
    </w:p>
    <w:p w14:paraId="32D4F78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Magdalena Tagliapietra</w:t>
      </w:r>
    </w:p>
    <w:p w14:paraId="2F281C6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Medianeira Viegas Pereira</w:t>
      </w:r>
    </w:p>
    <w:p w14:paraId="30D7788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Odete Dias de Campos</w:t>
      </w:r>
    </w:p>
    <w:p w14:paraId="5536F72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Rejane Carneiro do Amaral Dalforno</w:t>
      </w:r>
    </w:p>
    <w:p w14:paraId="38B5856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Mariane Wallau Vielmo</w:t>
      </w:r>
    </w:p>
    <w:p w14:paraId="26CB137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Mariângela Pontes Gonçalves</w:t>
      </w:r>
    </w:p>
    <w:p w14:paraId="57B6704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Mariceli Terres Teixeira</w:t>
      </w:r>
    </w:p>
    <w:p w14:paraId="0CFF436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Marilene Medianeira de Oliveira dos Santos</w:t>
      </w:r>
    </w:p>
    <w:p w14:paraId="37C9321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Marília Fernandes Reheimann Freitas</w:t>
      </w:r>
    </w:p>
    <w:p w14:paraId="3C9453C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Marinês dos Santos Barcellos</w:t>
      </w:r>
    </w:p>
    <w:p w14:paraId="215E0F6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Mario José Birnfeld do Canto</w:t>
      </w:r>
    </w:p>
    <w:p w14:paraId="308262D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Mario Nei Brondani</w:t>
      </w:r>
    </w:p>
    <w:p w14:paraId="1516022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Marisa dos Santos Barcellos</w:t>
      </w:r>
    </w:p>
    <w:p w14:paraId="085D99A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Marise Dias de Oliveira</w:t>
      </w:r>
    </w:p>
    <w:p w14:paraId="09DBEBA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Marivete Cadore Posser</w:t>
      </w:r>
    </w:p>
    <w:p w14:paraId="54EBBBD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Marlane Geribone Seeger</w:t>
      </w:r>
    </w:p>
    <w:p w14:paraId="7292B31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Marlei Carolina Frizzo Nemitz</w:t>
      </w:r>
    </w:p>
    <w:p w14:paraId="00EEA20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Marlei Ferreira Soares</w:t>
      </w:r>
    </w:p>
    <w:p w14:paraId="5DCB94E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Marli Beatriz Comin Silvestri</w:t>
      </w:r>
    </w:p>
    <w:p w14:paraId="661B528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Marlise de Abreu Dias</w:t>
      </w:r>
    </w:p>
    <w:p w14:paraId="4139113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Marta Dovigi Segabinazzi</w:t>
      </w:r>
    </w:p>
    <w:p w14:paraId="4555D8C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Mateu Matana</w:t>
      </w:r>
    </w:p>
    <w:p w14:paraId="0969F87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Mateus Rocha Homercher</w:t>
      </w:r>
    </w:p>
    <w:p w14:paraId="416D296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Matheus Roos de Oliveira</w:t>
      </w:r>
    </w:p>
    <w:p w14:paraId="13DADF5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Matias de Paula Leiria</w:t>
      </w:r>
    </w:p>
    <w:p w14:paraId="4EB5DA0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Mauren Regina Sarturi Becker</w:t>
      </w:r>
    </w:p>
    <w:p w14:paraId="317B045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Max Saulo de Oliveira Rolim</w:t>
      </w:r>
    </w:p>
    <w:p w14:paraId="5762020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Medianeira Dellinghausen Bairros Costa</w:t>
      </w:r>
    </w:p>
    <w:p w14:paraId="65F4958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Micael Pereira Canto</w:t>
      </w:r>
    </w:p>
    <w:p w14:paraId="7318D40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Michele Berleze</w:t>
      </w:r>
    </w:p>
    <w:p w14:paraId="1A8AD9A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Michele Moraes Lopes</w:t>
      </w:r>
    </w:p>
    <w:p w14:paraId="5BCD801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Michele Pereira dos Santos</w:t>
      </w:r>
    </w:p>
    <w:p w14:paraId="75B8B03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Micheli Viera de Oliveira</w:t>
      </w:r>
    </w:p>
    <w:p w14:paraId="494C824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Miguel Moraes Nunes</w:t>
      </w:r>
    </w:p>
    <w:p w14:paraId="172F7B7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Milton João Bona</w:t>
      </w:r>
    </w:p>
    <w:p w14:paraId="13A1817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Milton Luiz Posser</w:t>
      </w:r>
    </w:p>
    <w:p w14:paraId="35F0934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Mônica Aparecida de Paiva Rodrigues</w:t>
      </w:r>
    </w:p>
    <w:p w14:paraId="694E53C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Munira Moreira Macedo</w:t>
      </w:r>
    </w:p>
    <w:p w14:paraId="7CF1868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Naiara Hennig Neuenfeldt</w:t>
      </w:r>
    </w:p>
    <w:p w14:paraId="58C21B6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Naiara Marquezan</w:t>
      </w:r>
    </w:p>
    <w:p w14:paraId="29A2AAD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Nara Lice Saraiva Pedrozo</w:t>
      </w:r>
    </w:p>
    <w:p w14:paraId="607FF0A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Nara Rosane Vanovicht Soares</w:t>
      </w:r>
    </w:p>
    <w:p w14:paraId="274164D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Natália Greff Avila da Silveira</w:t>
      </w:r>
    </w:p>
    <w:p w14:paraId="12C6118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Natalícia Beck da Silva</w:t>
      </w:r>
    </w:p>
    <w:p w14:paraId="539A385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Natalício Soares de Oliveira</w:t>
      </w:r>
    </w:p>
    <w:p w14:paraId="5E70171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Nelci de Almeida Konzen</w:t>
      </w:r>
    </w:p>
    <w:p w14:paraId="0D3334D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Nelga da Silva Glanzel</w:t>
      </w:r>
    </w:p>
    <w:p w14:paraId="007DC66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Neri Machado Pereira</w:t>
      </w:r>
    </w:p>
    <w:p w14:paraId="7431827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Nestor Raschen</w:t>
      </w:r>
    </w:p>
    <w:p w14:paraId="2A67AEC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Neusa de Fátima Tolio Soares</w:t>
      </w:r>
    </w:p>
    <w:p w14:paraId="66A9FF7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Neuza Mariza Nunes</w:t>
      </w:r>
    </w:p>
    <w:p w14:paraId="22BA178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Nicéli de Lima Librelotto</w:t>
      </w:r>
    </w:p>
    <w:p w14:paraId="5826533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Nilson Antônio Rigoli</w:t>
      </w:r>
    </w:p>
    <w:p w14:paraId="51533A6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Nilson Santos Soares</w:t>
      </w:r>
    </w:p>
    <w:p w14:paraId="00F4379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Nilvete Dal Pozzo</w:t>
      </w:r>
    </w:p>
    <w:p w14:paraId="3405823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Nubia Leite Karsten</w:t>
      </w:r>
    </w:p>
    <w:p w14:paraId="526109B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Núria Conceição dos Santos</w:t>
      </w:r>
    </w:p>
    <w:p w14:paraId="6FBF7ED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Núria Selenia Raschen</w:t>
      </w:r>
    </w:p>
    <w:p w14:paraId="2073260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Odair José Schmidt Piovesan</w:t>
      </w:r>
    </w:p>
    <w:p w14:paraId="7C87901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Odenir Antão Oliveira Rodrigues</w:t>
      </w:r>
    </w:p>
    <w:p w14:paraId="77AEEA1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Odomar Harley Noronha</w:t>
      </w:r>
    </w:p>
    <w:p w14:paraId="0C574F6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Onofre Silveira</w:t>
      </w:r>
    </w:p>
    <w:p w14:paraId="0C8DA3D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Oraide Souza Silveira</w:t>
      </w:r>
    </w:p>
    <w:p w14:paraId="30D35A4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Osmar Machado Soares</w:t>
      </w:r>
    </w:p>
    <w:p w14:paraId="373A3FB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Otávio dos Santos Escobar</w:t>
      </w:r>
    </w:p>
    <w:p w14:paraId="50AB09A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Pablo Ricardo Pereira Pacheco</w:t>
      </w:r>
    </w:p>
    <w:p w14:paraId="4C9D172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Paola Martins de Martins</w:t>
      </w:r>
    </w:p>
    <w:p w14:paraId="418E908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Patrícia Bandeira da Silva</w:t>
      </w:r>
    </w:p>
    <w:p w14:paraId="154A946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Patrícia Medianeira Carvalho</w:t>
      </w:r>
    </w:p>
    <w:p w14:paraId="692D2B8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Patrícia Teixeira Gonçalves</w:t>
      </w:r>
    </w:p>
    <w:p w14:paraId="04ECE08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Patrícia Viera de Oliveira</w:t>
      </w:r>
    </w:p>
    <w:p w14:paraId="0E6D2FE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Paula Dariva</w:t>
      </w:r>
    </w:p>
    <w:p w14:paraId="0DD424A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Paula Fensterseifer</w:t>
      </w:r>
    </w:p>
    <w:p w14:paraId="1E8F3C8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Bento Vissotto</w:t>
      </w:r>
    </w:p>
    <w:p w14:paraId="7811549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Cesar Lundin de Oliveira</w:t>
      </w:r>
    </w:p>
    <w:p w14:paraId="4BE801D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Jesus da Silva Correa</w:t>
      </w:r>
    </w:p>
    <w:p w14:paraId="1E9CA52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Regis Callegaro</w:t>
      </w:r>
    </w:p>
    <w:p w14:paraId="7A78742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Roberto da Silva Flores</w:t>
      </w:r>
    </w:p>
    <w:p w14:paraId="7A0DC63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Roberto Machado</w:t>
      </w:r>
    </w:p>
    <w:p w14:paraId="7D7A7DD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Tadeu Nunes de Carvalho</w:t>
      </w:r>
    </w:p>
    <w:p w14:paraId="5F3B0BD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Pedro Arthur Zanini Santana Lourenço</w:t>
      </w:r>
    </w:p>
    <w:p w14:paraId="7742AD8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Pedro Nunes Sousa da Silva</w:t>
      </w:r>
    </w:p>
    <w:p w14:paraId="5408974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Pedro Silva da Silva</w:t>
      </w:r>
    </w:p>
    <w:p w14:paraId="68A1045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 Arnaldo Sulzbach Secchi</w:t>
      </w:r>
    </w:p>
    <w:p w14:paraId="0431681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 StefanelloPiovesan</w:t>
      </w:r>
    </w:p>
    <w:p w14:paraId="7673CB7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Rafaela dos Santos Machado</w:t>
      </w:r>
    </w:p>
    <w:p w14:paraId="5351978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Rafaela Ferreira Perobelli</w:t>
      </w:r>
    </w:p>
    <w:p w14:paraId="7C2E12B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Rafaella Boeira da Silva</w:t>
      </w:r>
    </w:p>
    <w:p w14:paraId="0E90008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Rayana Scherer de Andrade</w:t>
      </w:r>
    </w:p>
    <w:p w14:paraId="4571B23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Régis Bandeira Farias</w:t>
      </w:r>
    </w:p>
    <w:p w14:paraId="35CF643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Regis Cardoso da Silva</w:t>
      </w:r>
    </w:p>
    <w:p w14:paraId="70436EB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Renan Garcez Biscaino</w:t>
      </w:r>
    </w:p>
    <w:p w14:paraId="65FB1DD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Renata Pase Ravanello</w:t>
      </w:r>
    </w:p>
    <w:p w14:paraId="6DB3FC1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Renata Schmitt Nunes</w:t>
      </w:r>
    </w:p>
    <w:p w14:paraId="2CDB19C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Renato Knopp de Almeida Gomes</w:t>
      </w:r>
    </w:p>
    <w:p w14:paraId="6C77F6D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Ricardo Glademir Soares Goulart</w:t>
      </w:r>
    </w:p>
    <w:p w14:paraId="5144E43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Ricardo Machado Gonçalves</w:t>
      </w:r>
    </w:p>
    <w:p w14:paraId="5AF379E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Ricardo Oliveira dos Santos</w:t>
      </w:r>
    </w:p>
    <w:p w14:paraId="49996D8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Risoleta Viñas da Silveira</w:t>
      </w:r>
    </w:p>
    <w:p w14:paraId="1E0C04F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Rita Maria Steffen Thiele</w:t>
      </w:r>
    </w:p>
    <w:p w14:paraId="4E26B27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Ritiele da Silva Milbradt</w:t>
      </w:r>
    </w:p>
    <w:p w14:paraId="3D9A924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Roberto Cardoso Tavares</w:t>
      </w:r>
    </w:p>
    <w:p w14:paraId="6DEA3CA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Roberto Cristofari Sául</w:t>
      </w:r>
    </w:p>
    <w:p w14:paraId="4E24C4F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Robson Righi da Silva</w:t>
      </w:r>
    </w:p>
    <w:p w14:paraId="73A5989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Robson Silva da Cruz</w:t>
      </w:r>
    </w:p>
    <w:p w14:paraId="32DBB6A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Rocheli Brondani</w:t>
      </w:r>
    </w:p>
    <w:p w14:paraId="31FB817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lastRenderedPageBreak/>
        <w:t>Rochester de Jesus Lopes</w:t>
      </w:r>
    </w:p>
    <w:p w14:paraId="18A330D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Rodolfo Holsbach</w:t>
      </w:r>
    </w:p>
    <w:p w14:paraId="479563D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Rodrigo da Costa Mendes Muniz</w:t>
      </w:r>
    </w:p>
    <w:p w14:paraId="4923669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Rodrigo Graeff</w:t>
      </w:r>
    </w:p>
    <w:p w14:paraId="6E22F5D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Rodrigo Rodrigues Rizzi</w:t>
      </w:r>
    </w:p>
    <w:p w14:paraId="4E3DE3D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Rogério Salla Darif</w:t>
      </w:r>
    </w:p>
    <w:p w14:paraId="3759911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Romilda Catarina Taugen</w:t>
      </w:r>
    </w:p>
    <w:p w14:paraId="021FA96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Ronaldo Rosa Sául</w:t>
      </w:r>
    </w:p>
    <w:p w14:paraId="13B26E9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Ronan Alan Glanzel</w:t>
      </w:r>
    </w:p>
    <w:p w14:paraId="3F48999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 Melânia Vizioli</w:t>
      </w:r>
    </w:p>
    <w:p w14:paraId="5F3898A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Rosalino Caasol</w:t>
      </w:r>
    </w:p>
    <w:p w14:paraId="19445ED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Rosana Teresinha Pinton Greff</w:t>
      </w:r>
    </w:p>
    <w:p w14:paraId="6EF7055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Rosane Portella Fricks</w:t>
      </w:r>
    </w:p>
    <w:p w14:paraId="1595C7E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Rosane Terezinha Pendeza Callegaro</w:t>
      </w:r>
    </w:p>
    <w:p w14:paraId="2E21EFC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Rosângela Maria da Silva</w:t>
      </w:r>
    </w:p>
    <w:p w14:paraId="66F7CA5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Rosaura Paraboni</w:t>
      </w:r>
    </w:p>
    <w:p w14:paraId="4B19E51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Rose Mari Posser Simeoni</w:t>
      </w:r>
    </w:p>
    <w:p w14:paraId="3B765E66"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Roselaine da Silva</w:t>
      </w:r>
    </w:p>
    <w:p w14:paraId="47104DFD"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Roselaine Kamphorst Paulo</w:t>
      </w:r>
    </w:p>
    <w:p w14:paraId="578CC21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Rosilei de Fátima Pagnossim de Moraes</w:t>
      </w:r>
    </w:p>
    <w:p w14:paraId="4DFDFA3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Rosmeri Garcez Biscaino</w:t>
      </w:r>
    </w:p>
    <w:p w14:paraId="2375DDD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Rossano Santos Ercolani</w:t>
      </w:r>
    </w:p>
    <w:p w14:paraId="7BCD29B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Rozania Brauner Jaques</w:t>
      </w:r>
    </w:p>
    <w:p w14:paraId="08C762A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Rozenara Rooz Paz</w:t>
      </w:r>
    </w:p>
    <w:p w14:paraId="6420414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Rubem Silveira Machado</w:t>
      </w:r>
    </w:p>
    <w:p w14:paraId="447481B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Sadi Pozzobon</w:t>
      </w:r>
    </w:p>
    <w:p w14:paraId="44A0B27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Samuel Ricardo Raschen</w:t>
      </w:r>
    </w:p>
    <w:p w14:paraId="63EBD53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Sanderson Ricardo Waholtz</w:t>
      </w:r>
    </w:p>
    <w:p w14:paraId="695FE2EA"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Sandra Corrêa</w:t>
      </w:r>
    </w:p>
    <w:p w14:paraId="1E912AD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Sandra Karsten Favarin</w:t>
      </w:r>
    </w:p>
    <w:p w14:paraId="422528F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Sandra Tereza Tagliapietra Cargnin</w:t>
      </w:r>
    </w:p>
    <w:p w14:paraId="26A046D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Santa Gircei Freitas de Oliveira</w:t>
      </w:r>
    </w:p>
    <w:p w14:paraId="6DC9B2A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Sara Chagas de Souza</w:t>
      </w:r>
    </w:p>
    <w:p w14:paraId="6DD71AF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Sara Gross</w:t>
      </w:r>
    </w:p>
    <w:p w14:paraId="70314F9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Seditsira Treulieb</w:t>
      </w:r>
    </w:p>
    <w:p w14:paraId="2EC81F9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Seila Terezinha Speroni Lentz</w:t>
      </w:r>
    </w:p>
    <w:p w14:paraId="4E6FB5F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Sergio Leandro Soares</w:t>
      </w:r>
    </w:p>
    <w:p w14:paraId="2EA3EE9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Sérgio Pires de Mattos</w:t>
      </w:r>
    </w:p>
    <w:p w14:paraId="6203E87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Sérgio Renato Cardoso de Campos</w:t>
      </w:r>
    </w:p>
    <w:p w14:paraId="4AFB365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Shayane Silvestri</w:t>
      </w:r>
    </w:p>
    <w:p w14:paraId="2260782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Sheila Morais Nunes</w:t>
      </w:r>
    </w:p>
    <w:p w14:paraId="69EE541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Sibele Righi Scaramussa Londero</w:t>
      </w:r>
    </w:p>
    <w:p w14:paraId="771E0EF0" w14:textId="77777777" w:rsidR="00EB6402" w:rsidRPr="00F4666D"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4666D">
        <w:rPr>
          <w:rFonts w:ascii="Cambria" w:hAnsi="Cambria"/>
          <w:sz w:val="20"/>
          <w:szCs w:val="20"/>
          <w:lang w:val="pt-BR"/>
        </w:rPr>
        <w:t>Sidinéia Eva Avila Van Der Ham</w:t>
      </w:r>
    </w:p>
    <w:p w14:paraId="572FF9A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Sildo Elso Glanzel</w:t>
      </w:r>
    </w:p>
    <w:p w14:paraId="668A890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Silvia Regina Schopf Vendruscolo</w:t>
      </w:r>
    </w:p>
    <w:p w14:paraId="6BB71B2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Silvio Beuren</w:t>
      </w:r>
    </w:p>
    <w:p w14:paraId="6A99393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Simone Batistella Gatto</w:t>
      </w:r>
    </w:p>
    <w:p w14:paraId="1335375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Simone Retzlaff Rodrigues</w:t>
      </w:r>
    </w:p>
    <w:p w14:paraId="7B99EE0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Solange Margarete de Almeida Farias</w:t>
      </w:r>
    </w:p>
    <w:p w14:paraId="5B4E984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Soraia Terezinha Amaro Cechinatto</w:t>
      </w:r>
    </w:p>
    <w:p w14:paraId="7134CC1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Suely Teresinha Urquiza</w:t>
      </w:r>
    </w:p>
    <w:p w14:paraId="118732B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Suzana Farias Brissow</w:t>
      </w:r>
    </w:p>
    <w:p w14:paraId="0AB1DA6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Suzete Rodrigues Moreira</w:t>
      </w:r>
    </w:p>
    <w:p w14:paraId="6415145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Suzielle Dalla Corte Réquia</w:t>
      </w:r>
    </w:p>
    <w:p w14:paraId="17B9FC7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Taciana dos Anjos Rigoli</w:t>
      </w:r>
    </w:p>
    <w:p w14:paraId="55161C5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Tailana Garcia Militiz</w:t>
      </w:r>
    </w:p>
    <w:p w14:paraId="4C49422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Tais Beuren</w:t>
      </w:r>
    </w:p>
    <w:p w14:paraId="317B3C7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Taíse Baril Brenner</w:t>
      </w:r>
    </w:p>
    <w:p w14:paraId="5FCA7AF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Tales Lemes Pedó</w:t>
      </w:r>
    </w:p>
    <w:p w14:paraId="75DC2D3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Tania Maria de Lima Malheiros</w:t>
      </w:r>
    </w:p>
    <w:p w14:paraId="1AC0A9B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Tarso Dutra dos Santos</w:t>
      </w:r>
    </w:p>
    <w:p w14:paraId="6C3BDDF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Tatiana Amaro Cechinatto</w:t>
      </w:r>
    </w:p>
    <w:p w14:paraId="4FBF630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Tatiana Soares Caminha</w:t>
      </w:r>
    </w:p>
    <w:p w14:paraId="7C47387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Tatiane Laís Pires Andreolla</w:t>
      </w:r>
    </w:p>
    <w:p w14:paraId="534F2D03"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Tatiele Soares Arrial</w:t>
      </w:r>
    </w:p>
    <w:p w14:paraId="1F7EB40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Telmo Arnaldo Brissow</w:t>
      </w:r>
    </w:p>
    <w:p w14:paraId="5ACCD4D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Teresinha dos Santos Saenger</w:t>
      </w:r>
    </w:p>
    <w:p w14:paraId="7F0D4E2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Teresinha Maria Carvalho Avila</w:t>
      </w:r>
    </w:p>
    <w:p w14:paraId="3C7D4F5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Teresinha Maria Graeff</w:t>
      </w:r>
    </w:p>
    <w:p w14:paraId="2E5AB16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Thais Helena Moreira</w:t>
      </w:r>
    </w:p>
    <w:p w14:paraId="68537CC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Tiere Caroline Viñas Salermo</w:t>
      </w:r>
    </w:p>
    <w:p w14:paraId="65E5B98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Trícia Behr Bandeira</w:t>
      </w:r>
    </w:p>
    <w:p w14:paraId="390B397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Trindade Teresinha Garcez Fumaco</w:t>
      </w:r>
    </w:p>
    <w:p w14:paraId="7EA8B11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Ubirajara Soares Bastos</w:t>
      </w:r>
    </w:p>
    <w:p w14:paraId="289ED34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Ubiratã Siqueira Costa</w:t>
      </w:r>
    </w:p>
    <w:p w14:paraId="701BA0C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Vagner Alves Ramos</w:t>
      </w:r>
    </w:p>
    <w:p w14:paraId="6EF31022"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Valéria Quevedo da Rosa</w:t>
      </w:r>
    </w:p>
    <w:p w14:paraId="7DBEEAA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Valesca Alves da Trindade</w:t>
      </w:r>
    </w:p>
    <w:p w14:paraId="203CDDB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Valmor de Oliveira</w:t>
      </w:r>
    </w:p>
    <w:p w14:paraId="5A126F40"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Vanda Denise Puccini Dacorso</w:t>
      </w:r>
    </w:p>
    <w:p w14:paraId="1042C5D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Vandelcork Marques Lara</w:t>
      </w:r>
    </w:p>
    <w:p w14:paraId="6CAB950D"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Brauner Jaques</w:t>
      </w:r>
    </w:p>
    <w:p w14:paraId="0D82016C"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Gisele Vasconcellos</w:t>
      </w:r>
    </w:p>
    <w:p w14:paraId="4F7D3CB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Gonzaga Noronha</w:t>
      </w:r>
    </w:p>
    <w:p w14:paraId="128EFFF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Moraes Lopes</w:t>
      </w:r>
    </w:p>
    <w:p w14:paraId="12FE652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Ribeiro Contreira</w:t>
      </w:r>
    </w:p>
    <w:p w14:paraId="447B220B"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Vania Lisete Tauchen Antolini</w:t>
      </w:r>
    </w:p>
    <w:p w14:paraId="42D5E586"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Veleda Maria Ames</w:t>
      </w:r>
    </w:p>
    <w:p w14:paraId="22D3243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Vera Lucia dos Santos Azzolin</w:t>
      </w:r>
    </w:p>
    <w:p w14:paraId="19221AD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Vera Lucia Rigoli</w:t>
      </w:r>
    </w:p>
    <w:p w14:paraId="4C6C8C69"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Vera Regina Desbessel Robe</w:t>
      </w:r>
    </w:p>
    <w:p w14:paraId="7B537DF8"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Veridiana Neu</w:t>
      </w:r>
    </w:p>
    <w:p w14:paraId="4D148D8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Verônica Rosa Cechin</w:t>
      </w:r>
    </w:p>
    <w:p w14:paraId="28864664"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Vitor Hugo Balest Piovesan</w:t>
      </w:r>
    </w:p>
    <w:p w14:paraId="424735B5"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Viviani Reghelim Berguemaier</w:t>
      </w:r>
    </w:p>
    <w:p w14:paraId="40E43041"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Vlademir Antonio Vargas</w:t>
      </w:r>
    </w:p>
    <w:p w14:paraId="0D1BFCBE"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Walter Roberto Thiele</w:t>
      </w:r>
    </w:p>
    <w:p w14:paraId="05BBB14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William de Freitas Pietro</w:t>
      </w:r>
    </w:p>
    <w:p w14:paraId="0C8DE497"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Yara Regina Knabben da Rosa</w:t>
      </w:r>
    </w:p>
    <w:p w14:paraId="3A8733DF" w14:textId="77777777" w:rsidR="00EB6402"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Zeni da Costa Weiss</w:t>
      </w:r>
    </w:p>
    <w:p w14:paraId="57CC43AB" w14:textId="6FDDC2A2" w:rsidR="003570D1" w:rsidRPr="00FF6DBF" w:rsidRDefault="00EB6402" w:rsidP="00EB64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Zoé Gonçalves Silveira</w:t>
      </w:r>
    </w:p>
    <w:sectPr w:rsidR="003570D1" w:rsidRPr="00FF6DBF" w:rsidSect="001512E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F338" w14:textId="77777777" w:rsidR="00794BA7" w:rsidRDefault="00794BA7">
      <w:r>
        <w:separator/>
      </w:r>
    </w:p>
  </w:endnote>
  <w:endnote w:type="continuationSeparator" w:id="0">
    <w:p w14:paraId="021A2971" w14:textId="77777777" w:rsidR="00794BA7" w:rsidRDefault="0079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AACF" w14:textId="77777777" w:rsidR="006539EA" w:rsidRPr="006539EA" w:rsidRDefault="006539EA">
    <w:pPr>
      <w:pStyle w:val="Footer"/>
      <w:jc w:val="center"/>
      <w:rPr>
        <w:sz w:val="16"/>
      </w:rPr>
    </w:pPr>
    <w:r w:rsidRPr="006539EA">
      <w:rPr>
        <w:sz w:val="16"/>
      </w:rPr>
      <w:fldChar w:fldCharType="begin"/>
    </w:r>
    <w:r w:rsidRPr="006539EA">
      <w:rPr>
        <w:sz w:val="16"/>
      </w:rPr>
      <w:instrText xml:space="preserve"> PAGE   \* MERGEFORMAT </w:instrText>
    </w:r>
    <w:r w:rsidRPr="006539EA">
      <w:rPr>
        <w:sz w:val="16"/>
      </w:rPr>
      <w:fldChar w:fldCharType="separate"/>
    </w:r>
    <w:r w:rsidR="00AB0549">
      <w:rPr>
        <w:noProof/>
        <w:sz w:val="16"/>
      </w:rPr>
      <w:t>1</w:t>
    </w:r>
    <w:r w:rsidRPr="006539EA">
      <w:rPr>
        <w:noProof/>
        <w:sz w:val="16"/>
      </w:rPr>
      <w:fldChar w:fldCharType="end"/>
    </w:r>
  </w:p>
  <w:p w14:paraId="08BFCAED" w14:textId="77777777" w:rsidR="006539EA" w:rsidRDefault="00653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C968" w14:textId="77777777" w:rsidR="00794BA7" w:rsidRPr="004C502E" w:rsidRDefault="00794BA7">
      <w:pPr>
        <w:rPr>
          <w:rFonts w:ascii="Cambria" w:hAnsi="Cambria"/>
          <w:sz w:val="16"/>
          <w:szCs w:val="16"/>
        </w:rPr>
      </w:pPr>
      <w:r w:rsidRPr="004C502E">
        <w:rPr>
          <w:rFonts w:ascii="Cambria" w:hAnsi="Cambria"/>
          <w:sz w:val="16"/>
          <w:szCs w:val="16"/>
        </w:rPr>
        <w:separator/>
      </w:r>
    </w:p>
  </w:footnote>
  <w:footnote w:type="continuationSeparator" w:id="0">
    <w:p w14:paraId="3B76164C" w14:textId="77777777" w:rsidR="00794BA7" w:rsidRPr="004C502E" w:rsidRDefault="00794BA7" w:rsidP="00416AB8">
      <w:pPr>
        <w:rPr>
          <w:rFonts w:ascii="Cambria" w:hAnsi="Cambria"/>
          <w:sz w:val="16"/>
          <w:szCs w:val="16"/>
        </w:rPr>
      </w:pPr>
      <w:r w:rsidRPr="004C502E">
        <w:rPr>
          <w:rFonts w:ascii="Cambria" w:hAnsi="Cambria"/>
          <w:sz w:val="16"/>
          <w:szCs w:val="16"/>
        </w:rPr>
        <w:separator/>
      </w:r>
    </w:p>
    <w:p w14:paraId="3C422D5D" w14:textId="77777777" w:rsidR="00794BA7" w:rsidRPr="00416AB8" w:rsidRDefault="00794BA7" w:rsidP="00416AB8">
      <w:pPr>
        <w:pStyle w:val="Footer"/>
        <w:rPr>
          <w:sz w:val="16"/>
          <w:szCs w:val="16"/>
        </w:rPr>
      </w:pPr>
      <w:r>
        <w:rPr>
          <w:sz w:val="16"/>
          <w:szCs w:val="16"/>
        </w:rPr>
        <w:t xml:space="preserve">[… </w:t>
      </w:r>
      <w:r w:rsidRPr="00416AB8">
        <w:rPr>
          <w:sz w:val="16"/>
          <w:szCs w:val="16"/>
        </w:rPr>
        <w:t>continuação</w:t>
      </w:r>
      <w:r>
        <w:rPr>
          <w:sz w:val="16"/>
          <w:szCs w:val="16"/>
        </w:rPr>
        <w:t>]</w:t>
      </w:r>
    </w:p>
  </w:footnote>
  <w:footnote w:type="continuationNotice" w:id="1">
    <w:p w14:paraId="29D05DB9" w14:textId="77777777" w:rsidR="00794BA7" w:rsidRPr="004C502E" w:rsidRDefault="00794BA7" w:rsidP="00416AB8">
      <w:pPr>
        <w:jc w:val="right"/>
        <w:rPr>
          <w:rFonts w:ascii="Cambria" w:hAnsi="Cambria"/>
          <w:sz w:val="16"/>
          <w:szCs w:val="16"/>
          <w:lang w:val="es-ES_tradnl"/>
        </w:rPr>
      </w:pPr>
      <w:r w:rsidRPr="004C502E">
        <w:rPr>
          <w:rFonts w:ascii="Cambria" w:hAnsi="Cambria"/>
          <w:sz w:val="16"/>
          <w:szCs w:val="16"/>
          <w:lang w:val="es-ES_tradnl"/>
        </w:rPr>
        <w:t>[continua …]</w:t>
      </w:r>
    </w:p>
  </w:footnote>
  <w:footnote w:id="2">
    <w:p w14:paraId="63C4C84D" w14:textId="2C794BEC" w:rsidR="00EB6D4D" w:rsidRPr="005F50D3" w:rsidRDefault="00EB6D4D"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sz w:val="16"/>
          <w:szCs w:val="16"/>
          <w:lang w:val="pt-BR"/>
        </w:rPr>
        <w:footnoteRef/>
      </w:r>
      <w:r w:rsidRPr="005F50D3">
        <w:rPr>
          <w:rFonts w:ascii="Cambria" w:hAnsi="Cambria"/>
          <w:sz w:val="16"/>
          <w:szCs w:val="16"/>
          <w:lang w:val="pt-BR"/>
        </w:rPr>
        <w:t xml:space="preserve"> As vítimas </w:t>
      </w:r>
      <w:r w:rsidR="006139C6" w:rsidRPr="005F50D3">
        <w:rPr>
          <w:rFonts w:ascii="Cambria" w:hAnsi="Cambria"/>
          <w:sz w:val="16"/>
          <w:szCs w:val="16"/>
          <w:lang w:val="pt-BR"/>
        </w:rPr>
        <w:t>nomeadas</w:t>
      </w:r>
      <w:r w:rsidRPr="005F50D3">
        <w:rPr>
          <w:rFonts w:ascii="Cambria" w:hAnsi="Cambria"/>
          <w:sz w:val="16"/>
          <w:szCs w:val="16"/>
          <w:lang w:val="pt-BR"/>
        </w:rPr>
        <w:t xml:space="preserve"> pela parte peticionária </w:t>
      </w:r>
      <w:r w:rsidR="006139C6" w:rsidRPr="005F50D3">
        <w:rPr>
          <w:rFonts w:ascii="Cambria" w:hAnsi="Cambria"/>
          <w:sz w:val="16"/>
          <w:szCs w:val="16"/>
          <w:lang w:val="pt-BR"/>
        </w:rPr>
        <w:t xml:space="preserve">até o momento </w:t>
      </w:r>
      <w:r w:rsidRPr="005F50D3">
        <w:rPr>
          <w:rFonts w:ascii="Cambria" w:hAnsi="Cambria"/>
          <w:sz w:val="16"/>
          <w:szCs w:val="16"/>
          <w:lang w:val="pt-BR"/>
        </w:rPr>
        <w:t xml:space="preserve">estão </w:t>
      </w:r>
      <w:r w:rsidR="006139C6" w:rsidRPr="005F50D3">
        <w:rPr>
          <w:rFonts w:ascii="Cambria" w:hAnsi="Cambria"/>
          <w:sz w:val="16"/>
          <w:szCs w:val="16"/>
          <w:lang w:val="pt-BR"/>
        </w:rPr>
        <w:t>listadas</w:t>
      </w:r>
      <w:r w:rsidRPr="005F50D3">
        <w:rPr>
          <w:rFonts w:ascii="Cambria" w:hAnsi="Cambria"/>
          <w:sz w:val="16"/>
          <w:szCs w:val="16"/>
          <w:lang w:val="pt-BR"/>
        </w:rPr>
        <w:t xml:space="preserve"> no Anexo I.</w:t>
      </w:r>
    </w:p>
  </w:footnote>
  <w:footnote w:id="3">
    <w:p w14:paraId="18C3CC91" w14:textId="7A9B14A0" w:rsidR="00013992" w:rsidRPr="005F50D3" w:rsidRDefault="00013992"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w:t>
      </w:r>
      <w:r w:rsidRPr="005F50D3">
        <w:rPr>
          <w:rFonts w:ascii="Cambria" w:hAnsi="Cambria"/>
          <w:sz w:val="16"/>
          <w:szCs w:val="16"/>
          <w:lang w:val="pt-BR"/>
        </w:rPr>
        <w:t>Doravante denominada “Convenção Americana” ou “Convenção”.</w:t>
      </w:r>
    </w:p>
  </w:footnote>
  <w:footnote w:id="4">
    <w:p w14:paraId="12E06C72" w14:textId="7AC7FC46" w:rsidR="00523EB1" w:rsidRPr="005F50D3" w:rsidRDefault="00523EB1"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sz w:val="16"/>
          <w:szCs w:val="16"/>
          <w:lang w:val="pt-BR"/>
        </w:rPr>
        <w:footnoteRef/>
      </w:r>
      <w:r w:rsidRPr="005F50D3">
        <w:rPr>
          <w:rFonts w:ascii="Cambria" w:hAnsi="Cambria"/>
          <w:sz w:val="16"/>
          <w:szCs w:val="16"/>
          <w:lang w:val="pt-BR"/>
        </w:rPr>
        <w:t xml:space="preserve"> As observações de cada parte foram devidamente encaminhadas à parte contrária.</w:t>
      </w:r>
      <w:r w:rsidR="00D42310" w:rsidRPr="005F50D3">
        <w:rPr>
          <w:rFonts w:ascii="Cambria" w:hAnsi="Cambria"/>
          <w:sz w:val="16"/>
          <w:szCs w:val="16"/>
          <w:lang w:val="pt-BR"/>
        </w:rPr>
        <w:t xml:space="preserve"> No dia 13 de junho de 2022, o Procurador-Geral de Justiça do Estado do Rio Grande do Sul submeteu uma comunicação como </w:t>
      </w:r>
      <w:r w:rsidR="00D42310" w:rsidRPr="005F50D3">
        <w:rPr>
          <w:rFonts w:ascii="Cambria" w:hAnsi="Cambria"/>
          <w:i/>
          <w:iCs/>
          <w:sz w:val="16"/>
          <w:szCs w:val="16"/>
          <w:lang w:val="pt-BR"/>
        </w:rPr>
        <w:t>Amicus Curiae</w:t>
      </w:r>
      <w:r w:rsidR="00D42310" w:rsidRPr="005F50D3">
        <w:rPr>
          <w:rFonts w:ascii="Cambria" w:hAnsi="Cambria"/>
          <w:sz w:val="16"/>
          <w:szCs w:val="16"/>
          <w:lang w:val="pt-BR"/>
        </w:rPr>
        <w:t xml:space="preserve"> remetida às partes em 23 de setembro de 2022. Em 30 de setembro de 2022, a parte peticionária solicitou à CIDH que desconsiderasse a comunicação</w:t>
      </w:r>
      <w:r w:rsidR="00022A94" w:rsidRPr="005F50D3">
        <w:rPr>
          <w:rFonts w:ascii="Cambria" w:hAnsi="Cambria"/>
          <w:sz w:val="16"/>
          <w:szCs w:val="16"/>
          <w:lang w:val="pt-BR"/>
        </w:rPr>
        <w:t xml:space="preserve"> em questão</w:t>
      </w:r>
      <w:r w:rsidR="00D42310" w:rsidRPr="005F50D3">
        <w:rPr>
          <w:rFonts w:ascii="Cambria" w:hAnsi="Cambria"/>
          <w:sz w:val="16"/>
          <w:szCs w:val="16"/>
          <w:lang w:val="pt-BR"/>
        </w:rPr>
        <w:t>. Em 20 de janeiro de 2023, o Estado brasileiro solicitou o mesmo à CIDH. A Comissão Interamericana decidiu, de acordo com o pedido de ambas as partes, desconsiderar a comunicação do Procurador-Geral de Justiça do Estado do Rio Grande do Sul, razão pela qual ela não integra o expediente da presente petição.</w:t>
      </w:r>
    </w:p>
  </w:footnote>
  <w:footnote w:id="5">
    <w:p w14:paraId="5C17DF72" w14:textId="77777777" w:rsidR="00067E6E" w:rsidRPr="005F50D3" w:rsidRDefault="00067E6E"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sz w:val="16"/>
          <w:szCs w:val="16"/>
          <w:lang w:val="pt-BR"/>
        </w:rPr>
        <w:footnoteRef/>
      </w:r>
      <w:r w:rsidRPr="005F50D3">
        <w:rPr>
          <w:rFonts w:ascii="Cambria" w:hAnsi="Cambria"/>
          <w:sz w:val="16"/>
          <w:szCs w:val="16"/>
          <w:lang w:val="pt-BR"/>
        </w:rPr>
        <w:t xml:space="preserve"> No direito brasileiro, a suspensão condicional do processo permite que o processo seja suspenso por dois a quatro anos, caso o réu seja primário e o crime tenha pena mínima cominada de até um ano. Durante esse período, o réu deve cumprir condições estabelecidas pelo juiz, como não cometer novos crimes e cumprir obrigações específicas. Se todas as condições forem satisfeitas até o fim do período, o processo é extinto, evitando a condenação penal do réu; caso contrário, o processo pode ser retomado.</w:t>
      </w:r>
    </w:p>
  </w:footnote>
  <w:footnote w:id="6">
    <w:p w14:paraId="4543880E" w14:textId="77777777" w:rsidR="00067E6E" w:rsidRPr="005F50D3" w:rsidRDefault="00067E6E" w:rsidP="005F50D3">
      <w:pPr>
        <w:pStyle w:val="FootnoteText"/>
        <w:tabs>
          <w:tab w:val="left" w:pos="709"/>
        </w:tabs>
        <w:ind w:firstLine="709"/>
        <w:jc w:val="both"/>
        <w:rPr>
          <w:rFonts w:ascii="Cambria" w:hAnsi="Cambria"/>
          <w:sz w:val="16"/>
          <w:szCs w:val="16"/>
          <w:lang w:val="pt-BR"/>
        </w:rPr>
      </w:pPr>
      <w:r w:rsidRPr="005F50D3">
        <w:rPr>
          <w:rStyle w:val="FootnoteReference"/>
          <w:rFonts w:ascii="Cambria" w:hAnsi="Cambria"/>
          <w:sz w:val="16"/>
          <w:szCs w:val="16"/>
        </w:rPr>
        <w:footnoteRef/>
      </w:r>
      <w:r w:rsidRPr="005F50D3">
        <w:rPr>
          <w:rFonts w:ascii="Cambria" w:hAnsi="Cambria"/>
          <w:sz w:val="16"/>
          <w:szCs w:val="16"/>
          <w:lang w:val="pt-BR"/>
        </w:rPr>
        <w:t xml:space="preserve"> No direito brasileiro, a prisão temporária ocorre durante o inquérito policial para facilitar investigações em crimes graves, com um prazo de até cinco dias, prorrogável por igual período. Já a prisão preventiva pode ser decretada em qualquer fase do processo penal para garantir a ordem pública, a instrução criminal ou a aplicação da lei penal, mantendo-se enquanto persistirem os motivos de sua decretação.</w:t>
      </w:r>
    </w:p>
  </w:footnote>
  <w:footnote w:id="7">
    <w:p w14:paraId="7965BFFB" w14:textId="6192E90B" w:rsidR="00D55949" w:rsidRPr="005F50D3" w:rsidRDefault="00D55949" w:rsidP="005F50D3">
      <w:pPr>
        <w:pStyle w:val="FootnoteText"/>
        <w:tabs>
          <w:tab w:val="left" w:pos="709"/>
        </w:tabs>
        <w:ind w:firstLine="709"/>
        <w:jc w:val="both"/>
        <w:rPr>
          <w:rFonts w:ascii="Cambria" w:hAnsi="Cambria"/>
          <w:sz w:val="16"/>
          <w:szCs w:val="16"/>
          <w:lang w:val="pt-BR"/>
        </w:rPr>
      </w:pPr>
      <w:r w:rsidRPr="005F50D3">
        <w:rPr>
          <w:rStyle w:val="FootnoteReference"/>
          <w:rFonts w:ascii="Cambria" w:hAnsi="Cambria"/>
          <w:sz w:val="16"/>
          <w:szCs w:val="16"/>
        </w:rPr>
        <w:footnoteRef/>
      </w:r>
      <w:r w:rsidRPr="005F50D3">
        <w:rPr>
          <w:rFonts w:ascii="Cambria" w:hAnsi="Cambria"/>
          <w:sz w:val="16"/>
          <w:szCs w:val="16"/>
          <w:lang w:val="pt-BR"/>
        </w:rPr>
        <w:t xml:space="preserve"> No direito brasileiro, a sentença de pronúncia não analisa se o acusado é culpado ou inocente, mas apenas se há indícios suficientes de que o caso se refere a um crime doloso contra a vida a ser decidido, no mérito, pelo Tribunal do Júri.</w:t>
      </w:r>
    </w:p>
  </w:footnote>
  <w:footnote w:id="8">
    <w:p w14:paraId="2FD5DB1B" w14:textId="0AF5FA3E" w:rsidR="00480C9D" w:rsidRPr="005F50D3" w:rsidRDefault="00480C9D" w:rsidP="005F50D3">
      <w:pPr>
        <w:pStyle w:val="FootnoteText"/>
        <w:tabs>
          <w:tab w:val="left" w:pos="709"/>
        </w:tabs>
        <w:ind w:firstLine="709"/>
        <w:jc w:val="both"/>
        <w:rPr>
          <w:rFonts w:ascii="Cambria" w:hAnsi="Cambria"/>
          <w:sz w:val="16"/>
          <w:szCs w:val="16"/>
          <w:lang w:val="pt-BR"/>
        </w:rPr>
      </w:pPr>
      <w:r w:rsidRPr="005F50D3">
        <w:rPr>
          <w:rStyle w:val="FootnoteReference"/>
          <w:rFonts w:ascii="Cambria" w:hAnsi="Cambria"/>
          <w:sz w:val="16"/>
          <w:szCs w:val="16"/>
        </w:rPr>
        <w:footnoteRef/>
      </w:r>
      <w:r w:rsidRPr="005F50D3">
        <w:rPr>
          <w:rFonts w:ascii="Cambria" w:hAnsi="Cambria"/>
          <w:sz w:val="16"/>
          <w:szCs w:val="16"/>
          <w:lang w:val="pt-BR"/>
        </w:rPr>
        <w:t xml:space="preserve"> No direito brasileiro, o dolo eventual é uma das formas de manifestação do dolo, que é a vontade consciente de realizar uma conduta delituosa. No dolo eventual, o agente não tem a intenção direta de produzir o resultado típico, mas assume o risco de produzi-lo. A principal característica do dolo eventual é que o agente prevê o resultado como possível e, mesmo assim, decide prosseguir com sua conduta, aceitando o risco de que o resultado ocorra. Esse entendimento diferencia o dolo eventual da culpa consciente. Na culpa consciente, o agente também prevê o resultado como possível, mas age com a expectativa de que este não ocorra, confiando na sua habilidade para evitar o resultado.</w:t>
      </w:r>
    </w:p>
  </w:footnote>
  <w:footnote w:id="9">
    <w:p w14:paraId="71DBA7BA" w14:textId="7D574A4C" w:rsidR="00480C9D" w:rsidRPr="005F50D3" w:rsidRDefault="00480C9D" w:rsidP="005F50D3">
      <w:pPr>
        <w:pStyle w:val="FootnoteText"/>
        <w:tabs>
          <w:tab w:val="left" w:pos="709"/>
        </w:tabs>
        <w:ind w:firstLine="709"/>
        <w:jc w:val="both"/>
        <w:rPr>
          <w:rFonts w:ascii="Cambria" w:hAnsi="Cambria"/>
          <w:sz w:val="16"/>
          <w:szCs w:val="16"/>
          <w:lang w:val="pt-BR"/>
        </w:rPr>
      </w:pPr>
      <w:r w:rsidRPr="005F50D3">
        <w:rPr>
          <w:rStyle w:val="FootnoteReference"/>
          <w:rFonts w:ascii="Cambria" w:hAnsi="Cambria"/>
          <w:sz w:val="16"/>
          <w:szCs w:val="16"/>
        </w:rPr>
        <w:footnoteRef/>
      </w:r>
      <w:r w:rsidRPr="005F50D3">
        <w:rPr>
          <w:rFonts w:ascii="Cambria" w:hAnsi="Cambria"/>
          <w:sz w:val="16"/>
          <w:szCs w:val="16"/>
          <w:lang w:val="pt-BR"/>
        </w:rPr>
        <w:t xml:space="preserve"> No direito brasileiro, as qualificadoras são circunstâncias que, quando presentes em determinados crimes, aumentam a gravidade do delito e, consequentemente, a pena base a ser aplicada ao réu. </w:t>
      </w:r>
    </w:p>
  </w:footnote>
  <w:footnote w:id="10">
    <w:p w14:paraId="79693C08" w14:textId="3F60871C" w:rsidR="003A5976" w:rsidRPr="005F50D3" w:rsidRDefault="003A5976"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“Os Conselhos Profissionais, enquanto autarquias corporativas criadas por lei com outorga para o exercício de atividade típica do Estado, tem maior grau de autonomia administrativa e financeira, constituindo espécie sui generis de pessoa jurídica de direito público não estatal”.</w:t>
      </w:r>
      <w:r w:rsidR="008A0D14" w:rsidRPr="005F50D3">
        <w:rPr>
          <w:rFonts w:ascii="Cambria" w:hAnsi="Cambria"/>
          <w:noProof/>
          <w:sz w:val="16"/>
          <w:szCs w:val="16"/>
          <w:lang w:val="pt-BR"/>
        </w:rPr>
        <w:t xml:space="preserve"> Supremo Tribunal Federal, </w:t>
      </w:r>
      <w:hyperlink r:id="rId1" w:history="1">
        <w:r w:rsidR="008A0D14" w:rsidRPr="005F50D3">
          <w:rPr>
            <w:rStyle w:val="Hyperlink"/>
            <w:rFonts w:ascii="Cambria" w:hAnsi="Cambria"/>
            <w:noProof/>
            <w:sz w:val="16"/>
            <w:szCs w:val="16"/>
            <w:u w:val="none"/>
            <w:lang w:val="pt-BR"/>
          </w:rPr>
          <w:t>ADC 36</w:t>
        </w:r>
      </w:hyperlink>
      <w:r w:rsidR="008A0D14" w:rsidRPr="005F50D3">
        <w:rPr>
          <w:rFonts w:ascii="Cambria" w:hAnsi="Cambria"/>
          <w:noProof/>
          <w:sz w:val="16"/>
          <w:szCs w:val="16"/>
          <w:lang w:val="pt-BR"/>
        </w:rPr>
        <w:t>, rel. min. Cármen Lúcia, j. 8-9-2020, P,</w:t>
      </w:r>
      <w:r w:rsidR="008A0D14" w:rsidRPr="005F50D3">
        <w:rPr>
          <w:rFonts w:ascii="Cambria" w:hAnsi="Cambria"/>
          <w:i/>
          <w:iCs/>
          <w:noProof/>
          <w:sz w:val="16"/>
          <w:szCs w:val="16"/>
          <w:lang w:val="pt-BR"/>
        </w:rPr>
        <w:t> DJE</w:t>
      </w:r>
      <w:r w:rsidR="008A0D14" w:rsidRPr="005F50D3">
        <w:rPr>
          <w:rFonts w:ascii="Cambria" w:hAnsi="Cambria"/>
          <w:noProof/>
          <w:sz w:val="16"/>
          <w:szCs w:val="16"/>
          <w:lang w:val="pt-BR"/>
        </w:rPr>
        <w:t> de 16-11-2020.</w:t>
      </w:r>
    </w:p>
  </w:footnote>
  <w:footnote w:id="11">
    <w:p w14:paraId="50F534DB" w14:textId="50FC32C7" w:rsidR="008A0D14" w:rsidRPr="005F50D3" w:rsidRDefault="008A0D14"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w:t>
      </w:r>
      <w:r w:rsidR="000331DB" w:rsidRPr="005F50D3">
        <w:rPr>
          <w:rFonts w:ascii="Cambria" w:hAnsi="Cambria"/>
          <w:noProof/>
          <w:sz w:val="16"/>
          <w:szCs w:val="16"/>
          <w:lang w:val="pt-BR"/>
        </w:rPr>
        <w:t xml:space="preserve">Supremo Tribunal Federal, </w:t>
      </w:r>
      <w:hyperlink r:id="rId2" w:history="1">
        <w:r w:rsidR="000331DB" w:rsidRPr="005F50D3">
          <w:rPr>
            <w:rStyle w:val="Hyperlink"/>
            <w:rFonts w:ascii="Cambria" w:hAnsi="Cambria"/>
            <w:noProof/>
            <w:sz w:val="16"/>
            <w:szCs w:val="16"/>
            <w:u w:val="none"/>
            <w:lang w:val="pt-BR"/>
          </w:rPr>
          <w:t>ADC 36</w:t>
        </w:r>
      </w:hyperlink>
      <w:r w:rsidR="000331DB" w:rsidRPr="005F50D3">
        <w:rPr>
          <w:rFonts w:ascii="Cambria" w:hAnsi="Cambria"/>
          <w:noProof/>
          <w:sz w:val="16"/>
          <w:szCs w:val="16"/>
          <w:lang w:val="pt-BR"/>
        </w:rPr>
        <w:t>, rel. min. Cármen Lúcia, j. 8-9-2020, P,</w:t>
      </w:r>
      <w:r w:rsidR="000331DB" w:rsidRPr="005F50D3">
        <w:rPr>
          <w:rFonts w:ascii="Cambria" w:hAnsi="Cambria"/>
          <w:i/>
          <w:iCs/>
          <w:noProof/>
          <w:sz w:val="16"/>
          <w:szCs w:val="16"/>
          <w:lang w:val="pt-BR"/>
        </w:rPr>
        <w:t> DJE</w:t>
      </w:r>
      <w:r w:rsidR="000331DB" w:rsidRPr="005F50D3">
        <w:rPr>
          <w:rFonts w:ascii="Cambria" w:hAnsi="Cambria"/>
          <w:noProof/>
          <w:sz w:val="16"/>
          <w:szCs w:val="16"/>
          <w:lang w:val="pt-BR"/>
        </w:rPr>
        <w:t> de 16-11-2020.</w:t>
      </w:r>
    </w:p>
  </w:footnote>
  <w:footnote w:id="12">
    <w:p w14:paraId="4E2E66E2" w14:textId="62DFD4F8" w:rsidR="000331DB" w:rsidRPr="005F50D3" w:rsidRDefault="000331DB"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w:t>
      </w:r>
      <w:r w:rsidR="00B412EA" w:rsidRPr="005F50D3">
        <w:rPr>
          <w:rFonts w:ascii="Cambria" w:hAnsi="Cambria"/>
          <w:noProof/>
          <w:sz w:val="16"/>
          <w:szCs w:val="16"/>
          <w:lang w:val="pt-BR"/>
        </w:rPr>
        <w:t xml:space="preserve">Ver também, </w:t>
      </w:r>
      <w:r w:rsidR="00B412EA" w:rsidRPr="005F50D3">
        <w:rPr>
          <w:rFonts w:ascii="Cambria" w:hAnsi="Cambria"/>
          <w:i/>
          <w:iCs/>
          <w:noProof/>
          <w:sz w:val="16"/>
          <w:szCs w:val="16"/>
          <w:lang w:val="pt-BR"/>
        </w:rPr>
        <w:t>v.g.</w:t>
      </w:r>
      <w:r w:rsidR="00B412EA" w:rsidRPr="005F50D3">
        <w:rPr>
          <w:rFonts w:ascii="Cambria" w:hAnsi="Cambria"/>
          <w:noProof/>
          <w:sz w:val="16"/>
          <w:szCs w:val="16"/>
          <w:lang w:val="pt-BR"/>
        </w:rPr>
        <w:t>, CIDH. Relatório No. 26/08. Petição 270-02. Admissibilidade. César Alberto Mendoza e outros. Argentina. 14 de março de 2008, par. 1, 66 (admitindo a possibilidade de uma servidora pública, a Defensora Geral da Nação, atuar como peticionária numa demanda à CIDH contra o Estado).</w:t>
      </w:r>
    </w:p>
  </w:footnote>
  <w:footnote w:id="13">
    <w:p w14:paraId="30D192D6" w14:textId="77777777" w:rsidR="0091273D" w:rsidRPr="005F50D3" w:rsidRDefault="0091273D"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CIDH, Relatório No. 79/23. Petição 1388-14. Admissibilidade. Márcio José Sabino Pereira e familiares. Brasil. 7 de junho de 2023, parágrafo 11; CIDH, Relatório No. 155/21. </w:t>
      </w:r>
      <w:r w:rsidRPr="005F50D3">
        <w:rPr>
          <w:rFonts w:ascii="Cambria" w:hAnsi="Cambria"/>
          <w:sz w:val="16"/>
          <w:szCs w:val="16"/>
          <w:lang w:val="pt-BR"/>
        </w:rPr>
        <w:t>Petição</w:t>
      </w:r>
      <w:r w:rsidRPr="005F50D3">
        <w:rPr>
          <w:rFonts w:ascii="Cambria" w:hAnsi="Cambria"/>
          <w:noProof/>
          <w:sz w:val="16"/>
          <w:szCs w:val="16"/>
          <w:lang w:val="pt-BR"/>
        </w:rPr>
        <w:t xml:space="preserve"> 151-15. Admissibilidade. Marcos Rebello Filho e Outros. Brasil. 28 de julho de 2021, parágrafo 25; </w:t>
      </w:r>
      <w:r w:rsidRPr="005F50D3">
        <w:rPr>
          <w:rFonts w:ascii="Cambria" w:hAnsi="Cambria"/>
          <w:sz w:val="16"/>
          <w:szCs w:val="16"/>
          <w:lang w:val="pt-BR"/>
        </w:rPr>
        <w:t>CIDH, Relatório No. 226/20. Petição 32-07. Admissibilidade. Márcio Antônio Maia de Souza e familiares. Brasil. 6 de setembro de 2020, parágrafo 8.</w:t>
      </w:r>
    </w:p>
  </w:footnote>
  <w:footnote w:id="14">
    <w:p w14:paraId="6D60DCAB" w14:textId="77777777" w:rsidR="00107FC0" w:rsidRPr="005F50D3" w:rsidRDefault="00107FC0" w:rsidP="00107FC0">
      <w:pPr>
        <w:pStyle w:val="FootnoteText"/>
        <w:ind w:firstLine="720"/>
        <w:jc w:val="both"/>
        <w:rPr>
          <w:rFonts w:ascii="Cambria" w:hAnsi="Cambria"/>
          <w:sz w:val="16"/>
          <w:szCs w:val="16"/>
          <w:lang w:val="pt-BR"/>
        </w:rPr>
      </w:pPr>
      <w:r w:rsidRPr="005F50D3">
        <w:rPr>
          <w:rStyle w:val="FootnoteReference"/>
          <w:rFonts w:ascii="Cambria" w:hAnsi="Cambria"/>
          <w:sz w:val="16"/>
          <w:szCs w:val="16"/>
        </w:rPr>
        <w:footnoteRef/>
      </w:r>
      <w:r w:rsidRPr="005F50D3">
        <w:rPr>
          <w:rFonts w:ascii="Cambria" w:hAnsi="Cambria"/>
          <w:sz w:val="16"/>
          <w:szCs w:val="16"/>
          <w:lang w:val="pt-BR"/>
        </w:rPr>
        <w:t xml:space="preserve"> CIDH, Relatório No. 14/08, Petição 652-04. Admissibilidade. </w:t>
      </w:r>
      <w:r w:rsidRPr="00107FC0">
        <w:rPr>
          <w:rFonts w:ascii="Cambria" w:hAnsi="Cambria"/>
          <w:sz w:val="16"/>
          <w:szCs w:val="16"/>
          <w:lang w:val="pt-BR"/>
        </w:rPr>
        <w:t xml:space="preserve">Hugo Humberto Ruíz Fuentes. </w:t>
      </w:r>
      <w:r w:rsidRPr="005F50D3">
        <w:rPr>
          <w:rFonts w:ascii="Cambria" w:hAnsi="Cambria"/>
          <w:sz w:val="16"/>
          <w:szCs w:val="16"/>
          <w:lang w:val="pt-BR"/>
        </w:rPr>
        <w:t xml:space="preserve">Guatemala. 5 de março de 2008, par. 68. </w:t>
      </w:r>
    </w:p>
  </w:footnote>
  <w:footnote w:id="15">
    <w:p w14:paraId="37FE8774" w14:textId="77777777" w:rsidR="00107FC0" w:rsidRPr="005F50D3" w:rsidRDefault="00107FC0" w:rsidP="00107FC0">
      <w:pPr>
        <w:pStyle w:val="FootnoteText"/>
        <w:ind w:firstLine="720"/>
        <w:jc w:val="both"/>
        <w:rPr>
          <w:rFonts w:ascii="Cambria" w:hAnsi="Cambria"/>
          <w:sz w:val="16"/>
          <w:szCs w:val="16"/>
          <w:lang w:val="pt-BR"/>
        </w:rPr>
      </w:pPr>
      <w:r w:rsidRPr="005F50D3">
        <w:rPr>
          <w:rStyle w:val="FootnoteReference"/>
          <w:rFonts w:ascii="Cambria" w:hAnsi="Cambria"/>
          <w:sz w:val="16"/>
          <w:szCs w:val="16"/>
        </w:rPr>
        <w:footnoteRef/>
      </w:r>
      <w:r w:rsidRPr="005F50D3">
        <w:rPr>
          <w:rFonts w:ascii="Cambria" w:hAnsi="Cambria"/>
          <w:sz w:val="16"/>
          <w:szCs w:val="16"/>
          <w:lang w:val="pt-BR"/>
        </w:rPr>
        <w:t xml:space="preserve"> CIDH, Relatório No. 14/08, Petição 652-04. Admissibilidade. Hugo Humberto Ruíz Fuentes. Guatemala. 5 de março de 2008, par. 68.</w:t>
      </w:r>
    </w:p>
  </w:footnote>
  <w:footnote w:id="16">
    <w:p w14:paraId="0D499975" w14:textId="77777777" w:rsidR="0091273D" w:rsidRPr="005F50D3" w:rsidRDefault="0091273D"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Ver, </w:t>
      </w:r>
      <w:r w:rsidRPr="005F50D3">
        <w:rPr>
          <w:rFonts w:ascii="Cambria" w:hAnsi="Cambria"/>
          <w:i/>
          <w:iCs/>
          <w:noProof/>
          <w:sz w:val="16"/>
          <w:szCs w:val="16"/>
          <w:lang w:val="pt-BR"/>
        </w:rPr>
        <w:t>e.g.</w:t>
      </w:r>
      <w:r w:rsidRPr="005F50D3">
        <w:rPr>
          <w:rFonts w:ascii="Cambria" w:hAnsi="Cambria"/>
          <w:noProof/>
          <w:sz w:val="16"/>
          <w:szCs w:val="16"/>
          <w:lang w:val="pt-BR"/>
        </w:rPr>
        <w:t>, CIDH, Relatório No. 50/08, Petição 298-07. Admissibilidade. Néstor José Uzcátegui e outros. Venezuela. 24 de julho de 2008, parágrafo 42.</w:t>
      </w:r>
    </w:p>
  </w:footnote>
  <w:footnote w:id="17">
    <w:p w14:paraId="2D3B2A0F" w14:textId="77777777" w:rsidR="0091273D" w:rsidRPr="005F50D3" w:rsidRDefault="0091273D"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w:t>
      </w:r>
      <w:r w:rsidRPr="005F50D3">
        <w:rPr>
          <w:rFonts w:ascii="Cambria" w:hAnsi="Cambria"/>
          <w:sz w:val="16"/>
          <w:szCs w:val="16"/>
          <w:lang w:val="pt-BR"/>
        </w:rPr>
        <w:t>CIDH. Relatório No. 25/18, Caso 12.428. Admissibilidade e Mérito. Empregados da Fábrica de Fogos de Santo Antônio de Jesus e seus familiares. 2 de março de 2018, par. 6, 8, 33, 91.</w:t>
      </w:r>
    </w:p>
  </w:footnote>
  <w:footnote w:id="18">
    <w:p w14:paraId="209DA200" w14:textId="77777777" w:rsidR="0091273D" w:rsidRPr="005F50D3" w:rsidRDefault="0091273D"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w:t>
      </w:r>
      <w:r w:rsidRPr="005F50D3">
        <w:rPr>
          <w:rFonts w:ascii="Cambria" w:hAnsi="Cambria"/>
          <w:sz w:val="16"/>
          <w:szCs w:val="16"/>
          <w:lang w:val="pt-BR"/>
        </w:rPr>
        <w:t>CIDH. Relatório No. 25/18, Caso 12.428. Admissibilidade e Mérito. Empregados da Fábrica de Fogos de Santo Antônio de Jesus e seus familiares. 2 de março de 2018, par. 95.</w:t>
      </w:r>
    </w:p>
  </w:footnote>
  <w:footnote w:id="19">
    <w:p w14:paraId="288EF3C3" w14:textId="0455F771" w:rsidR="0091273D" w:rsidRPr="005F50D3" w:rsidRDefault="0091273D"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w:t>
      </w:r>
      <w:r w:rsidRPr="005F50D3">
        <w:rPr>
          <w:rFonts w:ascii="Cambria" w:hAnsi="Cambria"/>
          <w:sz w:val="16"/>
          <w:szCs w:val="16"/>
          <w:lang w:val="pt-BR"/>
        </w:rPr>
        <w:t>CIDH. Relatório No. 25/18, Caso 12.428. Admissibilidade e Mérito. Empregados da Fábrica de Fogos de Santo Antônio de Jesus e seus familiares. 2 de março de 2018, par. 101.</w:t>
      </w:r>
      <w:r w:rsidR="00E3445B" w:rsidRPr="005F50D3">
        <w:rPr>
          <w:rFonts w:ascii="Cambria" w:hAnsi="Cambria"/>
          <w:sz w:val="16"/>
          <w:szCs w:val="16"/>
          <w:lang w:val="pt-BR"/>
        </w:rPr>
        <w:t xml:space="preserve"> Similarmente: Tribunal Europeu de Direitos Humanos. Caso de Öneryildiz Vs. Turquia. Petição No. 48939/99. Estrasburgo, Sentença de 30 de novembro de 2004, par. 89-91 (“</w:t>
      </w:r>
      <w:r w:rsidR="00E3445B" w:rsidRPr="005F50D3">
        <w:rPr>
          <w:rFonts w:ascii="Cambria" w:hAnsi="Cambria"/>
          <w:i/>
          <w:iCs/>
          <w:sz w:val="16"/>
          <w:szCs w:val="16"/>
          <w:lang w:val="pt-BR"/>
        </w:rPr>
        <w:t>a obrigação positiva de adotar todas as medidas apropriadas para salvaguardar a vida […] implica sobretudo o dever primordial do Estado de estabelecer uma estrutura legislativa e administrativa concebida para proporcionar uma dissuasão efetiva das ameaças ao direito à vida. Essa obrigação se aplica indiscutivelmente ao contexto específico das atividades de risco, onde, além disso, deve-se insistir especialmente em normas adaptadas às características especiais da atividade em questão, em especial no que diz respeito ao nível de risco potencial para as vidas humanas. Devem regulamentar a concessão de licenças, o estabelecimento, o funcionamento, a segurança e a supervisão da atividade, e devem obrigar todos os interessados a adotar medidas práticas para garantir a proteção efetiva dos cidadãos cujas vidas possam se ver ameaçadas pelos riscos inerentes. As obrigações decorrentes do [direito à vida] não terminam aí. Quando vidas foram perdidas em circunstâncias que potencialmente comprometem a responsabilidade do Estado, essa disposição implica o dever do Estado de garantir, por todos os meios a sua disposição, uma resposta adequada (judicial ou de outro tipo) para que a estrutura legislativa e administrativa estabelecida para proteger o direito à vida seja adequadamente implementada, e qualquer violação desse direito seja reprimida e punida</w:t>
      </w:r>
      <w:r w:rsidR="00E3445B" w:rsidRPr="005F50D3">
        <w:rPr>
          <w:rFonts w:ascii="Cambria" w:hAnsi="Cambria"/>
          <w:sz w:val="16"/>
          <w:szCs w:val="16"/>
          <w:lang w:val="pt-BR"/>
        </w:rPr>
        <w:t>”).</w:t>
      </w:r>
    </w:p>
  </w:footnote>
  <w:footnote w:id="20">
    <w:p w14:paraId="1B60800E" w14:textId="44E3F5B1" w:rsidR="00C31873" w:rsidRPr="005F50D3" w:rsidRDefault="00C31873"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w:t>
      </w:r>
      <w:r w:rsidRPr="005F50D3">
        <w:rPr>
          <w:rFonts w:ascii="Cambria" w:hAnsi="Cambria"/>
          <w:sz w:val="16"/>
          <w:szCs w:val="16"/>
          <w:lang w:val="pt-BR"/>
        </w:rPr>
        <w:t>Corte Interamericana de Direitos Humanos. Caso dos Buzos Miskitos (Lemoth Morris e outros) Vs. Honduras. Sentença de 31 de agosto de 2021, par. 43.</w:t>
      </w:r>
    </w:p>
  </w:footnote>
  <w:footnote w:id="21">
    <w:p w14:paraId="1A44C79E" w14:textId="686578C1" w:rsidR="00C31873" w:rsidRPr="005F50D3" w:rsidRDefault="00C31873"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w:t>
      </w:r>
      <w:r w:rsidRPr="005F50D3">
        <w:rPr>
          <w:rFonts w:ascii="Cambria" w:hAnsi="Cambria"/>
          <w:sz w:val="16"/>
          <w:szCs w:val="16"/>
          <w:lang w:val="pt-BR"/>
        </w:rPr>
        <w:t>Corte Interamericana de Direitos Humanos. Caso dos Buzos Miskitos (Lemoth Morris e outros) Vs. Honduras. Sentença de 31 de agosto de 2021, par. 54-55.</w:t>
      </w:r>
    </w:p>
  </w:footnote>
  <w:footnote w:id="22">
    <w:p w14:paraId="296B6D54" w14:textId="2D0D34D2" w:rsidR="000517EC" w:rsidRPr="005F50D3" w:rsidRDefault="000517EC" w:rsidP="005F50D3">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pt-BR"/>
        </w:rPr>
      </w:pPr>
      <w:r w:rsidRPr="005F50D3">
        <w:rPr>
          <w:rStyle w:val="FootnoteReference"/>
          <w:rFonts w:ascii="Cambria" w:hAnsi="Cambria"/>
          <w:noProof/>
          <w:sz w:val="16"/>
          <w:szCs w:val="16"/>
          <w:lang w:val="pt-BR"/>
        </w:rPr>
        <w:footnoteRef/>
      </w:r>
      <w:r w:rsidRPr="005F50D3">
        <w:rPr>
          <w:rFonts w:ascii="Cambria" w:hAnsi="Cambria"/>
          <w:noProof/>
          <w:sz w:val="16"/>
          <w:szCs w:val="16"/>
          <w:lang w:val="pt-BR"/>
        </w:rPr>
        <w:t xml:space="preserve"> </w:t>
      </w:r>
      <w:r w:rsidRPr="005F50D3">
        <w:rPr>
          <w:rFonts w:ascii="Cambria" w:hAnsi="Cambria"/>
          <w:sz w:val="16"/>
          <w:szCs w:val="16"/>
          <w:lang w:val="pt-BR"/>
        </w:rPr>
        <w:t xml:space="preserve">CIDH, Relatório nº 277/23. Petição 6-15. Admissibilidade. Júlio César dos Santos e outros. Brasil. 31 de outubro de 2023 (caso igualmente relativo a um incêndio ocorrido numa casa noturna e iniciado por artefatos pirotécnicos); CIDH, Relatório No. 42/19. Admissibilidade. Petição 467-10. Maritza Elizabeth Gutierrez Cortez e outros (Tragédia “Mesa Redonda”). Peru. 24 de abril de 2019 (caso sobre um incêndio na área comercial de um bairro humilde iniciado por artefatos pirotécnicos que resultou em centenas de mortos e feridos). </w:t>
      </w:r>
    </w:p>
  </w:footnote>
  <w:footnote w:id="23">
    <w:p w14:paraId="300AF9BE" w14:textId="30A07796" w:rsidR="00FD41F3" w:rsidRPr="005F50D3" w:rsidRDefault="00FD41F3" w:rsidP="005F50D3">
      <w:pPr>
        <w:tabs>
          <w:tab w:val="left" w:pos="0"/>
          <w:tab w:val="left" w:pos="709"/>
        </w:tabs>
        <w:ind w:firstLine="709"/>
        <w:jc w:val="both"/>
        <w:rPr>
          <w:rFonts w:ascii="Cambria" w:hAnsi="Cambria"/>
          <w:sz w:val="16"/>
          <w:szCs w:val="16"/>
          <w:lang w:val="pt-BR"/>
        </w:rPr>
      </w:pPr>
      <w:r w:rsidRPr="005F50D3">
        <w:rPr>
          <w:rStyle w:val="FootnoteReference"/>
          <w:rFonts w:ascii="Cambria" w:hAnsi="Cambria"/>
          <w:sz w:val="16"/>
          <w:szCs w:val="16"/>
          <w:lang w:val="pt-BR"/>
        </w:rPr>
        <w:footnoteRef/>
      </w:r>
      <w:r w:rsidR="008A0D14" w:rsidRPr="005F50D3">
        <w:rPr>
          <w:rFonts w:ascii="Cambria" w:hAnsi="Cambria"/>
          <w:sz w:val="16"/>
          <w:szCs w:val="16"/>
          <w:lang w:val="pt-BR"/>
        </w:rPr>
        <w:t xml:space="preserve"> Similarmente</w:t>
      </w:r>
      <w:r w:rsidRPr="005F50D3">
        <w:rPr>
          <w:rFonts w:ascii="Cambria" w:hAnsi="Cambria"/>
          <w:sz w:val="16"/>
          <w:szCs w:val="16"/>
          <w:lang w:val="pt-BR"/>
        </w:rPr>
        <w:t xml:space="preserve">: CIDH, </w:t>
      </w:r>
      <w:hyperlink r:id="rId3" w:history="1">
        <w:r w:rsidRPr="005F50D3">
          <w:rPr>
            <w:rStyle w:val="Hyperlink"/>
            <w:rFonts w:ascii="Cambria" w:hAnsi="Cambria"/>
            <w:sz w:val="16"/>
            <w:szCs w:val="16"/>
            <w:u w:val="none"/>
            <w:lang w:val="pt-BR"/>
          </w:rPr>
          <w:t>Relatório No. 106/22. Petição 2179-12. Admissibilidade. Adalberto Araújo e outros. Brasil. 10 de maio de 2022</w:t>
        </w:r>
      </w:hyperlink>
      <w:r w:rsidRPr="005F50D3">
        <w:rPr>
          <w:rFonts w:ascii="Cambria" w:hAnsi="Cambria"/>
          <w:sz w:val="16"/>
          <w:szCs w:val="16"/>
          <w:lang w:val="pt-BR"/>
        </w:rPr>
        <w:t>, par.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2C86"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CDCD14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7B25" w14:textId="7EF5A52F" w:rsidR="002C1641" w:rsidRDefault="00B1473D" w:rsidP="002C1641">
    <w:pPr>
      <w:pStyle w:val="Header"/>
      <w:tabs>
        <w:tab w:val="clear" w:pos="4320"/>
        <w:tab w:val="clear" w:pos="8640"/>
      </w:tabs>
      <w:jc w:val="center"/>
      <w:rPr>
        <w:sz w:val="22"/>
        <w:szCs w:val="22"/>
      </w:rPr>
    </w:pPr>
    <w:r w:rsidRPr="004C502E">
      <w:rPr>
        <w:noProof/>
        <w:sz w:val="22"/>
        <w:szCs w:val="22"/>
      </w:rPr>
      <w:drawing>
        <wp:inline distT="0" distB="0" distL="0" distR="0" wp14:anchorId="3AA2F0A9" wp14:editId="7DCEBB55">
          <wp:extent cx="2546350" cy="127000"/>
          <wp:effectExtent l="0" t="0" r="0" b="0"/>
          <wp:docPr id="4" name="Picture 18"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0" cy="127000"/>
                  </a:xfrm>
                  <a:prstGeom prst="rect">
                    <a:avLst/>
                  </a:prstGeom>
                  <a:noFill/>
                  <a:ln>
                    <a:noFill/>
                  </a:ln>
                </pic:spPr>
              </pic:pic>
            </a:graphicData>
          </a:graphic>
        </wp:inline>
      </w:drawing>
    </w:r>
  </w:p>
  <w:p w14:paraId="6DDF23DD" w14:textId="77777777" w:rsidR="00040C3A" w:rsidRPr="00EC7D62" w:rsidRDefault="00684BD1" w:rsidP="002C1641">
    <w:pPr>
      <w:pStyle w:val="Header"/>
      <w:tabs>
        <w:tab w:val="clear" w:pos="4320"/>
        <w:tab w:val="clear" w:pos="8640"/>
      </w:tabs>
      <w:jc w:val="center"/>
      <w:rPr>
        <w:sz w:val="22"/>
        <w:szCs w:val="22"/>
      </w:rPr>
    </w:pPr>
    <w:r>
      <w:rPr>
        <w:noProof/>
        <w:sz w:val="22"/>
        <w:szCs w:val="22"/>
      </w:rPr>
      <w:pict w14:anchorId="32E5F2DE">
        <v:rect id="_x0000_i1025" style="width:425.2pt;height:.0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5859" w14:textId="77777777" w:rsidR="007C7B72" w:rsidRDefault="007C7B72" w:rsidP="007C7B72">
    <w:pPr>
      <w:pStyle w:val="Header"/>
      <w:tabs>
        <w:tab w:val="clear" w:pos="4320"/>
        <w:tab w:val="clear" w:pos="8640"/>
      </w:tabs>
      <w:jc w:val="center"/>
      <w:rPr>
        <w:sz w:val="22"/>
        <w:szCs w:val="22"/>
      </w:rPr>
    </w:pPr>
  </w:p>
  <w:p w14:paraId="7B2925EB" w14:textId="77777777" w:rsidR="007C7B72" w:rsidRDefault="007C7B72" w:rsidP="007C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DB30B9D"/>
    <w:multiLevelType w:val="hybridMultilevel"/>
    <w:tmpl w:val="832C8E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70118105">
    <w:abstractNumId w:val="3"/>
  </w:num>
  <w:num w:numId="2" w16cid:durableId="901211625">
    <w:abstractNumId w:val="4"/>
  </w:num>
  <w:num w:numId="3" w16cid:durableId="2102944312">
    <w:abstractNumId w:val="50"/>
  </w:num>
  <w:num w:numId="4" w16cid:durableId="1072393069">
    <w:abstractNumId w:val="19"/>
  </w:num>
  <w:num w:numId="5" w16cid:durableId="100884203">
    <w:abstractNumId w:val="43"/>
  </w:num>
  <w:num w:numId="6" w16cid:durableId="477116255">
    <w:abstractNumId w:val="24"/>
  </w:num>
  <w:num w:numId="7" w16cid:durableId="914700682">
    <w:abstractNumId w:val="5"/>
  </w:num>
  <w:num w:numId="8" w16cid:durableId="1316178583">
    <w:abstractNumId w:val="15"/>
  </w:num>
  <w:num w:numId="9" w16cid:durableId="1545018487">
    <w:abstractNumId w:val="34"/>
  </w:num>
  <w:num w:numId="10" w16cid:durableId="520896422">
    <w:abstractNumId w:val="39"/>
  </w:num>
  <w:num w:numId="11" w16cid:durableId="179006425">
    <w:abstractNumId w:val="0"/>
  </w:num>
  <w:num w:numId="12" w16cid:durableId="551884424">
    <w:abstractNumId w:val="33"/>
  </w:num>
  <w:num w:numId="13" w16cid:durableId="715084138">
    <w:abstractNumId w:val="40"/>
  </w:num>
  <w:num w:numId="14" w16cid:durableId="479730066">
    <w:abstractNumId w:val="1"/>
  </w:num>
  <w:num w:numId="15" w16cid:durableId="981932720">
    <w:abstractNumId w:val="2"/>
  </w:num>
  <w:num w:numId="16" w16cid:durableId="310597687">
    <w:abstractNumId w:val="6"/>
  </w:num>
  <w:num w:numId="17" w16cid:durableId="280964030">
    <w:abstractNumId w:val="7"/>
  </w:num>
  <w:num w:numId="18" w16cid:durableId="1439105474">
    <w:abstractNumId w:val="8"/>
  </w:num>
  <w:num w:numId="19" w16cid:durableId="696153779">
    <w:abstractNumId w:val="9"/>
  </w:num>
  <w:num w:numId="20" w16cid:durableId="228540703">
    <w:abstractNumId w:val="10"/>
  </w:num>
  <w:num w:numId="21" w16cid:durableId="302084731">
    <w:abstractNumId w:val="11"/>
  </w:num>
  <w:num w:numId="22" w16cid:durableId="456678915">
    <w:abstractNumId w:val="12"/>
  </w:num>
  <w:num w:numId="23" w16cid:durableId="1791438256">
    <w:abstractNumId w:val="13"/>
  </w:num>
  <w:num w:numId="24" w16cid:durableId="2011642724">
    <w:abstractNumId w:val="14"/>
  </w:num>
  <w:num w:numId="25" w16cid:durableId="653070498">
    <w:abstractNumId w:val="16"/>
  </w:num>
  <w:num w:numId="26" w16cid:durableId="1495728876">
    <w:abstractNumId w:val="17"/>
  </w:num>
  <w:num w:numId="27" w16cid:durableId="1444571717">
    <w:abstractNumId w:val="20"/>
  </w:num>
  <w:num w:numId="28" w16cid:durableId="714278395">
    <w:abstractNumId w:val="21"/>
  </w:num>
  <w:num w:numId="29" w16cid:durableId="720401904">
    <w:abstractNumId w:val="22"/>
  </w:num>
  <w:num w:numId="30" w16cid:durableId="1503007306">
    <w:abstractNumId w:val="23"/>
  </w:num>
  <w:num w:numId="31" w16cid:durableId="1488127332">
    <w:abstractNumId w:val="25"/>
  </w:num>
  <w:num w:numId="32" w16cid:durableId="1815248868">
    <w:abstractNumId w:val="26"/>
  </w:num>
  <w:num w:numId="33" w16cid:durableId="429591994">
    <w:abstractNumId w:val="27"/>
  </w:num>
  <w:num w:numId="34" w16cid:durableId="1159729442">
    <w:abstractNumId w:val="28"/>
  </w:num>
  <w:num w:numId="35" w16cid:durableId="53894216">
    <w:abstractNumId w:val="29"/>
  </w:num>
  <w:num w:numId="36" w16cid:durableId="1881164445">
    <w:abstractNumId w:val="30"/>
  </w:num>
  <w:num w:numId="37" w16cid:durableId="865287502">
    <w:abstractNumId w:val="31"/>
  </w:num>
  <w:num w:numId="38" w16cid:durableId="316569456">
    <w:abstractNumId w:val="32"/>
  </w:num>
  <w:num w:numId="39" w16cid:durableId="1676110705">
    <w:abstractNumId w:val="36"/>
  </w:num>
  <w:num w:numId="40" w16cid:durableId="236403995">
    <w:abstractNumId w:val="37"/>
  </w:num>
  <w:num w:numId="41" w16cid:durableId="1746805527">
    <w:abstractNumId w:val="42"/>
  </w:num>
  <w:num w:numId="42" w16cid:durableId="1389693587">
    <w:abstractNumId w:val="44"/>
  </w:num>
  <w:num w:numId="43" w16cid:durableId="1644693567">
    <w:abstractNumId w:val="46"/>
  </w:num>
  <w:num w:numId="44" w16cid:durableId="150678843">
    <w:abstractNumId w:val="48"/>
  </w:num>
  <w:num w:numId="45" w16cid:durableId="1566524394">
    <w:abstractNumId w:val="49"/>
  </w:num>
  <w:num w:numId="46" w16cid:durableId="575633855">
    <w:abstractNumId w:val="51"/>
  </w:num>
  <w:num w:numId="47" w16cid:durableId="1732731800">
    <w:abstractNumId w:val="52"/>
  </w:num>
  <w:num w:numId="48" w16cid:durableId="339428283">
    <w:abstractNumId w:val="53"/>
  </w:num>
  <w:num w:numId="49" w16cid:durableId="488861658">
    <w:abstractNumId w:val="55"/>
  </w:num>
  <w:num w:numId="50" w16cid:durableId="1039817848">
    <w:abstractNumId w:val="56"/>
  </w:num>
  <w:num w:numId="51" w16cid:durableId="812020117">
    <w:abstractNumId w:val="18"/>
  </w:num>
  <w:num w:numId="52" w16cid:durableId="1112556998">
    <w:abstractNumId w:val="38"/>
  </w:num>
  <w:num w:numId="53" w16cid:durableId="1890261437">
    <w:abstractNumId w:val="47"/>
  </w:num>
  <w:num w:numId="54" w16cid:durableId="1639845477">
    <w:abstractNumId w:val="41"/>
  </w:num>
  <w:num w:numId="55" w16cid:durableId="712118492">
    <w:abstractNumId w:val="54"/>
  </w:num>
  <w:num w:numId="56" w16cid:durableId="2086604476">
    <w:abstractNumId w:val="45"/>
  </w:num>
  <w:num w:numId="57" w16cid:durableId="88624955">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CA"/>
    <w:rsid w:val="00006D9B"/>
    <w:rsid w:val="000070D7"/>
    <w:rsid w:val="00013992"/>
    <w:rsid w:val="0001788C"/>
    <w:rsid w:val="00022A94"/>
    <w:rsid w:val="000331DB"/>
    <w:rsid w:val="00040C3A"/>
    <w:rsid w:val="0004673C"/>
    <w:rsid w:val="000517EC"/>
    <w:rsid w:val="00051A9A"/>
    <w:rsid w:val="00061F38"/>
    <w:rsid w:val="000639C0"/>
    <w:rsid w:val="00067E6E"/>
    <w:rsid w:val="00070F3A"/>
    <w:rsid w:val="000716C5"/>
    <w:rsid w:val="00074ED0"/>
    <w:rsid w:val="00075E23"/>
    <w:rsid w:val="00092F32"/>
    <w:rsid w:val="0009344A"/>
    <w:rsid w:val="000A575F"/>
    <w:rsid w:val="000B6F4D"/>
    <w:rsid w:val="000C67FA"/>
    <w:rsid w:val="000D10DB"/>
    <w:rsid w:val="000D65E2"/>
    <w:rsid w:val="000E0AE5"/>
    <w:rsid w:val="000E1B72"/>
    <w:rsid w:val="000E606B"/>
    <w:rsid w:val="000F2826"/>
    <w:rsid w:val="000F3533"/>
    <w:rsid w:val="000F38DA"/>
    <w:rsid w:val="00100B5A"/>
    <w:rsid w:val="0010403C"/>
    <w:rsid w:val="001053C0"/>
    <w:rsid w:val="00106093"/>
    <w:rsid w:val="001070AA"/>
    <w:rsid w:val="00107FC0"/>
    <w:rsid w:val="00114618"/>
    <w:rsid w:val="0011766A"/>
    <w:rsid w:val="00127FF5"/>
    <w:rsid w:val="00143BBD"/>
    <w:rsid w:val="001512EA"/>
    <w:rsid w:val="001602C5"/>
    <w:rsid w:val="00167A34"/>
    <w:rsid w:val="00174CC3"/>
    <w:rsid w:val="001923AA"/>
    <w:rsid w:val="001A4758"/>
    <w:rsid w:val="001A64CA"/>
    <w:rsid w:val="001A7870"/>
    <w:rsid w:val="001B0E93"/>
    <w:rsid w:val="001C0B3E"/>
    <w:rsid w:val="001C1B41"/>
    <w:rsid w:val="00205801"/>
    <w:rsid w:val="00206F45"/>
    <w:rsid w:val="00212DB5"/>
    <w:rsid w:val="00213F82"/>
    <w:rsid w:val="0022271E"/>
    <w:rsid w:val="0022673C"/>
    <w:rsid w:val="002269A1"/>
    <w:rsid w:val="002270D2"/>
    <w:rsid w:val="00232C9A"/>
    <w:rsid w:val="00236143"/>
    <w:rsid w:val="00243EB7"/>
    <w:rsid w:val="00247403"/>
    <w:rsid w:val="00247542"/>
    <w:rsid w:val="00257893"/>
    <w:rsid w:val="00265AC3"/>
    <w:rsid w:val="00265E10"/>
    <w:rsid w:val="00266B61"/>
    <w:rsid w:val="0026712A"/>
    <w:rsid w:val="002704DB"/>
    <w:rsid w:val="002758AB"/>
    <w:rsid w:val="00280CD3"/>
    <w:rsid w:val="0028480C"/>
    <w:rsid w:val="0029072E"/>
    <w:rsid w:val="002A18FB"/>
    <w:rsid w:val="002B6254"/>
    <w:rsid w:val="002C1641"/>
    <w:rsid w:val="002C2F8A"/>
    <w:rsid w:val="002D2F70"/>
    <w:rsid w:val="002D3327"/>
    <w:rsid w:val="002D7EA2"/>
    <w:rsid w:val="002E15DF"/>
    <w:rsid w:val="002E187C"/>
    <w:rsid w:val="002E6E21"/>
    <w:rsid w:val="002E6E57"/>
    <w:rsid w:val="002F3BC3"/>
    <w:rsid w:val="00301075"/>
    <w:rsid w:val="00302733"/>
    <w:rsid w:val="00307070"/>
    <w:rsid w:val="003107F4"/>
    <w:rsid w:val="00311130"/>
    <w:rsid w:val="00311A4F"/>
    <w:rsid w:val="00314078"/>
    <w:rsid w:val="00322450"/>
    <w:rsid w:val="003237F0"/>
    <w:rsid w:val="0033169F"/>
    <w:rsid w:val="00341934"/>
    <w:rsid w:val="00356185"/>
    <w:rsid w:val="003570D1"/>
    <w:rsid w:val="00360380"/>
    <w:rsid w:val="00363CAE"/>
    <w:rsid w:val="003641EC"/>
    <w:rsid w:val="0037144F"/>
    <w:rsid w:val="003722EE"/>
    <w:rsid w:val="00377E63"/>
    <w:rsid w:val="0038029B"/>
    <w:rsid w:val="00386CF0"/>
    <w:rsid w:val="003976B6"/>
    <w:rsid w:val="003A5976"/>
    <w:rsid w:val="003A5B1B"/>
    <w:rsid w:val="003A6728"/>
    <w:rsid w:val="003C0DD6"/>
    <w:rsid w:val="003D2A0D"/>
    <w:rsid w:val="003D2A89"/>
    <w:rsid w:val="003D3A6B"/>
    <w:rsid w:val="003D70D4"/>
    <w:rsid w:val="003E7BB7"/>
    <w:rsid w:val="003F038D"/>
    <w:rsid w:val="003F142B"/>
    <w:rsid w:val="003F1BBF"/>
    <w:rsid w:val="00403040"/>
    <w:rsid w:val="00407CE3"/>
    <w:rsid w:val="00412D8D"/>
    <w:rsid w:val="004165C2"/>
    <w:rsid w:val="00416AB8"/>
    <w:rsid w:val="00425F34"/>
    <w:rsid w:val="004509E9"/>
    <w:rsid w:val="00450A4A"/>
    <w:rsid w:val="00461F79"/>
    <w:rsid w:val="004666FB"/>
    <w:rsid w:val="00467B7E"/>
    <w:rsid w:val="00480C9D"/>
    <w:rsid w:val="00483944"/>
    <w:rsid w:val="00483F9E"/>
    <w:rsid w:val="00487AE4"/>
    <w:rsid w:val="0049419D"/>
    <w:rsid w:val="004A0C6F"/>
    <w:rsid w:val="004A0E77"/>
    <w:rsid w:val="004B7EB6"/>
    <w:rsid w:val="004C0ED2"/>
    <w:rsid w:val="004C3FDC"/>
    <w:rsid w:val="004C4B5F"/>
    <w:rsid w:val="004C4B62"/>
    <w:rsid w:val="004C502E"/>
    <w:rsid w:val="004D5FAD"/>
    <w:rsid w:val="004D6025"/>
    <w:rsid w:val="004F6AF4"/>
    <w:rsid w:val="00501399"/>
    <w:rsid w:val="00502D64"/>
    <w:rsid w:val="00507BC4"/>
    <w:rsid w:val="005128E4"/>
    <w:rsid w:val="005159E9"/>
    <w:rsid w:val="00523EB1"/>
    <w:rsid w:val="00525560"/>
    <w:rsid w:val="00536194"/>
    <w:rsid w:val="00544C49"/>
    <w:rsid w:val="005471B7"/>
    <w:rsid w:val="00556ADF"/>
    <w:rsid w:val="00560A04"/>
    <w:rsid w:val="00564EE4"/>
    <w:rsid w:val="00565D27"/>
    <w:rsid w:val="0057402A"/>
    <w:rsid w:val="005771D0"/>
    <w:rsid w:val="005815A7"/>
    <w:rsid w:val="005901A1"/>
    <w:rsid w:val="0059191A"/>
    <w:rsid w:val="005921FF"/>
    <w:rsid w:val="00593F78"/>
    <w:rsid w:val="005A6D0E"/>
    <w:rsid w:val="005B3D00"/>
    <w:rsid w:val="005B52B0"/>
    <w:rsid w:val="005B6806"/>
    <w:rsid w:val="005C1F5C"/>
    <w:rsid w:val="005C4225"/>
    <w:rsid w:val="005D2D56"/>
    <w:rsid w:val="005F0F33"/>
    <w:rsid w:val="005F50D3"/>
    <w:rsid w:val="00600DEB"/>
    <w:rsid w:val="00601B7D"/>
    <w:rsid w:val="00605B57"/>
    <w:rsid w:val="00613027"/>
    <w:rsid w:val="006139C6"/>
    <w:rsid w:val="00626D2E"/>
    <w:rsid w:val="00627C9F"/>
    <w:rsid w:val="006311E9"/>
    <w:rsid w:val="00632354"/>
    <w:rsid w:val="00641CF6"/>
    <w:rsid w:val="00642810"/>
    <w:rsid w:val="00651C4E"/>
    <w:rsid w:val="00652333"/>
    <w:rsid w:val="006539EA"/>
    <w:rsid w:val="00653FFC"/>
    <w:rsid w:val="00655CD0"/>
    <w:rsid w:val="00657D33"/>
    <w:rsid w:val="00660E86"/>
    <w:rsid w:val="0068009E"/>
    <w:rsid w:val="00684BD1"/>
    <w:rsid w:val="0068762E"/>
    <w:rsid w:val="00697D1E"/>
    <w:rsid w:val="006A17D2"/>
    <w:rsid w:val="006A73E6"/>
    <w:rsid w:val="006B2D5C"/>
    <w:rsid w:val="006C4EB1"/>
    <w:rsid w:val="006C527F"/>
    <w:rsid w:val="006D38DC"/>
    <w:rsid w:val="006E0166"/>
    <w:rsid w:val="006E7B34"/>
    <w:rsid w:val="006F0643"/>
    <w:rsid w:val="006F19EB"/>
    <w:rsid w:val="006F1FF0"/>
    <w:rsid w:val="006F2E26"/>
    <w:rsid w:val="00713224"/>
    <w:rsid w:val="00717383"/>
    <w:rsid w:val="0073351F"/>
    <w:rsid w:val="00734C7B"/>
    <w:rsid w:val="007427DE"/>
    <w:rsid w:val="00745899"/>
    <w:rsid w:val="00747A24"/>
    <w:rsid w:val="00753A68"/>
    <w:rsid w:val="007548DD"/>
    <w:rsid w:val="0076643F"/>
    <w:rsid w:val="0078022D"/>
    <w:rsid w:val="00782473"/>
    <w:rsid w:val="00794BA7"/>
    <w:rsid w:val="007A0C59"/>
    <w:rsid w:val="007A471F"/>
    <w:rsid w:val="007B7EAB"/>
    <w:rsid w:val="007C3334"/>
    <w:rsid w:val="007C52BB"/>
    <w:rsid w:val="007C6F61"/>
    <w:rsid w:val="007C7473"/>
    <w:rsid w:val="007C7B72"/>
    <w:rsid w:val="007D2B98"/>
    <w:rsid w:val="007D6C0A"/>
    <w:rsid w:val="007D77D9"/>
    <w:rsid w:val="007D7A6C"/>
    <w:rsid w:val="007E14EA"/>
    <w:rsid w:val="007E3B30"/>
    <w:rsid w:val="007E7575"/>
    <w:rsid w:val="007E76DA"/>
    <w:rsid w:val="007F72B7"/>
    <w:rsid w:val="008021CB"/>
    <w:rsid w:val="00803F1C"/>
    <w:rsid w:val="008050BA"/>
    <w:rsid w:val="0080600E"/>
    <w:rsid w:val="00806A5E"/>
    <w:rsid w:val="008102BB"/>
    <w:rsid w:val="00811518"/>
    <w:rsid w:val="00817379"/>
    <w:rsid w:val="00817612"/>
    <w:rsid w:val="00832854"/>
    <w:rsid w:val="008371A9"/>
    <w:rsid w:val="00837C45"/>
    <w:rsid w:val="0084147C"/>
    <w:rsid w:val="008414D5"/>
    <w:rsid w:val="00844F6D"/>
    <w:rsid w:val="0085594B"/>
    <w:rsid w:val="00860628"/>
    <w:rsid w:val="0087063F"/>
    <w:rsid w:val="00881636"/>
    <w:rsid w:val="00881BFD"/>
    <w:rsid w:val="008858A6"/>
    <w:rsid w:val="00897E12"/>
    <w:rsid w:val="008A0B1E"/>
    <w:rsid w:val="008A0D14"/>
    <w:rsid w:val="008A32DE"/>
    <w:rsid w:val="008A6296"/>
    <w:rsid w:val="008B308B"/>
    <w:rsid w:val="008C2DA7"/>
    <w:rsid w:val="008C4966"/>
    <w:rsid w:val="008C64A6"/>
    <w:rsid w:val="008E3759"/>
    <w:rsid w:val="008F0E31"/>
    <w:rsid w:val="008F2D49"/>
    <w:rsid w:val="00901A22"/>
    <w:rsid w:val="00901BF1"/>
    <w:rsid w:val="009041DC"/>
    <w:rsid w:val="009057B5"/>
    <w:rsid w:val="0091273D"/>
    <w:rsid w:val="00915465"/>
    <w:rsid w:val="009227B3"/>
    <w:rsid w:val="00931409"/>
    <w:rsid w:val="009314DF"/>
    <w:rsid w:val="00942213"/>
    <w:rsid w:val="0095032C"/>
    <w:rsid w:val="009505DA"/>
    <w:rsid w:val="0095584C"/>
    <w:rsid w:val="009577C8"/>
    <w:rsid w:val="0096617D"/>
    <w:rsid w:val="0096706E"/>
    <w:rsid w:val="00981FBA"/>
    <w:rsid w:val="00982523"/>
    <w:rsid w:val="00983A9B"/>
    <w:rsid w:val="00990CC1"/>
    <w:rsid w:val="00991755"/>
    <w:rsid w:val="00995910"/>
    <w:rsid w:val="009A2BBD"/>
    <w:rsid w:val="009A5525"/>
    <w:rsid w:val="009B381B"/>
    <w:rsid w:val="009C6A84"/>
    <w:rsid w:val="009D4069"/>
    <w:rsid w:val="009D7611"/>
    <w:rsid w:val="009E0B27"/>
    <w:rsid w:val="009E53DE"/>
    <w:rsid w:val="009E5DBD"/>
    <w:rsid w:val="009F380F"/>
    <w:rsid w:val="009F6DDF"/>
    <w:rsid w:val="00A03178"/>
    <w:rsid w:val="00A16AE7"/>
    <w:rsid w:val="00A23CB0"/>
    <w:rsid w:val="00A350C4"/>
    <w:rsid w:val="00A372D2"/>
    <w:rsid w:val="00A43458"/>
    <w:rsid w:val="00A43EFC"/>
    <w:rsid w:val="00A46616"/>
    <w:rsid w:val="00A46E6E"/>
    <w:rsid w:val="00A528D1"/>
    <w:rsid w:val="00A63655"/>
    <w:rsid w:val="00A65407"/>
    <w:rsid w:val="00A66BE5"/>
    <w:rsid w:val="00A76E7D"/>
    <w:rsid w:val="00A8116A"/>
    <w:rsid w:val="00A81E21"/>
    <w:rsid w:val="00AB0549"/>
    <w:rsid w:val="00AB48AB"/>
    <w:rsid w:val="00AC33B6"/>
    <w:rsid w:val="00AD28D7"/>
    <w:rsid w:val="00AD6B44"/>
    <w:rsid w:val="00AE1D40"/>
    <w:rsid w:val="00AE2368"/>
    <w:rsid w:val="00AE425A"/>
    <w:rsid w:val="00AE66EC"/>
    <w:rsid w:val="00AE6F91"/>
    <w:rsid w:val="00AF5571"/>
    <w:rsid w:val="00B1473D"/>
    <w:rsid w:val="00B167E9"/>
    <w:rsid w:val="00B17FD7"/>
    <w:rsid w:val="00B20599"/>
    <w:rsid w:val="00B20A71"/>
    <w:rsid w:val="00B314DB"/>
    <w:rsid w:val="00B33DF0"/>
    <w:rsid w:val="00B35631"/>
    <w:rsid w:val="00B3718B"/>
    <w:rsid w:val="00B412EA"/>
    <w:rsid w:val="00B4632A"/>
    <w:rsid w:val="00B70F67"/>
    <w:rsid w:val="00B7106E"/>
    <w:rsid w:val="00B76EFD"/>
    <w:rsid w:val="00B9048D"/>
    <w:rsid w:val="00B90EF2"/>
    <w:rsid w:val="00B93AB1"/>
    <w:rsid w:val="00B9790B"/>
    <w:rsid w:val="00BA276C"/>
    <w:rsid w:val="00BB306F"/>
    <w:rsid w:val="00BB4089"/>
    <w:rsid w:val="00BC0150"/>
    <w:rsid w:val="00BC15E5"/>
    <w:rsid w:val="00BD05DA"/>
    <w:rsid w:val="00BD3F0F"/>
    <w:rsid w:val="00BD4B89"/>
    <w:rsid w:val="00BF5F78"/>
    <w:rsid w:val="00C04078"/>
    <w:rsid w:val="00C16B80"/>
    <w:rsid w:val="00C21762"/>
    <w:rsid w:val="00C24543"/>
    <w:rsid w:val="00C256A2"/>
    <w:rsid w:val="00C31873"/>
    <w:rsid w:val="00C32237"/>
    <w:rsid w:val="00C41E7F"/>
    <w:rsid w:val="00C461DA"/>
    <w:rsid w:val="00C51F7E"/>
    <w:rsid w:val="00C5462B"/>
    <w:rsid w:val="00C55736"/>
    <w:rsid w:val="00C66B72"/>
    <w:rsid w:val="00C71BA6"/>
    <w:rsid w:val="00C73C14"/>
    <w:rsid w:val="00C859BB"/>
    <w:rsid w:val="00C9567A"/>
    <w:rsid w:val="00C95708"/>
    <w:rsid w:val="00CA00B0"/>
    <w:rsid w:val="00CA566C"/>
    <w:rsid w:val="00CB2660"/>
    <w:rsid w:val="00CB71A0"/>
    <w:rsid w:val="00CC5E90"/>
    <w:rsid w:val="00CC6F01"/>
    <w:rsid w:val="00CD046C"/>
    <w:rsid w:val="00CD4AFA"/>
    <w:rsid w:val="00CE5199"/>
    <w:rsid w:val="00CE5295"/>
    <w:rsid w:val="00CE66D5"/>
    <w:rsid w:val="00CE7308"/>
    <w:rsid w:val="00CF0F8B"/>
    <w:rsid w:val="00CF29CC"/>
    <w:rsid w:val="00CF3D39"/>
    <w:rsid w:val="00CF3FA4"/>
    <w:rsid w:val="00D04BD1"/>
    <w:rsid w:val="00D07CD2"/>
    <w:rsid w:val="00D11D99"/>
    <w:rsid w:val="00D13745"/>
    <w:rsid w:val="00D14379"/>
    <w:rsid w:val="00D34786"/>
    <w:rsid w:val="00D42310"/>
    <w:rsid w:val="00D52F0C"/>
    <w:rsid w:val="00D55949"/>
    <w:rsid w:val="00D63290"/>
    <w:rsid w:val="00D65167"/>
    <w:rsid w:val="00D65719"/>
    <w:rsid w:val="00D708DA"/>
    <w:rsid w:val="00D712D3"/>
    <w:rsid w:val="00D71422"/>
    <w:rsid w:val="00D7558D"/>
    <w:rsid w:val="00D80E59"/>
    <w:rsid w:val="00D81D92"/>
    <w:rsid w:val="00D9208D"/>
    <w:rsid w:val="00D93446"/>
    <w:rsid w:val="00D977C6"/>
    <w:rsid w:val="00DA2CF5"/>
    <w:rsid w:val="00DA3BC9"/>
    <w:rsid w:val="00DA40CA"/>
    <w:rsid w:val="00DA7B5F"/>
    <w:rsid w:val="00DB73CA"/>
    <w:rsid w:val="00DC02B3"/>
    <w:rsid w:val="00DC771E"/>
    <w:rsid w:val="00DD06C4"/>
    <w:rsid w:val="00DD47AF"/>
    <w:rsid w:val="00DD67D2"/>
    <w:rsid w:val="00DD6CFC"/>
    <w:rsid w:val="00E00417"/>
    <w:rsid w:val="00E00842"/>
    <w:rsid w:val="00E104CD"/>
    <w:rsid w:val="00E23634"/>
    <w:rsid w:val="00E25302"/>
    <w:rsid w:val="00E30913"/>
    <w:rsid w:val="00E3445B"/>
    <w:rsid w:val="00E34BB9"/>
    <w:rsid w:val="00E43157"/>
    <w:rsid w:val="00E44AD3"/>
    <w:rsid w:val="00E533FF"/>
    <w:rsid w:val="00E62A05"/>
    <w:rsid w:val="00E82851"/>
    <w:rsid w:val="00E8789F"/>
    <w:rsid w:val="00E92711"/>
    <w:rsid w:val="00E96D5D"/>
    <w:rsid w:val="00E97B71"/>
    <w:rsid w:val="00EA3C5C"/>
    <w:rsid w:val="00EA47D5"/>
    <w:rsid w:val="00EA6103"/>
    <w:rsid w:val="00EA6655"/>
    <w:rsid w:val="00EB454D"/>
    <w:rsid w:val="00EB6402"/>
    <w:rsid w:val="00EB6D4D"/>
    <w:rsid w:val="00ED5D53"/>
    <w:rsid w:val="00EE51E7"/>
    <w:rsid w:val="00EF619B"/>
    <w:rsid w:val="00F00B55"/>
    <w:rsid w:val="00F032A9"/>
    <w:rsid w:val="00F05E6D"/>
    <w:rsid w:val="00F10D53"/>
    <w:rsid w:val="00F14F0E"/>
    <w:rsid w:val="00F24C29"/>
    <w:rsid w:val="00F253CC"/>
    <w:rsid w:val="00F270BC"/>
    <w:rsid w:val="00F4666D"/>
    <w:rsid w:val="00F56BA5"/>
    <w:rsid w:val="00F644E6"/>
    <w:rsid w:val="00F67501"/>
    <w:rsid w:val="00F72AF0"/>
    <w:rsid w:val="00F82543"/>
    <w:rsid w:val="00F852EC"/>
    <w:rsid w:val="00F869D6"/>
    <w:rsid w:val="00F9653B"/>
    <w:rsid w:val="00FA5065"/>
    <w:rsid w:val="00FB31BB"/>
    <w:rsid w:val="00FB3E2E"/>
    <w:rsid w:val="00FB62CF"/>
    <w:rsid w:val="00FB7BCA"/>
    <w:rsid w:val="00FD05C0"/>
    <w:rsid w:val="00FD41F3"/>
    <w:rsid w:val="00FD5CAE"/>
    <w:rsid w:val="00FE6B45"/>
    <w:rsid w:val="00FF5851"/>
    <w:rsid w:val="00FF6DBF"/>
    <w:rsid w:val="00FF7B79"/>
  </w:rsids>
  <m:mathPr>
    <m:mathFont m:val="Cambria Math"/>
    <m:brkBin m:val="before"/>
    <m:brkBinSub m:val="--"/>
    <m:smallFrac m:val="0"/>
    <m:dispDef/>
    <m:lMargin m:val="0"/>
    <m:rMargin m:val="0"/>
    <m:defJc m:val="centerGroup"/>
    <m:wrapIndent m:val="1440"/>
    <m:intLim m:val="subSup"/>
    <m:naryLim m:val="undOvr"/>
  </m:mathPr>
  <w:themeFontLang w:val="pt-BR"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t-BR" w:eastAsia="pt-BR"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lang w:val="en-US" w:eastAsia="en-US" w:bidi="ar-SA"/>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bidi="ar-SA"/>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bidi="ar-SA"/>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bidi="ar-SA"/>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bidi="ar-SA"/>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bidi="ar-SA"/>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pPr>
      <w:pBdr>
        <w:top w:val="nil"/>
        <w:left w:val="nil"/>
        <w:bottom w:val="nil"/>
        <w:right w:val="nil"/>
        <w:between w:val="nil"/>
        <w:bar w:val="nil"/>
      </w:pBdr>
    </w:pPr>
    <w:rPr>
      <w:rFonts w:ascii="Calibri" w:eastAsia="Calibri" w:hAnsi="Calibri" w:cs="Calibri"/>
      <w:color w:val="000000"/>
      <w:u w:color="000000"/>
      <w:bdr w:val="nil"/>
      <w:lang w:val="en-US" w:eastAsia="es-ES" w:bidi="ar-SA"/>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lang w:val="en-US" w:eastAsia="en-US" w:bidi="ar-SA"/>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416AB8"/>
    <w:pPr>
      <w:spacing w:after="120"/>
    </w:pPr>
  </w:style>
  <w:style w:type="character" w:customStyle="1" w:styleId="BodyTextChar">
    <w:name w:val="Body Text Char"/>
    <w:link w:val="BodyText"/>
    <w:uiPriority w:val="99"/>
    <w:semiHidden/>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link w:val="1"/>
    <w:qForma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416AB8"/>
    <w:rPr>
      <w:rFonts w:ascii="Calibri" w:eastAsia="Calibri" w:hAnsi="Calibri" w:cs="Calibri"/>
      <w:color w:val="000000"/>
      <w:u w:color="000000"/>
      <w:lang w:val="en-US"/>
    </w:rPr>
  </w:style>
  <w:style w:type="paragraph" w:customStyle="1" w:styleId="1">
    <w:name w:val="1"/>
    <w:basedOn w:val="Normal"/>
    <w:link w:val="FootnoteReference"/>
    <w:rsid w:val="00697D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table" w:styleId="TableGrid">
    <w:name w:val="Table Grid"/>
    <w:basedOn w:val="TableNormal"/>
    <w:uiPriority w:val="59"/>
    <w:rsid w:val="00E62A05"/>
    <w:pPr>
      <w:pBdr>
        <w:top w:val="nil"/>
        <w:left w:val="nil"/>
        <w:bottom w:val="nil"/>
        <w:right w:val="nil"/>
        <w:between w:val="nil"/>
        <w:bar w:val="nil"/>
      </w:pBdr>
    </w:pPr>
    <w:rPr>
      <w:bdr w:val="nil"/>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05C0"/>
    <w:rPr>
      <w:color w:val="605E5C"/>
      <w:shd w:val="clear" w:color="auto" w:fill="E1DFDD"/>
    </w:rPr>
  </w:style>
  <w:style w:type="character" w:styleId="CommentReference">
    <w:name w:val="annotation reference"/>
    <w:basedOn w:val="DefaultParagraphFont"/>
    <w:uiPriority w:val="99"/>
    <w:semiHidden/>
    <w:unhideWhenUsed/>
    <w:rsid w:val="00DA2CF5"/>
    <w:rPr>
      <w:sz w:val="16"/>
      <w:szCs w:val="16"/>
    </w:rPr>
  </w:style>
  <w:style w:type="paragraph" w:styleId="CommentText">
    <w:name w:val="annotation text"/>
    <w:basedOn w:val="Normal"/>
    <w:link w:val="CommentTextChar"/>
    <w:uiPriority w:val="99"/>
    <w:unhideWhenUsed/>
    <w:rsid w:val="00DA2CF5"/>
    <w:rPr>
      <w:sz w:val="20"/>
      <w:szCs w:val="20"/>
    </w:rPr>
  </w:style>
  <w:style w:type="character" w:customStyle="1" w:styleId="CommentTextChar">
    <w:name w:val="Comment Text Char"/>
    <w:basedOn w:val="DefaultParagraphFont"/>
    <w:link w:val="CommentText"/>
    <w:uiPriority w:val="99"/>
    <w:rsid w:val="00DA2CF5"/>
    <w:rPr>
      <w:bdr w:val="nil"/>
      <w:lang w:val="en-US" w:eastAsia="en-US" w:bidi="ar-SA"/>
    </w:rPr>
  </w:style>
  <w:style w:type="paragraph" w:styleId="CommentSubject">
    <w:name w:val="annotation subject"/>
    <w:basedOn w:val="CommentText"/>
    <w:next w:val="CommentText"/>
    <w:link w:val="CommentSubjectChar"/>
    <w:uiPriority w:val="99"/>
    <w:semiHidden/>
    <w:unhideWhenUsed/>
    <w:rsid w:val="00DA2CF5"/>
    <w:rPr>
      <w:b/>
      <w:bCs/>
    </w:rPr>
  </w:style>
  <w:style w:type="character" w:customStyle="1" w:styleId="CommentSubjectChar">
    <w:name w:val="Comment Subject Char"/>
    <w:basedOn w:val="CommentTextChar"/>
    <w:link w:val="CommentSubject"/>
    <w:uiPriority w:val="99"/>
    <w:semiHidden/>
    <w:rsid w:val="00DA2CF5"/>
    <w:rPr>
      <w:b/>
      <w:bCs/>
      <w:bdr w:val="nil"/>
      <w:lang w:val="en-US" w:eastAsia="en-US" w:bidi="ar-SA"/>
    </w:rPr>
  </w:style>
  <w:style w:type="character" w:styleId="FollowedHyperlink">
    <w:name w:val="FollowedHyperlink"/>
    <w:basedOn w:val="DefaultParagraphFont"/>
    <w:uiPriority w:val="99"/>
    <w:semiHidden/>
    <w:unhideWhenUsed/>
    <w:rsid w:val="0073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964">
      <w:bodyDiv w:val="1"/>
      <w:marLeft w:val="0"/>
      <w:marRight w:val="0"/>
      <w:marTop w:val="0"/>
      <w:marBottom w:val="0"/>
      <w:divBdr>
        <w:top w:val="none" w:sz="0" w:space="0" w:color="auto"/>
        <w:left w:val="none" w:sz="0" w:space="0" w:color="auto"/>
        <w:bottom w:val="none" w:sz="0" w:space="0" w:color="auto"/>
        <w:right w:val="none" w:sz="0" w:space="0" w:color="auto"/>
      </w:divBdr>
    </w:div>
    <w:div w:id="138419846">
      <w:bodyDiv w:val="1"/>
      <w:marLeft w:val="0"/>
      <w:marRight w:val="0"/>
      <w:marTop w:val="0"/>
      <w:marBottom w:val="0"/>
      <w:divBdr>
        <w:top w:val="none" w:sz="0" w:space="0" w:color="auto"/>
        <w:left w:val="none" w:sz="0" w:space="0" w:color="auto"/>
        <w:bottom w:val="none" w:sz="0" w:space="0" w:color="auto"/>
        <w:right w:val="none" w:sz="0" w:space="0" w:color="auto"/>
      </w:divBdr>
    </w:div>
    <w:div w:id="237520713">
      <w:bodyDiv w:val="1"/>
      <w:marLeft w:val="0"/>
      <w:marRight w:val="0"/>
      <w:marTop w:val="0"/>
      <w:marBottom w:val="0"/>
      <w:divBdr>
        <w:top w:val="none" w:sz="0" w:space="0" w:color="auto"/>
        <w:left w:val="none" w:sz="0" w:space="0" w:color="auto"/>
        <w:bottom w:val="none" w:sz="0" w:space="0" w:color="auto"/>
        <w:right w:val="none" w:sz="0" w:space="0" w:color="auto"/>
      </w:divBdr>
    </w:div>
    <w:div w:id="243295593">
      <w:bodyDiv w:val="1"/>
      <w:marLeft w:val="0"/>
      <w:marRight w:val="0"/>
      <w:marTop w:val="0"/>
      <w:marBottom w:val="0"/>
      <w:divBdr>
        <w:top w:val="none" w:sz="0" w:space="0" w:color="auto"/>
        <w:left w:val="none" w:sz="0" w:space="0" w:color="auto"/>
        <w:bottom w:val="none" w:sz="0" w:space="0" w:color="auto"/>
        <w:right w:val="none" w:sz="0" w:space="0" w:color="auto"/>
      </w:divBdr>
    </w:div>
    <w:div w:id="252203235">
      <w:bodyDiv w:val="1"/>
      <w:marLeft w:val="0"/>
      <w:marRight w:val="0"/>
      <w:marTop w:val="0"/>
      <w:marBottom w:val="0"/>
      <w:divBdr>
        <w:top w:val="none" w:sz="0" w:space="0" w:color="auto"/>
        <w:left w:val="none" w:sz="0" w:space="0" w:color="auto"/>
        <w:bottom w:val="none" w:sz="0" w:space="0" w:color="auto"/>
        <w:right w:val="none" w:sz="0" w:space="0" w:color="auto"/>
      </w:divBdr>
    </w:div>
    <w:div w:id="276759372">
      <w:bodyDiv w:val="1"/>
      <w:marLeft w:val="0"/>
      <w:marRight w:val="0"/>
      <w:marTop w:val="0"/>
      <w:marBottom w:val="0"/>
      <w:divBdr>
        <w:top w:val="none" w:sz="0" w:space="0" w:color="auto"/>
        <w:left w:val="none" w:sz="0" w:space="0" w:color="auto"/>
        <w:bottom w:val="none" w:sz="0" w:space="0" w:color="auto"/>
        <w:right w:val="none" w:sz="0" w:space="0" w:color="auto"/>
      </w:divBdr>
    </w:div>
    <w:div w:id="291208388">
      <w:bodyDiv w:val="1"/>
      <w:marLeft w:val="0"/>
      <w:marRight w:val="0"/>
      <w:marTop w:val="0"/>
      <w:marBottom w:val="0"/>
      <w:divBdr>
        <w:top w:val="none" w:sz="0" w:space="0" w:color="auto"/>
        <w:left w:val="none" w:sz="0" w:space="0" w:color="auto"/>
        <w:bottom w:val="none" w:sz="0" w:space="0" w:color="auto"/>
        <w:right w:val="none" w:sz="0" w:space="0" w:color="auto"/>
      </w:divBdr>
    </w:div>
    <w:div w:id="323440902">
      <w:bodyDiv w:val="1"/>
      <w:marLeft w:val="0"/>
      <w:marRight w:val="0"/>
      <w:marTop w:val="0"/>
      <w:marBottom w:val="0"/>
      <w:divBdr>
        <w:top w:val="none" w:sz="0" w:space="0" w:color="auto"/>
        <w:left w:val="none" w:sz="0" w:space="0" w:color="auto"/>
        <w:bottom w:val="none" w:sz="0" w:space="0" w:color="auto"/>
        <w:right w:val="none" w:sz="0" w:space="0" w:color="auto"/>
      </w:divBdr>
    </w:div>
    <w:div w:id="346904025">
      <w:bodyDiv w:val="1"/>
      <w:marLeft w:val="0"/>
      <w:marRight w:val="0"/>
      <w:marTop w:val="0"/>
      <w:marBottom w:val="0"/>
      <w:divBdr>
        <w:top w:val="none" w:sz="0" w:space="0" w:color="auto"/>
        <w:left w:val="none" w:sz="0" w:space="0" w:color="auto"/>
        <w:bottom w:val="none" w:sz="0" w:space="0" w:color="auto"/>
        <w:right w:val="none" w:sz="0" w:space="0" w:color="auto"/>
      </w:divBdr>
    </w:div>
    <w:div w:id="460539938">
      <w:bodyDiv w:val="1"/>
      <w:marLeft w:val="0"/>
      <w:marRight w:val="0"/>
      <w:marTop w:val="0"/>
      <w:marBottom w:val="0"/>
      <w:divBdr>
        <w:top w:val="none" w:sz="0" w:space="0" w:color="auto"/>
        <w:left w:val="none" w:sz="0" w:space="0" w:color="auto"/>
        <w:bottom w:val="none" w:sz="0" w:space="0" w:color="auto"/>
        <w:right w:val="none" w:sz="0" w:space="0" w:color="auto"/>
      </w:divBdr>
    </w:div>
    <w:div w:id="463043018">
      <w:bodyDiv w:val="1"/>
      <w:marLeft w:val="0"/>
      <w:marRight w:val="0"/>
      <w:marTop w:val="0"/>
      <w:marBottom w:val="0"/>
      <w:divBdr>
        <w:top w:val="none" w:sz="0" w:space="0" w:color="auto"/>
        <w:left w:val="none" w:sz="0" w:space="0" w:color="auto"/>
        <w:bottom w:val="none" w:sz="0" w:space="0" w:color="auto"/>
        <w:right w:val="none" w:sz="0" w:space="0" w:color="auto"/>
      </w:divBdr>
    </w:div>
    <w:div w:id="587349712">
      <w:bodyDiv w:val="1"/>
      <w:marLeft w:val="0"/>
      <w:marRight w:val="0"/>
      <w:marTop w:val="0"/>
      <w:marBottom w:val="0"/>
      <w:divBdr>
        <w:top w:val="none" w:sz="0" w:space="0" w:color="auto"/>
        <w:left w:val="none" w:sz="0" w:space="0" w:color="auto"/>
        <w:bottom w:val="none" w:sz="0" w:space="0" w:color="auto"/>
        <w:right w:val="none" w:sz="0" w:space="0" w:color="auto"/>
      </w:divBdr>
    </w:div>
    <w:div w:id="704216556">
      <w:bodyDiv w:val="1"/>
      <w:marLeft w:val="0"/>
      <w:marRight w:val="0"/>
      <w:marTop w:val="0"/>
      <w:marBottom w:val="0"/>
      <w:divBdr>
        <w:top w:val="none" w:sz="0" w:space="0" w:color="auto"/>
        <w:left w:val="none" w:sz="0" w:space="0" w:color="auto"/>
        <w:bottom w:val="none" w:sz="0" w:space="0" w:color="auto"/>
        <w:right w:val="none" w:sz="0" w:space="0" w:color="auto"/>
      </w:divBdr>
    </w:div>
    <w:div w:id="738400671">
      <w:bodyDiv w:val="1"/>
      <w:marLeft w:val="0"/>
      <w:marRight w:val="0"/>
      <w:marTop w:val="0"/>
      <w:marBottom w:val="0"/>
      <w:divBdr>
        <w:top w:val="none" w:sz="0" w:space="0" w:color="auto"/>
        <w:left w:val="none" w:sz="0" w:space="0" w:color="auto"/>
        <w:bottom w:val="none" w:sz="0" w:space="0" w:color="auto"/>
        <w:right w:val="none" w:sz="0" w:space="0" w:color="auto"/>
      </w:divBdr>
    </w:div>
    <w:div w:id="792404061">
      <w:bodyDiv w:val="1"/>
      <w:marLeft w:val="0"/>
      <w:marRight w:val="0"/>
      <w:marTop w:val="0"/>
      <w:marBottom w:val="0"/>
      <w:divBdr>
        <w:top w:val="none" w:sz="0" w:space="0" w:color="auto"/>
        <w:left w:val="none" w:sz="0" w:space="0" w:color="auto"/>
        <w:bottom w:val="none" w:sz="0" w:space="0" w:color="auto"/>
        <w:right w:val="none" w:sz="0" w:space="0" w:color="auto"/>
      </w:divBdr>
    </w:div>
    <w:div w:id="811366917">
      <w:bodyDiv w:val="1"/>
      <w:marLeft w:val="0"/>
      <w:marRight w:val="0"/>
      <w:marTop w:val="0"/>
      <w:marBottom w:val="0"/>
      <w:divBdr>
        <w:top w:val="none" w:sz="0" w:space="0" w:color="auto"/>
        <w:left w:val="none" w:sz="0" w:space="0" w:color="auto"/>
        <w:bottom w:val="none" w:sz="0" w:space="0" w:color="auto"/>
        <w:right w:val="none" w:sz="0" w:space="0" w:color="auto"/>
      </w:divBdr>
    </w:div>
    <w:div w:id="911741423">
      <w:bodyDiv w:val="1"/>
      <w:marLeft w:val="0"/>
      <w:marRight w:val="0"/>
      <w:marTop w:val="0"/>
      <w:marBottom w:val="0"/>
      <w:divBdr>
        <w:top w:val="none" w:sz="0" w:space="0" w:color="auto"/>
        <w:left w:val="none" w:sz="0" w:space="0" w:color="auto"/>
        <w:bottom w:val="none" w:sz="0" w:space="0" w:color="auto"/>
        <w:right w:val="none" w:sz="0" w:space="0" w:color="auto"/>
      </w:divBdr>
    </w:div>
    <w:div w:id="1013610557">
      <w:bodyDiv w:val="1"/>
      <w:marLeft w:val="0"/>
      <w:marRight w:val="0"/>
      <w:marTop w:val="0"/>
      <w:marBottom w:val="0"/>
      <w:divBdr>
        <w:top w:val="none" w:sz="0" w:space="0" w:color="auto"/>
        <w:left w:val="none" w:sz="0" w:space="0" w:color="auto"/>
        <w:bottom w:val="none" w:sz="0" w:space="0" w:color="auto"/>
        <w:right w:val="none" w:sz="0" w:space="0" w:color="auto"/>
      </w:divBdr>
    </w:div>
    <w:div w:id="1032418354">
      <w:bodyDiv w:val="1"/>
      <w:marLeft w:val="0"/>
      <w:marRight w:val="0"/>
      <w:marTop w:val="0"/>
      <w:marBottom w:val="0"/>
      <w:divBdr>
        <w:top w:val="none" w:sz="0" w:space="0" w:color="auto"/>
        <w:left w:val="none" w:sz="0" w:space="0" w:color="auto"/>
        <w:bottom w:val="none" w:sz="0" w:space="0" w:color="auto"/>
        <w:right w:val="none" w:sz="0" w:space="0" w:color="auto"/>
      </w:divBdr>
    </w:div>
    <w:div w:id="1101030079">
      <w:bodyDiv w:val="1"/>
      <w:marLeft w:val="0"/>
      <w:marRight w:val="0"/>
      <w:marTop w:val="0"/>
      <w:marBottom w:val="0"/>
      <w:divBdr>
        <w:top w:val="none" w:sz="0" w:space="0" w:color="auto"/>
        <w:left w:val="none" w:sz="0" w:space="0" w:color="auto"/>
        <w:bottom w:val="none" w:sz="0" w:space="0" w:color="auto"/>
        <w:right w:val="none" w:sz="0" w:space="0" w:color="auto"/>
      </w:divBdr>
    </w:div>
    <w:div w:id="1139615769">
      <w:bodyDiv w:val="1"/>
      <w:marLeft w:val="0"/>
      <w:marRight w:val="0"/>
      <w:marTop w:val="0"/>
      <w:marBottom w:val="0"/>
      <w:divBdr>
        <w:top w:val="none" w:sz="0" w:space="0" w:color="auto"/>
        <w:left w:val="none" w:sz="0" w:space="0" w:color="auto"/>
        <w:bottom w:val="none" w:sz="0" w:space="0" w:color="auto"/>
        <w:right w:val="none" w:sz="0" w:space="0" w:color="auto"/>
      </w:divBdr>
    </w:div>
    <w:div w:id="1199077630">
      <w:bodyDiv w:val="1"/>
      <w:marLeft w:val="0"/>
      <w:marRight w:val="0"/>
      <w:marTop w:val="0"/>
      <w:marBottom w:val="0"/>
      <w:divBdr>
        <w:top w:val="none" w:sz="0" w:space="0" w:color="auto"/>
        <w:left w:val="none" w:sz="0" w:space="0" w:color="auto"/>
        <w:bottom w:val="none" w:sz="0" w:space="0" w:color="auto"/>
        <w:right w:val="none" w:sz="0" w:space="0" w:color="auto"/>
      </w:divBdr>
    </w:div>
    <w:div w:id="1233195534">
      <w:bodyDiv w:val="1"/>
      <w:marLeft w:val="0"/>
      <w:marRight w:val="0"/>
      <w:marTop w:val="0"/>
      <w:marBottom w:val="0"/>
      <w:divBdr>
        <w:top w:val="none" w:sz="0" w:space="0" w:color="auto"/>
        <w:left w:val="none" w:sz="0" w:space="0" w:color="auto"/>
        <w:bottom w:val="none" w:sz="0" w:space="0" w:color="auto"/>
        <w:right w:val="none" w:sz="0" w:space="0" w:color="auto"/>
      </w:divBdr>
    </w:div>
    <w:div w:id="1235045392">
      <w:bodyDiv w:val="1"/>
      <w:marLeft w:val="0"/>
      <w:marRight w:val="0"/>
      <w:marTop w:val="0"/>
      <w:marBottom w:val="0"/>
      <w:divBdr>
        <w:top w:val="none" w:sz="0" w:space="0" w:color="auto"/>
        <w:left w:val="none" w:sz="0" w:space="0" w:color="auto"/>
        <w:bottom w:val="none" w:sz="0" w:space="0" w:color="auto"/>
        <w:right w:val="none" w:sz="0" w:space="0" w:color="auto"/>
      </w:divBdr>
    </w:div>
    <w:div w:id="1261333035">
      <w:bodyDiv w:val="1"/>
      <w:marLeft w:val="0"/>
      <w:marRight w:val="0"/>
      <w:marTop w:val="0"/>
      <w:marBottom w:val="0"/>
      <w:divBdr>
        <w:top w:val="none" w:sz="0" w:space="0" w:color="auto"/>
        <w:left w:val="none" w:sz="0" w:space="0" w:color="auto"/>
        <w:bottom w:val="none" w:sz="0" w:space="0" w:color="auto"/>
        <w:right w:val="none" w:sz="0" w:space="0" w:color="auto"/>
      </w:divBdr>
    </w:div>
    <w:div w:id="1315335777">
      <w:bodyDiv w:val="1"/>
      <w:marLeft w:val="0"/>
      <w:marRight w:val="0"/>
      <w:marTop w:val="0"/>
      <w:marBottom w:val="0"/>
      <w:divBdr>
        <w:top w:val="none" w:sz="0" w:space="0" w:color="auto"/>
        <w:left w:val="none" w:sz="0" w:space="0" w:color="auto"/>
        <w:bottom w:val="none" w:sz="0" w:space="0" w:color="auto"/>
        <w:right w:val="none" w:sz="0" w:space="0" w:color="auto"/>
      </w:divBdr>
    </w:div>
    <w:div w:id="1353219749">
      <w:bodyDiv w:val="1"/>
      <w:marLeft w:val="0"/>
      <w:marRight w:val="0"/>
      <w:marTop w:val="0"/>
      <w:marBottom w:val="0"/>
      <w:divBdr>
        <w:top w:val="none" w:sz="0" w:space="0" w:color="auto"/>
        <w:left w:val="none" w:sz="0" w:space="0" w:color="auto"/>
        <w:bottom w:val="none" w:sz="0" w:space="0" w:color="auto"/>
        <w:right w:val="none" w:sz="0" w:space="0" w:color="auto"/>
      </w:divBdr>
    </w:div>
    <w:div w:id="1353725920">
      <w:bodyDiv w:val="1"/>
      <w:marLeft w:val="0"/>
      <w:marRight w:val="0"/>
      <w:marTop w:val="0"/>
      <w:marBottom w:val="0"/>
      <w:divBdr>
        <w:top w:val="none" w:sz="0" w:space="0" w:color="auto"/>
        <w:left w:val="none" w:sz="0" w:space="0" w:color="auto"/>
        <w:bottom w:val="none" w:sz="0" w:space="0" w:color="auto"/>
        <w:right w:val="none" w:sz="0" w:space="0" w:color="auto"/>
      </w:divBdr>
    </w:div>
    <w:div w:id="1441223308">
      <w:bodyDiv w:val="1"/>
      <w:marLeft w:val="0"/>
      <w:marRight w:val="0"/>
      <w:marTop w:val="0"/>
      <w:marBottom w:val="0"/>
      <w:divBdr>
        <w:top w:val="none" w:sz="0" w:space="0" w:color="auto"/>
        <w:left w:val="none" w:sz="0" w:space="0" w:color="auto"/>
        <w:bottom w:val="none" w:sz="0" w:space="0" w:color="auto"/>
        <w:right w:val="none" w:sz="0" w:space="0" w:color="auto"/>
      </w:divBdr>
    </w:div>
    <w:div w:id="1488670086">
      <w:bodyDiv w:val="1"/>
      <w:marLeft w:val="0"/>
      <w:marRight w:val="0"/>
      <w:marTop w:val="0"/>
      <w:marBottom w:val="0"/>
      <w:divBdr>
        <w:top w:val="none" w:sz="0" w:space="0" w:color="auto"/>
        <w:left w:val="none" w:sz="0" w:space="0" w:color="auto"/>
        <w:bottom w:val="none" w:sz="0" w:space="0" w:color="auto"/>
        <w:right w:val="none" w:sz="0" w:space="0" w:color="auto"/>
      </w:divBdr>
    </w:div>
    <w:div w:id="1608611341">
      <w:bodyDiv w:val="1"/>
      <w:marLeft w:val="0"/>
      <w:marRight w:val="0"/>
      <w:marTop w:val="0"/>
      <w:marBottom w:val="0"/>
      <w:divBdr>
        <w:top w:val="none" w:sz="0" w:space="0" w:color="auto"/>
        <w:left w:val="none" w:sz="0" w:space="0" w:color="auto"/>
        <w:bottom w:val="none" w:sz="0" w:space="0" w:color="auto"/>
        <w:right w:val="none" w:sz="0" w:space="0" w:color="auto"/>
      </w:divBdr>
    </w:div>
    <w:div w:id="1638484685">
      <w:bodyDiv w:val="1"/>
      <w:marLeft w:val="0"/>
      <w:marRight w:val="0"/>
      <w:marTop w:val="0"/>
      <w:marBottom w:val="0"/>
      <w:divBdr>
        <w:top w:val="none" w:sz="0" w:space="0" w:color="auto"/>
        <w:left w:val="none" w:sz="0" w:space="0" w:color="auto"/>
        <w:bottom w:val="none" w:sz="0" w:space="0" w:color="auto"/>
        <w:right w:val="none" w:sz="0" w:space="0" w:color="auto"/>
      </w:divBdr>
    </w:div>
    <w:div w:id="1692098762">
      <w:bodyDiv w:val="1"/>
      <w:marLeft w:val="0"/>
      <w:marRight w:val="0"/>
      <w:marTop w:val="0"/>
      <w:marBottom w:val="0"/>
      <w:divBdr>
        <w:top w:val="none" w:sz="0" w:space="0" w:color="auto"/>
        <w:left w:val="none" w:sz="0" w:space="0" w:color="auto"/>
        <w:bottom w:val="none" w:sz="0" w:space="0" w:color="auto"/>
        <w:right w:val="none" w:sz="0" w:space="0" w:color="auto"/>
      </w:divBdr>
    </w:div>
    <w:div w:id="1695571162">
      <w:bodyDiv w:val="1"/>
      <w:marLeft w:val="0"/>
      <w:marRight w:val="0"/>
      <w:marTop w:val="0"/>
      <w:marBottom w:val="0"/>
      <w:divBdr>
        <w:top w:val="none" w:sz="0" w:space="0" w:color="auto"/>
        <w:left w:val="none" w:sz="0" w:space="0" w:color="auto"/>
        <w:bottom w:val="none" w:sz="0" w:space="0" w:color="auto"/>
        <w:right w:val="none" w:sz="0" w:space="0" w:color="auto"/>
      </w:divBdr>
    </w:div>
    <w:div w:id="178002996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3183104">
      <w:bodyDiv w:val="1"/>
      <w:marLeft w:val="0"/>
      <w:marRight w:val="0"/>
      <w:marTop w:val="0"/>
      <w:marBottom w:val="0"/>
      <w:divBdr>
        <w:top w:val="none" w:sz="0" w:space="0" w:color="auto"/>
        <w:left w:val="none" w:sz="0" w:space="0" w:color="auto"/>
        <w:bottom w:val="none" w:sz="0" w:space="0" w:color="auto"/>
        <w:right w:val="none" w:sz="0" w:space="0" w:color="auto"/>
      </w:divBdr>
    </w:div>
    <w:div w:id="1916091174">
      <w:bodyDiv w:val="1"/>
      <w:marLeft w:val="0"/>
      <w:marRight w:val="0"/>
      <w:marTop w:val="0"/>
      <w:marBottom w:val="0"/>
      <w:divBdr>
        <w:top w:val="none" w:sz="0" w:space="0" w:color="auto"/>
        <w:left w:val="none" w:sz="0" w:space="0" w:color="auto"/>
        <w:bottom w:val="none" w:sz="0" w:space="0" w:color="auto"/>
        <w:right w:val="none" w:sz="0" w:space="0" w:color="auto"/>
      </w:divBdr>
    </w:div>
    <w:div w:id="1952012457">
      <w:bodyDiv w:val="1"/>
      <w:marLeft w:val="0"/>
      <w:marRight w:val="0"/>
      <w:marTop w:val="0"/>
      <w:marBottom w:val="0"/>
      <w:divBdr>
        <w:top w:val="none" w:sz="0" w:space="0" w:color="auto"/>
        <w:left w:val="none" w:sz="0" w:space="0" w:color="auto"/>
        <w:bottom w:val="none" w:sz="0" w:space="0" w:color="auto"/>
        <w:right w:val="none" w:sz="0" w:space="0" w:color="auto"/>
      </w:divBdr>
    </w:div>
    <w:div w:id="205064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jrs.jus.br/novo/caso-kis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prs.mp.br/hotsite/boatekis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as.org/pt/cidh/decisiones/2022/2179-12%20Adalberto%20Ara%C3%BAjo%20e%20outros%20Brasil%20ADMISIBLE%20POR_FINAL%20WEB.pdf" TargetMode="External"/><Relationship Id="rId2" Type="http://schemas.openxmlformats.org/officeDocument/2006/relationships/hyperlink" Target="http://redir.stf.jus.br/paginadorpub/paginador.jsp?docTP=TP&amp;docID=754375069" TargetMode="External"/><Relationship Id="rId1" Type="http://schemas.openxmlformats.org/officeDocument/2006/relationships/hyperlink" Target="http://redir.stf.jus.br/paginadorpub/paginador.jsp?docTP=TP&amp;docID=7543750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C83D-A271-4A46-B862-DD01375D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13024</Words>
  <Characters>74240</Characters>
  <Application>Microsoft Office Word</Application>
  <DocSecurity>0</DocSecurity>
  <Lines>618</Lines>
  <Paragraphs>174</Paragraphs>
  <ScaleCrop>false</ScaleCrop>
  <Company/>
  <LinksUpToDate>false</LinksUpToDate>
  <CharactersWithSpaces>87090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2024-10-30T13:43:00Z</dcterms:created>
  <dcterms:modified xsi:type="dcterms:W3CDTF">2024-10-30T13:43:00Z</dcterms:modified>
</cp:coreProperties>
</file>