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C651D" w:rsidRDefault="00D306D1" w:rsidP="00627C9F">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A9159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27157892"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0F486491"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218D2950"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588D2230" w:rsidR="00040C3A" w:rsidRPr="008C651D" w:rsidRDefault="00AB27FF"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2D56CA9B">
                <wp:simplePos x="0" y="0"/>
                <wp:positionH relativeFrom="column">
                  <wp:posOffset>-342900</wp:posOffset>
                </wp:positionH>
                <wp:positionV relativeFrom="paragraph">
                  <wp:posOffset>249467</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0E40C0B"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370A2888"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1A6B01">
                              <w:rPr>
                                <w:rFonts w:asciiTheme="minorHAnsi" w:hAnsiTheme="minorHAnsi"/>
                                <w:sz w:val="22"/>
                                <w:lang w:val="pt-BR"/>
                              </w:rPr>
                              <w:t>80</w:t>
                            </w:r>
                          </w:p>
                          <w:p w14:paraId="69373ED2" w14:textId="6DFE98B4" w:rsidR="00627C9F" w:rsidRPr="0072489E" w:rsidRDefault="001A6B01" w:rsidP="007A5817">
                            <w:pPr>
                              <w:spacing w:line="276" w:lineRule="auto"/>
                              <w:jc w:val="right"/>
                              <w:rPr>
                                <w:rFonts w:asciiTheme="minorHAnsi" w:hAnsiTheme="minorHAnsi"/>
                                <w:sz w:val="22"/>
                                <w:lang w:val="pt-BR"/>
                              </w:rPr>
                            </w:pPr>
                            <w:r>
                              <w:rPr>
                                <w:rFonts w:asciiTheme="minorHAnsi" w:hAnsiTheme="minorHAnsi"/>
                                <w:sz w:val="22"/>
                                <w:lang w:val="pt-BR"/>
                              </w:rPr>
                              <w:t>3</w:t>
                            </w:r>
                            <w:r w:rsidR="00627C9F" w:rsidRPr="0072489E">
                              <w:rPr>
                                <w:rFonts w:asciiTheme="minorHAnsi" w:hAnsiTheme="minorHAnsi"/>
                                <w:sz w:val="22"/>
                                <w:lang w:val="pt-BR"/>
                              </w:rPr>
                              <w:t xml:space="preserve"> </w:t>
                            </w:r>
                            <w:r>
                              <w:rPr>
                                <w:rFonts w:asciiTheme="minorHAnsi" w:hAnsiTheme="minorHAnsi"/>
                                <w:sz w:val="22"/>
                                <w:lang w:val="pt-BR"/>
                              </w:rPr>
                              <w:t>junho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AB27FF">
                              <w:rPr>
                                <w:rFonts w:asciiTheme="minorHAnsi" w:hAnsiTheme="minorHAnsi"/>
                                <w:sz w:val="22"/>
                                <w:lang w:val="pt-BR"/>
                              </w:rPr>
                              <w:t>4</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27pt;margin-top:19.6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" filled="f" stroked="f" strokeweight=".5pt">
                <v:textbox>
                  <w:txbxContent>
                    <w:p w14:paraId="6CF0BAF6" w14:textId="20E40C0B"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370A2888"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1A6B01">
                        <w:rPr>
                          <w:rFonts w:asciiTheme="minorHAnsi" w:hAnsiTheme="minorHAnsi"/>
                          <w:sz w:val="22"/>
                          <w:lang w:val="pt-BR"/>
                        </w:rPr>
                        <w:t>80</w:t>
                      </w:r>
                    </w:p>
                    <w:p w14:paraId="69373ED2" w14:textId="6DFE98B4" w:rsidR="00627C9F" w:rsidRPr="0072489E" w:rsidRDefault="001A6B01" w:rsidP="007A5817">
                      <w:pPr>
                        <w:spacing w:line="276" w:lineRule="auto"/>
                        <w:jc w:val="right"/>
                        <w:rPr>
                          <w:rFonts w:asciiTheme="minorHAnsi" w:hAnsiTheme="minorHAnsi"/>
                          <w:sz w:val="22"/>
                          <w:lang w:val="pt-BR"/>
                        </w:rPr>
                      </w:pPr>
                      <w:r>
                        <w:rPr>
                          <w:rFonts w:asciiTheme="minorHAnsi" w:hAnsiTheme="minorHAnsi"/>
                          <w:sz w:val="22"/>
                          <w:lang w:val="pt-BR"/>
                        </w:rPr>
                        <w:t>3</w:t>
                      </w:r>
                      <w:r w:rsidR="00627C9F" w:rsidRPr="0072489E">
                        <w:rPr>
                          <w:rFonts w:asciiTheme="minorHAnsi" w:hAnsiTheme="minorHAnsi"/>
                          <w:sz w:val="22"/>
                          <w:lang w:val="pt-BR"/>
                        </w:rPr>
                        <w:t xml:space="preserve"> </w:t>
                      </w:r>
                      <w:r>
                        <w:rPr>
                          <w:rFonts w:asciiTheme="minorHAnsi" w:hAnsiTheme="minorHAnsi"/>
                          <w:sz w:val="22"/>
                          <w:lang w:val="pt-BR"/>
                        </w:rPr>
                        <w:t>junho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AB27FF">
                        <w:rPr>
                          <w:rFonts w:asciiTheme="minorHAnsi" w:hAnsiTheme="minorHAnsi"/>
                          <w:sz w:val="22"/>
                          <w:lang w:val="pt-BR"/>
                        </w:rPr>
                        <w:t>4</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p>
    <w:p w14:paraId="64791D04" w14:textId="2E283BDC" w:rsidR="00040C3A" w:rsidRPr="008C651D" w:rsidRDefault="00AB27FF"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5980ED94" wp14:editId="300CD185">
                <wp:simplePos x="0" y="0"/>
                <wp:positionH relativeFrom="column">
                  <wp:posOffset>1340069</wp:posOffset>
                </wp:positionH>
                <wp:positionV relativeFrom="paragraph">
                  <wp:posOffset>14955</wp:posOffset>
                </wp:positionV>
                <wp:extent cx="4441190" cy="2475187"/>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4441190" cy="2475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626CB6C"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1A6B01">
                              <w:rPr>
                                <w:rFonts w:asciiTheme="majorHAnsi" w:hAnsiTheme="majorHAnsi" w:cs="Arial"/>
                                <w:b/>
                                <w:bCs/>
                                <w:color w:val="0D0D0D" w:themeColor="text1" w:themeTint="F2"/>
                                <w:sz w:val="36"/>
                                <w:szCs w:val="22"/>
                                <w:lang w:val="pt-BR"/>
                              </w:rPr>
                              <w:t>77</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AB27FF">
                              <w:rPr>
                                <w:rFonts w:asciiTheme="majorHAnsi" w:hAnsiTheme="majorHAnsi" w:cs="Arial"/>
                                <w:b/>
                                <w:bCs/>
                                <w:color w:val="0D0D0D" w:themeColor="text1" w:themeTint="F2"/>
                                <w:sz w:val="36"/>
                                <w:szCs w:val="22"/>
                                <w:lang w:val="pt-BR"/>
                              </w:rPr>
                              <w:t>4</w:t>
                            </w:r>
                          </w:p>
                          <w:p w14:paraId="54CDA619" w14:textId="77777777" w:rsidR="00C3078F"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AB27FF">
                              <w:rPr>
                                <w:rFonts w:asciiTheme="majorHAnsi" w:hAnsiTheme="majorHAnsi" w:cs="Arial"/>
                                <w:b/>
                                <w:color w:val="0D0D0D" w:themeColor="text1" w:themeTint="F2"/>
                                <w:sz w:val="36"/>
                                <w:szCs w:val="22"/>
                                <w:lang w:val="pt-BR"/>
                              </w:rPr>
                              <w:t>2066-17</w:t>
                            </w:r>
                            <w:r w:rsidR="00246D1F" w:rsidRPr="00DA2224">
                              <w:rPr>
                                <w:rFonts w:asciiTheme="majorHAnsi" w:hAnsiTheme="majorHAnsi" w:cs="Arial"/>
                                <w:b/>
                                <w:color w:val="0D0D0D" w:themeColor="text1" w:themeTint="F2"/>
                                <w:sz w:val="36"/>
                                <w:szCs w:val="22"/>
                                <w:lang w:val="pt-BR"/>
                              </w:rPr>
                              <w:t xml:space="preserve"> </w:t>
                            </w:r>
                          </w:p>
                          <w:p w14:paraId="70CF6833" w14:textId="3DF756E7"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09DE1013" w14:textId="77777777" w:rsidR="00AB27FF" w:rsidRDefault="00AB27FF" w:rsidP="00997BC5">
                            <w:pPr>
                              <w:spacing w:line="276" w:lineRule="auto"/>
                              <w:rPr>
                                <w:rFonts w:asciiTheme="majorHAnsi" w:hAnsiTheme="majorHAnsi" w:cs="Arial"/>
                                <w:color w:val="0D0D0D" w:themeColor="text1" w:themeTint="F2"/>
                                <w:szCs w:val="22"/>
                                <w:lang w:val="pt-BR"/>
                              </w:rPr>
                            </w:pPr>
                            <w:bookmarkStart w:id="0" w:name="_ftnref1"/>
                          </w:p>
                          <w:p w14:paraId="69667410" w14:textId="77777777" w:rsidR="00CF0816" w:rsidRDefault="00AB27FF"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AA e BB</w:t>
                            </w:r>
                            <w:bookmarkEnd w:id="0"/>
                          </w:p>
                          <w:p w14:paraId="35068D0D" w14:textId="0C59BAF8"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5.5pt;margin-top:1.2pt;width:349.7pt;height:19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" filled="f" stroked="f" strokeweight=".5pt">
                <v:textbox>
                  <w:txbxContent>
                    <w:p w14:paraId="4D9FE29C" w14:textId="3626CB6C"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1A6B01">
                        <w:rPr>
                          <w:rFonts w:asciiTheme="majorHAnsi" w:hAnsiTheme="majorHAnsi" w:cs="Arial"/>
                          <w:b/>
                          <w:bCs/>
                          <w:color w:val="0D0D0D" w:themeColor="text1" w:themeTint="F2"/>
                          <w:sz w:val="36"/>
                          <w:szCs w:val="22"/>
                          <w:lang w:val="pt-BR"/>
                        </w:rPr>
                        <w:t>77</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AB27FF">
                        <w:rPr>
                          <w:rFonts w:asciiTheme="majorHAnsi" w:hAnsiTheme="majorHAnsi" w:cs="Arial"/>
                          <w:b/>
                          <w:bCs/>
                          <w:color w:val="0D0D0D" w:themeColor="text1" w:themeTint="F2"/>
                          <w:sz w:val="36"/>
                          <w:szCs w:val="22"/>
                          <w:lang w:val="pt-BR"/>
                        </w:rPr>
                        <w:t>4</w:t>
                      </w:r>
                    </w:p>
                    <w:p w14:paraId="54CDA619" w14:textId="77777777" w:rsidR="00C3078F"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AB27FF">
                        <w:rPr>
                          <w:rFonts w:asciiTheme="majorHAnsi" w:hAnsiTheme="majorHAnsi" w:cs="Arial"/>
                          <w:b/>
                          <w:color w:val="0D0D0D" w:themeColor="text1" w:themeTint="F2"/>
                          <w:sz w:val="36"/>
                          <w:szCs w:val="22"/>
                          <w:lang w:val="pt-BR"/>
                        </w:rPr>
                        <w:t>2066-17</w:t>
                      </w:r>
                      <w:r w:rsidR="00246D1F" w:rsidRPr="00DA2224">
                        <w:rPr>
                          <w:rFonts w:asciiTheme="majorHAnsi" w:hAnsiTheme="majorHAnsi" w:cs="Arial"/>
                          <w:b/>
                          <w:color w:val="0D0D0D" w:themeColor="text1" w:themeTint="F2"/>
                          <w:sz w:val="36"/>
                          <w:szCs w:val="22"/>
                          <w:lang w:val="pt-BR"/>
                        </w:rPr>
                        <w:t xml:space="preserve"> </w:t>
                      </w:r>
                    </w:p>
                    <w:p w14:paraId="70CF6833" w14:textId="3DF756E7"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09DE1013" w14:textId="77777777" w:rsidR="00AB27FF" w:rsidRDefault="00AB27FF" w:rsidP="00997BC5">
                      <w:pPr>
                        <w:spacing w:line="276" w:lineRule="auto"/>
                        <w:rPr>
                          <w:rFonts w:asciiTheme="majorHAnsi" w:hAnsiTheme="majorHAnsi" w:cs="Arial"/>
                          <w:color w:val="0D0D0D" w:themeColor="text1" w:themeTint="F2"/>
                          <w:szCs w:val="22"/>
                          <w:lang w:val="pt-BR"/>
                        </w:rPr>
                      </w:pPr>
                      <w:bookmarkStart w:id="1" w:name="_ftnref1"/>
                    </w:p>
                    <w:p w14:paraId="69667410" w14:textId="77777777" w:rsidR="00CF0816" w:rsidRDefault="00AB27FF"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AA e BB</w:t>
                      </w:r>
                      <w:bookmarkEnd w:id="1"/>
                    </w:p>
                    <w:p w14:paraId="35068D0D" w14:textId="0C59BAF8"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txbxContent>
                </v:textbox>
              </v:shape>
            </w:pict>
          </mc:Fallback>
        </mc:AlternateContent>
      </w:r>
    </w:p>
    <w:p w14:paraId="155B053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0F63A67"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1A6B01">
                              <w:rPr>
                                <w:rFonts w:asciiTheme="majorHAnsi" w:hAnsiTheme="majorHAnsi"/>
                                <w:color w:val="0D0D0D" w:themeColor="text1" w:themeTint="F2"/>
                                <w:sz w:val="18"/>
                                <w:szCs w:val="22"/>
                                <w:lang w:val="pt-BR"/>
                              </w:rPr>
                              <w:t>3</w:t>
                            </w:r>
                            <w:r w:rsidR="00DD3D86" w:rsidRPr="0038709A">
                              <w:rPr>
                                <w:rFonts w:asciiTheme="majorHAnsi" w:hAnsiTheme="majorHAnsi"/>
                                <w:color w:val="0D0D0D" w:themeColor="text1" w:themeTint="F2"/>
                                <w:sz w:val="18"/>
                                <w:szCs w:val="22"/>
                                <w:lang w:val="pt-BR"/>
                              </w:rPr>
                              <w:t xml:space="preserve"> de </w:t>
                            </w:r>
                            <w:r w:rsidR="001A6B01">
                              <w:rPr>
                                <w:rFonts w:asciiTheme="majorHAnsi" w:hAnsiTheme="majorHAnsi"/>
                                <w:color w:val="0D0D0D" w:themeColor="text1" w:themeTint="F2"/>
                                <w:sz w:val="18"/>
                                <w:szCs w:val="22"/>
                                <w:lang w:val="pt-BR"/>
                              </w:rPr>
                              <w:t>junho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AB27FF">
                              <w:rPr>
                                <w:rFonts w:asciiTheme="majorHAnsi" w:hAnsiTheme="majorHAnsi"/>
                                <w:color w:val="0D0D0D" w:themeColor="text1" w:themeTint="F2"/>
                                <w:sz w:val="18"/>
                                <w:szCs w:val="22"/>
                                <w:lang w:val="pt-BR"/>
                              </w:rPr>
                              <w:t>4</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0F63A67"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1A6B01">
                        <w:rPr>
                          <w:rFonts w:asciiTheme="majorHAnsi" w:hAnsiTheme="majorHAnsi"/>
                          <w:color w:val="0D0D0D" w:themeColor="text1" w:themeTint="F2"/>
                          <w:sz w:val="18"/>
                          <w:szCs w:val="22"/>
                          <w:lang w:val="pt-BR"/>
                        </w:rPr>
                        <w:t>3</w:t>
                      </w:r>
                      <w:r w:rsidR="00DD3D86" w:rsidRPr="0038709A">
                        <w:rPr>
                          <w:rFonts w:asciiTheme="majorHAnsi" w:hAnsiTheme="majorHAnsi"/>
                          <w:color w:val="0D0D0D" w:themeColor="text1" w:themeTint="F2"/>
                          <w:sz w:val="18"/>
                          <w:szCs w:val="22"/>
                          <w:lang w:val="pt-BR"/>
                        </w:rPr>
                        <w:t xml:space="preserve"> de </w:t>
                      </w:r>
                      <w:r w:rsidR="001A6B01">
                        <w:rPr>
                          <w:rFonts w:asciiTheme="majorHAnsi" w:hAnsiTheme="majorHAnsi"/>
                          <w:color w:val="0D0D0D" w:themeColor="text1" w:themeTint="F2"/>
                          <w:sz w:val="18"/>
                          <w:szCs w:val="22"/>
                          <w:lang w:val="pt-BR"/>
                        </w:rPr>
                        <w:t>junho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AB27FF">
                        <w:rPr>
                          <w:rFonts w:asciiTheme="majorHAnsi" w:hAnsiTheme="majorHAnsi"/>
                          <w:color w:val="0D0D0D" w:themeColor="text1" w:themeTint="F2"/>
                          <w:sz w:val="18"/>
                          <w:szCs w:val="22"/>
                          <w:lang w:val="pt-BR"/>
                        </w:rPr>
                        <w:t>4</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DDCE2F2"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1A6B01">
                              <w:rPr>
                                <w:rFonts w:asciiTheme="majorHAnsi" w:hAnsiTheme="majorHAnsi"/>
                                <w:color w:val="595959" w:themeColor="text1" w:themeTint="A6"/>
                                <w:sz w:val="18"/>
                                <w:szCs w:val="18"/>
                                <w:lang w:val="pt-BR"/>
                              </w:rPr>
                              <w:t>77</w:t>
                            </w:r>
                            <w:r w:rsidR="0038709A" w:rsidRPr="0038709A">
                              <w:rPr>
                                <w:rFonts w:asciiTheme="majorHAnsi" w:hAnsiTheme="majorHAnsi"/>
                                <w:color w:val="595959" w:themeColor="text1" w:themeTint="A6"/>
                                <w:sz w:val="18"/>
                                <w:szCs w:val="18"/>
                                <w:lang w:val="pt-BR"/>
                              </w:rPr>
                              <w:t>/</w:t>
                            </w:r>
                            <w:r w:rsidR="001A6B01">
                              <w:rPr>
                                <w:rFonts w:asciiTheme="majorHAnsi" w:hAnsiTheme="majorHAnsi"/>
                                <w:color w:val="595959" w:themeColor="text1" w:themeTint="A6"/>
                                <w:sz w:val="18"/>
                                <w:szCs w:val="18"/>
                                <w:lang w:val="pt-BR"/>
                              </w:rPr>
                              <w:t>24</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AB27FF">
                              <w:rPr>
                                <w:rFonts w:asciiTheme="majorHAnsi" w:hAnsiTheme="majorHAnsi"/>
                                <w:color w:val="595959" w:themeColor="text1" w:themeTint="A6"/>
                                <w:sz w:val="18"/>
                                <w:szCs w:val="18"/>
                                <w:lang w:val="pt-BR"/>
                              </w:rPr>
                              <w:t>2066-17</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r w:rsidR="00AB27FF">
                              <w:rPr>
                                <w:rFonts w:asciiTheme="majorHAnsi" w:hAnsiTheme="majorHAnsi"/>
                                <w:color w:val="595959" w:themeColor="text1" w:themeTint="A6"/>
                                <w:sz w:val="18"/>
                                <w:szCs w:val="18"/>
                                <w:lang w:val="pt-BR"/>
                              </w:rPr>
                              <w:t>AA y BB</w:t>
                            </w:r>
                            <w:r w:rsidR="004F1F31">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1A6B01">
                              <w:rPr>
                                <w:rFonts w:asciiTheme="majorHAnsi" w:hAnsiTheme="majorHAnsi"/>
                                <w:color w:val="595959" w:themeColor="text1" w:themeTint="A6"/>
                                <w:sz w:val="18"/>
                                <w:szCs w:val="18"/>
                                <w:lang w:val="pt-BR"/>
                              </w:rPr>
                              <w:t>3 de junho de 2024</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6DDCE2F2"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1A6B01">
                        <w:rPr>
                          <w:rFonts w:asciiTheme="majorHAnsi" w:hAnsiTheme="majorHAnsi"/>
                          <w:color w:val="595959" w:themeColor="text1" w:themeTint="A6"/>
                          <w:sz w:val="18"/>
                          <w:szCs w:val="18"/>
                          <w:lang w:val="pt-BR"/>
                        </w:rPr>
                        <w:t>77</w:t>
                      </w:r>
                      <w:r w:rsidR="0038709A" w:rsidRPr="0038709A">
                        <w:rPr>
                          <w:rFonts w:asciiTheme="majorHAnsi" w:hAnsiTheme="majorHAnsi"/>
                          <w:color w:val="595959" w:themeColor="text1" w:themeTint="A6"/>
                          <w:sz w:val="18"/>
                          <w:szCs w:val="18"/>
                          <w:lang w:val="pt-BR"/>
                        </w:rPr>
                        <w:t>/</w:t>
                      </w:r>
                      <w:r w:rsidR="001A6B01">
                        <w:rPr>
                          <w:rFonts w:asciiTheme="majorHAnsi" w:hAnsiTheme="majorHAnsi"/>
                          <w:color w:val="595959" w:themeColor="text1" w:themeTint="A6"/>
                          <w:sz w:val="18"/>
                          <w:szCs w:val="18"/>
                          <w:lang w:val="pt-BR"/>
                        </w:rPr>
                        <w:t>24</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AB27FF">
                        <w:rPr>
                          <w:rFonts w:asciiTheme="majorHAnsi" w:hAnsiTheme="majorHAnsi"/>
                          <w:color w:val="595959" w:themeColor="text1" w:themeTint="A6"/>
                          <w:sz w:val="18"/>
                          <w:szCs w:val="18"/>
                          <w:lang w:val="pt-BR"/>
                        </w:rPr>
                        <w:t>2066-17</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r w:rsidR="00AB27FF">
                        <w:rPr>
                          <w:rFonts w:asciiTheme="majorHAnsi" w:hAnsiTheme="majorHAnsi"/>
                          <w:color w:val="595959" w:themeColor="text1" w:themeTint="A6"/>
                          <w:sz w:val="18"/>
                          <w:szCs w:val="18"/>
                          <w:lang w:val="pt-BR"/>
                        </w:rPr>
                        <w:t>AA y BB</w:t>
                      </w:r>
                      <w:r w:rsidR="004F1F31">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1A6B01">
                        <w:rPr>
                          <w:rFonts w:asciiTheme="majorHAnsi" w:hAnsiTheme="majorHAnsi"/>
                          <w:color w:val="595959" w:themeColor="text1" w:themeTint="A6"/>
                          <w:sz w:val="18"/>
                          <w:szCs w:val="18"/>
                          <w:lang w:val="pt-BR"/>
                        </w:rPr>
                        <w:t>3 de junho de 2024</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77777777" w:rsidR="0090270B" w:rsidRPr="008C651D" w:rsidRDefault="00D306D1" w:rsidP="005516A1">
      <w:pPr>
        <w:tabs>
          <w:tab w:val="center" w:pos="5400"/>
        </w:tabs>
        <w:suppressAutoHyphens/>
        <w:jc w:val="center"/>
        <w:rPr>
          <w:rFonts w:asciiTheme="majorHAnsi" w:hAnsiTheme="majorHAnsi"/>
          <w:b/>
          <w:color w:val="000000" w:themeColor="text1"/>
          <w:sz w:val="20"/>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mc:Fallback>
        </mc:AlternateContent>
      </w:r>
      <w:r w:rsidRPr="008C651D">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E43B8E7" w:rsidR="0070697F" w:rsidRPr="008C651D" w:rsidRDefault="004A6A54" w:rsidP="005516A1">
      <w:pPr>
        <w:tabs>
          <w:tab w:val="center" w:pos="5400"/>
        </w:tabs>
        <w:suppressAutoHyphens/>
        <w:jc w:val="center"/>
        <w:rPr>
          <w:rFonts w:asciiTheme="majorHAnsi" w:hAnsiTheme="majorHAnsi"/>
          <w:b/>
          <w:color w:val="000000" w:themeColor="text1"/>
          <w:sz w:val="20"/>
          <w:lang w:val="pt-BR"/>
        </w:rPr>
        <w:sectPr w:rsidR="0070697F" w:rsidRPr="008C651D" w:rsidSect="008F5C54">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C651D">
        <w:rPr>
          <w:rFonts w:asciiTheme="majorHAnsi" w:hAnsiTheme="majorHAnsi"/>
          <w:b/>
          <w:color w:val="000000" w:themeColor="text1"/>
          <w:sz w:val="20"/>
          <w:lang w:val="pt-BR"/>
        </w:rPr>
        <w:tab/>
      </w:r>
    </w:p>
    <w:p w14:paraId="376DDC8B" w14:textId="1B8154B1"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DAD</w:t>
      </w:r>
      <w:r w:rsidR="003239B8" w:rsidRPr="008C651D">
        <w:rPr>
          <w:rFonts w:asciiTheme="majorHAnsi" w:hAnsiTheme="majorHAnsi"/>
          <w:b/>
          <w:bCs/>
          <w:color w:val="000000" w:themeColor="text1"/>
          <w:sz w:val="20"/>
          <w:szCs w:val="20"/>
          <w:lang w:val="pt-BR"/>
        </w:rPr>
        <w:t xml:space="preserve">OS </w:t>
      </w:r>
      <w:r w:rsidRPr="008C651D">
        <w:rPr>
          <w:rFonts w:asciiTheme="majorHAnsi" w:hAnsiTheme="majorHAnsi"/>
          <w:b/>
          <w:bCs/>
          <w:color w:val="000000" w:themeColor="text1"/>
          <w:sz w:val="20"/>
          <w:szCs w:val="20"/>
          <w:lang w:val="pt-BR"/>
        </w:rPr>
        <w:t>DA PETIÇÃO</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B27FF" w:rsidRPr="00D1117E"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AB27FF" w:rsidRPr="008C651D" w:rsidRDefault="00AB27FF" w:rsidP="00AB27FF">
            <w:pPr>
              <w:shd w:val="clear" w:color="auto" w:fill="FFC000"/>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peticionária:</w:t>
            </w:r>
          </w:p>
        </w:tc>
        <w:tc>
          <w:tcPr>
            <w:tcW w:w="5760" w:type="dxa"/>
            <w:vAlign w:val="center"/>
          </w:tcPr>
          <w:p w14:paraId="3C5315D8" w14:textId="71EB32C4" w:rsidR="00AB27FF" w:rsidRPr="008C651D" w:rsidRDefault="00AB27FF" w:rsidP="00AB27FF">
            <w:pPr>
              <w:jc w:val="both"/>
              <w:rPr>
                <w:rFonts w:ascii="Cambria" w:hAnsi="Cambria"/>
                <w:bCs/>
                <w:color w:val="000000" w:themeColor="text1"/>
                <w:sz w:val="20"/>
                <w:szCs w:val="20"/>
                <w:lang w:val="pt-BR"/>
              </w:rPr>
            </w:pPr>
            <w:r>
              <w:rPr>
                <w:rFonts w:ascii="Cambria" w:hAnsi="Cambria"/>
                <w:bCs/>
                <w:color w:val="000000" w:themeColor="text1"/>
                <w:sz w:val="20"/>
                <w:szCs w:val="20"/>
                <w:lang w:val="pt-BR"/>
              </w:rPr>
              <w:t>AA</w:t>
            </w:r>
          </w:p>
        </w:tc>
      </w:tr>
      <w:tr w:rsidR="00AB27FF" w:rsidRPr="001A6B01"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5C969906" w:rsidR="00AB27FF" w:rsidRPr="008C651D" w:rsidRDefault="00AB27FF" w:rsidP="00AB27FF">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Possíveis vítimas:</w:t>
            </w:r>
          </w:p>
        </w:tc>
        <w:tc>
          <w:tcPr>
            <w:tcW w:w="5760" w:type="dxa"/>
            <w:vAlign w:val="center"/>
          </w:tcPr>
          <w:p w14:paraId="4AEBF59E" w14:textId="6D9B5B60" w:rsidR="00AB27FF" w:rsidRPr="007D1725" w:rsidRDefault="00AB27FF" w:rsidP="00AB27FF">
            <w:pPr>
              <w:jc w:val="both"/>
              <w:rPr>
                <w:rFonts w:ascii="Cambria" w:hAnsi="Cambria"/>
                <w:bCs/>
                <w:color w:val="000000" w:themeColor="text1"/>
                <w:sz w:val="20"/>
                <w:szCs w:val="20"/>
                <w:lang w:val="pt-BR"/>
              </w:rPr>
            </w:pPr>
            <w:r>
              <w:rPr>
                <w:rFonts w:ascii="Cambria" w:hAnsi="Cambria"/>
                <w:bCs/>
                <w:color w:val="000000" w:themeColor="text1"/>
                <w:sz w:val="20"/>
                <w:szCs w:val="20"/>
                <w:lang w:val="pt-BR"/>
              </w:rPr>
              <w:t>AA e sua filha BB</w:t>
            </w:r>
          </w:p>
        </w:tc>
      </w:tr>
      <w:tr w:rsidR="00AB27FF" w:rsidRPr="008C651D"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AB27FF" w:rsidRPr="008C651D" w:rsidRDefault="00AB27FF" w:rsidP="00AB27FF">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274C8A50" w14:textId="5EDC15F5" w:rsidR="00AB27FF" w:rsidRPr="008C651D" w:rsidRDefault="00AB27FF" w:rsidP="00AB27FF">
            <w:pPr>
              <w:jc w:val="both"/>
              <w:rPr>
                <w:rFonts w:ascii="Cambria" w:hAnsi="Cambria"/>
                <w:bCs/>
                <w:color w:val="000000" w:themeColor="text1"/>
                <w:sz w:val="20"/>
                <w:szCs w:val="20"/>
                <w:lang w:val="pt-BR"/>
              </w:rPr>
            </w:pPr>
            <w:r>
              <w:rPr>
                <w:rFonts w:ascii="Cambria" w:hAnsi="Cambria"/>
                <w:bCs/>
                <w:color w:val="000000" w:themeColor="text1"/>
                <w:sz w:val="20"/>
                <w:szCs w:val="20"/>
                <w:lang w:val="pt-BR"/>
              </w:rPr>
              <w:t>Brasil</w:t>
            </w:r>
          </w:p>
        </w:tc>
      </w:tr>
      <w:tr w:rsidR="00AB27FF" w:rsidRPr="001A6B01"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AB27FF" w:rsidRPr="008C651D" w:rsidRDefault="00AB27FF" w:rsidP="00AB27FF">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Direitos alegados:</w:t>
            </w:r>
          </w:p>
        </w:tc>
        <w:tc>
          <w:tcPr>
            <w:tcW w:w="5760" w:type="dxa"/>
            <w:vAlign w:val="center"/>
          </w:tcPr>
          <w:p w14:paraId="6DEE1EEB" w14:textId="512536D1" w:rsidR="00AB27FF" w:rsidRPr="00FA4AB8" w:rsidRDefault="00AB27FF" w:rsidP="00AB27FF">
            <w:pPr>
              <w:jc w:val="both"/>
              <w:rPr>
                <w:rFonts w:ascii="Cambria" w:hAnsi="Cambria"/>
                <w:bCs/>
                <w:color w:val="000000" w:themeColor="text1"/>
                <w:sz w:val="20"/>
                <w:szCs w:val="20"/>
                <w:lang w:val="pt-BR"/>
              </w:rPr>
            </w:pPr>
            <w:r w:rsidRPr="00AB27FF">
              <w:rPr>
                <w:rFonts w:ascii="Cambria" w:hAnsi="Cambria"/>
                <w:bCs/>
                <w:sz w:val="19"/>
                <w:szCs w:val="19"/>
                <w:lang w:val="pt-BR" w:bidi="es-ES"/>
              </w:rPr>
              <w:t>A peticionária denuncia genericamente a violação dos direitos das crianças e o direito à igualdade e imparcialidade nas investigações. Da leitura da petição, pode-se entender que a peticionária se refere aos direitos estabelecidos, entre outros, nos artigos 5 (integridade pessoal), 8 (garantias judiciais), 19 (direitos da criança) e 25 (proteção judicial) da Convenção Americana sobre Direitos Humanos</w:t>
            </w:r>
            <w:r>
              <w:rPr>
                <w:rStyle w:val="FootnoteReference"/>
                <w:rFonts w:ascii="Cambria" w:hAnsi="Cambria"/>
                <w:bCs/>
                <w:sz w:val="19"/>
                <w:szCs w:val="19"/>
                <w:lang w:val="es-MX" w:bidi="es-ES"/>
              </w:rPr>
              <w:footnoteReference w:id="2"/>
            </w:r>
            <w:r w:rsidRPr="00AB27FF">
              <w:rPr>
                <w:rFonts w:ascii="Cambria" w:hAnsi="Cambria"/>
                <w:bCs/>
                <w:sz w:val="19"/>
                <w:szCs w:val="19"/>
                <w:lang w:val="pt-BR" w:bidi="es-ES"/>
              </w:rPr>
              <w:t>; e outros instrumentos internacionais</w:t>
            </w:r>
            <w:r w:rsidRPr="004F479E">
              <w:rPr>
                <w:rFonts w:ascii="Cambria" w:hAnsi="Cambria"/>
                <w:sz w:val="19"/>
                <w:szCs w:val="19"/>
                <w:vertAlign w:val="superscript"/>
                <w:lang w:bidi="es-ES"/>
              </w:rPr>
              <w:footnoteReference w:id="3"/>
            </w:r>
          </w:p>
        </w:tc>
      </w:tr>
    </w:tbl>
    <w:p w14:paraId="20263696" w14:textId="4E5F0ADE" w:rsidR="003239B8" w:rsidRPr="008C651D" w:rsidRDefault="00A37F2E"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 xml:space="preserve">TRÂMITE </w:t>
      </w:r>
      <w:r w:rsidR="00646423">
        <w:rPr>
          <w:rFonts w:asciiTheme="majorHAnsi" w:hAnsiTheme="majorHAnsi"/>
          <w:b/>
          <w:bCs/>
          <w:color w:val="000000" w:themeColor="text1"/>
          <w:sz w:val="20"/>
          <w:szCs w:val="20"/>
          <w:lang w:val="pt-BR"/>
        </w:rPr>
        <w:t>PER</w:t>
      </w:r>
      <w:r w:rsidRPr="008C651D">
        <w:rPr>
          <w:rFonts w:asciiTheme="majorHAnsi" w:hAnsiTheme="majorHAnsi"/>
          <w:b/>
          <w:bCs/>
          <w:color w:val="000000" w:themeColor="text1"/>
          <w:sz w:val="20"/>
          <w:szCs w:val="20"/>
          <w:lang w:val="pt-BR"/>
        </w:rPr>
        <w:t>ANTE A</w:t>
      </w:r>
      <w:r w:rsidR="003239B8" w:rsidRPr="008C651D">
        <w:rPr>
          <w:rFonts w:asciiTheme="majorHAnsi" w:hAnsiTheme="majorHAnsi"/>
          <w:b/>
          <w:bCs/>
          <w:color w:val="000000" w:themeColor="text1"/>
          <w:sz w:val="20"/>
          <w:szCs w:val="20"/>
          <w:lang w:val="pt-BR"/>
        </w:rPr>
        <w:t xml:space="preserve"> CIDH</w:t>
      </w:r>
      <w:r w:rsidR="008E3BFE" w:rsidRPr="008C651D">
        <w:rPr>
          <w:rStyle w:val="FootnoteReference"/>
          <w:rFonts w:ascii="Cambria" w:hAnsi="Cambria"/>
          <w:b/>
          <w:color w:val="000000" w:themeColor="text1"/>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B27FF" w:rsidRPr="008C651D"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AB27FF" w:rsidRPr="008C651D" w:rsidRDefault="00AB27FF" w:rsidP="00AB27FF">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6E579153" w14:textId="287F8BFC" w:rsidR="00AB27FF" w:rsidRPr="008C651D" w:rsidRDefault="00AB27FF" w:rsidP="00AB27FF">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13 de novembro de 2017</w:t>
            </w:r>
          </w:p>
        </w:tc>
      </w:tr>
      <w:tr w:rsidR="00AB27FF" w:rsidRPr="001A6B01" w14:paraId="603B94D4" w14:textId="77777777" w:rsidTr="0022736D">
        <w:tc>
          <w:tcPr>
            <w:tcW w:w="3600" w:type="dxa"/>
            <w:tcBorders>
              <w:top w:val="single" w:sz="6" w:space="0" w:color="auto"/>
              <w:bottom w:val="single" w:sz="6" w:space="0" w:color="auto"/>
            </w:tcBorders>
            <w:shd w:val="clear" w:color="auto" w:fill="FFC000"/>
            <w:vAlign w:val="center"/>
          </w:tcPr>
          <w:p w14:paraId="0E877126" w14:textId="7C0B1188" w:rsidR="00AB27FF" w:rsidRPr="008C651D" w:rsidRDefault="00AB27FF" w:rsidP="00AB27FF">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Informação recebida durante a etapa de estudo:</w:t>
            </w:r>
          </w:p>
        </w:tc>
        <w:tc>
          <w:tcPr>
            <w:tcW w:w="5760" w:type="dxa"/>
            <w:vAlign w:val="center"/>
          </w:tcPr>
          <w:p w14:paraId="7D0C6996" w14:textId="51030607" w:rsidR="00AB27FF" w:rsidRDefault="00AB27FF" w:rsidP="00AB27FF">
            <w:pPr>
              <w:jc w:val="both"/>
              <w:rPr>
                <w:rFonts w:ascii="Cambria" w:hAnsi="Cambria"/>
                <w:bCs/>
                <w:color w:val="000000" w:themeColor="text1"/>
                <w:sz w:val="20"/>
                <w:szCs w:val="20"/>
                <w:lang w:val="pt-BR"/>
              </w:rPr>
            </w:pPr>
            <w:r>
              <w:rPr>
                <w:rFonts w:ascii="Cambria" w:hAnsi="Cambria"/>
                <w:bCs/>
                <w:color w:val="000000" w:themeColor="text1"/>
                <w:sz w:val="20"/>
                <w:szCs w:val="20"/>
                <w:lang w:val="pt-BR"/>
              </w:rPr>
              <w:t>6 de novembro de 2018 e 24 de agosto de 2021</w:t>
            </w:r>
          </w:p>
        </w:tc>
      </w:tr>
      <w:tr w:rsidR="00AB27FF" w:rsidRPr="00AB27FF"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AB27FF" w:rsidRPr="008C651D" w:rsidRDefault="00AB27FF" w:rsidP="00AB27FF">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Notificação da petição ao Estado:</w:t>
            </w:r>
          </w:p>
        </w:tc>
        <w:tc>
          <w:tcPr>
            <w:tcW w:w="5760" w:type="dxa"/>
            <w:vAlign w:val="center"/>
          </w:tcPr>
          <w:p w14:paraId="1519DA6A" w14:textId="27B3D275" w:rsidR="00AB27FF" w:rsidRPr="008C651D" w:rsidRDefault="00AB27FF" w:rsidP="00AB27FF">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14 de outubro de 2021</w:t>
            </w:r>
          </w:p>
        </w:tc>
      </w:tr>
      <w:tr w:rsidR="00AB27FF" w:rsidRPr="0048726D" w14:paraId="73590446" w14:textId="77777777" w:rsidTr="0022736D">
        <w:tc>
          <w:tcPr>
            <w:tcW w:w="3600" w:type="dxa"/>
            <w:tcBorders>
              <w:top w:val="single" w:sz="6" w:space="0" w:color="auto"/>
              <w:bottom w:val="single" w:sz="6" w:space="0" w:color="auto"/>
            </w:tcBorders>
            <w:shd w:val="clear" w:color="auto" w:fill="FFC000"/>
            <w:vAlign w:val="center"/>
          </w:tcPr>
          <w:p w14:paraId="31CFB31B" w14:textId="3256B32E" w:rsidR="00AB27FF" w:rsidRPr="008C651D" w:rsidRDefault="00AB27FF" w:rsidP="00AB27FF">
            <w:pPr>
              <w:jc w:val="center"/>
              <w:rPr>
                <w:rFonts w:ascii="Cambria" w:hAnsi="Cambria"/>
                <w:b/>
                <w:color w:val="000000" w:themeColor="text1"/>
                <w:sz w:val="20"/>
                <w:szCs w:val="20"/>
                <w:lang w:val="pt-BR"/>
              </w:rPr>
            </w:pPr>
            <w:r>
              <w:rPr>
                <w:rFonts w:ascii="Cambria" w:hAnsi="Cambria"/>
                <w:b/>
                <w:color w:val="000000" w:themeColor="text1"/>
                <w:sz w:val="20"/>
                <w:szCs w:val="20"/>
                <w:lang w:val="pt-BR"/>
              </w:rPr>
              <w:t>Solicitação de prorrogação:</w:t>
            </w:r>
          </w:p>
        </w:tc>
        <w:tc>
          <w:tcPr>
            <w:tcW w:w="5760" w:type="dxa"/>
            <w:vAlign w:val="center"/>
          </w:tcPr>
          <w:p w14:paraId="0816F245" w14:textId="19E96B36" w:rsidR="00AB27FF" w:rsidRDefault="00AB27FF" w:rsidP="00AB27FF">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14 de janeiro de 2022</w:t>
            </w:r>
          </w:p>
        </w:tc>
      </w:tr>
      <w:tr w:rsidR="00AB27FF" w:rsidRPr="008C651D"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AB27FF" w:rsidRPr="008C651D" w:rsidRDefault="00AB27FF" w:rsidP="00AB27FF">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Primeira resposta do Estado:</w:t>
            </w:r>
          </w:p>
        </w:tc>
        <w:tc>
          <w:tcPr>
            <w:tcW w:w="5760" w:type="dxa"/>
            <w:vAlign w:val="center"/>
          </w:tcPr>
          <w:p w14:paraId="1972B99E" w14:textId="2B1BF018" w:rsidR="00AB27FF" w:rsidRPr="008C651D" w:rsidRDefault="00AB27FF" w:rsidP="00AB27FF">
            <w:pPr>
              <w:jc w:val="both"/>
              <w:rPr>
                <w:rFonts w:ascii="Cambria" w:hAnsi="Cambria"/>
                <w:bCs/>
                <w:color w:val="000000" w:themeColor="text1"/>
                <w:sz w:val="20"/>
                <w:szCs w:val="20"/>
                <w:lang w:val="pt-BR"/>
              </w:rPr>
            </w:pPr>
            <w:r>
              <w:rPr>
                <w:rFonts w:ascii="Cambria" w:hAnsi="Cambria"/>
                <w:bCs/>
                <w:color w:val="000000" w:themeColor="text1"/>
                <w:sz w:val="20"/>
                <w:szCs w:val="20"/>
                <w:lang w:val="pt-BR"/>
              </w:rPr>
              <w:t>8 de fevereiro de 2022</w:t>
            </w:r>
          </w:p>
        </w:tc>
      </w:tr>
      <w:tr w:rsidR="00AB27FF" w:rsidRPr="001A6B01"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AB27FF" w:rsidRPr="008C651D" w:rsidRDefault="00AB27FF" w:rsidP="00AB27FF">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da parte peticionária:</w:t>
            </w:r>
          </w:p>
        </w:tc>
        <w:tc>
          <w:tcPr>
            <w:tcW w:w="5760" w:type="dxa"/>
            <w:vAlign w:val="center"/>
          </w:tcPr>
          <w:p w14:paraId="41D8B862" w14:textId="77DA93E7" w:rsidR="00AB27FF" w:rsidRPr="008C651D" w:rsidRDefault="00AB27FF" w:rsidP="00AB27FF">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23 de novembro de 2021 e 21 de janeiro de 2022</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COMPETÊ</w:t>
      </w:r>
      <w:r w:rsidR="003239B8" w:rsidRPr="008C651D">
        <w:rPr>
          <w:rFonts w:asciiTheme="majorHAnsi" w:hAnsiTheme="majorHAnsi"/>
          <w:b/>
          <w:bCs/>
          <w:color w:val="000000" w:themeColor="text1"/>
          <w:sz w:val="20"/>
          <w:szCs w:val="20"/>
          <w:lang w:val="pt-BR"/>
        </w:rPr>
        <w:t>NCIA</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31933" w:rsidRPr="008C651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8C651D" w:rsidRDefault="00D21316" w:rsidP="008D2290">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loci</w:t>
            </w:r>
            <w:r w:rsidR="003239B8" w:rsidRPr="008C651D">
              <w:rPr>
                <w:rFonts w:ascii="Cambria" w:hAnsi="Cambria"/>
                <w:b/>
                <w:bCs/>
                <w:color w:val="000000" w:themeColor="text1"/>
                <w:sz w:val="20"/>
                <w:szCs w:val="20"/>
                <w:lang w:val="pt-BR"/>
              </w:rPr>
              <w:t>:</w:t>
            </w:r>
          </w:p>
        </w:tc>
        <w:tc>
          <w:tcPr>
            <w:tcW w:w="5760" w:type="dxa"/>
            <w:vAlign w:val="center"/>
          </w:tcPr>
          <w:p w14:paraId="12C931CB" w14:textId="30042222"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temporis</w:t>
            </w:r>
            <w:r w:rsidR="003239B8" w:rsidRPr="008C651D">
              <w:rPr>
                <w:rFonts w:ascii="Cambria" w:hAnsi="Cambria"/>
                <w:b/>
                <w:bCs/>
                <w:color w:val="000000" w:themeColor="text1"/>
                <w:sz w:val="20"/>
                <w:szCs w:val="20"/>
                <w:lang w:val="pt-BR"/>
              </w:rPr>
              <w:t>:</w:t>
            </w:r>
          </w:p>
        </w:tc>
        <w:tc>
          <w:tcPr>
            <w:tcW w:w="5760" w:type="dxa"/>
            <w:vAlign w:val="center"/>
          </w:tcPr>
          <w:p w14:paraId="6F8B059B" w14:textId="299E2EF8" w:rsidR="003239B8" w:rsidRPr="008C651D" w:rsidRDefault="009959F6" w:rsidP="008D2290">
            <w:pPr>
              <w:rPr>
                <w:bCs/>
                <w:color w:val="000000" w:themeColor="text1"/>
                <w:sz w:val="20"/>
                <w:szCs w:val="20"/>
                <w:lang w:val="pt-BR"/>
              </w:rPr>
            </w:pPr>
            <w:r w:rsidRPr="008C651D">
              <w:rPr>
                <w:bCs/>
                <w:color w:val="000000" w:themeColor="text1"/>
                <w:sz w:val="20"/>
                <w:szCs w:val="20"/>
                <w:lang w:val="pt-BR"/>
              </w:rPr>
              <w:t>Sim</w:t>
            </w:r>
          </w:p>
        </w:tc>
      </w:tr>
      <w:tr w:rsidR="00E31933" w:rsidRPr="001A6B01"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materia</w:t>
            </w:r>
            <w:r w:rsidR="00EE00E9" w:rsidRPr="008C651D">
              <w:rPr>
                <w:rFonts w:ascii="Cambria" w:hAnsi="Cambria"/>
                <w:b/>
                <w:bCs/>
                <w:i/>
                <w:color w:val="000000" w:themeColor="text1"/>
                <w:sz w:val="20"/>
                <w:szCs w:val="20"/>
                <w:lang w:val="pt-BR"/>
              </w:rPr>
              <w:t>e</w:t>
            </w:r>
            <w:r w:rsidR="003239B8" w:rsidRPr="008C651D">
              <w:rPr>
                <w:rFonts w:ascii="Cambria" w:hAnsi="Cambria"/>
                <w:b/>
                <w:bCs/>
                <w:color w:val="000000" w:themeColor="text1"/>
                <w:sz w:val="20"/>
                <w:szCs w:val="20"/>
                <w:lang w:val="pt-BR"/>
              </w:rPr>
              <w:t>:</w:t>
            </w:r>
          </w:p>
        </w:tc>
        <w:tc>
          <w:tcPr>
            <w:tcW w:w="5760" w:type="dxa"/>
            <w:vAlign w:val="center"/>
          </w:tcPr>
          <w:p w14:paraId="0C122F44" w14:textId="465A9155" w:rsidR="003239B8" w:rsidRPr="008C651D" w:rsidRDefault="0038429C" w:rsidP="008D2290">
            <w:pPr>
              <w:jc w:val="both"/>
              <w:rPr>
                <w:rFonts w:ascii="Cambria" w:hAnsi="Cambria"/>
                <w:bCs/>
                <w:color w:val="000000" w:themeColor="text1"/>
                <w:sz w:val="20"/>
                <w:szCs w:val="20"/>
                <w:lang w:val="pt-BR"/>
              </w:rPr>
            </w:pPr>
            <w:r w:rsidRPr="0038429C">
              <w:rPr>
                <w:rFonts w:asciiTheme="majorHAnsi" w:hAnsiTheme="majorHAnsi"/>
                <w:bCs/>
                <w:color w:val="000000" w:themeColor="text1"/>
                <w:sz w:val="20"/>
                <w:szCs w:val="20"/>
                <w:lang w:val="pt-BR"/>
              </w:rPr>
              <w:t>Sim, Convenção Americana</w:t>
            </w:r>
            <w:r w:rsidR="000D4267">
              <w:rPr>
                <w:rFonts w:asciiTheme="majorHAnsi" w:hAnsiTheme="majorHAnsi"/>
                <w:bCs/>
                <w:color w:val="000000" w:themeColor="text1"/>
                <w:sz w:val="20"/>
                <w:szCs w:val="20"/>
                <w:lang w:val="pt-BR"/>
              </w:rPr>
              <w:t xml:space="preserve"> </w:t>
            </w:r>
            <w:r w:rsidRPr="0038429C">
              <w:rPr>
                <w:rFonts w:asciiTheme="majorHAnsi" w:hAnsiTheme="majorHAnsi"/>
                <w:bCs/>
                <w:color w:val="000000" w:themeColor="text1"/>
                <w:sz w:val="20"/>
                <w:szCs w:val="20"/>
                <w:lang w:val="pt-BR"/>
              </w:rPr>
              <w:t>(</w:t>
            </w:r>
            <w:r w:rsidR="000D4267">
              <w:rPr>
                <w:rFonts w:asciiTheme="majorHAnsi" w:hAnsiTheme="majorHAnsi"/>
                <w:bCs/>
                <w:color w:val="000000" w:themeColor="text1"/>
                <w:sz w:val="20"/>
                <w:szCs w:val="20"/>
                <w:lang w:val="pt-BR"/>
              </w:rPr>
              <w:t xml:space="preserve">depósito de instrumento </w:t>
            </w:r>
            <w:r w:rsidR="00010AA2">
              <w:rPr>
                <w:rFonts w:asciiTheme="majorHAnsi" w:hAnsiTheme="majorHAnsi"/>
                <w:bCs/>
                <w:color w:val="000000" w:themeColor="text1"/>
                <w:sz w:val="20"/>
                <w:szCs w:val="20"/>
                <w:lang w:val="pt-BR"/>
              </w:rPr>
              <w:t>em</w:t>
            </w:r>
            <w:r w:rsidRPr="0038429C">
              <w:rPr>
                <w:rFonts w:asciiTheme="majorHAnsi" w:hAnsiTheme="majorHAnsi"/>
                <w:bCs/>
                <w:color w:val="000000" w:themeColor="text1"/>
                <w:sz w:val="20"/>
                <w:szCs w:val="20"/>
                <w:lang w:val="pt-BR"/>
              </w:rPr>
              <w:t xml:space="preserve"> 25 de setembro de 1992)</w:t>
            </w:r>
            <w:r w:rsidR="00010AA2">
              <w:rPr>
                <w:rFonts w:asciiTheme="majorHAnsi" w:hAnsiTheme="majorHAnsi"/>
                <w:bCs/>
                <w:color w:val="000000" w:themeColor="text1"/>
                <w:sz w:val="20"/>
                <w:szCs w:val="20"/>
                <w:lang w:val="pt-BR"/>
              </w:rPr>
              <w:t xml:space="preserve"> e Convenção de Belém do Pará (depósito de instrumento realizado em 27 de novembro de 1995)</w:t>
            </w:r>
          </w:p>
        </w:tc>
      </w:tr>
    </w:tbl>
    <w:p w14:paraId="4E92C444" w14:textId="3D685744" w:rsidR="003239B8" w:rsidRPr="008C651D" w:rsidRDefault="003239B8"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DUPLICAÇÃO</w:t>
      </w:r>
      <w:r w:rsidR="00EE00E9"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bCs/>
          <w:color w:val="000000" w:themeColor="text1"/>
          <w:sz w:val="20"/>
          <w:szCs w:val="20"/>
          <w:lang w:val="pt-BR"/>
        </w:rPr>
        <w:t>DE PROCEDIMENTOS E</w:t>
      </w:r>
      <w:r w:rsidR="00EE00E9" w:rsidRPr="008C651D">
        <w:rPr>
          <w:rFonts w:asciiTheme="majorHAnsi" w:hAnsiTheme="majorHAnsi"/>
          <w:b/>
          <w:bCs/>
          <w:color w:val="000000" w:themeColor="text1"/>
          <w:sz w:val="20"/>
          <w:szCs w:val="20"/>
          <w:lang w:val="pt-BR"/>
        </w:rPr>
        <w:t xml:space="preserve"> CO</w:t>
      </w:r>
      <w:r w:rsidR="00D21316" w:rsidRPr="008C651D">
        <w:rPr>
          <w:rFonts w:asciiTheme="majorHAnsi" w:hAnsiTheme="majorHAnsi"/>
          <w:b/>
          <w:bCs/>
          <w:color w:val="000000" w:themeColor="text1"/>
          <w:sz w:val="20"/>
          <w:szCs w:val="20"/>
          <w:lang w:val="pt-BR"/>
        </w:rPr>
        <w:t>ISA JUL</w:t>
      </w:r>
      <w:r w:rsidR="00EE00E9" w:rsidRPr="008C651D">
        <w:rPr>
          <w:rFonts w:asciiTheme="majorHAnsi" w:hAnsiTheme="majorHAnsi"/>
          <w:b/>
          <w:bCs/>
          <w:color w:val="000000" w:themeColor="text1"/>
          <w:sz w:val="20"/>
          <w:szCs w:val="20"/>
          <w:lang w:val="pt-BR"/>
        </w:rPr>
        <w:t>GADA</w:t>
      </w:r>
      <w:r w:rsidR="00EE00E9" w:rsidRPr="008C651D">
        <w:rPr>
          <w:rFonts w:asciiTheme="majorHAnsi" w:hAnsiTheme="majorHAnsi"/>
          <w:b/>
          <w:bCs/>
          <w:i/>
          <w:color w:val="000000" w:themeColor="text1"/>
          <w:sz w:val="20"/>
          <w:szCs w:val="20"/>
          <w:lang w:val="pt-BR"/>
        </w:rPr>
        <w:t xml:space="preserve"> </w:t>
      </w:r>
      <w:r w:rsidR="00EE00E9" w:rsidRPr="008C651D">
        <w:rPr>
          <w:rFonts w:asciiTheme="majorHAnsi" w:hAnsiTheme="majorHAnsi"/>
          <w:b/>
          <w:bCs/>
          <w:color w:val="000000" w:themeColor="text1"/>
          <w:sz w:val="20"/>
          <w:szCs w:val="20"/>
          <w:lang w:val="pt-BR"/>
        </w:rPr>
        <w:t xml:space="preserve">INTERNACIONAL, </w:t>
      </w:r>
      <w:r w:rsidR="00D21316" w:rsidRPr="008C651D">
        <w:rPr>
          <w:rFonts w:asciiTheme="majorHAnsi" w:hAnsiTheme="majorHAnsi"/>
          <w:b/>
          <w:bCs/>
          <w:color w:val="000000" w:themeColor="text1"/>
          <w:sz w:val="20"/>
          <w:szCs w:val="20"/>
          <w:lang w:val="pt-BR"/>
        </w:rPr>
        <w:t>CARACTERIZAÇÃO</w:t>
      </w:r>
      <w:r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color w:val="000000" w:themeColor="text1"/>
          <w:sz w:val="20"/>
          <w:szCs w:val="20"/>
          <w:lang w:val="pt-BR"/>
        </w:rPr>
        <w:t>ESGOTAM</w:t>
      </w:r>
      <w:r w:rsidRPr="008C651D">
        <w:rPr>
          <w:rFonts w:asciiTheme="majorHAnsi" w:hAnsiTheme="majorHAnsi"/>
          <w:b/>
          <w:color w:val="000000" w:themeColor="text1"/>
          <w:sz w:val="20"/>
          <w:szCs w:val="20"/>
          <w:lang w:val="pt-BR"/>
        </w:rPr>
        <w:t>ENTO D</w:t>
      </w:r>
      <w:r w:rsidR="00D21316" w:rsidRPr="008C651D">
        <w:rPr>
          <w:rFonts w:asciiTheme="majorHAnsi" w:hAnsiTheme="majorHAnsi"/>
          <w:b/>
          <w:color w:val="000000" w:themeColor="text1"/>
          <w:sz w:val="20"/>
          <w:szCs w:val="20"/>
          <w:lang w:val="pt-BR"/>
        </w:rPr>
        <w:t>OS RECURSOS INTERNOS E PR</w:t>
      </w:r>
      <w:r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8C651D" w:rsidRPr="008C651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Duplicação de procedimentos e</w:t>
            </w:r>
            <w:r w:rsidR="00EE00E9" w:rsidRPr="008C651D">
              <w:rPr>
                <w:rFonts w:ascii="Cambria" w:hAnsi="Cambria"/>
                <w:b/>
                <w:bCs/>
                <w:color w:val="000000" w:themeColor="text1"/>
                <w:sz w:val="20"/>
                <w:szCs w:val="20"/>
                <w:lang w:val="pt-BR"/>
              </w:rPr>
              <w:t xml:space="preserve"> co</w:t>
            </w:r>
            <w:r w:rsidRPr="008C651D">
              <w:rPr>
                <w:rFonts w:ascii="Cambria" w:hAnsi="Cambria"/>
                <w:b/>
                <w:bCs/>
                <w:color w:val="000000" w:themeColor="text1"/>
                <w:sz w:val="20"/>
                <w:szCs w:val="20"/>
                <w:lang w:val="pt-BR"/>
              </w:rPr>
              <w:t>isa jul</w:t>
            </w:r>
            <w:r w:rsidR="00EE00E9" w:rsidRPr="008C651D">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8C651D" w:rsidRDefault="009959F6"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Não</w:t>
            </w:r>
          </w:p>
        </w:tc>
      </w:tr>
      <w:tr w:rsidR="008C651D" w:rsidRPr="001A6B01"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8C651D" w:rsidRDefault="00D21316" w:rsidP="00D21316">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Direitos</w:t>
            </w:r>
            <w:r w:rsidR="003239B8" w:rsidRPr="008C651D">
              <w:rPr>
                <w:rFonts w:ascii="Cambria" w:hAnsi="Cambria"/>
                <w:b/>
                <w:bCs/>
                <w:color w:val="000000" w:themeColor="text1"/>
                <w:sz w:val="20"/>
                <w:szCs w:val="20"/>
                <w:lang w:val="pt-BR"/>
              </w:rPr>
              <w:t xml:space="preserve"> declarados </w:t>
            </w:r>
            <w:r w:rsidRPr="008C651D">
              <w:rPr>
                <w:rFonts w:ascii="Cambria" w:hAnsi="Cambria"/>
                <w:b/>
                <w:bCs/>
                <w:color w:val="000000" w:themeColor="text1"/>
                <w:sz w:val="20"/>
                <w:szCs w:val="20"/>
                <w:lang w:val="pt-BR"/>
              </w:rPr>
              <w:t>admitidos</w:t>
            </w:r>
            <w:r w:rsidR="003239B8" w:rsidRPr="008C651D">
              <w:rPr>
                <w:rFonts w:ascii="Cambria" w:hAnsi="Cambria"/>
                <w:b/>
                <w:bCs/>
                <w:i/>
                <w:color w:val="000000" w:themeColor="text1"/>
                <w:sz w:val="20"/>
                <w:szCs w:val="20"/>
                <w:lang w:val="pt-BR"/>
              </w:rPr>
              <w:t>:</w:t>
            </w:r>
          </w:p>
        </w:tc>
        <w:tc>
          <w:tcPr>
            <w:tcW w:w="5760" w:type="dxa"/>
            <w:vAlign w:val="center"/>
          </w:tcPr>
          <w:p w14:paraId="6310C8F7" w14:textId="4DF4A24F" w:rsidR="003239B8" w:rsidRPr="008C651D" w:rsidRDefault="00FE089D" w:rsidP="00C12F6B">
            <w:pPr>
              <w:jc w:val="both"/>
              <w:rPr>
                <w:rFonts w:ascii="Cambria" w:hAnsi="Cambria"/>
                <w:bCs/>
                <w:color w:val="000000" w:themeColor="text1"/>
                <w:sz w:val="20"/>
                <w:szCs w:val="20"/>
                <w:lang w:val="pt-BR"/>
              </w:rPr>
            </w:pPr>
            <w:r>
              <w:rPr>
                <w:rFonts w:ascii="Cambria" w:hAnsi="Cambria"/>
                <w:bCs/>
                <w:color w:val="000000" w:themeColor="text1"/>
                <w:sz w:val="20"/>
                <w:szCs w:val="20"/>
                <w:lang w:val="pt-BR"/>
              </w:rPr>
              <w:t>A</w:t>
            </w:r>
            <w:r w:rsidRPr="00FE089D">
              <w:rPr>
                <w:rFonts w:ascii="Cambria" w:hAnsi="Cambria"/>
                <w:bCs/>
                <w:color w:val="000000" w:themeColor="text1"/>
                <w:sz w:val="20"/>
                <w:szCs w:val="20"/>
                <w:lang w:val="pt-BR"/>
              </w:rPr>
              <w:t>rtigos</w:t>
            </w:r>
            <w:r w:rsidR="00010AA2">
              <w:rPr>
                <w:rFonts w:ascii="Cambria" w:hAnsi="Cambria"/>
                <w:bCs/>
                <w:color w:val="000000" w:themeColor="text1"/>
                <w:sz w:val="20"/>
                <w:szCs w:val="20"/>
                <w:lang w:val="pt-BR"/>
              </w:rPr>
              <w:t xml:space="preserve"> 5 (integridade pessoal),</w:t>
            </w:r>
            <w:r w:rsidRPr="00FE089D">
              <w:rPr>
                <w:rFonts w:ascii="Cambria" w:hAnsi="Cambria"/>
                <w:bCs/>
                <w:color w:val="000000" w:themeColor="text1"/>
                <w:sz w:val="20"/>
                <w:szCs w:val="20"/>
                <w:lang w:val="pt-BR"/>
              </w:rPr>
              <w:t xml:space="preserve"> 8 (garantias judiciais),</w:t>
            </w:r>
            <w:r w:rsidR="00010AA2">
              <w:rPr>
                <w:rFonts w:ascii="Cambria" w:hAnsi="Cambria"/>
                <w:bCs/>
                <w:color w:val="000000" w:themeColor="text1"/>
                <w:sz w:val="20"/>
                <w:szCs w:val="20"/>
                <w:lang w:val="pt-BR"/>
              </w:rPr>
              <w:t xml:space="preserve"> 19 (direitos da criança)</w:t>
            </w:r>
            <w:r w:rsidRPr="00FE089D">
              <w:rPr>
                <w:rFonts w:ascii="Cambria" w:hAnsi="Cambria"/>
                <w:bCs/>
                <w:color w:val="000000" w:themeColor="text1"/>
                <w:sz w:val="20"/>
                <w:szCs w:val="20"/>
                <w:lang w:val="pt-BR"/>
              </w:rPr>
              <w:t xml:space="preserve"> e 25 (proteção judicial) da Convenção Americana</w:t>
            </w:r>
            <w:r w:rsidR="006006EA">
              <w:rPr>
                <w:rFonts w:ascii="Cambria" w:hAnsi="Cambria"/>
                <w:bCs/>
                <w:color w:val="000000" w:themeColor="text1"/>
                <w:sz w:val="20"/>
                <w:szCs w:val="20"/>
                <w:lang w:val="pt-BR"/>
              </w:rPr>
              <w:t>, em relação com seu</w:t>
            </w:r>
            <w:r w:rsidR="00010AA2">
              <w:rPr>
                <w:rFonts w:ascii="Cambria" w:hAnsi="Cambria"/>
                <w:bCs/>
                <w:color w:val="000000" w:themeColor="text1"/>
                <w:sz w:val="20"/>
                <w:szCs w:val="20"/>
                <w:lang w:val="pt-BR"/>
              </w:rPr>
              <w:t>s</w:t>
            </w:r>
            <w:r w:rsidR="006006EA">
              <w:rPr>
                <w:rFonts w:ascii="Cambria" w:hAnsi="Cambria"/>
                <w:bCs/>
                <w:color w:val="000000" w:themeColor="text1"/>
                <w:sz w:val="20"/>
                <w:szCs w:val="20"/>
                <w:lang w:val="pt-BR"/>
              </w:rPr>
              <w:t xml:space="preserve"> artigo</w:t>
            </w:r>
            <w:r w:rsidR="00010AA2">
              <w:rPr>
                <w:rFonts w:ascii="Cambria" w:hAnsi="Cambria"/>
                <w:bCs/>
                <w:color w:val="000000" w:themeColor="text1"/>
                <w:sz w:val="20"/>
                <w:szCs w:val="20"/>
                <w:lang w:val="pt-BR"/>
              </w:rPr>
              <w:t>s</w:t>
            </w:r>
            <w:r w:rsidR="006006EA">
              <w:rPr>
                <w:rFonts w:ascii="Cambria" w:hAnsi="Cambria"/>
                <w:bCs/>
                <w:color w:val="000000" w:themeColor="text1"/>
                <w:sz w:val="20"/>
                <w:szCs w:val="20"/>
                <w:lang w:val="pt-BR"/>
              </w:rPr>
              <w:t xml:space="preserve"> 1.1</w:t>
            </w:r>
            <w:r w:rsidR="00010AA2">
              <w:rPr>
                <w:rFonts w:ascii="Cambria" w:hAnsi="Cambria"/>
                <w:bCs/>
                <w:color w:val="000000" w:themeColor="text1"/>
                <w:sz w:val="20"/>
                <w:szCs w:val="20"/>
                <w:lang w:val="pt-BR"/>
              </w:rPr>
              <w:t xml:space="preserve"> (obrigação de respeitar os direitos) e 2 (dever de adotar disposições de direito interno); e Artigo 7 da Convenção de Belém do Pará</w:t>
            </w:r>
          </w:p>
        </w:tc>
      </w:tr>
      <w:tr w:rsidR="008C651D" w:rsidRPr="001A6B01"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8C651D" w:rsidRDefault="00D21316" w:rsidP="00D21316">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Esgotamento dos</w:t>
            </w:r>
            <w:r w:rsidR="003239B8" w:rsidRPr="008C651D">
              <w:rPr>
                <w:rFonts w:ascii="Cambria" w:hAnsi="Cambria"/>
                <w:b/>
                <w:bCs/>
                <w:color w:val="000000" w:themeColor="text1"/>
                <w:sz w:val="20"/>
                <w:szCs w:val="20"/>
                <w:lang w:val="pt-BR"/>
              </w:rPr>
              <w:t xml:space="preserve"> recursos internos</w:t>
            </w:r>
            <w:r w:rsidR="00EE00E9" w:rsidRPr="008C651D">
              <w:rPr>
                <w:rFonts w:ascii="Cambria" w:hAnsi="Cambria"/>
                <w:b/>
                <w:bCs/>
                <w:color w:val="000000" w:themeColor="text1"/>
                <w:sz w:val="20"/>
                <w:szCs w:val="20"/>
                <w:lang w:val="pt-BR"/>
              </w:rPr>
              <w:t xml:space="preserve"> o</w:t>
            </w:r>
            <w:r w:rsidRPr="008C651D">
              <w:rPr>
                <w:rFonts w:ascii="Cambria" w:hAnsi="Cambria"/>
                <w:b/>
                <w:bCs/>
                <w:color w:val="000000" w:themeColor="text1"/>
                <w:sz w:val="20"/>
                <w:szCs w:val="20"/>
                <w:lang w:val="pt-BR"/>
              </w:rPr>
              <w:t>u procedência de um</w:t>
            </w:r>
            <w:r w:rsidR="00EE00E9" w:rsidRPr="008C651D">
              <w:rPr>
                <w:rFonts w:ascii="Cambria" w:hAnsi="Cambria"/>
                <w:b/>
                <w:bCs/>
                <w:color w:val="000000" w:themeColor="text1"/>
                <w:sz w:val="20"/>
                <w:szCs w:val="20"/>
                <w:lang w:val="pt-BR"/>
              </w:rPr>
              <w:t xml:space="preserve">a </w:t>
            </w:r>
            <w:r w:rsidRPr="008C651D">
              <w:rPr>
                <w:rFonts w:ascii="Cambria" w:hAnsi="Cambria"/>
                <w:b/>
                <w:bCs/>
                <w:color w:val="000000" w:themeColor="text1"/>
                <w:sz w:val="20"/>
                <w:szCs w:val="20"/>
                <w:lang w:val="pt-BR"/>
              </w:rPr>
              <w:t>exceção</w:t>
            </w:r>
            <w:r w:rsidR="003239B8" w:rsidRPr="008C651D">
              <w:rPr>
                <w:rFonts w:ascii="Cambria" w:hAnsi="Cambria"/>
                <w:b/>
                <w:bCs/>
                <w:color w:val="000000" w:themeColor="text1"/>
                <w:sz w:val="20"/>
                <w:szCs w:val="20"/>
                <w:lang w:val="pt-BR"/>
              </w:rPr>
              <w:t>:</w:t>
            </w:r>
          </w:p>
        </w:tc>
        <w:tc>
          <w:tcPr>
            <w:tcW w:w="5760" w:type="dxa"/>
            <w:vAlign w:val="center"/>
          </w:tcPr>
          <w:p w14:paraId="69C53E8A" w14:textId="140F4950" w:rsidR="003239B8" w:rsidRPr="006660E3" w:rsidRDefault="002B6870" w:rsidP="008D2290">
            <w:pPr>
              <w:rPr>
                <w:rFonts w:ascii="Cambria" w:hAnsi="Cambria"/>
                <w:bCs/>
                <w:color w:val="000000" w:themeColor="text1"/>
                <w:sz w:val="20"/>
                <w:szCs w:val="20"/>
                <w:lang w:val="pt-BR"/>
              </w:rPr>
            </w:pPr>
            <w:r w:rsidRPr="006660E3">
              <w:rPr>
                <w:rFonts w:ascii="Cambria" w:hAnsi="Cambria"/>
                <w:bCs/>
                <w:color w:val="000000" w:themeColor="text1"/>
                <w:sz w:val="20"/>
                <w:szCs w:val="20"/>
                <w:lang w:val="pt-BR"/>
              </w:rPr>
              <w:t>Sim</w:t>
            </w:r>
            <w:r w:rsidR="0094523F">
              <w:rPr>
                <w:rFonts w:ascii="Cambria" w:hAnsi="Cambria"/>
                <w:bCs/>
                <w:color w:val="000000" w:themeColor="text1"/>
                <w:sz w:val="20"/>
                <w:szCs w:val="20"/>
                <w:lang w:val="pt-BR"/>
              </w:rPr>
              <w:t>,</w:t>
            </w:r>
            <w:r w:rsidR="006660E3" w:rsidRPr="006660E3">
              <w:rPr>
                <w:rFonts w:ascii="Cambria" w:hAnsi="Cambria"/>
                <w:bCs/>
                <w:color w:val="000000" w:themeColor="text1"/>
                <w:sz w:val="20"/>
                <w:szCs w:val="20"/>
                <w:lang w:val="pt-BR"/>
              </w:rPr>
              <w:t xml:space="preserve"> </w:t>
            </w:r>
            <w:r w:rsidR="000D4267">
              <w:rPr>
                <w:rFonts w:ascii="Cambria" w:hAnsi="Cambria"/>
                <w:bCs/>
                <w:color w:val="000000" w:themeColor="text1"/>
                <w:sz w:val="20"/>
                <w:szCs w:val="20"/>
                <w:lang w:val="pt-BR"/>
              </w:rPr>
              <w:t>nos termos da seção VI</w:t>
            </w:r>
          </w:p>
        </w:tc>
      </w:tr>
      <w:tr w:rsidR="008C651D" w:rsidRPr="001A6B01"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dentro do pr</w:t>
            </w:r>
            <w:r w:rsidR="003239B8" w:rsidRPr="008C651D">
              <w:rPr>
                <w:rFonts w:ascii="Cambria" w:hAnsi="Cambria"/>
                <w:b/>
                <w:bCs/>
                <w:color w:val="000000" w:themeColor="text1"/>
                <w:sz w:val="20"/>
                <w:szCs w:val="20"/>
                <w:lang w:val="pt-BR"/>
              </w:rPr>
              <w:t>azo:</w:t>
            </w:r>
          </w:p>
        </w:tc>
        <w:tc>
          <w:tcPr>
            <w:tcW w:w="5760" w:type="dxa"/>
            <w:vAlign w:val="center"/>
          </w:tcPr>
          <w:p w14:paraId="4A2A4569" w14:textId="0A975A99" w:rsidR="003239B8" w:rsidRPr="006660E3" w:rsidRDefault="000D4267" w:rsidP="008D2290">
            <w:pPr>
              <w:rPr>
                <w:rFonts w:ascii="Cambria" w:hAnsi="Cambria"/>
                <w:bCs/>
                <w:color w:val="000000" w:themeColor="text1"/>
                <w:sz w:val="20"/>
                <w:szCs w:val="20"/>
                <w:lang w:val="pt-BR"/>
              </w:rPr>
            </w:pPr>
            <w:r w:rsidRPr="006660E3">
              <w:rPr>
                <w:rFonts w:ascii="Cambria" w:hAnsi="Cambria"/>
                <w:bCs/>
                <w:color w:val="000000" w:themeColor="text1"/>
                <w:sz w:val="20"/>
                <w:szCs w:val="20"/>
                <w:lang w:val="pt-BR"/>
              </w:rPr>
              <w:t>Sim</w:t>
            </w:r>
            <w:r>
              <w:rPr>
                <w:rFonts w:ascii="Cambria" w:hAnsi="Cambria"/>
                <w:bCs/>
                <w:color w:val="000000" w:themeColor="text1"/>
                <w:sz w:val="20"/>
                <w:szCs w:val="20"/>
                <w:lang w:val="pt-BR"/>
              </w:rPr>
              <w:t>,</w:t>
            </w:r>
            <w:r w:rsidRPr="006660E3">
              <w:rPr>
                <w:rFonts w:ascii="Cambria" w:hAnsi="Cambria"/>
                <w:bCs/>
                <w:color w:val="000000" w:themeColor="text1"/>
                <w:sz w:val="20"/>
                <w:szCs w:val="20"/>
                <w:lang w:val="pt-BR"/>
              </w:rPr>
              <w:t xml:space="preserve"> </w:t>
            </w:r>
            <w:r>
              <w:rPr>
                <w:rFonts w:ascii="Cambria" w:hAnsi="Cambria"/>
                <w:bCs/>
                <w:color w:val="000000" w:themeColor="text1"/>
                <w:sz w:val="20"/>
                <w:szCs w:val="20"/>
                <w:lang w:val="pt-BR"/>
              </w:rPr>
              <w:t>nos termos da seção VI</w:t>
            </w:r>
          </w:p>
        </w:tc>
      </w:tr>
    </w:tbl>
    <w:p w14:paraId="4EB2619A" w14:textId="77777777" w:rsidR="00010AA2" w:rsidRDefault="00010AA2" w:rsidP="00A75799">
      <w:pPr>
        <w:spacing w:before="240" w:after="240"/>
        <w:ind w:firstLine="720"/>
        <w:jc w:val="both"/>
        <w:rPr>
          <w:rFonts w:asciiTheme="majorHAnsi" w:hAnsiTheme="majorHAnsi"/>
          <w:b/>
          <w:color w:val="000000" w:themeColor="text1"/>
          <w:sz w:val="20"/>
          <w:szCs w:val="20"/>
          <w:lang w:val="pt-BR"/>
        </w:rPr>
      </w:pPr>
    </w:p>
    <w:p w14:paraId="18E6423B" w14:textId="3D039D32" w:rsidR="003239B8" w:rsidRPr="008C651D" w:rsidRDefault="00223A29" w:rsidP="00A14B51">
      <w:pPr>
        <w:spacing w:after="240"/>
        <w:ind w:firstLine="720"/>
        <w:jc w:val="both"/>
        <w:rPr>
          <w:rFonts w:asciiTheme="majorHAnsi" w:hAnsiTheme="majorHAnsi"/>
          <w:b/>
          <w:color w:val="000000" w:themeColor="text1"/>
          <w:sz w:val="20"/>
          <w:szCs w:val="20"/>
          <w:lang w:val="pt-BR"/>
        </w:rPr>
      </w:pPr>
      <w:r w:rsidRPr="008C651D">
        <w:rPr>
          <w:rFonts w:asciiTheme="majorHAnsi" w:hAnsiTheme="majorHAnsi"/>
          <w:b/>
          <w:color w:val="000000" w:themeColor="text1"/>
          <w:sz w:val="20"/>
          <w:szCs w:val="20"/>
          <w:lang w:val="pt-BR"/>
        </w:rPr>
        <w:lastRenderedPageBreak/>
        <w:t xml:space="preserve">V. </w:t>
      </w:r>
      <w:r w:rsidRPr="008C651D">
        <w:rPr>
          <w:rFonts w:asciiTheme="majorHAnsi" w:hAnsiTheme="majorHAnsi"/>
          <w:b/>
          <w:color w:val="000000" w:themeColor="text1"/>
          <w:sz w:val="20"/>
          <w:szCs w:val="20"/>
          <w:lang w:val="pt-BR"/>
        </w:rPr>
        <w:tab/>
      </w:r>
      <w:r w:rsidR="000D4267">
        <w:rPr>
          <w:rFonts w:asciiTheme="majorHAnsi" w:hAnsiTheme="majorHAnsi"/>
          <w:b/>
          <w:color w:val="000000" w:themeColor="text1"/>
          <w:sz w:val="20"/>
          <w:szCs w:val="20"/>
          <w:lang w:val="pt-BR"/>
        </w:rPr>
        <w:t>POSIÇÃO DAS PARTES</w:t>
      </w:r>
      <w:r w:rsidR="003239B8" w:rsidRPr="008C651D">
        <w:rPr>
          <w:rFonts w:asciiTheme="majorHAnsi" w:hAnsiTheme="majorHAnsi"/>
          <w:b/>
          <w:color w:val="000000" w:themeColor="text1"/>
          <w:sz w:val="20"/>
          <w:szCs w:val="20"/>
          <w:lang w:val="pt-BR"/>
        </w:rPr>
        <w:t xml:space="preserve"> </w:t>
      </w:r>
    </w:p>
    <w:p w14:paraId="616F3F0C" w14:textId="07640719" w:rsidR="000D4267" w:rsidRPr="000D4267" w:rsidRDefault="000D4267" w:rsidP="00A14B51">
      <w:pPr>
        <w:pStyle w:val="ListParagraph"/>
        <w:spacing w:after="240"/>
        <w:jc w:val="both"/>
        <w:rPr>
          <w:i/>
          <w:iCs/>
          <w:sz w:val="20"/>
          <w:szCs w:val="20"/>
          <w:lang w:val="pt-BR"/>
        </w:rPr>
      </w:pPr>
      <w:bookmarkStart w:id="2" w:name="_Hlk80180807"/>
      <w:r w:rsidRPr="000D4267">
        <w:rPr>
          <w:i/>
          <w:iCs/>
          <w:sz w:val="20"/>
          <w:szCs w:val="20"/>
          <w:lang w:val="pt-BR"/>
        </w:rPr>
        <w:t>Posição da parte peticionária</w:t>
      </w:r>
    </w:p>
    <w:p w14:paraId="753349BF" w14:textId="5171C329" w:rsidR="00A14B51" w:rsidRDefault="00A14B51" w:rsidP="00A14B51">
      <w:pPr>
        <w:pStyle w:val="ListParagraph"/>
        <w:numPr>
          <w:ilvl w:val="0"/>
          <w:numId w:val="55"/>
        </w:numPr>
        <w:spacing w:after="240"/>
        <w:jc w:val="both"/>
        <w:rPr>
          <w:sz w:val="20"/>
          <w:szCs w:val="20"/>
          <w:lang w:val="pt-BR"/>
        </w:rPr>
      </w:pPr>
      <w:r w:rsidRPr="00A14B51">
        <w:rPr>
          <w:sz w:val="20"/>
          <w:szCs w:val="20"/>
          <w:lang w:val="pt-BR"/>
        </w:rPr>
        <w:t>A parte peticionária denuncia a impunidade gerada pelos processos internos diante da violência sexual sofrida por uma menina por parte de seu pai, apesar de ter sido comprovada a existência dessa violência. Além disso, aponta que a menina foi revitimizada através da realização de perícias, exames, entrevistas e confrontações, somad</w:t>
      </w:r>
      <w:r w:rsidR="00187F23">
        <w:rPr>
          <w:sz w:val="20"/>
          <w:szCs w:val="20"/>
          <w:lang w:val="pt-BR"/>
        </w:rPr>
        <w:t>as</w:t>
      </w:r>
      <w:r w:rsidRPr="00A14B51">
        <w:rPr>
          <w:sz w:val="20"/>
          <w:szCs w:val="20"/>
          <w:lang w:val="pt-BR"/>
        </w:rPr>
        <w:t xml:space="preserve"> à obrigação de conviver e buscar uma reconciliação com seu agressor.</w:t>
      </w:r>
    </w:p>
    <w:p w14:paraId="14D370B3" w14:textId="1EBB6429" w:rsidR="00A14B51" w:rsidRPr="00A14B51" w:rsidRDefault="00A14B51" w:rsidP="00A14B51">
      <w:pPr>
        <w:pStyle w:val="ListParagraph"/>
        <w:numPr>
          <w:ilvl w:val="0"/>
          <w:numId w:val="55"/>
        </w:numPr>
        <w:spacing w:after="240"/>
        <w:jc w:val="both"/>
        <w:rPr>
          <w:sz w:val="20"/>
          <w:szCs w:val="20"/>
          <w:lang w:val="pt-BR"/>
        </w:rPr>
      </w:pPr>
      <w:r w:rsidRPr="00A14B51">
        <w:rPr>
          <w:sz w:val="20"/>
          <w:szCs w:val="20"/>
          <w:lang w:val="pt-BR"/>
        </w:rPr>
        <w:t xml:space="preserve">A parte peticionária sustenta que a suposta vítima sofreu violação sexual por parte de seu pai durante visitas. Em 1º de outubro de 2013, a menor, então com três anos, manifestou dor na região anal, supostamente atribuída ao seu pai. No dia seguinte, sua mãe confrontou o pai, que reagiu agressivamente acusando a menina de mentir. Em 4 de outubro de 2013, a mãe levou a menina a uma consulta médica. A pediatra conversou com a menina, realizou um exame físico, encontrou edema e hiperemia na região anal, concluindo que havia suspeita de abuso como resultado do exame físico </w:t>
      </w:r>
      <w:r w:rsidR="00187F23">
        <w:rPr>
          <w:sz w:val="20"/>
          <w:szCs w:val="20"/>
          <w:lang w:val="pt-BR"/>
        </w:rPr>
        <w:t>em con</w:t>
      </w:r>
      <w:r w:rsidRPr="00A14B51">
        <w:rPr>
          <w:sz w:val="20"/>
          <w:szCs w:val="20"/>
          <w:lang w:val="pt-BR"/>
        </w:rPr>
        <w:t>junto com a declaração da menina de que seu ânus estava dolorido e machucado depois que seu pai a machucou com o dedo</w:t>
      </w:r>
      <w:r w:rsidR="00187F23">
        <w:rPr>
          <w:sz w:val="20"/>
          <w:szCs w:val="20"/>
          <w:lang w:val="pt-BR"/>
        </w:rPr>
        <w:t>.</w:t>
      </w:r>
      <w:r w:rsidRPr="00A14B51">
        <w:rPr>
          <w:sz w:val="20"/>
          <w:szCs w:val="20"/>
          <w:lang w:val="pt-BR"/>
        </w:rPr>
        <w:t xml:space="preserve"> Após uma nova confrontação, o pai alegou doença mental e falta de lembrança dos fatos. A mãe procurou orientação legal para solicitar o </w:t>
      </w:r>
      <w:r w:rsidRPr="00FA4AB8">
        <w:rPr>
          <w:color w:val="auto"/>
          <w:sz w:val="20"/>
          <w:szCs w:val="20"/>
          <w:lang w:val="pt-BR"/>
        </w:rPr>
        <w:t>divórcio e medidas de proteção, implementadas a partir de 11 de outubro de 2013 dentro de um processo de separação de corpos e afastamento</w:t>
      </w:r>
      <w:r w:rsidR="00FA4AB8" w:rsidRPr="00FA4AB8">
        <w:rPr>
          <w:color w:val="auto"/>
          <w:sz w:val="20"/>
          <w:szCs w:val="20"/>
          <w:lang w:val="pt-BR"/>
        </w:rPr>
        <w:t xml:space="preserve"> do cônjuge do lar</w:t>
      </w:r>
      <w:r w:rsidRPr="00FA4AB8">
        <w:rPr>
          <w:color w:val="auto"/>
          <w:sz w:val="20"/>
          <w:szCs w:val="20"/>
          <w:lang w:val="pt-BR"/>
        </w:rPr>
        <w:t xml:space="preserve">, incluindo uma </w:t>
      </w:r>
      <w:r w:rsidR="00FA4AB8" w:rsidRPr="00FA4AB8">
        <w:rPr>
          <w:color w:val="auto"/>
          <w:sz w:val="20"/>
          <w:szCs w:val="20"/>
          <w:lang w:val="pt-BR"/>
        </w:rPr>
        <w:t>medida de proibição e aproximação e pedido de guarda</w:t>
      </w:r>
      <w:r w:rsidRPr="00FA4AB8">
        <w:rPr>
          <w:color w:val="auto"/>
          <w:sz w:val="20"/>
          <w:szCs w:val="20"/>
          <w:lang w:val="pt-BR"/>
        </w:rPr>
        <w:t xml:space="preserve"> (processo 001036.20.2013</w:t>
      </w:r>
      <w:r w:rsidRPr="00A14B51">
        <w:rPr>
          <w:sz w:val="20"/>
          <w:szCs w:val="20"/>
          <w:lang w:val="pt-BR"/>
        </w:rPr>
        <w:t xml:space="preserve">.8.26.0010). Desde então, </w:t>
      </w:r>
      <w:r w:rsidR="00187F23">
        <w:rPr>
          <w:sz w:val="20"/>
          <w:szCs w:val="20"/>
          <w:lang w:val="pt-BR"/>
        </w:rPr>
        <w:t xml:space="preserve">e </w:t>
      </w:r>
      <w:r w:rsidRPr="00A14B51">
        <w:rPr>
          <w:sz w:val="20"/>
          <w:szCs w:val="20"/>
          <w:lang w:val="pt-BR"/>
        </w:rPr>
        <w:t>até a apresentação da denúncia à Comissão Interamericana, a menina tem estado sob cuidados psicológicos especializados em violência doméstica.</w:t>
      </w:r>
    </w:p>
    <w:p w14:paraId="5406339C" w14:textId="0C73D68F" w:rsidR="00A14B51" w:rsidRPr="00A14B51" w:rsidRDefault="00A14B51" w:rsidP="00A14B51">
      <w:pPr>
        <w:pStyle w:val="ListParagraph"/>
        <w:numPr>
          <w:ilvl w:val="0"/>
          <w:numId w:val="55"/>
        </w:numPr>
        <w:spacing w:after="240"/>
        <w:jc w:val="both"/>
        <w:rPr>
          <w:sz w:val="20"/>
          <w:szCs w:val="20"/>
          <w:lang w:val="pt-BR"/>
        </w:rPr>
      </w:pPr>
      <w:r w:rsidRPr="00A14B51">
        <w:rPr>
          <w:sz w:val="20"/>
          <w:szCs w:val="20"/>
          <w:lang w:val="pt-BR"/>
        </w:rPr>
        <w:t xml:space="preserve">Adicionalmente, a mãe iniciou um </w:t>
      </w:r>
      <w:r w:rsidRPr="00FA4AB8">
        <w:rPr>
          <w:color w:val="auto"/>
          <w:sz w:val="20"/>
          <w:szCs w:val="20"/>
          <w:lang w:val="pt-BR"/>
        </w:rPr>
        <w:t xml:space="preserve">processo de divórcio que incluiu </w:t>
      </w:r>
      <w:r w:rsidR="00187F23" w:rsidRPr="00FA4AB8">
        <w:rPr>
          <w:color w:val="auto"/>
          <w:sz w:val="20"/>
          <w:szCs w:val="20"/>
          <w:lang w:val="pt-BR"/>
        </w:rPr>
        <w:t>pedidos de</w:t>
      </w:r>
      <w:r w:rsidRPr="00FA4AB8">
        <w:rPr>
          <w:color w:val="auto"/>
          <w:sz w:val="20"/>
          <w:szCs w:val="20"/>
          <w:lang w:val="pt-BR"/>
        </w:rPr>
        <w:t xml:space="preserve"> perda da guarda por abuso sexual e divisão de bens, juntamente com o processo de medida </w:t>
      </w:r>
      <w:r w:rsidR="00FA4AB8" w:rsidRPr="00FA4AB8">
        <w:rPr>
          <w:color w:val="auto"/>
          <w:sz w:val="20"/>
          <w:szCs w:val="20"/>
          <w:lang w:val="pt-BR"/>
        </w:rPr>
        <w:t>cautelar</w:t>
      </w:r>
      <w:r w:rsidRPr="00FA4AB8">
        <w:rPr>
          <w:color w:val="auto"/>
          <w:sz w:val="20"/>
          <w:szCs w:val="20"/>
          <w:lang w:val="pt-BR"/>
        </w:rPr>
        <w:t xml:space="preserve"> de separação. A defesa do pai argumentou que a dor anal era devida a uma condição intestinal da menina, acusando a mãe de implantar falsas memórias de abuso em uma tentativa de alienação parental</w:t>
      </w:r>
      <w:r w:rsidRPr="00A14B51">
        <w:rPr>
          <w:sz w:val="20"/>
          <w:szCs w:val="20"/>
          <w:lang w:val="pt-BR"/>
        </w:rPr>
        <w:t xml:space="preserve">. Em setembro de 2016, o pai recebeu autorização para visitas supervisionadas. Devido a essas visitas, a menina apresentou ataques de pânico e pesadelos, sem que a autorização fosse revogada. Em julho de 2017, o juiz do divórcio ordenou à mãe pagar a um perito em alienação parental. A peticionária denuncia que este perito era amigo do assistente técnico do pai. Em agosto de 2017, o juiz </w:t>
      </w:r>
      <w:r w:rsidR="00187F23" w:rsidRPr="00A14B51">
        <w:rPr>
          <w:sz w:val="20"/>
          <w:szCs w:val="20"/>
          <w:lang w:val="pt-BR"/>
        </w:rPr>
        <w:t>explicou</w:t>
      </w:r>
      <w:r w:rsidRPr="00A14B51">
        <w:rPr>
          <w:sz w:val="20"/>
          <w:szCs w:val="20"/>
          <w:lang w:val="pt-BR"/>
        </w:rPr>
        <w:t xml:space="preserve"> que analisaria o reconhecimento de atos de alienação parental na sentença.</w:t>
      </w:r>
    </w:p>
    <w:p w14:paraId="2C71308D" w14:textId="13A7E8A8" w:rsidR="00A14B51" w:rsidRPr="00A14B51" w:rsidRDefault="00A14B51" w:rsidP="00A14B51">
      <w:pPr>
        <w:pStyle w:val="ListParagraph"/>
        <w:numPr>
          <w:ilvl w:val="0"/>
          <w:numId w:val="55"/>
        </w:numPr>
        <w:spacing w:after="240"/>
        <w:jc w:val="both"/>
        <w:rPr>
          <w:sz w:val="20"/>
          <w:szCs w:val="20"/>
          <w:lang w:val="pt-BR"/>
        </w:rPr>
      </w:pPr>
      <w:r w:rsidRPr="00A14B51">
        <w:rPr>
          <w:sz w:val="20"/>
          <w:szCs w:val="20"/>
          <w:lang w:val="pt-BR"/>
        </w:rPr>
        <w:t>Em 13 de novembro de 2019, o juiz realizou uma audiência de instrução e julgamento na qual determinou um regime de visitas semanais aos domingos, supervisionadas pela mãe, nas instalações do edifício onde ela reside. Em 12 de fevereiro de 2020, no contexto de uma nova audiência de conciliação, o juiz determinou visitas quinzenais na mesma forma que as anteriores, e o Ministério Público apresentou uma proposta para que os pais particip</w:t>
      </w:r>
      <w:r w:rsidR="00187F23">
        <w:rPr>
          <w:sz w:val="20"/>
          <w:szCs w:val="20"/>
          <w:lang w:val="pt-BR"/>
        </w:rPr>
        <w:t>ass</w:t>
      </w:r>
      <w:r w:rsidRPr="00A14B51">
        <w:rPr>
          <w:sz w:val="20"/>
          <w:szCs w:val="20"/>
          <w:lang w:val="pt-BR"/>
        </w:rPr>
        <w:t>em de uma “constelação familiar”.</w:t>
      </w:r>
    </w:p>
    <w:p w14:paraId="1082D7EC" w14:textId="1B1E97DA" w:rsidR="00A14B51" w:rsidRPr="00A14B51" w:rsidRDefault="00A14B51" w:rsidP="00A14B51">
      <w:pPr>
        <w:pStyle w:val="ListParagraph"/>
        <w:numPr>
          <w:ilvl w:val="0"/>
          <w:numId w:val="55"/>
        </w:numPr>
        <w:spacing w:after="240"/>
        <w:jc w:val="both"/>
        <w:rPr>
          <w:sz w:val="20"/>
          <w:szCs w:val="20"/>
          <w:lang w:val="pt-BR"/>
        </w:rPr>
      </w:pPr>
      <w:r w:rsidRPr="00A14B51">
        <w:rPr>
          <w:sz w:val="20"/>
          <w:szCs w:val="20"/>
          <w:lang w:val="pt-BR"/>
        </w:rPr>
        <w:t xml:space="preserve">Em 16 de novembro de 2021, o juiz emitiu a sentença de primeira instância. A peticionária argumenta que, apesar de evidências de maus-tratos, incluindo depoimentos da menina e profissionais (uma psicóloga e uma pediatra), o juiz ordenou retomar a convivência com o pai, inicialmente com acompanhamento terapêutico durante seis meses e depois sem restrições, ameaçando sancionar a mãe </w:t>
      </w:r>
      <w:r w:rsidR="00187F23">
        <w:rPr>
          <w:sz w:val="20"/>
          <w:szCs w:val="20"/>
          <w:lang w:val="pt-BR"/>
        </w:rPr>
        <w:t>se</w:t>
      </w:r>
      <w:r w:rsidRPr="00A14B51">
        <w:rPr>
          <w:sz w:val="20"/>
          <w:szCs w:val="20"/>
          <w:lang w:val="pt-BR"/>
        </w:rPr>
        <w:t xml:space="preserve"> </w:t>
      </w:r>
      <w:r w:rsidR="00187F23">
        <w:rPr>
          <w:sz w:val="20"/>
          <w:szCs w:val="20"/>
          <w:lang w:val="pt-BR"/>
        </w:rPr>
        <w:t xml:space="preserve">obstruísse </w:t>
      </w:r>
      <w:r w:rsidRPr="00A14B51">
        <w:rPr>
          <w:sz w:val="20"/>
          <w:szCs w:val="20"/>
          <w:lang w:val="pt-BR"/>
        </w:rPr>
        <w:t>as visitas.</w:t>
      </w:r>
    </w:p>
    <w:p w14:paraId="34182612" w14:textId="4F2BFCD8" w:rsidR="00A14B51" w:rsidRDefault="00A14B51" w:rsidP="00A14B51">
      <w:pPr>
        <w:pStyle w:val="ListParagraph"/>
        <w:numPr>
          <w:ilvl w:val="0"/>
          <w:numId w:val="55"/>
        </w:numPr>
        <w:spacing w:after="240"/>
        <w:jc w:val="both"/>
        <w:rPr>
          <w:sz w:val="20"/>
          <w:szCs w:val="20"/>
          <w:lang w:val="pt-BR"/>
        </w:rPr>
      </w:pPr>
      <w:r w:rsidRPr="00A14B51">
        <w:rPr>
          <w:sz w:val="20"/>
          <w:szCs w:val="20"/>
          <w:lang w:val="pt-BR"/>
        </w:rPr>
        <w:t xml:space="preserve">Por </w:t>
      </w:r>
      <w:r w:rsidRPr="00FA4AB8">
        <w:rPr>
          <w:color w:val="auto"/>
          <w:sz w:val="20"/>
          <w:szCs w:val="20"/>
          <w:lang w:val="pt-BR"/>
        </w:rPr>
        <w:t xml:space="preserve">outro lado, a peticionária informa também que a alegada violação sexual foi investigada criminalmente sob </w:t>
      </w:r>
      <w:r w:rsidR="00187F23" w:rsidRPr="00FA4AB8">
        <w:rPr>
          <w:color w:val="auto"/>
          <w:sz w:val="20"/>
          <w:szCs w:val="20"/>
          <w:lang w:val="pt-BR"/>
        </w:rPr>
        <w:t>o inquérito policial</w:t>
      </w:r>
      <w:r w:rsidRPr="00FA4AB8">
        <w:rPr>
          <w:color w:val="auto"/>
          <w:sz w:val="20"/>
          <w:szCs w:val="20"/>
          <w:lang w:val="pt-BR"/>
        </w:rPr>
        <w:t xml:space="preserve"> 278/2016, </w:t>
      </w:r>
      <w:r w:rsidR="00187F23" w:rsidRPr="00FA4AB8">
        <w:rPr>
          <w:color w:val="auto"/>
          <w:sz w:val="20"/>
          <w:szCs w:val="20"/>
          <w:lang w:val="pt-BR"/>
        </w:rPr>
        <w:t>seguido do</w:t>
      </w:r>
      <w:r w:rsidRPr="00FA4AB8">
        <w:rPr>
          <w:color w:val="auto"/>
          <w:sz w:val="20"/>
          <w:szCs w:val="20"/>
          <w:lang w:val="pt-BR"/>
        </w:rPr>
        <w:t xml:space="preserve"> processo 0006994-61.2016.8.26.0009 do </w:t>
      </w:r>
      <w:r w:rsidR="00FA4AB8" w:rsidRPr="00FA4AB8">
        <w:rPr>
          <w:color w:val="auto"/>
          <w:sz w:val="20"/>
          <w:szCs w:val="20"/>
          <w:lang w:val="pt-BR"/>
        </w:rPr>
        <w:t>Juízo Criminal do Foro Regional</w:t>
      </w:r>
      <w:r w:rsidRPr="00FA4AB8">
        <w:rPr>
          <w:color w:val="auto"/>
          <w:sz w:val="20"/>
          <w:szCs w:val="20"/>
          <w:lang w:val="pt-BR"/>
        </w:rPr>
        <w:t xml:space="preserve"> de Vila Prudente. O </w:t>
      </w:r>
      <w:r w:rsidR="00FA4AB8" w:rsidRPr="00FA4AB8">
        <w:rPr>
          <w:color w:val="auto"/>
          <w:sz w:val="20"/>
          <w:szCs w:val="20"/>
          <w:lang w:val="pt-BR"/>
        </w:rPr>
        <w:t>Juízo</w:t>
      </w:r>
      <w:r w:rsidRPr="00FA4AB8">
        <w:rPr>
          <w:color w:val="auto"/>
          <w:sz w:val="20"/>
          <w:szCs w:val="20"/>
          <w:lang w:val="pt-BR"/>
        </w:rPr>
        <w:t xml:space="preserve"> tomou depoimento </w:t>
      </w:r>
      <w:r w:rsidRPr="00A14B51">
        <w:rPr>
          <w:sz w:val="20"/>
          <w:szCs w:val="20"/>
          <w:lang w:val="pt-BR"/>
        </w:rPr>
        <w:t xml:space="preserve">de ambos os pais e promoveu uma avaliação psicológica da menina, adicionando seu depoimento ao caso em 18 de julho de 2017. Nos dias 2 e 9 de novembro de </w:t>
      </w:r>
      <w:r w:rsidRPr="00842C98">
        <w:rPr>
          <w:color w:val="auto"/>
          <w:sz w:val="20"/>
          <w:szCs w:val="20"/>
          <w:lang w:val="pt-BR"/>
        </w:rPr>
        <w:t xml:space="preserve">2017, </w:t>
      </w:r>
      <w:r w:rsidR="00187F23" w:rsidRPr="00842C98">
        <w:rPr>
          <w:color w:val="auto"/>
          <w:sz w:val="20"/>
          <w:szCs w:val="20"/>
          <w:lang w:val="pt-BR"/>
        </w:rPr>
        <w:t>foram ouvid</w:t>
      </w:r>
      <w:r w:rsidR="00FA4AB8" w:rsidRPr="00842C98">
        <w:rPr>
          <w:color w:val="auto"/>
          <w:sz w:val="20"/>
          <w:szCs w:val="20"/>
          <w:lang w:val="pt-BR"/>
        </w:rPr>
        <w:t>a</w:t>
      </w:r>
      <w:r w:rsidR="00187F23" w:rsidRPr="00842C98">
        <w:rPr>
          <w:color w:val="auto"/>
          <w:sz w:val="20"/>
          <w:szCs w:val="20"/>
          <w:lang w:val="pt-BR"/>
        </w:rPr>
        <w:t xml:space="preserve">s </w:t>
      </w:r>
      <w:r w:rsidR="00FA4AB8" w:rsidRPr="00842C98">
        <w:rPr>
          <w:color w:val="auto"/>
          <w:sz w:val="20"/>
          <w:szCs w:val="20"/>
          <w:lang w:val="pt-BR"/>
        </w:rPr>
        <w:t>a</w:t>
      </w:r>
      <w:r w:rsidRPr="00842C98">
        <w:rPr>
          <w:color w:val="auto"/>
          <w:sz w:val="20"/>
          <w:szCs w:val="20"/>
          <w:lang w:val="pt-BR"/>
        </w:rPr>
        <w:t xml:space="preserve"> pediatra e </w:t>
      </w:r>
      <w:r w:rsidR="00FA4AB8" w:rsidRPr="00842C98">
        <w:rPr>
          <w:color w:val="auto"/>
          <w:sz w:val="20"/>
          <w:szCs w:val="20"/>
          <w:lang w:val="pt-BR"/>
        </w:rPr>
        <w:t>a</w:t>
      </w:r>
      <w:r w:rsidRPr="00842C98">
        <w:rPr>
          <w:color w:val="auto"/>
          <w:sz w:val="20"/>
          <w:szCs w:val="20"/>
          <w:lang w:val="pt-BR"/>
        </w:rPr>
        <w:t xml:space="preserve"> psicólog</w:t>
      </w:r>
      <w:r w:rsidR="00FA4AB8" w:rsidRPr="00842C98">
        <w:rPr>
          <w:color w:val="auto"/>
          <w:sz w:val="20"/>
          <w:szCs w:val="20"/>
          <w:lang w:val="pt-BR"/>
        </w:rPr>
        <w:t>a</w:t>
      </w:r>
      <w:r w:rsidRPr="00842C98">
        <w:rPr>
          <w:color w:val="auto"/>
          <w:sz w:val="20"/>
          <w:szCs w:val="20"/>
          <w:lang w:val="pt-BR"/>
        </w:rPr>
        <w:t xml:space="preserve"> da menina. </w:t>
      </w:r>
      <w:r w:rsidR="00187F23" w:rsidRPr="00842C98">
        <w:rPr>
          <w:color w:val="auto"/>
          <w:sz w:val="20"/>
          <w:szCs w:val="20"/>
          <w:lang w:val="pt-BR"/>
        </w:rPr>
        <w:t>E</w:t>
      </w:r>
      <w:r w:rsidRPr="00842C98">
        <w:rPr>
          <w:color w:val="auto"/>
          <w:sz w:val="20"/>
          <w:szCs w:val="20"/>
          <w:lang w:val="pt-BR"/>
        </w:rPr>
        <w:t xml:space="preserve">m 9 de abril de 2019, </w:t>
      </w:r>
      <w:r w:rsidR="00FA4AB8" w:rsidRPr="00842C98">
        <w:rPr>
          <w:color w:val="auto"/>
          <w:sz w:val="20"/>
          <w:szCs w:val="20"/>
          <w:lang w:val="pt-BR"/>
        </w:rPr>
        <w:t>o Ministério Público</w:t>
      </w:r>
      <w:r w:rsidRPr="00842C98">
        <w:rPr>
          <w:color w:val="auto"/>
          <w:sz w:val="20"/>
          <w:szCs w:val="20"/>
          <w:lang w:val="pt-BR"/>
        </w:rPr>
        <w:t xml:space="preserve"> recomendou fechar o caso por insuficiência de provas, e o </w:t>
      </w:r>
      <w:r w:rsidR="00842C98" w:rsidRPr="00842C98">
        <w:rPr>
          <w:color w:val="auto"/>
          <w:sz w:val="20"/>
          <w:szCs w:val="20"/>
          <w:lang w:val="pt-BR"/>
        </w:rPr>
        <w:t xml:space="preserve">Juízo </w:t>
      </w:r>
      <w:r w:rsidRPr="00842C98">
        <w:rPr>
          <w:color w:val="auto"/>
          <w:sz w:val="20"/>
          <w:szCs w:val="20"/>
          <w:lang w:val="pt-BR"/>
        </w:rPr>
        <w:t xml:space="preserve">procedeu ao arquivamento dois dias depois, em 11 de abril. – A CIDH observa que as cópias </w:t>
      </w:r>
      <w:r w:rsidR="00842C98" w:rsidRPr="00842C98">
        <w:rPr>
          <w:color w:val="auto"/>
          <w:sz w:val="20"/>
          <w:szCs w:val="20"/>
          <w:lang w:val="pt-BR"/>
        </w:rPr>
        <w:t>da manifestação do Ministério Público</w:t>
      </w:r>
      <w:r w:rsidRPr="00842C98">
        <w:rPr>
          <w:color w:val="auto"/>
          <w:sz w:val="20"/>
          <w:szCs w:val="20"/>
          <w:lang w:val="pt-BR"/>
        </w:rPr>
        <w:t xml:space="preserve"> e da decisão judicial sobre o arquivamento sugerem que ambas foram concisas, limitando-se essencialmente a apontar a necessidade de arquivar o caso devido à falta </w:t>
      </w:r>
      <w:r w:rsidRPr="00A14B51">
        <w:rPr>
          <w:sz w:val="20"/>
          <w:szCs w:val="20"/>
          <w:lang w:val="pt-BR"/>
        </w:rPr>
        <w:t>de provas. –</w:t>
      </w:r>
    </w:p>
    <w:p w14:paraId="126B5B29" w14:textId="783EC697" w:rsidR="00A14B51" w:rsidRDefault="00A14B51" w:rsidP="00A14B51">
      <w:pPr>
        <w:pStyle w:val="ListParagraph"/>
        <w:numPr>
          <w:ilvl w:val="0"/>
          <w:numId w:val="55"/>
        </w:numPr>
        <w:spacing w:after="240"/>
        <w:jc w:val="both"/>
        <w:rPr>
          <w:sz w:val="20"/>
          <w:szCs w:val="20"/>
          <w:lang w:val="pt-BR"/>
        </w:rPr>
      </w:pPr>
      <w:r w:rsidRPr="00A14B51">
        <w:rPr>
          <w:sz w:val="20"/>
          <w:szCs w:val="20"/>
          <w:lang w:val="pt-BR"/>
        </w:rPr>
        <w:lastRenderedPageBreak/>
        <w:t>A parte peticionária sustenta que os direitos da menina foram violados não apenas pela violação sexual que sofreu, mas também pelo processo judicial que propiciou sua revitimização através de múltiplas indagações, exames e a exposição a situações traumáticas. Destaca especialmente a crítica ao processo de família, que, de maneira singular, impôs a obrigação de buscar uma reconciliação e convivência com seu agressor. Além disso, afirma que a abordagem de reconciliação e convivência não só ignora o trauma sofrido, mas também, segundo alega a peticionária, reflete uma falta de diligência e profundidade na investigação dos fatos no âmbito penal, sublinhando uma aparente negligência em proteger adequadamente os direitos da menina e assegurar justiça frente ao abuso experimentado.</w:t>
      </w:r>
    </w:p>
    <w:p w14:paraId="77DC24B5" w14:textId="27943D87" w:rsidR="00A14B51" w:rsidRDefault="00A14B51" w:rsidP="00A14B51">
      <w:pPr>
        <w:pStyle w:val="ListParagraph"/>
        <w:numPr>
          <w:ilvl w:val="0"/>
          <w:numId w:val="55"/>
        </w:numPr>
        <w:spacing w:after="240"/>
        <w:jc w:val="both"/>
        <w:rPr>
          <w:sz w:val="20"/>
          <w:szCs w:val="20"/>
          <w:lang w:val="pt-BR"/>
        </w:rPr>
      </w:pPr>
      <w:r w:rsidRPr="00A14B51">
        <w:rPr>
          <w:sz w:val="20"/>
          <w:szCs w:val="20"/>
          <w:lang w:val="pt-BR"/>
        </w:rPr>
        <w:t xml:space="preserve">Adicionalmente, a peticionária sustenta que as leis internas não asseguram o devido processo legal, dado que, a seu ver, a Lei 12.318/2010 incorporou ao ordenamento jurídico interno critérios de análise tendenciosos a respeito </w:t>
      </w:r>
      <w:r w:rsidRPr="00842C98">
        <w:rPr>
          <w:color w:val="auto"/>
          <w:sz w:val="20"/>
          <w:szCs w:val="20"/>
          <w:lang w:val="pt-BR"/>
        </w:rPr>
        <w:t xml:space="preserve">da chamada “alienação parental” que tendem a pressupor a falsidade das denúncias de abuso sexual. Além disso, indica que houve um atraso injustificado nos processos internos, o que se reflete no prolongado tempo requerido para agendar entrevistas com </w:t>
      </w:r>
      <w:r w:rsidR="00842C98" w:rsidRPr="00842C98">
        <w:rPr>
          <w:color w:val="auto"/>
          <w:sz w:val="20"/>
          <w:szCs w:val="20"/>
          <w:lang w:val="pt-BR"/>
        </w:rPr>
        <w:t>os peritos</w:t>
      </w:r>
      <w:r w:rsidRPr="00842C98">
        <w:rPr>
          <w:color w:val="auto"/>
          <w:sz w:val="20"/>
          <w:szCs w:val="20"/>
          <w:lang w:val="pt-BR"/>
        </w:rPr>
        <w:t xml:space="preserve">, e na excessiva </w:t>
      </w:r>
      <w:r w:rsidRPr="00A14B51">
        <w:rPr>
          <w:sz w:val="20"/>
          <w:szCs w:val="20"/>
          <w:lang w:val="pt-BR"/>
        </w:rPr>
        <w:t>demora na análise dos fatos de maneira geral.</w:t>
      </w:r>
    </w:p>
    <w:p w14:paraId="0B1BC1EC" w14:textId="44DE44BD" w:rsidR="00A75799" w:rsidRPr="00A75799" w:rsidRDefault="00A75799" w:rsidP="00A75799">
      <w:pPr>
        <w:pStyle w:val="ListParagraph"/>
        <w:spacing w:before="240" w:after="240"/>
        <w:jc w:val="both"/>
        <w:rPr>
          <w:i/>
          <w:iCs/>
          <w:sz w:val="20"/>
          <w:szCs w:val="20"/>
          <w:lang w:val="pt-BR"/>
        </w:rPr>
      </w:pPr>
      <w:r w:rsidRPr="00A75799">
        <w:rPr>
          <w:i/>
          <w:iCs/>
          <w:sz w:val="20"/>
          <w:szCs w:val="20"/>
          <w:lang w:val="pt-BR"/>
        </w:rPr>
        <w:t>Posição do Estado brasileiro</w:t>
      </w:r>
    </w:p>
    <w:p w14:paraId="5E602802" w14:textId="12E59697" w:rsidR="00A14B51" w:rsidRPr="00842C98" w:rsidRDefault="00A14B51" w:rsidP="00980B6C">
      <w:pPr>
        <w:pStyle w:val="ListParagraph"/>
        <w:numPr>
          <w:ilvl w:val="0"/>
          <w:numId w:val="55"/>
        </w:numPr>
        <w:spacing w:before="240" w:after="240"/>
        <w:jc w:val="both"/>
        <w:rPr>
          <w:sz w:val="20"/>
          <w:szCs w:val="20"/>
          <w:lang w:val="pt-BR"/>
        </w:rPr>
      </w:pPr>
      <w:r w:rsidRPr="00842C98">
        <w:rPr>
          <w:sz w:val="20"/>
          <w:szCs w:val="20"/>
          <w:lang w:val="pt-BR"/>
        </w:rPr>
        <w:t xml:space="preserve">O Estado esclarece, em primeiro lugar, que na sua interpretação a denúncia apresentada à CIDH refere-se </w:t>
      </w:r>
      <w:r w:rsidRPr="00842C98">
        <w:rPr>
          <w:color w:val="auto"/>
          <w:sz w:val="20"/>
          <w:szCs w:val="20"/>
          <w:lang w:val="pt-BR"/>
        </w:rPr>
        <w:t>essencialmente a alegadas violações de direitos humanos derivadas do processo judicial 0010366-20.2013.8.26.0010</w:t>
      </w:r>
      <w:r w:rsidR="00187F23" w:rsidRPr="00842C98">
        <w:rPr>
          <w:color w:val="auto"/>
          <w:sz w:val="20"/>
          <w:szCs w:val="20"/>
          <w:lang w:val="pt-BR"/>
        </w:rPr>
        <w:t xml:space="preserve"> relativo a</w:t>
      </w:r>
      <w:r w:rsidRPr="00842C98">
        <w:rPr>
          <w:color w:val="auto"/>
          <w:sz w:val="20"/>
          <w:szCs w:val="20"/>
          <w:lang w:val="pt-BR"/>
        </w:rPr>
        <w:t xml:space="preserve">o </w:t>
      </w:r>
      <w:r w:rsidR="00842C98" w:rsidRPr="00842C98">
        <w:rPr>
          <w:color w:val="auto"/>
          <w:sz w:val="20"/>
          <w:szCs w:val="20"/>
          <w:lang w:val="pt-BR"/>
        </w:rPr>
        <w:t>divórcio de seu cônjuge combinado com perda de poder familiar, que decidiu sobre a guarda de sua filha menor</w:t>
      </w:r>
      <w:r w:rsidRPr="00842C98">
        <w:rPr>
          <w:color w:val="auto"/>
          <w:sz w:val="20"/>
          <w:szCs w:val="20"/>
          <w:lang w:val="pt-BR"/>
        </w:rPr>
        <w:t>.</w:t>
      </w:r>
    </w:p>
    <w:p w14:paraId="4F63AA82" w14:textId="3B1614FE" w:rsidR="00A14B51" w:rsidRPr="00842C98" w:rsidRDefault="00A14B51" w:rsidP="00570308">
      <w:pPr>
        <w:pStyle w:val="ListParagraph"/>
        <w:numPr>
          <w:ilvl w:val="0"/>
          <w:numId w:val="55"/>
        </w:numPr>
        <w:spacing w:before="240" w:after="240"/>
        <w:jc w:val="both"/>
        <w:rPr>
          <w:color w:val="auto"/>
          <w:sz w:val="20"/>
          <w:szCs w:val="20"/>
          <w:lang w:val="pt-BR"/>
        </w:rPr>
      </w:pPr>
      <w:r w:rsidRPr="00A14B51">
        <w:rPr>
          <w:sz w:val="20"/>
          <w:szCs w:val="20"/>
          <w:lang w:val="pt-BR"/>
        </w:rPr>
        <w:t xml:space="preserve">O Estado alega que quando a denúncia foi feita à CIDH, ainda estavam em trâmite regular ações judiciais internas </w:t>
      </w:r>
      <w:r w:rsidRPr="00842C98">
        <w:rPr>
          <w:color w:val="auto"/>
          <w:sz w:val="20"/>
          <w:szCs w:val="20"/>
          <w:lang w:val="pt-BR"/>
        </w:rPr>
        <w:t xml:space="preserve">envolvendo a mãe e o pai da menina, perante </w:t>
      </w:r>
      <w:r w:rsidR="00842C98" w:rsidRPr="00842C98">
        <w:rPr>
          <w:color w:val="auto"/>
          <w:sz w:val="20"/>
          <w:szCs w:val="20"/>
          <w:lang w:val="pt-BR"/>
        </w:rPr>
        <w:t>a Primeira Vara de Família e Sucessões do Foro Regional do Ipiranga</w:t>
      </w:r>
      <w:r w:rsidRPr="00842C98">
        <w:rPr>
          <w:color w:val="auto"/>
          <w:sz w:val="20"/>
          <w:szCs w:val="20"/>
          <w:lang w:val="pt-BR"/>
        </w:rPr>
        <w:t xml:space="preserve">, com a realização das devidas diligências probatórias, diante das circunstâncias litigiosas do processo de divórcio e de decisão sobre a custódia da filha menor. Conforme a informação do </w:t>
      </w:r>
      <w:r w:rsidR="00842C98" w:rsidRPr="00842C98">
        <w:rPr>
          <w:color w:val="auto"/>
          <w:sz w:val="20"/>
          <w:szCs w:val="20"/>
          <w:lang w:val="pt-BR"/>
        </w:rPr>
        <w:t>Juízo</w:t>
      </w:r>
      <w:r w:rsidRPr="00842C98">
        <w:rPr>
          <w:color w:val="auto"/>
          <w:sz w:val="20"/>
          <w:szCs w:val="20"/>
          <w:lang w:val="pt-BR"/>
        </w:rPr>
        <w:t xml:space="preserve"> competente, tramitavam </w:t>
      </w:r>
      <w:r w:rsidRPr="00A14B51">
        <w:rPr>
          <w:sz w:val="20"/>
          <w:szCs w:val="20"/>
          <w:lang w:val="pt-BR"/>
        </w:rPr>
        <w:t xml:space="preserve">regularmente perante essa vara três procedimentos envolvendo as partes, com plena observância das garantias do </w:t>
      </w:r>
      <w:r w:rsidRPr="00842C98">
        <w:rPr>
          <w:color w:val="auto"/>
          <w:sz w:val="20"/>
          <w:szCs w:val="20"/>
          <w:lang w:val="pt-BR"/>
        </w:rPr>
        <w:t xml:space="preserve">devido processo e a defesa ampla, com a atuação regular do Ministério Público em todas as fases processuais. As partes foram devidamente notificadas, através de seus advogados constituídos, de todas as decisões emitidas pelo </w:t>
      </w:r>
      <w:r w:rsidR="00842C98" w:rsidRPr="00842C98">
        <w:rPr>
          <w:color w:val="auto"/>
          <w:sz w:val="20"/>
          <w:szCs w:val="20"/>
          <w:lang w:val="pt-BR"/>
        </w:rPr>
        <w:t>Juízo</w:t>
      </w:r>
      <w:r w:rsidRPr="00842C98">
        <w:rPr>
          <w:color w:val="auto"/>
          <w:sz w:val="20"/>
          <w:szCs w:val="20"/>
          <w:lang w:val="pt-BR"/>
        </w:rPr>
        <w:t xml:space="preserve">, tanto que se valeram, quando consideraram necessário, da utilização dos recursos legais disponíveis, todos avaliados e julgados pela instância superior. O </w:t>
      </w:r>
      <w:r w:rsidR="00842C98" w:rsidRPr="00842C98">
        <w:rPr>
          <w:color w:val="auto"/>
          <w:sz w:val="20"/>
          <w:szCs w:val="20"/>
          <w:lang w:val="pt-BR"/>
        </w:rPr>
        <w:t>Juízo</w:t>
      </w:r>
      <w:r w:rsidRPr="00842C98">
        <w:rPr>
          <w:color w:val="auto"/>
          <w:sz w:val="20"/>
          <w:szCs w:val="20"/>
          <w:lang w:val="pt-BR"/>
        </w:rPr>
        <w:t xml:space="preserve"> não negligenciou de determinar e garantir a produção de todas as provas que considerou importantes e necessárias para a plena proteção do direito de defesa, com o objetivo de orientar a formação de seu convencimento e propiciar o julgamento fundamentado do mérito das demandas ou procedimentos.</w:t>
      </w:r>
    </w:p>
    <w:p w14:paraId="43FF38DE" w14:textId="26DEF1CC" w:rsidR="00A14B51" w:rsidRPr="00842C98" w:rsidRDefault="00A14B51" w:rsidP="00570308">
      <w:pPr>
        <w:pStyle w:val="ListParagraph"/>
        <w:numPr>
          <w:ilvl w:val="0"/>
          <w:numId w:val="55"/>
        </w:numPr>
        <w:spacing w:before="240" w:after="240"/>
        <w:jc w:val="both"/>
        <w:rPr>
          <w:color w:val="auto"/>
          <w:sz w:val="20"/>
          <w:szCs w:val="20"/>
          <w:lang w:val="pt-BR"/>
        </w:rPr>
      </w:pPr>
      <w:r w:rsidRPr="00842C98">
        <w:rPr>
          <w:color w:val="auto"/>
          <w:sz w:val="20"/>
          <w:szCs w:val="20"/>
          <w:lang w:val="pt-BR"/>
        </w:rPr>
        <w:t xml:space="preserve">O Estado indica que em 16 de novembro de 2021 o </w:t>
      </w:r>
      <w:r w:rsidR="00842C98" w:rsidRPr="00842C98">
        <w:rPr>
          <w:color w:val="auto"/>
          <w:sz w:val="20"/>
          <w:szCs w:val="20"/>
          <w:lang w:val="pt-BR"/>
        </w:rPr>
        <w:t>Juízo</w:t>
      </w:r>
      <w:r w:rsidRPr="00842C98">
        <w:rPr>
          <w:color w:val="auto"/>
          <w:sz w:val="20"/>
          <w:szCs w:val="20"/>
          <w:lang w:val="pt-BR"/>
        </w:rPr>
        <w:t xml:space="preserve"> proferiu sentença em julgamento conjunto nos procedimentos em que litigavam o pai e a mãe. A sentença acolheu o pedido de custódia unilateral formulado pela mãe, desconsiderou o pedido de reconhecimento da prática de alienação parental por parte da mãe e determinou as condições de visitas do pai. Devido à natureza dos temas debatidos, para a proteção dos direitos das partes e a proteção da menor, os processos tramitaram em segredo de justiça. O Estado sustenta que o processo interno teve seus efeitos regulares, e que a petição tenta, de maneira indevida e desnecessária, provocar a CIDH a revisar os julgamentos internos. Indica, além disso, que a mãe tinha à sua disposição recursos adicionais frente à sentença de 16 de novembro de 2021, e que, portanto, não esgotou todos os recursos internos.</w:t>
      </w:r>
    </w:p>
    <w:p w14:paraId="079D6287" w14:textId="347BD3D6" w:rsidR="00A14B51" w:rsidRPr="00842C98" w:rsidRDefault="00A14B51" w:rsidP="00570308">
      <w:pPr>
        <w:pStyle w:val="ListParagraph"/>
        <w:numPr>
          <w:ilvl w:val="0"/>
          <w:numId w:val="55"/>
        </w:numPr>
        <w:spacing w:before="240" w:after="240"/>
        <w:jc w:val="both"/>
        <w:rPr>
          <w:color w:val="auto"/>
          <w:sz w:val="20"/>
          <w:szCs w:val="20"/>
          <w:lang w:val="pt-BR"/>
        </w:rPr>
      </w:pPr>
      <w:r w:rsidRPr="00842C98">
        <w:rPr>
          <w:color w:val="auto"/>
          <w:sz w:val="20"/>
          <w:szCs w:val="20"/>
          <w:lang w:val="pt-BR"/>
        </w:rPr>
        <w:t xml:space="preserve">O Estado argumenta, além disso, que nenhuma das exceções à regra do esgotamento prévio e do prazo de apresentação se aplica à petição, uma vez que o direito interno protege </w:t>
      </w:r>
      <w:r w:rsidR="00187F23" w:rsidRPr="00842C98">
        <w:rPr>
          <w:color w:val="auto"/>
          <w:sz w:val="20"/>
          <w:szCs w:val="20"/>
          <w:lang w:val="pt-BR"/>
        </w:rPr>
        <w:t xml:space="preserve">robustamente </w:t>
      </w:r>
      <w:r w:rsidRPr="00842C98">
        <w:rPr>
          <w:color w:val="auto"/>
          <w:sz w:val="20"/>
          <w:szCs w:val="20"/>
          <w:lang w:val="pt-BR"/>
        </w:rPr>
        <w:t>o devido processo legal, o Estado não apresentou obstáculos para que a mãe buscasse proteção judicial interna, e não houve demora injustificada na decisão sobre os recursos interpostos.</w:t>
      </w:r>
    </w:p>
    <w:p w14:paraId="028C10F4" w14:textId="4804E5FF" w:rsidR="00A14B51" w:rsidRPr="00842C98" w:rsidRDefault="00A14B51" w:rsidP="00570308">
      <w:pPr>
        <w:pStyle w:val="ListParagraph"/>
        <w:numPr>
          <w:ilvl w:val="0"/>
          <w:numId w:val="55"/>
        </w:numPr>
        <w:spacing w:before="240" w:after="240"/>
        <w:jc w:val="both"/>
        <w:rPr>
          <w:color w:val="auto"/>
          <w:sz w:val="20"/>
          <w:szCs w:val="20"/>
          <w:lang w:val="pt-BR"/>
        </w:rPr>
      </w:pPr>
      <w:r w:rsidRPr="00842C98">
        <w:rPr>
          <w:color w:val="auto"/>
          <w:sz w:val="20"/>
          <w:szCs w:val="20"/>
          <w:lang w:val="pt-BR"/>
        </w:rPr>
        <w:t xml:space="preserve">Adicionalmente, o Estado sustenta que a petição não cumpre com o requisito do prazo de apresentação porque, no momento da denúncia à CIDH, a peticionária ainda não havia esgotado os recursos existentes, tendo a peticionária, aparentemente, precipitado a conclusão de que o poder judiciário interno a declararia como incidente em alienação parental e não consideraria seu pedido de guarda unilateral da menor. </w:t>
      </w:r>
      <w:r w:rsidRPr="00842C98">
        <w:rPr>
          <w:color w:val="auto"/>
          <w:sz w:val="20"/>
          <w:szCs w:val="20"/>
          <w:lang w:val="pt-BR"/>
        </w:rPr>
        <w:lastRenderedPageBreak/>
        <w:t>Assim, a instância internacional foi acionada antes que a justiça civil interna pudesse finalizar sua análise da situação controvertida, de contornos fáticos desafiantes, que envolviam mais que apenas questões de direito e que requereram uma robusta produção de provas.</w:t>
      </w:r>
    </w:p>
    <w:p w14:paraId="4B1E2C7F" w14:textId="37E08527" w:rsidR="00A14B51" w:rsidRPr="00842C98" w:rsidRDefault="00A14B51" w:rsidP="00570308">
      <w:pPr>
        <w:pStyle w:val="ListParagraph"/>
        <w:numPr>
          <w:ilvl w:val="0"/>
          <w:numId w:val="55"/>
        </w:numPr>
        <w:spacing w:before="240" w:after="240"/>
        <w:jc w:val="both"/>
        <w:rPr>
          <w:color w:val="auto"/>
          <w:sz w:val="20"/>
          <w:szCs w:val="20"/>
          <w:lang w:val="pt-BR"/>
        </w:rPr>
      </w:pPr>
      <w:r w:rsidRPr="00842C98">
        <w:rPr>
          <w:color w:val="auto"/>
          <w:sz w:val="20"/>
          <w:szCs w:val="20"/>
          <w:lang w:val="pt-BR"/>
        </w:rPr>
        <w:t>O Estado também considera que a petição é inadmissível devido ao princípio de subsidiariedade que rege o Sistema Interamericano de Proteção dos Direitos Humanos. Argumenta que o sistema de petições e casos está destinado a atuar quando as autoridades domésticas não protegeram adequadamente as vítimas, e não como um mecanismo para revisar decisões judiciais nacionais que foram tomadas dentro do âmbito de suas competências e com as garantias judiciais adequadas. Em conclusão, considera que a petição é inadmissível porque não apresenta fatos violadores da Convenção. Neste sentido, aponta que os julgamentos internos reconheceram a guarda unilateral solicitada pela mãe e rejeitaram as alegações de alienação parental, demonstrando o compromisso do Estado com a proteção judicial efetiva dos direitos humanos.</w:t>
      </w:r>
    </w:p>
    <w:p w14:paraId="16CA13B5" w14:textId="41835B44" w:rsidR="004E39F6" w:rsidRPr="00842C98" w:rsidRDefault="004E39F6" w:rsidP="00A75799">
      <w:pPr>
        <w:pStyle w:val="ListParagraph"/>
        <w:spacing w:before="240" w:after="240"/>
        <w:ind w:left="0" w:firstLine="720"/>
        <w:jc w:val="both"/>
        <w:rPr>
          <w:rFonts w:asciiTheme="majorHAnsi" w:hAnsiTheme="majorHAnsi"/>
          <w:b/>
          <w:bCs/>
          <w:color w:val="auto"/>
          <w:sz w:val="20"/>
          <w:szCs w:val="20"/>
          <w:lang w:val="pt-BR"/>
        </w:rPr>
      </w:pPr>
      <w:r w:rsidRPr="00842C98">
        <w:rPr>
          <w:rFonts w:asciiTheme="majorHAnsi" w:hAnsiTheme="majorHAnsi"/>
          <w:b/>
          <w:bCs/>
          <w:color w:val="auto"/>
          <w:sz w:val="20"/>
          <w:szCs w:val="20"/>
          <w:lang w:val="pt-BR"/>
        </w:rPr>
        <w:t>V.</w:t>
      </w:r>
      <w:r w:rsidRPr="00842C98">
        <w:rPr>
          <w:rFonts w:asciiTheme="majorHAnsi" w:hAnsiTheme="majorHAnsi"/>
          <w:b/>
          <w:bCs/>
          <w:color w:val="auto"/>
          <w:sz w:val="20"/>
          <w:szCs w:val="20"/>
          <w:lang w:val="pt-BR"/>
        </w:rPr>
        <w:tab/>
        <w:t>ANÁLISE DE ESGOTAMENTO DOS RECURSOS INTERNOS E PRAZO DE APRESENTAÇÃO</w:t>
      </w:r>
    </w:p>
    <w:p w14:paraId="0AB041EE" w14:textId="2ECF9869" w:rsidR="00A14B51" w:rsidRPr="00842C98" w:rsidRDefault="00A14B51"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lang w:val="pt-BR"/>
        </w:rPr>
      </w:pPr>
      <w:r w:rsidRPr="00842C98">
        <w:rPr>
          <w:rFonts w:asciiTheme="majorHAnsi" w:hAnsiTheme="majorHAnsi"/>
          <w:sz w:val="19"/>
          <w:szCs w:val="19"/>
          <w:lang w:val="pt-BR"/>
        </w:rPr>
        <w:t xml:space="preserve">A Comissão Interamericana observa que a petição </w:t>
      </w:r>
      <w:r w:rsidR="00187F23" w:rsidRPr="00842C98">
        <w:rPr>
          <w:rFonts w:asciiTheme="majorHAnsi" w:hAnsiTheme="majorHAnsi"/>
          <w:sz w:val="19"/>
          <w:szCs w:val="19"/>
          <w:lang w:val="pt-BR"/>
        </w:rPr>
        <w:t>se refere</w:t>
      </w:r>
      <w:r w:rsidRPr="00842C98">
        <w:rPr>
          <w:rFonts w:asciiTheme="majorHAnsi" w:hAnsiTheme="majorHAnsi"/>
          <w:sz w:val="19"/>
          <w:szCs w:val="19"/>
          <w:lang w:val="pt-BR"/>
        </w:rPr>
        <w:t xml:space="preserve"> a dois temas principais: i) a falta de investigação e sanção, no âmbito penal, da violência sexual cometida contra uma menina por parte de seu pai; ii) irregularidades no âmbito do processo civil que incluíram medidas inadequadas para a reconciliação e convivência entre o agressor e sua família.</w:t>
      </w:r>
    </w:p>
    <w:p w14:paraId="0F331FEF" w14:textId="1BDF2299" w:rsidR="00A14B51" w:rsidRPr="00842C98" w:rsidRDefault="00A14B51"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lang w:val="pt-BR"/>
        </w:rPr>
      </w:pPr>
      <w:r w:rsidRPr="00842C98">
        <w:rPr>
          <w:rFonts w:asciiTheme="majorHAnsi" w:hAnsiTheme="majorHAnsi"/>
          <w:sz w:val="19"/>
          <w:szCs w:val="19"/>
          <w:lang w:val="pt-BR"/>
        </w:rPr>
        <w:t>O Estado brasileiro sustenta a necessidade de esgotar os recursos internos antes de proceder à apresentação de uma denúncia à CIDH. No entanto, mesmo que se adotasse uma interpretação diferente quanto ao momento oportuno para o esgotamento desses recursos no caso em questão, estes ainda não teriam sido esgotados, dado que a sentença sobre o fundo do assunto civil foi emitida em 16 de novembro de 2021 e a peticionária ainda contava com a possibilidade de utilizar recursos ordinários contra esta decisão judicial. O Estado também indica que, além desses recursos, a parte continua tendo a opção de recorrer ao Poder Judicial interno para outros reclamos, caso persistam questões pendentes relacionadas à guarda e ao regime de poder familiar. Finalmente, o Estado argumenta que a petição não cumpriu com o prazo de seis meses para sua apresentação, já que se recorreu à instância internacional antes que a jurisdição civil interna finalizasse sua avaliação da situação controvertida.</w:t>
      </w:r>
    </w:p>
    <w:p w14:paraId="001FA9FF" w14:textId="7E0519B0" w:rsidR="00A14B51" w:rsidRPr="00842C98" w:rsidRDefault="00A14B51"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lang w:val="pt-BR"/>
        </w:rPr>
      </w:pPr>
      <w:r w:rsidRPr="00842C98">
        <w:rPr>
          <w:rFonts w:asciiTheme="majorHAnsi" w:hAnsiTheme="majorHAnsi"/>
          <w:sz w:val="19"/>
          <w:szCs w:val="19"/>
          <w:lang w:val="pt-BR"/>
        </w:rPr>
        <w:t>Diante destas considerações, a CIDH reitera que a análise sobre os requisitos previstos nos artigos 46 e 47 da Convenção deve ser feita à luz da situação vigente no momento em que se pronuncia sobre a admissibilidade ou inadmissibilidade da reclamação. É muito frequente que, durante a tramitação, haja mudanças no estado de esgotamento dos recursos internos. No entanto, o sistema de petições e casos assegura que tanto o Estado quanto o peticionário tenham a plena oportunidade para apresentar informações e alegações a respeito</w:t>
      </w:r>
      <w:r w:rsidR="00625702" w:rsidRPr="00842C98">
        <w:rPr>
          <w:rFonts w:asciiTheme="majorHAnsi" w:hAnsiTheme="majorHAnsi"/>
          <w:sz w:val="19"/>
          <w:szCs w:val="19"/>
          <w:vertAlign w:val="superscript"/>
          <w:lang w:val="es-ES"/>
        </w:rPr>
        <w:footnoteReference w:id="5"/>
      </w:r>
      <w:r w:rsidRPr="00842C98">
        <w:rPr>
          <w:rFonts w:asciiTheme="majorHAnsi" w:hAnsiTheme="majorHAnsi"/>
          <w:sz w:val="19"/>
          <w:szCs w:val="19"/>
          <w:lang w:val="pt-BR"/>
        </w:rPr>
        <w:t>.</w:t>
      </w:r>
    </w:p>
    <w:p w14:paraId="43975D0B" w14:textId="6A2CC07B" w:rsidR="001449E6" w:rsidRPr="00842C98" w:rsidRDefault="001449E6"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lang w:val="pt-BR"/>
        </w:rPr>
      </w:pPr>
      <w:r w:rsidRPr="00842C98">
        <w:rPr>
          <w:rFonts w:asciiTheme="majorHAnsi" w:hAnsiTheme="majorHAnsi"/>
          <w:sz w:val="19"/>
          <w:szCs w:val="19"/>
          <w:lang w:val="pt-BR"/>
        </w:rPr>
        <w:t>Em relação à alegada falta de investigação e sanção penal, a CIDH sublinha que, ante indícios de violação sexual, o mecanismo adequado para esclarecer os fatos, julgar os culpados e facilitar outras formas de reparação é o processo penal. Ademais, em situações que envolvem menores, o Estado deve não apenas promover uma investigação rápida e diligente, mas também implementar medidas específicas para proteger a potencial vítima dada sua especial vulnerabilidade</w:t>
      </w:r>
      <w:r w:rsidR="00625702" w:rsidRPr="00842C98">
        <w:rPr>
          <w:rFonts w:asciiTheme="majorHAnsi" w:hAnsiTheme="majorHAnsi"/>
          <w:sz w:val="19"/>
          <w:szCs w:val="19"/>
          <w:vertAlign w:val="superscript"/>
          <w:lang w:val="es-ES"/>
        </w:rPr>
        <w:footnoteReference w:id="6"/>
      </w:r>
      <w:r w:rsidRPr="00842C98">
        <w:rPr>
          <w:rFonts w:asciiTheme="majorHAnsi" w:hAnsiTheme="majorHAnsi"/>
          <w:sz w:val="19"/>
          <w:szCs w:val="19"/>
          <w:lang w:val="pt-BR"/>
        </w:rPr>
        <w:t>.</w:t>
      </w:r>
    </w:p>
    <w:p w14:paraId="12DCAA0B" w14:textId="7C60ECF8" w:rsidR="001449E6" w:rsidRDefault="001449E6"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lang w:val="pt-BR"/>
        </w:rPr>
      </w:pPr>
      <w:r w:rsidRPr="00842C98">
        <w:rPr>
          <w:rFonts w:asciiTheme="majorHAnsi" w:hAnsiTheme="majorHAnsi"/>
          <w:sz w:val="19"/>
          <w:szCs w:val="19"/>
          <w:lang w:val="pt-BR"/>
        </w:rPr>
        <w:t xml:space="preserve">Segundo a informação proporcionada pela peticionária, a alegada violação sexual foi investigada penalmente sob a investigação policial 278/2016, e a seguir, no expediente 0006994-61.2016.8.26.0009 do </w:t>
      </w:r>
      <w:r w:rsidR="00842C98" w:rsidRPr="00842C98">
        <w:rPr>
          <w:rFonts w:asciiTheme="majorHAnsi" w:hAnsiTheme="majorHAnsi"/>
          <w:sz w:val="19"/>
          <w:szCs w:val="19"/>
          <w:lang w:val="pt-BR"/>
        </w:rPr>
        <w:t>Juízo Criminal</w:t>
      </w:r>
      <w:r w:rsidRPr="00842C98">
        <w:rPr>
          <w:rFonts w:asciiTheme="majorHAnsi" w:hAnsiTheme="majorHAnsi"/>
          <w:sz w:val="19"/>
          <w:szCs w:val="19"/>
          <w:lang w:val="pt-BR"/>
        </w:rPr>
        <w:t xml:space="preserve"> de Vila Prudente. Em 9 de abril de 2019, a Promotoria recomendou fechar o caso por insuficiência de provas e o Juizado procedeu ao arquivamento em 11 de abril de 2019. Não há nenhuma disposição jurídica que permita apelar desta decisão. Consequentemente, a Comissão </w:t>
      </w:r>
      <w:r w:rsidRPr="001449E6">
        <w:rPr>
          <w:rFonts w:asciiTheme="majorHAnsi" w:hAnsiTheme="majorHAnsi"/>
          <w:sz w:val="19"/>
          <w:szCs w:val="19"/>
          <w:lang w:val="pt-BR"/>
        </w:rPr>
        <w:t xml:space="preserve">observa que a parte peticionária não contaria com um meio ordinário, adequado e eficaz para impugnar judicialmente o arquivamento. O Estado, por sua parte, e em consonância, não alega que a peticionária devesse ter esgotado algum recurso adicional após esta decisão de </w:t>
      </w:r>
      <w:r w:rsidRPr="001449E6">
        <w:rPr>
          <w:rFonts w:asciiTheme="majorHAnsi" w:hAnsiTheme="majorHAnsi"/>
          <w:sz w:val="19"/>
          <w:szCs w:val="19"/>
          <w:lang w:val="pt-BR"/>
        </w:rPr>
        <w:lastRenderedPageBreak/>
        <w:t xml:space="preserve">arquivamento. Por conseguinte, a CIDH considera oportuno aplicar no caso dos autos a exceção prevista no artigo 46.2.a) da Convenção Americana, como já fez, ademais, em outros precedentes </w:t>
      </w:r>
      <w:r w:rsidR="00625702">
        <w:rPr>
          <w:rFonts w:asciiTheme="majorHAnsi" w:hAnsiTheme="majorHAnsi"/>
          <w:sz w:val="19"/>
          <w:szCs w:val="19"/>
          <w:lang w:val="pt-BR"/>
        </w:rPr>
        <w:t xml:space="preserve">sobre </w:t>
      </w:r>
      <w:r w:rsidRPr="001449E6">
        <w:rPr>
          <w:rFonts w:asciiTheme="majorHAnsi" w:hAnsiTheme="majorHAnsi"/>
          <w:sz w:val="19"/>
          <w:szCs w:val="19"/>
          <w:lang w:val="pt-BR"/>
        </w:rPr>
        <w:t>o Brasil</w:t>
      </w:r>
      <w:r w:rsidR="00625702" w:rsidRPr="00FD237E">
        <w:rPr>
          <w:rStyle w:val="FootnoteReference"/>
          <w:rFonts w:asciiTheme="majorHAnsi" w:hAnsiTheme="majorHAnsi"/>
          <w:sz w:val="20"/>
          <w:szCs w:val="20"/>
          <w:lang w:val="es-ES"/>
        </w:rPr>
        <w:footnoteReference w:id="7"/>
      </w:r>
      <w:r w:rsidRPr="001449E6">
        <w:rPr>
          <w:rFonts w:asciiTheme="majorHAnsi" w:hAnsiTheme="majorHAnsi"/>
          <w:sz w:val="19"/>
          <w:szCs w:val="19"/>
          <w:lang w:val="pt-BR"/>
        </w:rPr>
        <w:t>.</w:t>
      </w:r>
    </w:p>
    <w:p w14:paraId="315AC8C5" w14:textId="69EE882F" w:rsidR="001449E6" w:rsidRDefault="001449E6"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lang w:val="pt-BR"/>
        </w:rPr>
      </w:pPr>
      <w:r w:rsidRPr="001449E6">
        <w:rPr>
          <w:rFonts w:asciiTheme="majorHAnsi" w:hAnsiTheme="majorHAnsi"/>
          <w:sz w:val="19"/>
          <w:szCs w:val="19"/>
          <w:lang w:val="pt-BR"/>
        </w:rPr>
        <w:t>Nos casos nos quais resultem aplicáveis as exceções ao requisito do prévio esgotamento dos recursos internos, a petição deverá ser apresentada dentro de um prazo razoável, a critério da Comissão, nos termos do artigo 32 do Regulamento da CIDH. Os fatos denunciados iniciaram-se em 2013. As supostas consequências da falta de investigação e sanções penais se estendem até o presente. Considerando o anterior, e dado que a petição perante a CIDH foi apresentada em 13 de novembro de 2017, a CIDH conclui que a apresentação se deu dentro de um prazo razoável.</w:t>
      </w:r>
    </w:p>
    <w:p w14:paraId="5767606B" w14:textId="72184198" w:rsidR="001449E6" w:rsidRDefault="001449E6"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lang w:val="pt-BR"/>
        </w:rPr>
      </w:pPr>
      <w:r w:rsidRPr="001449E6">
        <w:rPr>
          <w:rFonts w:asciiTheme="majorHAnsi" w:hAnsiTheme="majorHAnsi"/>
          <w:sz w:val="19"/>
          <w:szCs w:val="19"/>
          <w:lang w:val="pt-BR"/>
        </w:rPr>
        <w:t>Diante destas considerações, é pertinente lembrar que o artigo 46.2 da Convenção, por sua natureza e objeto, é uma norma com conteúdo autônomo frente às normas substantivas da Convenção Americana. Portanto, a determinação de se as exceções à regra de esgotamento dos recursos internos são aplicáveis ao caso em questão deve ser realizada de maneira prévia e separada da análise do fundo do assunto, já que depende de um padrão de apreciação distinto daquele utilizado para determinar a possível violação dos artigos 8 e 25 da Convenção.</w:t>
      </w:r>
    </w:p>
    <w:p w14:paraId="7B821070" w14:textId="36B4F261" w:rsidR="001449E6" w:rsidRDefault="001449E6"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lang w:val="pt-BR"/>
        </w:rPr>
      </w:pPr>
      <w:r w:rsidRPr="001449E6">
        <w:rPr>
          <w:rFonts w:asciiTheme="majorHAnsi" w:hAnsiTheme="majorHAnsi"/>
          <w:sz w:val="19"/>
          <w:szCs w:val="19"/>
          <w:lang w:val="pt-BR"/>
        </w:rPr>
        <w:t>Quanto ao processo civil, a parte peticionária indica, em resumo, que o juiz autorizou visitas supervisionadas ao pai desde setembro de 2016, determinou a perícia sobre alienação parental em julho de 2017, estabeleceu visitas semanais supervisionadas pela mãe em novembro de 2019, as mudou para quinzenais em fevereiro de 2020, e emitiu a sentença em 16 de novembro de 2021. De sua parte, o Estado igualmente indica que em 16 de novembro de 2021 o juiz proferiu sentença, esclarecendo que a decisão acolheu o pedido de guarda unilateral formulado pela mãe, desconsiderou a denúncia do pai de que a mãe praticou alienação parental e determinou as condições de visitas do pai.</w:t>
      </w:r>
    </w:p>
    <w:p w14:paraId="642BF964" w14:textId="21CD4444" w:rsidR="001449E6" w:rsidRDefault="001449E6"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lang w:val="pt-BR"/>
        </w:rPr>
      </w:pPr>
      <w:r w:rsidRPr="001449E6">
        <w:rPr>
          <w:rFonts w:asciiTheme="majorHAnsi" w:hAnsiTheme="majorHAnsi"/>
          <w:sz w:val="19"/>
          <w:szCs w:val="19"/>
          <w:lang w:val="pt-BR"/>
        </w:rPr>
        <w:t>A Comissão Interamericana indica que, até o momento, as partes não forneceram informações sobre a apresentação de algum recurso contra esta sentença de primeira instância. Também não especificaram se a sentença concluiu o processo civil. Neste sentido, a Comissão considera que esta reclamação não cumpre com o requisito de esgotamento dos recursos internos estabelecido no artigo 46.1.a) da Convenção, pelo que os reclamos relativos a este processo judicial não fazem parte do quadro fático do presente caso.</w:t>
      </w:r>
    </w:p>
    <w:p w14:paraId="616B82A0" w14:textId="67512A2D" w:rsidR="005E1672" w:rsidRPr="002E2426" w:rsidRDefault="005E1672" w:rsidP="00A75799">
      <w:pPr>
        <w:pStyle w:val="ListParagraph"/>
        <w:spacing w:before="240" w:after="240"/>
        <w:ind w:left="0" w:firstLine="720"/>
        <w:jc w:val="both"/>
        <w:rPr>
          <w:rFonts w:asciiTheme="majorHAnsi" w:hAnsiTheme="majorHAnsi"/>
          <w:b/>
          <w:bCs/>
          <w:color w:val="000000" w:themeColor="text1"/>
          <w:sz w:val="20"/>
          <w:szCs w:val="20"/>
          <w:lang w:val="pt-BR"/>
        </w:rPr>
      </w:pPr>
      <w:bookmarkStart w:id="3" w:name="_Hlk72954899"/>
      <w:bookmarkEnd w:id="2"/>
      <w:r w:rsidRPr="002E2426">
        <w:rPr>
          <w:rFonts w:asciiTheme="majorHAnsi" w:hAnsiTheme="majorHAnsi"/>
          <w:b/>
          <w:bCs/>
          <w:color w:val="000000" w:themeColor="text1"/>
          <w:sz w:val="20"/>
          <w:szCs w:val="20"/>
          <w:lang w:val="pt-BR"/>
        </w:rPr>
        <w:t>VI.</w:t>
      </w:r>
      <w:r w:rsidRPr="002E2426">
        <w:rPr>
          <w:rFonts w:asciiTheme="majorHAnsi" w:hAnsiTheme="majorHAnsi"/>
          <w:b/>
          <w:bCs/>
          <w:color w:val="000000" w:themeColor="text1"/>
          <w:sz w:val="20"/>
          <w:szCs w:val="20"/>
          <w:lang w:val="pt-BR"/>
        </w:rPr>
        <w:tab/>
        <w:t>ANÁLISE DE CARACTERIZAÇÃO DOS FATOS ALEGADOS</w:t>
      </w:r>
    </w:p>
    <w:p w14:paraId="4D4039B1" w14:textId="126B0BA9" w:rsidR="001449E6" w:rsidRDefault="001449E6" w:rsidP="006006EA">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sidRPr="001449E6">
        <w:rPr>
          <w:bCs/>
          <w:sz w:val="20"/>
          <w:szCs w:val="20"/>
          <w:lang w:val="pt-BR"/>
        </w:rPr>
        <w:t xml:space="preserve">O Estado argumenta a inadmissibilidade da petição baseando-se na incompetência </w:t>
      </w:r>
      <w:r w:rsidRPr="00467753">
        <w:rPr>
          <w:bCs/>
          <w:i/>
          <w:iCs/>
          <w:sz w:val="20"/>
          <w:szCs w:val="20"/>
          <w:lang w:val="pt-BR"/>
        </w:rPr>
        <w:t>ratione materiae</w:t>
      </w:r>
      <w:r w:rsidRPr="001449E6">
        <w:rPr>
          <w:bCs/>
          <w:sz w:val="20"/>
          <w:szCs w:val="20"/>
          <w:lang w:val="pt-BR"/>
        </w:rPr>
        <w:t xml:space="preserve"> da CIDH para atuar como instância de apelação </w:t>
      </w:r>
      <w:r w:rsidR="00467753">
        <w:rPr>
          <w:bCs/>
          <w:sz w:val="20"/>
          <w:szCs w:val="20"/>
          <w:lang w:val="pt-BR"/>
        </w:rPr>
        <w:t>em relação</w:t>
      </w:r>
      <w:r w:rsidRPr="001449E6">
        <w:rPr>
          <w:bCs/>
          <w:sz w:val="20"/>
          <w:szCs w:val="20"/>
          <w:lang w:val="pt-BR"/>
        </w:rPr>
        <w:t xml:space="preserve"> a decisões judiciais internas, e sustenta que a petição não demonstra violações de direitos humanos segundo os tratados relevantes. Destaca que, desde sua perspectiva, os mecanismos judiciais internos foram efetivos e adequados.</w:t>
      </w:r>
    </w:p>
    <w:p w14:paraId="16354B90" w14:textId="71FE666D" w:rsidR="001449E6" w:rsidRPr="001449E6" w:rsidRDefault="001449E6" w:rsidP="006006EA">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sidRPr="001449E6">
        <w:rPr>
          <w:bCs/>
          <w:sz w:val="20"/>
          <w:szCs w:val="20"/>
          <w:lang w:val="pt-BR"/>
        </w:rPr>
        <w:t xml:space="preserve">Para os efeitos da admissibilidade, a Comissão deve decidir se os fatos alegados podem caracterizar uma violação de direitos, conforme estipulado no artigo 47(b) da Convenção Americana, ou se a petição é "manifestamente infundada" ou é "evidentemente improcedente", conforme o inciso (c) desse artigo. O critério de avaliação desses requisitos difere do que se utiliza para se pronunciar sobre o </w:t>
      </w:r>
      <w:r w:rsidR="00467753">
        <w:rPr>
          <w:bCs/>
          <w:sz w:val="20"/>
          <w:szCs w:val="20"/>
          <w:lang w:val="pt-BR"/>
        </w:rPr>
        <w:t>mérito</w:t>
      </w:r>
      <w:r w:rsidRPr="001449E6">
        <w:rPr>
          <w:bCs/>
          <w:sz w:val="20"/>
          <w:szCs w:val="20"/>
          <w:lang w:val="pt-BR"/>
        </w:rPr>
        <w:t xml:space="preserve"> de uma petição; a Comissão deve realizar uma avaliação </w:t>
      </w:r>
      <w:r w:rsidRPr="00467753">
        <w:rPr>
          <w:bCs/>
          <w:i/>
          <w:iCs/>
          <w:sz w:val="20"/>
          <w:szCs w:val="20"/>
          <w:lang w:val="pt-BR"/>
        </w:rPr>
        <w:t>prima facie</w:t>
      </w:r>
      <w:r w:rsidRPr="001449E6">
        <w:rPr>
          <w:bCs/>
          <w:sz w:val="20"/>
          <w:szCs w:val="20"/>
          <w:lang w:val="pt-BR"/>
        </w:rPr>
        <w:t xml:space="preserve"> para determinar se a petição estabelece o fundamento da violação, possível ou potencial, de um direito garantido pela Convenção, mas não para </w:t>
      </w:r>
      <w:r w:rsidRPr="001449E6">
        <w:rPr>
          <w:bCs/>
          <w:sz w:val="20"/>
          <w:szCs w:val="20"/>
          <w:lang w:val="pt-BR"/>
        </w:rPr>
        <w:lastRenderedPageBreak/>
        <w:t xml:space="preserve">estabelecer a existência de uma violação de direitos. Esta determinação constitui uma análise preliminar, que não implica prejulgar </w:t>
      </w:r>
      <w:r w:rsidR="00467753">
        <w:rPr>
          <w:bCs/>
          <w:sz w:val="20"/>
          <w:szCs w:val="20"/>
          <w:lang w:val="pt-BR"/>
        </w:rPr>
        <w:t>o mérito</w:t>
      </w:r>
      <w:r w:rsidRPr="001449E6">
        <w:rPr>
          <w:bCs/>
          <w:sz w:val="20"/>
          <w:szCs w:val="20"/>
          <w:lang w:val="pt-BR"/>
        </w:rPr>
        <w:t xml:space="preserve"> do assunto</w:t>
      </w:r>
      <w:r w:rsidR="00625702" w:rsidRPr="00FD237E">
        <w:rPr>
          <w:rStyle w:val="FootnoteReference"/>
          <w:rFonts w:asciiTheme="majorHAnsi" w:hAnsiTheme="majorHAnsi"/>
          <w:sz w:val="20"/>
          <w:szCs w:val="20"/>
          <w:lang w:val="es-ES"/>
        </w:rPr>
        <w:footnoteReference w:id="8"/>
      </w:r>
      <w:r w:rsidRPr="001449E6">
        <w:rPr>
          <w:bCs/>
          <w:sz w:val="20"/>
          <w:szCs w:val="20"/>
          <w:lang w:val="pt-BR"/>
        </w:rPr>
        <w:t>.</w:t>
      </w:r>
    </w:p>
    <w:p w14:paraId="41E1183C" w14:textId="4CCC319D" w:rsidR="001449E6" w:rsidRDefault="001449E6" w:rsidP="006006EA">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sidRPr="001449E6">
        <w:rPr>
          <w:bCs/>
          <w:sz w:val="20"/>
          <w:szCs w:val="20"/>
          <w:lang w:val="pt-BR"/>
        </w:rPr>
        <w:t>A petição inclui alegações sobre a falta de investigação e sanção em relação à violência sexual sofrida por uma menor nas mãos de seu pai. A peticionária também denuncia especificamente que a legislação interna sobre alienação parental gera danos e violações de direitos durante os processos internos (Lei 12.318/2010). A CIDH considera que este ponto também merece uma análise na etapa substantiva, a fim de avaliar se esta legislação trouxe efeitos concretos contrários aos padrões internacionais de direitos humanos aplicáveis ao caso, levando em conta a obrigação de adotar disposições de direito interno que são compatíveis e promovem direitos.</w:t>
      </w:r>
    </w:p>
    <w:p w14:paraId="07946B2F" w14:textId="111A3F02" w:rsidR="001449E6" w:rsidRDefault="001449E6" w:rsidP="006006EA">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sidRPr="001449E6">
        <w:rPr>
          <w:bCs/>
          <w:sz w:val="20"/>
          <w:szCs w:val="20"/>
          <w:lang w:val="pt-BR"/>
        </w:rPr>
        <w:t>Diante do exposto, após examinar os elementos de fato e de direito expostos pelas partes, a Comissão estima que as alegações do peticionário não são manifestamente infundadas e requerem um estudo de fundo, pois os fatos alegados, se corroborados como verdadeiros, poderiam caracterizar violações fundamentalmente aos artigos 5 (integridade pessoal), 8 (garantias judiciais), 19 (direitos da criança) e 25 (proteção judicial), todos relacionados aos artigos 1.1 (obrigação de respeitar os direitos) e 2 (dever de adotar disposições de direito interno) da Convenção Americana, e ao artigo 7 da Convenção de Belém do Pará, em prejuízo de AA e BB, nos termos do presente relatório.</w:t>
      </w:r>
    </w:p>
    <w:p w14:paraId="50B0883E" w14:textId="5116CDEE" w:rsidR="001449E6" w:rsidRDefault="001449E6" w:rsidP="00C00262">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sidRPr="001449E6">
        <w:rPr>
          <w:bCs/>
          <w:sz w:val="20"/>
          <w:szCs w:val="20"/>
          <w:lang w:val="pt-BR"/>
        </w:rPr>
        <w:t>Quanto aos demais instrumentos internacionais invocados pela peticionária, de acordo com o artigo 29 da Convenção Americana, a Comissão pode levá-los em conta para interpretar e aplicar a Convenção Americana e outros instrumentos aplicáveis.</w:t>
      </w:r>
    </w:p>
    <w:p w14:paraId="7AAD7467" w14:textId="285828C3" w:rsidR="00C00262" w:rsidRPr="00C00262" w:rsidRDefault="00C00262" w:rsidP="00C00262">
      <w:pPr>
        <w:pStyle w:val="ListParagraph"/>
        <w:numPr>
          <w:ilvl w:val="0"/>
          <w:numId w:val="55"/>
        </w:numPr>
        <w:jc w:val="both"/>
        <w:rPr>
          <w:bCs/>
          <w:sz w:val="20"/>
          <w:szCs w:val="20"/>
          <w:lang w:val="pt-BR"/>
        </w:rPr>
      </w:pPr>
      <w:r w:rsidRPr="00C00262">
        <w:rPr>
          <w:bCs/>
          <w:sz w:val="20"/>
          <w:szCs w:val="20"/>
          <w:lang w:val="pt-BR"/>
        </w:rPr>
        <w:t>Finalmente, em relação ao argumento do Estado sobre a incompetência da CIDH para atuar como instância de apelação em relação a decisões judiciais internas, a Comissão destaca a natureza complementar do sistema interamericano e ressalta que, conforme indicado pela Corte Interamericana, para que uma exceção de "quarta instância" seja procedente, seria necessário "</w:t>
      </w:r>
      <w:r w:rsidRPr="00C00262">
        <w:rPr>
          <w:bCs/>
          <w:i/>
          <w:iCs/>
          <w:sz w:val="20"/>
          <w:szCs w:val="20"/>
          <w:lang w:val="pt-BR"/>
        </w:rPr>
        <w:t>buscar revisar a decisão de um tribunal interno com base em sua incorreta avaliação de provas, fatos ou direito interno, sem ao mesmo tempo alegar que tal decisão envolveu uma violação de tratados internacionais [...]</w:t>
      </w:r>
      <w:r w:rsidRPr="00C00262">
        <w:rPr>
          <w:bCs/>
          <w:sz w:val="20"/>
          <w:szCs w:val="20"/>
          <w:lang w:val="pt-BR"/>
        </w:rPr>
        <w:t>."</w:t>
      </w:r>
      <w:r w:rsidRPr="00A11B3B">
        <w:rPr>
          <w:rStyle w:val="FootnoteReference"/>
          <w:sz w:val="20"/>
          <w:szCs w:val="20"/>
          <w:lang w:val="es-ES_tradnl"/>
        </w:rPr>
        <w:footnoteReference w:id="9"/>
      </w:r>
      <w:r w:rsidRPr="00C00262">
        <w:rPr>
          <w:bCs/>
          <w:sz w:val="20"/>
          <w:szCs w:val="20"/>
          <w:lang w:val="pt-BR"/>
        </w:rPr>
        <w:t xml:space="preserve"> No presente caso, a Comissão considera que, conforme indicado pela Corte Interamericana, "</w:t>
      </w:r>
      <w:r w:rsidRPr="00C00262">
        <w:rPr>
          <w:bCs/>
          <w:i/>
          <w:iCs/>
          <w:sz w:val="20"/>
          <w:szCs w:val="20"/>
          <w:lang w:val="pt-BR"/>
        </w:rPr>
        <w:t>[é] competente para verificar se os passos efetivamente dados em nível interno violaram ou não as obrigações internacionais do Estado derivadas dos instrumentos interamericanos que lhe conferem competência</w:t>
      </w:r>
      <w:r w:rsidRPr="00C00262">
        <w:rPr>
          <w:bCs/>
          <w:sz w:val="20"/>
          <w:szCs w:val="20"/>
          <w:lang w:val="pt-BR"/>
        </w:rPr>
        <w:t>."</w:t>
      </w:r>
      <w:r w:rsidRPr="00775DCB">
        <w:rPr>
          <w:bCs/>
          <w:sz w:val="20"/>
          <w:szCs w:val="20"/>
          <w:vertAlign w:val="superscript"/>
        </w:rPr>
        <w:footnoteReference w:id="10"/>
      </w:r>
      <w:r w:rsidRPr="00C00262">
        <w:rPr>
          <w:bCs/>
          <w:sz w:val="20"/>
          <w:szCs w:val="20"/>
          <w:lang w:val="pt-BR"/>
        </w:rPr>
        <w:t xml:space="preserve"> Além disso, cabe a ela examinar "</w:t>
      </w:r>
      <w:r w:rsidRPr="00C00262">
        <w:rPr>
          <w:bCs/>
          <w:i/>
          <w:iCs/>
          <w:sz w:val="20"/>
          <w:szCs w:val="20"/>
          <w:lang w:val="pt-BR"/>
        </w:rPr>
        <w:t>se as ações dos órgãos judiciais constituem uma violação das obrigações internacionais do Estado, [o que] pode levar a examinar os respectivos processos internos para estabelecer sua compatibilidade com a Convenção Americana</w:t>
      </w:r>
      <w:r w:rsidRPr="00C00262">
        <w:rPr>
          <w:bCs/>
          <w:sz w:val="20"/>
          <w:szCs w:val="20"/>
          <w:lang w:val="pt-BR"/>
        </w:rPr>
        <w:t>."</w:t>
      </w:r>
      <w:r w:rsidRPr="00775DCB">
        <w:rPr>
          <w:bCs/>
          <w:sz w:val="20"/>
          <w:szCs w:val="20"/>
          <w:vertAlign w:val="superscript"/>
        </w:rPr>
        <w:footnoteReference w:id="11"/>
      </w:r>
      <w:r w:rsidRPr="00C00262">
        <w:rPr>
          <w:bCs/>
          <w:sz w:val="20"/>
          <w:szCs w:val="20"/>
          <w:lang w:val="pt-BR"/>
        </w:rPr>
        <w:t xml:space="preserve"> Nesse sentido, a análise sobre se o Estado cometeu violações à Convenção Americana é uma questão a ser decidida no mérito do presente caso.</w:t>
      </w:r>
    </w:p>
    <w:bookmarkEnd w:id="3"/>
    <w:p w14:paraId="2555C28F" w14:textId="2FCBDE75" w:rsidR="00985FD4" w:rsidRPr="00B00068" w:rsidRDefault="00985FD4" w:rsidP="00A75799">
      <w:pPr>
        <w:pStyle w:val="ListParagraph"/>
        <w:spacing w:before="240" w:after="240"/>
        <w:ind w:left="0" w:firstLine="720"/>
        <w:jc w:val="both"/>
        <w:rPr>
          <w:rFonts w:asciiTheme="majorHAnsi" w:hAnsiTheme="majorHAnsi"/>
          <w:b/>
          <w:bCs/>
          <w:color w:val="auto"/>
          <w:sz w:val="20"/>
          <w:szCs w:val="20"/>
          <w:lang w:val="pt-BR"/>
        </w:rPr>
      </w:pPr>
      <w:r w:rsidRPr="00B00068">
        <w:rPr>
          <w:rFonts w:asciiTheme="majorHAnsi" w:hAnsiTheme="majorHAnsi"/>
          <w:b/>
          <w:bCs/>
          <w:color w:val="auto"/>
          <w:sz w:val="20"/>
          <w:szCs w:val="20"/>
          <w:lang w:val="pt-BR"/>
        </w:rPr>
        <w:t xml:space="preserve">VII. </w:t>
      </w:r>
      <w:r w:rsidRPr="00B00068">
        <w:rPr>
          <w:rFonts w:asciiTheme="majorHAnsi" w:hAnsiTheme="majorHAnsi"/>
          <w:b/>
          <w:bCs/>
          <w:color w:val="auto"/>
          <w:sz w:val="20"/>
          <w:szCs w:val="20"/>
          <w:lang w:val="pt-BR"/>
        </w:rPr>
        <w:tab/>
        <w:t>DECISÃO</w:t>
      </w:r>
    </w:p>
    <w:p w14:paraId="66159B7F" w14:textId="1131551B" w:rsidR="00985FD4" w:rsidRPr="00B00068" w:rsidRDefault="00985FD4" w:rsidP="00A757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00068">
        <w:rPr>
          <w:rFonts w:asciiTheme="majorHAnsi" w:hAnsiTheme="majorHAnsi"/>
          <w:sz w:val="20"/>
          <w:szCs w:val="20"/>
          <w:lang w:val="pt-BR"/>
        </w:rPr>
        <w:t xml:space="preserve">Declarar admitida a presente petição em relação aos </w:t>
      </w:r>
      <w:r w:rsidR="00AE7A89" w:rsidRPr="00B00068">
        <w:rPr>
          <w:rFonts w:asciiTheme="majorHAnsi" w:hAnsiTheme="majorHAnsi"/>
          <w:sz w:val="20"/>
          <w:szCs w:val="20"/>
          <w:lang w:val="pt-BR"/>
        </w:rPr>
        <w:t xml:space="preserve">artigos </w:t>
      </w:r>
      <w:r w:rsidR="001449E6">
        <w:rPr>
          <w:rFonts w:asciiTheme="majorHAnsi" w:hAnsiTheme="majorHAnsi"/>
          <w:sz w:val="20"/>
          <w:szCs w:val="20"/>
          <w:lang w:val="pt-BR"/>
        </w:rPr>
        <w:t xml:space="preserve">5, </w:t>
      </w:r>
      <w:r w:rsidR="00AE7A89" w:rsidRPr="00B00068">
        <w:rPr>
          <w:rFonts w:asciiTheme="majorHAnsi" w:hAnsiTheme="majorHAnsi"/>
          <w:sz w:val="20"/>
          <w:szCs w:val="20"/>
          <w:lang w:val="pt-BR"/>
        </w:rPr>
        <w:t>8</w:t>
      </w:r>
      <w:r w:rsidR="00B00068" w:rsidRPr="00B00068">
        <w:rPr>
          <w:rFonts w:asciiTheme="majorHAnsi" w:hAnsiTheme="majorHAnsi"/>
          <w:sz w:val="20"/>
          <w:szCs w:val="20"/>
          <w:lang w:val="pt-BR"/>
        </w:rPr>
        <w:t>,</w:t>
      </w:r>
      <w:r w:rsidR="00AE7A89" w:rsidRPr="00B00068">
        <w:rPr>
          <w:rFonts w:asciiTheme="majorHAnsi" w:hAnsiTheme="majorHAnsi"/>
          <w:sz w:val="20"/>
          <w:szCs w:val="20"/>
          <w:lang w:val="pt-BR"/>
        </w:rPr>
        <w:t xml:space="preserve"> </w:t>
      </w:r>
      <w:r w:rsidR="001449E6">
        <w:rPr>
          <w:rFonts w:asciiTheme="majorHAnsi" w:hAnsiTheme="majorHAnsi"/>
          <w:sz w:val="20"/>
          <w:szCs w:val="20"/>
          <w:lang w:val="pt-BR"/>
        </w:rPr>
        <w:t>19</w:t>
      </w:r>
      <w:r w:rsidR="005B60BB">
        <w:rPr>
          <w:rFonts w:asciiTheme="majorHAnsi" w:hAnsiTheme="majorHAnsi"/>
          <w:sz w:val="20"/>
          <w:szCs w:val="20"/>
          <w:lang w:val="pt-BR"/>
        </w:rPr>
        <w:t xml:space="preserve"> e 25</w:t>
      </w:r>
      <w:r w:rsidR="00AE7A89" w:rsidRPr="00B00068">
        <w:rPr>
          <w:rFonts w:asciiTheme="majorHAnsi" w:hAnsiTheme="majorHAnsi"/>
          <w:sz w:val="20"/>
          <w:szCs w:val="20"/>
          <w:lang w:val="pt-BR"/>
        </w:rPr>
        <w:t xml:space="preserve"> da Convenção Americana, </w:t>
      </w:r>
      <w:r w:rsidR="00F41CDE">
        <w:rPr>
          <w:rFonts w:asciiTheme="majorHAnsi" w:hAnsiTheme="majorHAnsi"/>
          <w:sz w:val="20"/>
          <w:szCs w:val="20"/>
          <w:lang w:val="pt-BR"/>
        </w:rPr>
        <w:t xml:space="preserve">em conexão com </w:t>
      </w:r>
      <w:r w:rsidR="001449E6">
        <w:rPr>
          <w:rFonts w:asciiTheme="majorHAnsi" w:hAnsiTheme="majorHAnsi"/>
          <w:sz w:val="20"/>
          <w:szCs w:val="20"/>
          <w:lang w:val="pt-BR"/>
        </w:rPr>
        <w:t>os</w:t>
      </w:r>
      <w:r w:rsidR="00AE7A89" w:rsidRPr="00B00068">
        <w:rPr>
          <w:rFonts w:asciiTheme="majorHAnsi" w:hAnsiTheme="majorHAnsi"/>
          <w:sz w:val="20"/>
          <w:szCs w:val="20"/>
          <w:lang w:val="pt-BR"/>
        </w:rPr>
        <w:t xml:space="preserve"> artigo</w:t>
      </w:r>
      <w:r w:rsidR="001449E6">
        <w:rPr>
          <w:rFonts w:asciiTheme="majorHAnsi" w:hAnsiTheme="majorHAnsi"/>
          <w:sz w:val="20"/>
          <w:szCs w:val="20"/>
          <w:lang w:val="pt-BR"/>
        </w:rPr>
        <w:t>s</w:t>
      </w:r>
      <w:r w:rsidR="00AE7A89" w:rsidRPr="00B00068">
        <w:rPr>
          <w:rFonts w:asciiTheme="majorHAnsi" w:hAnsiTheme="majorHAnsi"/>
          <w:sz w:val="20"/>
          <w:szCs w:val="20"/>
          <w:lang w:val="pt-BR"/>
        </w:rPr>
        <w:t xml:space="preserve"> 1.1</w:t>
      </w:r>
      <w:r w:rsidR="001449E6">
        <w:rPr>
          <w:rFonts w:asciiTheme="majorHAnsi" w:hAnsiTheme="majorHAnsi"/>
          <w:sz w:val="20"/>
          <w:szCs w:val="20"/>
          <w:lang w:val="pt-BR"/>
        </w:rPr>
        <w:t xml:space="preserve"> e 2</w:t>
      </w:r>
      <w:r w:rsidRPr="00B00068">
        <w:rPr>
          <w:rFonts w:asciiTheme="majorHAnsi" w:hAnsiTheme="majorHAnsi"/>
          <w:sz w:val="20"/>
          <w:szCs w:val="20"/>
          <w:lang w:val="pt-BR"/>
        </w:rPr>
        <w:t>;</w:t>
      </w:r>
      <w:r w:rsidR="001449E6">
        <w:rPr>
          <w:rFonts w:asciiTheme="majorHAnsi" w:hAnsiTheme="majorHAnsi"/>
          <w:sz w:val="20"/>
          <w:szCs w:val="20"/>
          <w:lang w:val="pt-BR"/>
        </w:rPr>
        <w:t xml:space="preserve"> e artigo 7 da Convenção de Belém do Pará;</w:t>
      </w:r>
    </w:p>
    <w:p w14:paraId="65FB5623" w14:textId="38A15E58" w:rsidR="00985FD4" w:rsidRDefault="00985FD4" w:rsidP="00A757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00068">
        <w:rPr>
          <w:rFonts w:asciiTheme="majorHAnsi" w:hAnsiTheme="majorHAnsi"/>
          <w:sz w:val="20"/>
          <w:szCs w:val="20"/>
          <w:lang w:val="pt-BR"/>
        </w:rPr>
        <w:t>Notificar as partes sobre a presente decisão, continuar com a análise de mérito da questão, publicar a decisão e inclu</w:t>
      </w:r>
      <w:r w:rsidR="009D1200" w:rsidRPr="00B00068">
        <w:rPr>
          <w:rFonts w:asciiTheme="majorHAnsi" w:hAnsiTheme="majorHAnsi"/>
          <w:sz w:val="20"/>
          <w:szCs w:val="20"/>
          <w:lang w:val="pt-BR"/>
        </w:rPr>
        <w:t>í</w:t>
      </w:r>
      <w:r w:rsidRPr="00B00068">
        <w:rPr>
          <w:rFonts w:asciiTheme="majorHAnsi" w:hAnsiTheme="majorHAnsi"/>
          <w:sz w:val="20"/>
          <w:szCs w:val="20"/>
          <w:lang w:val="pt-BR"/>
        </w:rPr>
        <w:t xml:space="preserve">-la em seu Relatório Anual à Assembleia-Geral da Organização dos Estados Americanos. </w:t>
      </w:r>
    </w:p>
    <w:p w14:paraId="3CB5D4E8" w14:textId="2C091B03" w:rsidR="001A6B01" w:rsidRPr="001A6B01" w:rsidRDefault="001A6B01" w:rsidP="001A6B01">
      <w:pPr>
        <w:suppressAutoHyphens/>
        <w:ind w:firstLine="720"/>
        <w:jc w:val="both"/>
        <w:rPr>
          <w:rFonts w:ascii="Cambria" w:hAnsi="Cambria"/>
          <w:spacing w:val="-2"/>
          <w:sz w:val="20"/>
          <w:szCs w:val="20"/>
          <w:lang w:val="pt-BR"/>
        </w:rPr>
      </w:pPr>
      <w:r w:rsidRPr="001A6B01">
        <w:rPr>
          <w:rFonts w:ascii="Cambria" w:hAnsi="Cambria"/>
          <w:spacing w:val="-2"/>
          <w:sz w:val="20"/>
          <w:szCs w:val="20"/>
          <w:lang w:val="pt-BR"/>
        </w:rPr>
        <w:lastRenderedPageBreak/>
        <w:t xml:space="preserve">Aprovado pela Comissão Interamericana de Direitos Humanos aos 3 dias do mês de </w:t>
      </w:r>
      <w:r>
        <w:rPr>
          <w:rFonts w:ascii="Cambria" w:hAnsi="Cambria"/>
          <w:spacing w:val="-2"/>
          <w:sz w:val="20"/>
          <w:szCs w:val="20"/>
          <w:lang w:val="pt-BR"/>
        </w:rPr>
        <w:t>junh</w:t>
      </w:r>
      <w:r w:rsidRPr="001A6B01">
        <w:rPr>
          <w:rFonts w:ascii="Cambria" w:hAnsi="Cambria"/>
          <w:spacing w:val="-2"/>
          <w:sz w:val="20"/>
          <w:szCs w:val="20"/>
          <w:lang w:val="pt-BR"/>
        </w:rPr>
        <w:t>o de 202</w:t>
      </w:r>
      <w:r>
        <w:rPr>
          <w:rFonts w:ascii="Cambria" w:hAnsi="Cambria"/>
          <w:spacing w:val="-2"/>
          <w:sz w:val="20"/>
          <w:szCs w:val="20"/>
          <w:lang w:val="pt-BR"/>
        </w:rPr>
        <w:t>4</w:t>
      </w:r>
      <w:r w:rsidRPr="001A6B01">
        <w:rPr>
          <w:rFonts w:ascii="Cambria" w:hAnsi="Cambria"/>
          <w:spacing w:val="-2"/>
          <w:sz w:val="20"/>
          <w:szCs w:val="20"/>
          <w:lang w:val="pt-BR"/>
        </w:rPr>
        <w:t>. (Assinado): Roberta Clarke, President</w:t>
      </w:r>
      <w:r>
        <w:rPr>
          <w:rFonts w:ascii="Cambria" w:hAnsi="Cambria"/>
          <w:spacing w:val="-2"/>
          <w:sz w:val="20"/>
          <w:szCs w:val="20"/>
          <w:lang w:val="pt-BR"/>
        </w:rPr>
        <w:t>a</w:t>
      </w:r>
      <w:r w:rsidRPr="001A6B01">
        <w:rPr>
          <w:rFonts w:ascii="Cambria" w:hAnsi="Cambria"/>
          <w:spacing w:val="-2"/>
          <w:sz w:val="20"/>
          <w:szCs w:val="20"/>
          <w:lang w:val="pt-BR"/>
        </w:rPr>
        <w:t>; Carlos Bernal Pulido, Vicepresident</w:t>
      </w:r>
      <w:r>
        <w:rPr>
          <w:rFonts w:ascii="Cambria" w:hAnsi="Cambria"/>
          <w:spacing w:val="-2"/>
          <w:sz w:val="20"/>
          <w:szCs w:val="20"/>
          <w:lang w:val="pt-BR"/>
        </w:rPr>
        <w:t>e</w:t>
      </w:r>
      <w:r w:rsidRPr="001A6B01">
        <w:rPr>
          <w:rFonts w:ascii="Cambria" w:hAnsi="Cambria"/>
          <w:spacing w:val="-2"/>
          <w:sz w:val="20"/>
          <w:szCs w:val="20"/>
          <w:lang w:val="pt-BR"/>
        </w:rPr>
        <w:t>; Arif Bulkan, and Gloria Monique de Mees, membros da Comissão.</w:t>
      </w:r>
    </w:p>
    <w:sectPr w:rsidR="001A6B01" w:rsidRPr="001A6B01" w:rsidSect="008F5C5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D401" w14:textId="77777777" w:rsidR="00585625" w:rsidRDefault="00585625">
      <w:r>
        <w:separator/>
      </w:r>
    </w:p>
  </w:endnote>
  <w:endnote w:type="continuationSeparator" w:id="0">
    <w:p w14:paraId="0F2C5A06" w14:textId="77777777" w:rsidR="00585625" w:rsidRDefault="0058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E2C0" w14:textId="77777777" w:rsidR="00585625" w:rsidRPr="000F35ED" w:rsidRDefault="0058562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14EA874" w14:textId="77777777" w:rsidR="00585625" w:rsidRPr="000F35ED" w:rsidRDefault="00585625" w:rsidP="000F35ED">
      <w:pPr>
        <w:rPr>
          <w:rFonts w:asciiTheme="majorHAnsi" w:hAnsiTheme="majorHAnsi"/>
          <w:sz w:val="16"/>
          <w:szCs w:val="16"/>
        </w:rPr>
      </w:pPr>
      <w:r w:rsidRPr="000F35ED">
        <w:rPr>
          <w:rFonts w:asciiTheme="majorHAnsi" w:hAnsiTheme="majorHAnsi"/>
          <w:sz w:val="16"/>
          <w:szCs w:val="16"/>
        </w:rPr>
        <w:separator/>
      </w:r>
    </w:p>
    <w:p w14:paraId="01A13151" w14:textId="77777777" w:rsidR="00585625" w:rsidRPr="000F35ED" w:rsidRDefault="0058562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BA15BFC" w14:textId="77777777" w:rsidR="00585625" w:rsidRPr="000F35ED" w:rsidRDefault="0058562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E2010B" w14:textId="08657456" w:rsidR="00AB27FF" w:rsidRPr="00A14B51" w:rsidRDefault="00AB27FF" w:rsidP="00AB27FF">
      <w:pPr>
        <w:pStyle w:val="FootnoteText"/>
        <w:ind w:firstLine="709"/>
        <w:rPr>
          <w:rFonts w:asciiTheme="majorHAnsi" w:hAnsiTheme="majorHAnsi"/>
          <w:sz w:val="16"/>
          <w:szCs w:val="16"/>
          <w:lang w:val="pt-BR"/>
        </w:rPr>
      </w:pPr>
      <w:r w:rsidRPr="00FD237E">
        <w:rPr>
          <w:rStyle w:val="FootnoteReference"/>
          <w:rFonts w:asciiTheme="majorHAnsi" w:hAnsiTheme="majorHAnsi"/>
          <w:sz w:val="16"/>
          <w:szCs w:val="16"/>
        </w:rPr>
        <w:footnoteRef/>
      </w:r>
      <w:r w:rsidRPr="00A14B51">
        <w:rPr>
          <w:rFonts w:asciiTheme="majorHAnsi" w:hAnsiTheme="majorHAnsi"/>
          <w:sz w:val="16"/>
          <w:szCs w:val="16"/>
          <w:lang w:val="pt-BR"/>
        </w:rPr>
        <w:t xml:space="preserve"> </w:t>
      </w:r>
      <w:r w:rsidR="00A14B51" w:rsidRPr="00A14B51">
        <w:rPr>
          <w:rFonts w:asciiTheme="majorHAnsi" w:hAnsiTheme="majorHAnsi"/>
          <w:sz w:val="16"/>
          <w:szCs w:val="16"/>
          <w:lang w:val="pt-BR"/>
        </w:rPr>
        <w:t>Doravante</w:t>
      </w:r>
      <w:r w:rsidRPr="00A14B51">
        <w:rPr>
          <w:rFonts w:asciiTheme="majorHAnsi" w:hAnsiTheme="majorHAnsi"/>
          <w:sz w:val="16"/>
          <w:szCs w:val="16"/>
          <w:lang w:val="pt-BR"/>
        </w:rPr>
        <w:t xml:space="preserve"> “Conven</w:t>
      </w:r>
      <w:r w:rsidR="00A14B51" w:rsidRPr="00A14B51">
        <w:rPr>
          <w:rFonts w:asciiTheme="majorHAnsi" w:hAnsiTheme="majorHAnsi"/>
          <w:sz w:val="16"/>
          <w:szCs w:val="16"/>
          <w:lang w:val="pt-BR"/>
        </w:rPr>
        <w:t>ção</w:t>
      </w:r>
      <w:r w:rsidRPr="00A14B51">
        <w:rPr>
          <w:rFonts w:asciiTheme="majorHAnsi" w:hAnsiTheme="majorHAnsi"/>
          <w:sz w:val="16"/>
          <w:szCs w:val="16"/>
          <w:lang w:val="pt-BR"/>
        </w:rPr>
        <w:t>” o</w:t>
      </w:r>
      <w:r w:rsidR="00A14B51" w:rsidRPr="00A14B51">
        <w:rPr>
          <w:rFonts w:asciiTheme="majorHAnsi" w:hAnsiTheme="majorHAnsi"/>
          <w:sz w:val="16"/>
          <w:szCs w:val="16"/>
          <w:lang w:val="pt-BR"/>
        </w:rPr>
        <w:t>u</w:t>
      </w:r>
      <w:r w:rsidRPr="00A14B51">
        <w:rPr>
          <w:rFonts w:asciiTheme="majorHAnsi" w:hAnsiTheme="majorHAnsi"/>
          <w:sz w:val="16"/>
          <w:szCs w:val="16"/>
          <w:lang w:val="pt-BR"/>
        </w:rPr>
        <w:t xml:space="preserve"> “</w:t>
      </w:r>
      <w:r w:rsidR="00A14B51">
        <w:rPr>
          <w:rFonts w:asciiTheme="majorHAnsi" w:hAnsiTheme="majorHAnsi"/>
          <w:sz w:val="16"/>
          <w:szCs w:val="16"/>
          <w:lang w:val="pt-BR"/>
        </w:rPr>
        <w:t>Convenção Americana</w:t>
      </w:r>
      <w:r w:rsidRPr="00A14B51">
        <w:rPr>
          <w:rFonts w:asciiTheme="majorHAnsi" w:hAnsiTheme="majorHAnsi"/>
          <w:sz w:val="16"/>
          <w:szCs w:val="16"/>
          <w:lang w:val="pt-BR"/>
        </w:rPr>
        <w:t>”.</w:t>
      </w:r>
    </w:p>
  </w:footnote>
  <w:footnote w:id="3">
    <w:p w14:paraId="08C45CB2" w14:textId="69FF3DCC" w:rsidR="00AB27FF" w:rsidRPr="00A14B51" w:rsidRDefault="00AB27FF" w:rsidP="00AB27FF">
      <w:pPr>
        <w:pStyle w:val="FootnoteText"/>
        <w:ind w:firstLine="709"/>
        <w:jc w:val="both"/>
        <w:rPr>
          <w:rFonts w:asciiTheme="majorHAnsi" w:hAnsiTheme="majorHAnsi"/>
          <w:color w:val="auto"/>
          <w:sz w:val="16"/>
          <w:szCs w:val="16"/>
          <w:lang w:val="pt-BR"/>
        </w:rPr>
      </w:pPr>
      <w:r w:rsidRPr="00FD237E">
        <w:rPr>
          <w:rStyle w:val="FootnoteReference"/>
          <w:rFonts w:asciiTheme="majorHAnsi" w:hAnsiTheme="majorHAnsi"/>
          <w:color w:val="auto"/>
          <w:sz w:val="16"/>
          <w:szCs w:val="16"/>
        </w:rPr>
        <w:footnoteRef/>
      </w:r>
      <w:r w:rsidRPr="00A14B51">
        <w:rPr>
          <w:rFonts w:asciiTheme="majorHAnsi" w:hAnsiTheme="majorHAnsi"/>
          <w:bCs/>
          <w:color w:val="auto"/>
          <w:sz w:val="16"/>
          <w:szCs w:val="16"/>
          <w:lang w:val="pt-BR"/>
        </w:rPr>
        <w:t xml:space="preserve"> </w:t>
      </w:r>
      <w:r w:rsidR="00A14B51" w:rsidRPr="00A14B51">
        <w:rPr>
          <w:rFonts w:asciiTheme="majorHAnsi" w:hAnsiTheme="majorHAnsi"/>
          <w:bCs/>
          <w:color w:val="auto"/>
          <w:sz w:val="16"/>
          <w:szCs w:val="16"/>
          <w:lang w:val="pt-BR"/>
        </w:rPr>
        <w:t>Artigos</w:t>
      </w:r>
      <w:r w:rsidRPr="00A14B51">
        <w:rPr>
          <w:rFonts w:asciiTheme="majorHAnsi" w:hAnsiTheme="majorHAnsi"/>
          <w:bCs/>
          <w:color w:val="auto"/>
          <w:sz w:val="16"/>
          <w:szCs w:val="16"/>
          <w:lang w:val="pt-BR"/>
        </w:rPr>
        <w:t xml:space="preserve"> 19, 27.1 </w:t>
      </w:r>
      <w:r w:rsidR="00A14B51" w:rsidRPr="00A14B51">
        <w:rPr>
          <w:rFonts w:asciiTheme="majorHAnsi" w:hAnsiTheme="majorHAnsi"/>
          <w:bCs/>
          <w:color w:val="auto"/>
          <w:sz w:val="16"/>
          <w:szCs w:val="16"/>
          <w:lang w:val="pt-BR"/>
        </w:rPr>
        <w:t>e</w:t>
      </w:r>
      <w:r w:rsidRPr="00A14B51">
        <w:rPr>
          <w:rFonts w:asciiTheme="majorHAnsi" w:hAnsiTheme="majorHAnsi"/>
          <w:bCs/>
          <w:color w:val="auto"/>
          <w:sz w:val="16"/>
          <w:szCs w:val="16"/>
          <w:lang w:val="pt-BR"/>
        </w:rPr>
        <w:t xml:space="preserve"> 39 </w:t>
      </w:r>
      <w:r w:rsidR="00A14B51" w:rsidRPr="00A14B51">
        <w:rPr>
          <w:rFonts w:asciiTheme="majorHAnsi" w:hAnsiTheme="majorHAnsi"/>
          <w:bCs/>
          <w:color w:val="auto"/>
          <w:sz w:val="16"/>
          <w:szCs w:val="16"/>
          <w:lang w:val="pt-BR"/>
        </w:rPr>
        <w:t>da Convenção d</w:t>
      </w:r>
      <w:r w:rsidR="00A14B51">
        <w:rPr>
          <w:rFonts w:asciiTheme="majorHAnsi" w:hAnsiTheme="majorHAnsi"/>
          <w:bCs/>
          <w:color w:val="auto"/>
          <w:sz w:val="16"/>
          <w:szCs w:val="16"/>
          <w:lang w:val="pt-BR"/>
        </w:rPr>
        <w:t>as Nações Unidas sobre os Direitos da Criança.</w:t>
      </w:r>
    </w:p>
  </w:footnote>
  <w:footnote w:id="4">
    <w:p w14:paraId="79F07139" w14:textId="00031F6B" w:rsidR="008E3BFE" w:rsidRPr="00143883" w:rsidRDefault="008E3BFE" w:rsidP="000D4267">
      <w:pPr>
        <w:pStyle w:val="FootnoteText"/>
        <w:tabs>
          <w:tab w:val="left" w:pos="0"/>
          <w:tab w:val="left" w:pos="567"/>
        </w:tabs>
        <w:ind w:firstLine="709"/>
        <w:jc w:val="both"/>
        <w:rPr>
          <w:rFonts w:ascii="Cambria" w:hAnsi="Cambria"/>
          <w:color w:val="000000" w:themeColor="text1"/>
          <w:sz w:val="16"/>
          <w:szCs w:val="16"/>
          <w:lang w:val="pt-BR"/>
        </w:rPr>
      </w:pPr>
      <w:r w:rsidRPr="00143883">
        <w:rPr>
          <w:rStyle w:val="FootnoteReference"/>
          <w:rFonts w:ascii="Cambria" w:hAnsi="Cambria"/>
          <w:color w:val="000000" w:themeColor="text1"/>
          <w:sz w:val="16"/>
          <w:szCs w:val="16"/>
          <w:lang w:val="pt-BR"/>
        </w:rPr>
        <w:footnoteRef/>
      </w:r>
      <w:r w:rsidRPr="00143883">
        <w:rPr>
          <w:rFonts w:ascii="Cambria" w:hAnsi="Cambria"/>
          <w:color w:val="000000" w:themeColor="text1"/>
          <w:sz w:val="16"/>
          <w:szCs w:val="16"/>
          <w:lang w:val="pt-BR"/>
        </w:rPr>
        <w:t xml:space="preserve"> </w:t>
      </w:r>
      <w:r w:rsidR="00A53003" w:rsidRPr="00143883">
        <w:rPr>
          <w:rFonts w:ascii="Cambria" w:hAnsi="Cambria"/>
          <w:color w:val="000000" w:themeColor="text1"/>
          <w:sz w:val="16"/>
          <w:szCs w:val="16"/>
          <w:lang w:val="pt-BR"/>
        </w:rPr>
        <w:t>As observações de cada parte foram dev</w:t>
      </w:r>
      <w:r w:rsidRPr="00143883">
        <w:rPr>
          <w:rFonts w:ascii="Cambria" w:hAnsi="Cambria"/>
          <w:color w:val="000000" w:themeColor="text1"/>
          <w:sz w:val="16"/>
          <w:szCs w:val="16"/>
          <w:lang w:val="pt-BR"/>
        </w:rPr>
        <w:t>idamente tra</w:t>
      </w:r>
      <w:r w:rsidR="00A53003" w:rsidRPr="00143883">
        <w:rPr>
          <w:rFonts w:ascii="Cambria" w:hAnsi="Cambria"/>
          <w:color w:val="000000" w:themeColor="text1"/>
          <w:sz w:val="16"/>
          <w:szCs w:val="16"/>
          <w:lang w:val="pt-BR"/>
        </w:rPr>
        <w:t>n</w:t>
      </w:r>
      <w:r w:rsidRPr="00143883">
        <w:rPr>
          <w:rFonts w:ascii="Cambria" w:hAnsi="Cambria"/>
          <w:color w:val="000000" w:themeColor="text1"/>
          <w:sz w:val="16"/>
          <w:szCs w:val="16"/>
          <w:lang w:val="pt-BR"/>
        </w:rPr>
        <w:t xml:space="preserve">sladadas </w:t>
      </w:r>
      <w:r w:rsidR="00A53003" w:rsidRPr="00143883">
        <w:rPr>
          <w:rFonts w:ascii="Cambria" w:hAnsi="Cambria"/>
          <w:color w:val="000000" w:themeColor="text1"/>
          <w:sz w:val="16"/>
          <w:szCs w:val="16"/>
          <w:lang w:val="pt-BR"/>
        </w:rPr>
        <w:t>à parte contrá</w:t>
      </w:r>
      <w:r w:rsidRPr="00143883">
        <w:rPr>
          <w:rFonts w:ascii="Cambria" w:hAnsi="Cambria"/>
          <w:color w:val="000000" w:themeColor="text1"/>
          <w:sz w:val="16"/>
          <w:szCs w:val="16"/>
          <w:lang w:val="pt-BR"/>
        </w:rPr>
        <w:t>ria.</w:t>
      </w:r>
    </w:p>
  </w:footnote>
  <w:footnote w:id="5">
    <w:p w14:paraId="24B76C27" w14:textId="5D3FE96C" w:rsidR="00625702" w:rsidRPr="00984B40" w:rsidRDefault="00625702" w:rsidP="00625702">
      <w:pPr>
        <w:pStyle w:val="FootnoteText"/>
        <w:ind w:firstLine="709"/>
        <w:jc w:val="both"/>
        <w:rPr>
          <w:rFonts w:asciiTheme="majorHAnsi" w:hAnsiTheme="majorHAnsi"/>
          <w:color w:val="auto"/>
          <w:sz w:val="16"/>
          <w:szCs w:val="16"/>
          <w:lang w:val="pt-BR"/>
        </w:rPr>
      </w:pPr>
      <w:r w:rsidRPr="00FD237E">
        <w:rPr>
          <w:rStyle w:val="FootnoteReference"/>
          <w:rFonts w:asciiTheme="majorHAnsi" w:hAnsiTheme="majorHAnsi"/>
          <w:color w:val="auto"/>
          <w:sz w:val="16"/>
          <w:szCs w:val="16"/>
        </w:rPr>
        <w:footnoteRef/>
      </w:r>
      <w:r w:rsidRPr="00984B40">
        <w:rPr>
          <w:rFonts w:asciiTheme="majorHAnsi" w:hAnsiTheme="majorHAnsi"/>
          <w:color w:val="auto"/>
          <w:sz w:val="16"/>
          <w:szCs w:val="16"/>
          <w:lang w:val="pt-BR"/>
        </w:rPr>
        <w:t xml:space="preserve"> </w:t>
      </w:r>
      <w:r w:rsidR="00984B40" w:rsidRPr="00984B40">
        <w:rPr>
          <w:rFonts w:asciiTheme="majorHAnsi" w:hAnsiTheme="majorHAnsi"/>
          <w:color w:val="auto"/>
          <w:sz w:val="16"/>
          <w:szCs w:val="16"/>
          <w:lang w:val="pt-BR"/>
        </w:rPr>
        <w:t>CIDH, Relatório Nº 169/11. Caso 12.066. Admissibilidade e Mérito. Fazenda Brasil Verde. Brasil. 3 de novembro de 2011, parágrafo 43.</w:t>
      </w:r>
    </w:p>
  </w:footnote>
  <w:footnote w:id="6">
    <w:p w14:paraId="51E127B1" w14:textId="3542E3D5" w:rsidR="00625702" w:rsidRPr="00984B40" w:rsidRDefault="00625702" w:rsidP="00625702">
      <w:pPr>
        <w:pStyle w:val="FootnoteText"/>
        <w:ind w:firstLine="709"/>
        <w:jc w:val="both"/>
        <w:rPr>
          <w:rFonts w:asciiTheme="majorHAnsi" w:hAnsiTheme="majorHAnsi"/>
          <w:color w:val="auto"/>
          <w:sz w:val="16"/>
          <w:szCs w:val="16"/>
          <w:lang w:val="pt-BR"/>
        </w:rPr>
      </w:pPr>
      <w:r w:rsidRPr="00FD237E">
        <w:rPr>
          <w:rStyle w:val="FootnoteReference"/>
          <w:rFonts w:asciiTheme="majorHAnsi" w:hAnsiTheme="majorHAnsi"/>
          <w:color w:val="auto"/>
          <w:sz w:val="16"/>
          <w:szCs w:val="16"/>
        </w:rPr>
        <w:footnoteRef/>
      </w:r>
      <w:r w:rsidRPr="00984B40">
        <w:rPr>
          <w:rFonts w:asciiTheme="majorHAnsi" w:hAnsiTheme="majorHAnsi"/>
          <w:color w:val="auto"/>
          <w:sz w:val="16"/>
          <w:szCs w:val="16"/>
          <w:lang w:val="pt-BR"/>
        </w:rPr>
        <w:t xml:space="preserve"> </w:t>
      </w:r>
      <w:r w:rsidR="00984B40" w:rsidRPr="00984B40">
        <w:rPr>
          <w:rFonts w:asciiTheme="majorHAnsi" w:hAnsiTheme="majorHAnsi"/>
          <w:color w:val="auto"/>
          <w:sz w:val="16"/>
          <w:szCs w:val="16"/>
          <w:lang w:val="pt-BR"/>
        </w:rPr>
        <w:t>CIDH, Relatório Nº 420/21. Petição 1564-14. Admissibilidade. J.Z e S.Z. Brasil. 31 de dezembro de 2021, parágrafo 19.</w:t>
      </w:r>
    </w:p>
  </w:footnote>
  <w:footnote w:id="7">
    <w:p w14:paraId="5A3C600C" w14:textId="0D0A92D3" w:rsidR="00625702" w:rsidRPr="00984B40" w:rsidRDefault="00625702" w:rsidP="00625702">
      <w:pPr>
        <w:pStyle w:val="FootnoteText"/>
        <w:ind w:firstLine="709"/>
        <w:jc w:val="both"/>
        <w:rPr>
          <w:rFonts w:asciiTheme="majorHAnsi" w:hAnsiTheme="majorHAnsi"/>
          <w:color w:val="auto"/>
          <w:sz w:val="16"/>
          <w:szCs w:val="16"/>
          <w:lang w:val="pt-BR"/>
        </w:rPr>
      </w:pPr>
      <w:r w:rsidRPr="00FD237E">
        <w:rPr>
          <w:rStyle w:val="FootnoteReference"/>
          <w:rFonts w:asciiTheme="majorHAnsi" w:hAnsiTheme="majorHAnsi"/>
          <w:color w:val="auto"/>
          <w:sz w:val="16"/>
          <w:szCs w:val="16"/>
        </w:rPr>
        <w:footnoteRef/>
      </w:r>
      <w:r w:rsidRPr="00984B40">
        <w:rPr>
          <w:rFonts w:asciiTheme="majorHAnsi" w:hAnsiTheme="majorHAnsi"/>
          <w:color w:val="auto"/>
          <w:sz w:val="16"/>
          <w:szCs w:val="16"/>
          <w:lang w:val="pt-BR"/>
        </w:rPr>
        <w:t xml:space="preserve"> </w:t>
      </w:r>
      <w:r w:rsidR="00984B40" w:rsidRPr="00984B40">
        <w:rPr>
          <w:rFonts w:asciiTheme="majorHAnsi" w:hAnsiTheme="majorHAnsi"/>
          <w:color w:val="auto"/>
          <w:sz w:val="16"/>
          <w:szCs w:val="16"/>
          <w:lang w:val="pt-BR"/>
        </w:rPr>
        <w:t>Similarmente: CIDH, Relatório Nº 79/23. Petição 1388-14. Admissibilidade. Márcio José Sabino Pereira e familiares. Brasil. 7 de junho de 2023, parágrafo 12 (“</w:t>
      </w:r>
      <w:r w:rsidR="00984B40" w:rsidRPr="00984B40">
        <w:rPr>
          <w:rFonts w:asciiTheme="majorHAnsi" w:hAnsiTheme="majorHAnsi"/>
          <w:i/>
          <w:iCs/>
          <w:color w:val="auto"/>
          <w:sz w:val="16"/>
          <w:szCs w:val="16"/>
          <w:lang w:val="pt-BR"/>
        </w:rPr>
        <w:t>o Ministério Público pediu o arquivamento, que foi concedido pelo Poder Judiciário, e não há nenhuma disposição jurídica que permita apelar desta decisão. Consequentemente, a Comissão observa que a parte peticionária não contaria com um meio ordinário, adequado e eficaz para impugnar judicialmente o arquivamento. Por conseguinte, a CIDH considera oportuno aplicar no caso dos autos a exceção prevista no artigo 46.2.a da Convenção Americana</w:t>
      </w:r>
      <w:r w:rsidR="00984B40" w:rsidRPr="00984B40">
        <w:rPr>
          <w:rFonts w:asciiTheme="majorHAnsi" w:hAnsiTheme="majorHAnsi"/>
          <w:color w:val="auto"/>
          <w:sz w:val="16"/>
          <w:szCs w:val="16"/>
          <w:lang w:val="pt-BR"/>
        </w:rPr>
        <w:t>”); CIDH, Relatório Nº 226/20. Petição 32-07. Admissibilidade. Márcio Antônio Maia de Souza e familiares. Brasil. 6 de setembro de 2020, parágrafos 8 e 9 (“</w:t>
      </w:r>
      <w:r w:rsidR="00984B40" w:rsidRPr="00C3078F">
        <w:rPr>
          <w:rFonts w:asciiTheme="majorHAnsi" w:hAnsiTheme="majorHAnsi"/>
          <w:i/>
          <w:iCs/>
          <w:color w:val="auto"/>
          <w:sz w:val="16"/>
          <w:szCs w:val="16"/>
          <w:lang w:val="pt-BR"/>
        </w:rPr>
        <w:t>uma vez que o Ministério Público requereu o arquivamento da investigação e este requerimento foi concedido pelo Poder Judiciário, não foi permitido à parte peticionária esgotar outros recursos. Portanto, a exceção está contida no artigo 46.2.b da Convenção Americana. […] Além disso, a Comissão observa que aos familiares da suposta vítima foi impedido recorrer da decisão pela qual se arquivou a investigação policial e que também não puderam solicitar seu desarquivamento, pois estão impedidos pela legislação brasileira. Em circunstâncias como esta, a Comissão considera que sem julgar antecipadamente o mérito e como fez em casos de natureza similar, é aplicável à presente petição, a exceção ao esgotamento referida no artigo 46.2.a da Convenção Americana.</w:t>
      </w:r>
      <w:r w:rsidR="00984B40" w:rsidRPr="00984B40">
        <w:rPr>
          <w:rFonts w:asciiTheme="majorHAnsi" w:hAnsiTheme="majorHAnsi"/>
          <w:color w:val="auto"/>
          <w:sz w:val="16"/>
          <w:szCs w:val="16"/>
          <w:lang w:val="pt-BR"/>
        </w:rPr>
        <w:t>”); CIDH, Relatório Nº 351/22. Petição 1387-12. Admissibilidade. Alberto Castillo Cruz e familiares. México. 19 de maio de 2022, parágrafos 22 a 24.</w:t>
      </w:r>
    </w:p>
  </w:footnote>
  <w:footnote w:id="8">
    <w:p w14:paraId="13CDA973" w14:textId="4121E3D3" w:rsidR="00625702" w:rsidRPr="001A6B01" w:rsidRDefault="00625702" w:rsidP="00625702">
      <w:pPr>
        <w:pStyle w:val="FootnoteText"/>
        <w:ind w:firstLine="709"/>
        <w:jc w:val="both"/>
        <w:rPr>
          <w:rFonts w:asciiTheme="majorHAnsi" w:hAnsiTheme="majorHAnsi"/>
          <w:color w:val="auto"/>
          <w:sz w:val="16"/>
          <w:szCs w:val="16"/>
          <w:lang w:val="pt-BR"/>
        </w:rPr>
      </w:pPr>
      <w:r w:rsidRPr="00FD237E">
        <w:rPr>
          <w:rStyle w:val="FootnoteReference"/>
          <w:rFonts w:asciiTheme="majorHAnsi" w:hAnsiTheme="majorHAnsi"/>
          <w:color w:val="auto"/>
          <w:sz w:val="16"/>
          <w:szCs w:val="16"/>
        </w:rPr>
        <w:footnoteRef/>
      </w:r>
      <w:r w:rsidRPr="00984B40">
        <w:rPr>
          <w:rFonts w:asciiTheme="majorHAnsi" w:hAnsiTheme="majorHAnsi"/>
          <w:color w:val="auto"/>
          <w:sz w:val="16"/>
          <w:szCs w:val="16"/>
          <w:lang w:val="pt-BR"/>
        </w:rPr>
        <w:t xml:space="preserve"> </w:t>
      </w:r>
      <w:r w:rsidR="00C3078F" w:rsidRPr="00C3078F">
        <w:rPr>
          <w:rFonts w:asciiTheme="majorHAnsi" w:hAnsiTheme="majorHAnsi"/>
          <w:color w:val="auto"/>
          <w:sz w:val="16"/>
          <w:szCs w:val="16"/>
          <w:lang w:val="pt-BR"/>
        </w:rPr>
        <w:t xml:space="preserve">CIDH, Relatório Nº 41/07. Petição 998-05. Admissibilidade. Lazinho Brambilla da Silva. Brasil. </w:t>
      </w:r>
      <w:r w:rsidR="00C3078F" w:rsidRPr="001A6B01">
        <w:rPr>
          <w:rFonts w:asciiTheme="majorHAnsi" w:hAnsiTheme="majorHAnsi"/>
          <w:color w:val="auto"/>
          <w:sz w:val="16"/>
          <w:szCs w:val="16"/>
          <w:lang w:val="pt-BR"/>
        </w:rPr>
        <w:t>23 de junho de 2007, parágrafos 74-75.</w:t>
      </w:r>
    </w:p>
  </w:footnote>
  <w:footnote w:id="9">
    <w:p w14:paraId="5920871F" w14:textId="62B1A7B0" w:rsidR="00C00262" w:rsidRPr="00C00262" w:rsidRDefault="00C00262" w:rsidP="00C00262">
      <w:pPr>
        <w:pStyle w:val="FootnoteText"/>
        <w:ind w:firstLine="720"/>
        <w:jc w:val="both"/>
        <w:rPr>
          <w:rFonts w:ascii="Cambria" w:hAnsi="Cambria"/>
          <w:sz w:val="16"/>
          <w:szCs w:val="16"/>
          <w:lang w:val="pt-BR"/>
        </w:rPr>
      </w:pPr>
      <w:r w:rsidRPr="00A11B3B">
        <w:rPr>
          <w:rStyle w:val="FootnoteReference"/>
          <w:rFonts w:ascii="Cambria" w:hAnsi="Cambria"/>
          <w:sz w:val="16"/>
          <w:szCs w:val="16"/>
        </w:rPr>
        <w:footnoteRef/>
      </w:r>
      <w:r w:rsidRPr="00C00262">
        <w:rPr>
          <w:rFonts w:ascii="Cambria" w:hAnsi="Cambria"/>
          <w:sz w:val="16"/>
          <w:szCs w:val="16"/>
          <w:lang w:val="pt-BR"/>
        </w:rPr>
        <w:t xml:space="preserve"> Corte IDH. Caso Cabrera García e Montiel Flores Vs. México. Exceção Preliminar, Mérito, Reparações e Custas. </w:t>
      </w:r>
      <w:r w:rsidRPr="001A6B01">
        <w:rPr>
          <w:rFonts w:ascii="Cambria" w:hAnsi="Cambria"/>
          <w:sz w:val="16"/>
          <w:szCs w:val="16"/>
          <w:lang w:val="pt-BR"/>
        </w:rPr>
        <w:t>Sentença de 26 de novembro de 2010. Série C No. 220, parágrafo 18.</w:t>
      </w:r>
    </w:p>
  </w:footnote>
  <w:footnote w:id="10">
    <w:p w14:paraId="69F106FA" w14:textId="04A04B7E" w:rsidR="00C00262" w:rsidRPr="00C00262" w:rsidRDefault="00C00262" w:rsidP="00C00262">
      <w:pPr>
        <w:pStyle w:val="FootnoteText"/>
        <w:ind w:firstLine="720"/>
        <w:jc w:val="both"/>
        <w:rPr>
          <w:rFonts w:ascii="Cambria" w:hAnsi="Cambria"/>
          <w:sz w:val="16"/>
          <w:szCs w:val="16"/>
          <w:lang w:val="pt-BR"/>
        </w:rPr>
      </w:pPr>
      <w:r w:rsidRPr="00A11B3B">
        <w:rPr>
          <w:rStyle w:val="FootnoteReference"/>
          <w:rFonts w:ascii="Cambria" w:hAnsi="Cambria"/>
          <w:sz w:val="16"/>
          <w:szCs w:val="16"/>
        </w:rPr>
        <w:footnoteRef/>
      </w:r>
      <w:r w:rsidRPr="00C00262">
        <w:rPr>
          <w:rFonts w:ascii="Cambria" w:hAnsi="Cambria"/>
          <w:sz w:val="16"/>
          <w:szCs w:val="16"/>
          <w:lang w:val="pt-BR"/>
        </w:rPr>
        <w:t xml:space="preserve"> Corte IDH. </w:t>
      </w:r>
      <w:r w:rsidRPr="001A6B01">
        <w:rPr>
          <w:rFonts w:ascii="Cambria" w:hAnsi="Cambria"/>
          <w:sz w:val="16"/>
          <w:szCs w:val="16"/>
          <w:lang w:val="es-AR"/>
        </w:rPr>
        <w:t xml:space="preserve">Caso Cabrera García e Montiel Flores Vs. México. </w:t>
      </w:r>
      <w:r w:rsidRPr="00C00262">
        <w:rPr>
          <w:rFonts w:ascii="Cambria" w:hAnsi="Cambria"/>
          <w:sz w:val="16"/>
          <w:szCs w:val="16"/>
          <w:lang w:val="pt-BR"/>
        </w:rPr>
        <w:t xml:space="preserve">Exceção Preliminar, Mérito, Reparações e Custas. </w:t>
      </w:r>
      <w:r w:rsidRPr="001A6B01">
        <w:rPr>
          <w:rFonts w:ascii="Cambria" w:hAnsi="Cambria"/>
          <w:sz w:val="16"/>
          <w:szCs w:val="16"/>
          <w:lang w:val="pt-BR"/>
        </w:rPr>
        <w:t>Sentença de 26 de novembro de 2010. Série C No. 220, parágrafo 19.</w:t>
      </w:r>
    </w:p>
  </w:footnote>
  <w:footnote w:id="11">
    <w:p w14:paraId="1C0FE3B3" w14:textId="2E790C54" w:rsidR="00C00262" w:rsidRPr="00A11B3B" w:rsidRDefault="00C00262" w:rsidP="00C00262">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C00262">
        <w:rPr>
          <w:rFonts w:ascii="Cambria" w:hAnsi="Cambria"/>
          <w:sz w:val="16"/>
          <w:szCs w:val="16"/>
          <w:lang w:val="pt-BR"/>
        </w:rPr>
        <w:t xml:space="preserve"> Corte IDH. Caso Palma Mendoza e outros Vs. Equador. Exceção Preliminar e Mérito. Sentença de 3 de setembro de 2012. Série C No. 247, parágrafo 18; Corte IDH. Caso Rosadio Villavicencio Vs. Peru. Exceções Preliminares, Mérito, Reparações e Custas. Sentença de 14 de outubro de 2019. Série C No. 388, parágrafo 24; Corte IDH. Caso Cabrera García e Montiel Flores Vs. México. Exceção Preliminar, Mérito, Reparações e Custas. </w:t>
      </w:r>
      <w:r w:rsidRPr="00C00262">
        <w:rPr>
          <w:rFonts w:ascii="Cambria" w:hAnsi="Cambria"/>
          <w:sz w:val="16"/>
          <w:szCs w:val="16"/>
        </w:rPr>
        <w:t>Sentença de 26 de novembro de 2010. Série C No. 220, parágrafo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591062"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11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DE832A9"/>
    <w:multiLevelType w:val="hybridMultilevel"/>
    <w:tmpl w:val="D3D2A676"/>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BB89FE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58A0A3D"/>
    <w:multiLevelType w:val="hybridMultilevel"/>
    <w:tmpl w:val="4A121338"/>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5735461"/>
    <w:multiLevelType w:val="hybridMultilevel"/>
    <w:tmpl w:val="3A787CF6"/>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CC2CC0"/>
    <w:multiLevelType w:val="hybridMultilevel"/>
    <w:tmpl w:val="F5FA2CAC"/>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1ED15A8"/>
    <w:multiLevelType w:val="hybridMultilevel"/>
    <w:tmpl w:val="35A8F87A"/>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7B8B61C">
      <w:start w:val="1"/>
      <w:numFmt w:val="decimal"/>
      <w:lvlText w:val="%3."/>
      <w:lvlJc w:val="left"/>
      <w:pPr>
        <w:tabs>
          <w:tab w:val="num" w:pos="2160"/>
        </w:tabs>
        <w:ind w:left="2160" w:hanging="360"/>
      </w:pPr>
      <w:rPr>
        <w:rFonts w:ascii="Cambria" w:eastAsia="Batang" w:hAnsi="Cambria" w:cs="Times New Roman"/>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3" w15:restartNumberingAfterBreak="0">
    <w:nsid w:val="7FD26732"/>
    <w:multiLevelType w:val="hybridMultilevel"/>
    <w:tmpl w:val="59BCDF6A"/>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11415443">
    <w:abstractNumId w:val="5"/>
  </w:num>
  <w:num w:numId="2" w16cid:durableId="218593413">
    <w:abstractNumId w:val="7"/>
  </w:num>
  <w:num w:numId="3" w16cid:durableId="473913312">
    <w:abstractNumId w:val="57"/>
  </w:num>
  <w:num w:numId="4" w16cid:durableId="1615093887">
    <w:abstractNumId w:val="24"/>
  </w:num>
  <w:num w:numId="5" w16cid:durableId="487482738">
    <w:abstractNumId w:val="51"/>
  </w:num>
  <w:num w:numId="6" w16cid:durableId="173963807">
    <w:abstractNumId w:val="29"/>
  </w:num>
  <w:num w:numId="7" w16cid:durableId="752627363">
    <w:abstractNumId w:val="9"/>
  </w:num>
  <w:num w:numId="8" w16cid:durableId="1630161499">
    <w:abstractNumId w:val="20"/>
  </w:num>
  <w:num w:numId="9" w16cid:durableId="1613590790">
    <w:abstractNumId w:val="40"/>
  </w:num>
  <w:num w:numId="10" w16cid:durableId="1587424966">
    <w:abstractNumId w:val="44"/>
  </w:num>
  <w:num w:numId="11" w16cid:durableId="2075466315">
    <w:abstractNumId w:val="1"/>
  </w:num>
  <w:num w:numId="12" w16cid:durableId="867909075">
    <w:abstractNumId w:val="39"/>
  </w:num>
  <w:num w:numId="13" w16cid:durableId="1366447746">
    <w:abstractNumId w:val="46"/>
  </w:num>
  <w:num w:numId="14" w16cid:durableId="361327519">
    <w:abstractNumId w:val="2"/>
  </w:num>
  <w:num w:numId="15" w16cid:durableId="1884368821">
    <w:abstractNumId w:val="3"/>
  </w:num>
  <w:num w:numId="16" w16cid:durableId="937754664">
    <w:abstractNumId w:val="10"/>
  </w:num>
  <w:num w:numId="17" w16cid:durableId="1141264887">
    <w:abstractNumId w:val="11"/>
  </w:num>
  <w:num w:numId="18" w16cid:durableId="264115336">
    <w:abstractNumId w:val="12"/>
  </w:num>
  <w:num w:numId="19" w16cid:durableId="582379774">
    <w:abstractNumId w:val="13"/>
  </w:num>
  <w:num w:numId="20" w16cid:durableId="516424886">
    <w:abstractNumId w:val="14"/>
  </w:num>
  <w:num w:numId="21" w16cid:durableId="1533107980">
    <w:abstractNumId w:val="15"/>
  </w:num>
  <w:num w:numId="22" w16cid:durableId="1074744522">
    <w:abstractNumId w:val="16"/>
  </w:num>
  <w:num w:numId="23" w16cid:durableId="1572888533">
    <w:abstractNumId w:val="18"/>
  </w:num>
  <w:num w:numId="24" w16cid:durableId="265161765">
    <w:abstractNumId w:val="19"/>
  </w:num>
  <w:num w:numId="25" w16cid:durableId="1522209471">
    <w:abstractNumId w:val="21"/>
  </w:num>
  <w:num w:numId="26" w16cid:durableId="641887249">
    <w:abstractNumId w:val="22"/>
  </w:num>
  <w:num w:numId="27" w16cid:durableId="2122869005">
    <w:abstractNumId w:val="25"/>
  </w:num>
  <w:num w:numId="28" w16cid:durableId="1245920740">
    <w:abstractNumId w:val="26"/>
  </w:num>
  <w:num w:numId="29" w16cid:durableId="420682487">
    <w:abstractNumId w:val="27"/>
  </w:num>
  <w:num w:numId="30" w16cid:durableId="908883137">
    <w:abstractNumId w:val="28"/>
  </w:num>
  <w:num w:numId="31" w16cid:durableId="606695322">
    <w:abstractNumId w:val="30"/>
  </w:num>
  <w:num w:numId="32" w16cid:durableId="1111053784">
    <w:abstractNumId w:val="31"/>
  </w:num>
  <w:num w:numId="33" w16cid:durableId="1345085023">
    <w:abstractNumId w:val="32"/>
  </w:num>
  <w:num w:numId="34" w16cid:durableId="1818843194">
    <w:abstractNumId w:val="33"/>
  </w:num>
  <w:num w:numId="35" w16cid:durableId="112603432">
    <w:abstractNumId w:val="34"/>
  </w:num>
  <w:num w:numId="36" w16cid:durableId="1312373127">
    <w:abstractNumId w:val="36"/>
  </w:num>
  <w:num w:numId="37" w16cid:durableId="1076632600">
    <w:abstractNumId w:val="37"/>
  </w:num>
  <w:num w:numId="38" w16cid:durableId="1769622567">
    <w:abstractNumId w:val="38"/>
  </w:num>
  <w:num w:numId="39" w16cid:durableId="308947549">
    <w:abstractNumId w:val="41"/>
  </w:num>
  <w:num w:numId="40" w16cid:durableId="2066875243">
    <w:abstractNumId w:val="42"/>
  </w:num>
  <w:num w:numId="41" w16cid:durableId="1082526017">
    <w:abstractNumId w:val="49"/>
  </w:num>
  <w:num w:numId="42" w16cid:durableId="1404327507">
    <w:abstractNumId w:val="52"/>
  </w:num>
  <w:num w:numId="43" w16cid:durableId="877619288">
    <w:abstractNumId w:val="53"/>
  </w:num>
  <w:num w:numId="44" w16cid:durableId="131945523">
    <w:abstractNumId w:val="55"/>
  </w:num>
  <w:num w:numId="45" w16cid:durableId="1061371418">
    <w:abstractNumId w:val="56"/>
  </w:num>
  <w:num w:numId="46" w16cid:durableId="519046197">
    <w:abstractNumId w:val="58"/>
  </w:num>
  <w:num w:numId="47" w16cid:durableId="1483960415">
    <w:abstractNumId w:val="59"/>
  </w:num>
  <w:num w:numId="48" w16cid:durableId="18971292">
    <w:abstractNumId w:val="60"/>
  </w:num>
  <w:num w:numId="49" w16cid:durableId="2074619888">
    <w:abstractNumId w:val="61"/>
  </w:num>
  <w:num w:numId="50" w16cid:durableId="1401054583">
    <w:abstractNumId w:val="62"/>
  </w:num>
  <w:num w:numId="51" w16cid:durableId="897206185">
    <w:abstractNumId w:val="23"/>
  </w:num>
  <w:num w:numId="52" w16cid:durableId="768238786">
    <w:abstractNumId w:val="43"/>
  </w:num>
  <w:num w:numId="53" w16cid:durableId="872887196">
    <w:abstractNumId w:val="54"/>
  </w:num>
  <w:num w:numId="54" w16cid:durableId="1180776320">
    <w:abstractNumId w:val="47"/>
  </w:num>
  <w:num w:numId="55" w16cid:durableId="979114738">
    <w:abstractNumId w:val="6"/>
  </w:num>
  <w:num w:numId="56" w16cid:durableId="1650671320">
    <w:abstractNumId w:val="45"/>
  </w:num>
  <w:num w:numId="57" w16cid:durableId="260992192">
    <w:abstractNumId w:val="35"/>
  </w:num>
  <w:num w:numId="58" w16cid:durableId="1614314664">
    <w:abstractNumId w:val="0"/>
  </w:num>
  <w:num w:numId="59" w16cid:durableId="89592180">
    <w:abstractNumId w:val="17"/>
  </w:num>
  <w:num w:numId="60" w16cid:durableId="2032410244">
    <w:abstractNumId w:val="50"/>
  </w:num>
  <w:num w:numId="61" w16cid:durableId="2115175338">
    <w:abstractNumId w:val="8"/>
  </w:num>
  <w:num w:numId="62" w16cid:durableId="733236888">
    <w:abstractNumId w:val="4"/>
  </w:num>
  <w:num w:numId="63" w16cid:durableId="1080057803">
    <w:abstractNumId w:val="63"/>
  </w:num>
  <w:num w:numId="64" w16cid:durableId="211699713">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ZA"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0AA2"/>
    <w:rsid w:val="000131C1"/>
    <w:rsid w:val="0001788C"/>
    <w:rsid w:val="00020C18"/>
    <w:rsid w:val="00023CCC"/>
    <w:rsid w:val="000246EA"/>
    <w:rsid w:val="00026C06"/>
    <w:rsid w:val="000337EF"/>
    <w:rsid w:val="00034F98"/>
    <w:rsid w:val="000364FC"/>
    <w:rsid w:val="00040C3A"/>
    <w:rsid w:val="000419AD"/>
    <w:rsid w:val="000433C9"/>
    <w:rsid w:val="00050063"/>
    <w:rsid w:val="000529AD"/>
    <w:rsid w:val="000541A2"/>
    <w:rsid w:val="0005538C"/>
    <w:rsid w:val="000607B7"/>
    <w:rsid w:val="000647B8"/>
    <w:rsid w:val="00066076"/>
    <w:rsid w:val="0006641F"/>
    <w:rsid w:val="000716C5"/>
    <w:rsid w:val="00073049"/>
    <w:rsid w:val="00073665"/>
    <w:rsid w:val="00074FB3"/>
    <w:rsid w:val="00075E23"/>
    <w:rsid w:val="000815E7"/>
    <w:rsid w:val="000865AB"/>
    <w:rsid w:val="0009280F"/>
    <w:rsid w:val="0009344A"/>
    <w:rsid w:val="000A1AC3"/>
    <w:rsid w:val="000A392E"/>
    <w:rsid w:val="000A575F"/>
    <w:rsid w:val="000A5B01"/>
    <w:rsid w:val="000B2BEB"/>
    <w:rsid w:val="000B43BB"/>
    <w:rsid w:val="000C2F1A"/>
    <w:rsid w:val="000C3C0D"/>
    <w:rsid w:val="000C4640"/>
    <w:rsid w:val="000C5C69"/>
    <w:rsid w:val="000D10DB"/>
    <w:rsid w:val="000D4267"/>
    <w:rsid w:val="000D7963"/>
    <w:rsid w:val="000E040B"/>
    <w:rsid w:val="000E5EB5"/>
    <w:rsid w:val="000F34D0"/>
    <w:rsid w:val="000F35ED"/>
    <w:rsid w:val="001069B6"/>
    <w:rsid w:val="00107131"/>
    <w:rsid w:val="0010736F"/>
    <w:rsid w:val="001112AC"/>
    <w:rsid w:val="00113F73"/>
    <w:rsid w:val="00121CC2"/>
    <w:rsid w:val="00126384"/>
    <w:rsid w:val="0012736F"/>
    <w:rsid w:val="00133BA3"/>
    <w:rsid w:val="00133EE5"/>
    <w:rsid w:val="0014089D"/>
    <w:rsid w:val="00141C48"/>
    <w:rsid w:val="00143883"/>
    <w:rsid w:val="001441FE"/>
    <w:rsid w:val="001449E6"/>
    <w:rsid w:val="001457EE"/>
    <w:rsid w:val="00147DD4"/>
    <w:rsid w:val="00150313"/>
    <w:rsid w:val="00161EA8"/>
    <w:rsid w:val="00164DD1"/>
    <w:rsid w:val="00167A34"/>
    <w:rsid w:val="00173666"/>
    <w:rsid w:val="00187F23"/>
    <w:rsid w:val="001934A4"/>
    <w:rsid w:val="001A0DBF"/>
    <w:rsid w:val="001A6B01"/>
    <w:rsid w:val="001A7870"/>
    <w:rsid w:val="001B3949"/>
    <w:rsid w:val="001B3A00"/>
    <w:rsid w:val="001C1B41"/>
    <w:rsid w:val="001C55DF"/>
    <w:rsid w:val="001C7ECC"/>
    <w:rsid w:val="001D2206"/>
    <w:rsid w:val="001D65EF"/>
    <w:rsid w:val="001E426A"/>
    <w:rsid w:val="001E49E7"/>
    <w:rsid w:val="001E5934"/>
    <w:rsid w:val="001E7F07"/>
    <w:rsid w:val="001F3189"/>
    <w:rsid w:val="001F6FFA"/>
    <w:rsid w:val="001F7201"/>
    <w:rsid w:val="00204009"/>
    <w:rsid w:val="00223A29"/>
    <w:rsid w:val="002250A3"/>
    <w:rsid w:val="002271FD"/>
    <w:rsid w:val="0022736D"/>
    <w:rsid w:val="00233CFB"/>
    <w:rsid w:val="00235217"/>
    <w:rsid w:val="00235691"/>
    <w:rsid w:val="00246D1F"/>
    <w:rsid w:val="00247403"/>
    <w:rsid w:val="00247542"/>
    <w:rsid w:val="0025182B"/>
    <w:rsid w:val="00253B95"/>
    <w:rsid w:val="00253E93"/>
    <w:rsid w:val="00257978"/>
    <w:rsid w:val="00266B61"/>
    <w:rsid w:val="0026712A"/>
    <w:rsid w:val="002704DB"/>
    <w:rsid w:val="0027100F"/>
    <w:rsid w:val="00273C62"/>
    <w:rsid w:val="00284DC1"/>
    <w:rsid w:val="00286769"/>
    <w:rsid w:val="00291ED7"/>
    <w:rsid w:val="00296900"/>
    <w:rsid w:val="002A0AAE"/>
    <w:rsid w:val="002A0C19"/>
    <w:rsid w:val="002A4763"/>
    <w:rsid w:val="002A5820"/>
    <w:rsid w:val="002B09A7"/>
    <w:rsid w:val="002B63B0"/>
    <w:rsid w:val="002B6870"/>
    <w:rsid w:val="002C507C"/>
    <w:rsid w:val="002D19CC"/>
    <w:rsid w:val="002D2B26"/>
    <w:rsid w:val="002D7EA2"/>
    <w:rsid w:val="002E1290"/>
    <w:rsid w:val="002E187C"/>
    <w:rsid w:val="002E2426"/>
    <w:rsid w:val="002E24CF"/>
    <w:rsid w:val="002E678C"/>
    <w:rsid w:val="002F31E4"/>
    <w:rsid w:val="002F379B"/>
    <w:rsid w:val="002F3916"/>
    <w:rsid w:val="002F43B4"/>
    <w:rsid w:val="002F7E89"/>
    <w:rsid w:val="00300939"/>
    <w:rsid w:val="00302733"/>
    <w:rsid w:val="003039E4"/>
    <w:rsid w:val="00303ABC"/>
    <w:rsid w:val="003104A0"/>
    <w:rsid w:val="00311C9C"/>
    <w:rsid w:val="00312AC2"/>
    <w:rsid w:val="00312C63"/>
    <w:rsid w:val="0031300C"/>
    <w:rsid w:val="00314078"/>
    <w:rsid w:val="0031535D"/>
    <w:rsid w:val="003239B8"/>
    <w:rsid w:val="0033169F"/>
    <w:rsid w:val="00342894"/>
    <w:rsid w:val="00343C15"/>
    <w:rsid w:val="00344977"/>
    <w:rsid w:val="00346517"/>
    <w:rsid w:val="00346C95"/>
    <w:rsid w:val="003535A3"/>
    <w:rsid w:val="00354756"/>
    <w:rsid w:val="00356185"/>
    <w:rsid w:val="00360380"/>
    <w:rsid w:val="00363F62"/>
    <w:rsid w:val="003642D6"/>
    <w:rsid w:val="00367765"/>
    <w:rsid w:val="0037123D"/>
    <w:rsid w:val="0037519E"/>
    <w:rsid w:val="0037551B"/>
    <w:rsid w:val="003756D0"/>
    <w:rsid w:val="00377667"/>
    <w:rsid w:val="0038429C"/>
    <w:rsid w:val="00386CF0"/>
    <w:rsid w:val="0038709A"/>
    <w:rsid w:val="003B3A8F"/>
    <w:rsid w:val="003B70FB"/>
    <w:rsid w:val="003C2955"/>
    <w:rsid w:val="003C499C"/>
    <w:rsid w:val="003C5EF0"/>
    <w:rsid w:val="003C676B"/>
    <w:rsid w:val="003D3BC2"/>
    <w:rsid w:val="003D69C1"/>
    <w:rsid w:val="003D7924"/>
    <w:rsid w:val="003E644D"/>
    <w:rsid w:val="003E6CA1"/>
    <w:rsid w:val="003E76DB"/>
    <w:rsid w:val="003F1230"/>
    <w:rsid w:val="003F544B"/>
    <w:rsid w:val="004023EB"/>
    <w:rsid w:val="004065A8"/>
    <w:rsid w:val="004067C8"/>
    <w:rsid w:val="00411485"/>
    <w:rsid w:val="004165C2"/>
    <w:rsid w:val="00420EC6"/>
    <w:rsid w:val="00422745"/>
    <w:rsid w:val="00424F4B"/>
    <w:rsid w:val="004253A6"/>
    <w:rsid w:val="00433114"/>
    <w:rsid w:val="00441DD5"/>
    <w:rsid w:val="00441ECB"/>
    <w:rsid w:val="00445193"/>
    <w:rsid w:val="00447C46"/>
    <w:rsid w:val="00453B13"/>
    <w:rsid w:val="00455296"/>
    <w:rsid w:val="004570EE"/>
    <w:rsid w:val="00462C1B"/>
    <w:rsid w:val="004656CD"/>
    <w:rsid w:val="00467753"/>
    <w:rsid w:val="00467B7E"/>
    <w:rsid w:val="00473BB4"/>
    <w:rsid w:val="004761B8"/>
    <w:rsid w:val="00477592"/>
    <w:rsid w:val="00477B74"/>
    <w:rsid w:val="00486F1C"/>
    <w:rsid w:val="0048726D"/>
    <w:rsid w:val="0049419D"/>
    <w:rsid w:val="00495BDC"/>
    <w:rsid w:val="00496970"/>
    <w:rsid w:val="004A278B"/>
    <w:rsid w:val="004A29C0"/>
    <w:rsid w:val="004A3499"/>
    <w:rsid w:val="004A6A54"/>
    <w:rsid w:val="004B332B"/>
    <w:rsid w:val="004C1508"/>
    <w:rsid w:val="004C20D2"/>
    <w:rsid w:val="004C2312"/>
    <w:rsid w:val="004C4B62"/>
    <w:rsid w:val="004C54C9"/>
    <w:rsid w:val="004D4ABA"/>
    <w:rsid w:val="004D6025"/>
    <w:rsid w:val="004E2649"/>
    <w:rsid w:val="004E39F6"/>
    <w:rsid w:val="004E7298"/>
    <w:rsid w:val="004F1F31"/>
    <w:rsid w:val="00501399"/>
    <w:rsid w:val="0050633D"/>
    <w:rsid w:val="00507BC4"/>
    <w:rsid w:val="0051078D"/>
    <w:rsid w:val="005128E4"/>
    <w:rsid w:val="005133DB"/>
    <w:rsid w:val="00516A0D"/>
    <w:rsid w:val="00522115"/>
    <w:rsid w:val="0052234F"/>
    <w:rsid w:val="00525560"/>
    <w:rsid w:val="00527F9C"/>
    <w:rsid w:val="00533AEE"/>
    <w:rsid w:val="00537F33"/>
    <w:rsid w:val="005408AF"/>
    <w:rsid w:val="0054211B"/>
    <w:rsid w:val="00544C49"/>
    <w:rsid w:val="00547CCB"/>
    <w:rsid w:val="005516A1"/>
    <w:rsid w:val="00563557"/>
    <w:rsid w:val="00567F67"/>
    <w:rsid w:val="00570308"/>
    <w:rsid w:val="0057402A"/>
    <w:rsid w:val="005769C8"/>
    <w:rsid w:val="005771D0"/>
    <w:rsid w:val="005776AC"/>
    <w:rsid w:val="0057795E"/>
    <w:rsid w:val="00580EF0"/>
    <w:rsid w:val="00584073"/>
    <w:rsid w:val="00585625"/>
    <w:rsid w:val="005904C8"/>
    <w:rsid w:val="00591062"/>
    <w:rsid w:val="0059191A"/>
    <w:rsid w:val="005921FF"/>
    <w:rsid w:val="00596FFC"/>
    <w:rsid w:val="005A133A"/>
    <w:rsid w:val="005A23BC"/>
    <w:rsid w:val="005A24ED"/>
    <w:rsid w:val="005A6D0E"/>
    <w:rsid w:val="005A7BFD"/>
    <w:rsid w:val="005B180B"/>
    <w:rsid w:val="005B421D"/>
    <w:rsid w:val="005B52B0"/>
    <w:rsid w:val="005B60BB"/>
    <w:rsid w:val="005B6806"/>
    <w:rsid w:val="005B6A07"/>
    <w:rsid w:val="005C15D6"/>
    <w:rsid w:val="005C4225"/>
    <w:rsid w:val="005D3DFB"/>
    <w:rsid w:val="005E1672"/>
    <w:rsid w:val="005E2197"/>
    <w:rsid w:val="005E4951"/>
    <w:rsid w:val="005F0DAD"/>
    <w:rsid w:val="005F0F33"/>
    <w:rsid w:val="005F0F36"/>
    <w:rsid w:val="005F1251"/>
    <w:rsid w:val="006006EA"/>
    <w:rsid w:val="00600DEB"/>
    <w:rsid w:val="00614BEA"/>
    <w:rsid w:val="00625702"/>
    <w:rsid w:val="0062595C"/>
    <w:rsid w:val="00627C9F"/>
    <w:rsid w:val="006311E9"/>
    <w:rsid w:val="00631D05"/>
    <w:rsid w:val="00632354"/>
    <w:rsid w:val="00642671"/>
    <w:rsid w:val="00642810"/>
    <w:rsid w:val="00643864"/>
    <w:rsid w:val="00644925"/>
    <w:rsid w:val="00646423"/>
    <w:rsid w:val="00646EEB"/>
    <w:rsid w:val="0064780D"/>
    <w:rsid w:val="006514B8"/>
    <w:rsid w:val="00652333"/>
    <w:rsid w:val="00654B53"/>
    <w:rsid w:val="00662DA3"/>
    <w:rsid w:val="00664F8A"/>
    <w:rsid w:val="006660E3"/>
    <w:rsid w:val="00666F84"/>
    <w:rsid w:val="00671900"/>
    <w:rsid w:val="00674295"/>
    <w:rsid w:val="00677F73"/>
    <w:rsid w:val="0068009E"/>
    <w:rsid w:val="00685204"/>
    <w:rsid w:val="00692219"/>
    <w:rsid w:val="0069474E"/>
    <w:rsid w:val="006A01C5"/>
    <w:rsid w:val="006A17D2"/>
    <w:rsid w:val="006A192C"/>
    <w:rsid w:val="006A20E7"/>
    <w:rsid w:val="006A2CA5"/>
    <w:rsid w:val="006A73E6"/>
    <w:rsid w:val="006B1E15"/>
    <w:rsid w:val="006B2D5C"/>
    <w:rsid w:val="006B5A25"/>
    <w:rsid w:val="006B5EE6"/>
    <w:rsid w:val="006B65F4"/>
    <w:rsid w:val="006C15B2"/>
    <w:rsid w:val="006C4EB1"/>
    <w:rsid w:val="006C5675"/>
    <w:rsid w:val="006D1983"/>
    <w:rsid w:val="006E0166"/>
    <w:rsid w:val="006E22A3"/>
    <w:rsid w:val="006E30C3"/>
    <w:rsid w:val="006E422D"/>
    <w:rsid w:val="006E7B34"/>
    <w:rsid w:val="006F7B50"/>
    <w:rsid w:val="0070185B"/>
    <w:rsid w:val="00704E90"/>
    <w:rsid w:val="0070578D"/>
    <w:rsid w:val="0070697F"/>
    <w:rsid w:val="00710AE8"/>
    <w:rsid w:val="00712D6A"/>
    <w:rsid w:val="007169FF"/>
    <w:rsid w:val="00716DDC"/>
    <w:rsid w:val="0072199C"/>
    <w:rsid w:val="00722C9F"/>
    <w:rsid w:val="0072489E"/>
    <w:rsid w:val="007253B8"/>
    <w:rsid w:val="0073741F"/>
    <w:rsid w:val="00752FB6"/>
    <w:rsid w:val="00753B0C"/>
    <w:rsid w:val="00760838"/>
    <w:rsid w:val="00763A93"/>
    <w:rsid w:val="0076643F"/>
    <w:rsid w:val="007665A8"/>
    <w:rsid w:val="00771ABF"/>
    <w:rsid w:val="007768E9"/>
    <w:rsid w:val="0077698F"/>
    <w:rsid w:val="00777F63"/>
    <w:rsid w:val="00784F24"/>
    <w:rsid w:val="00790EC3"/>
    <w:rsid w:val="00791A37"/>
    <w:rsid w:val="00793E05"/>
    <w:rsid w:val="00795A4E"/>
    <w:rsid w:val="007A3A6B"/>
    <w:rsid w:val="007A5817"/>
    <w:rsid w:val="007B05C4"/>
    <w:rsid w:val="007B0CAB"/>
    <w:rsid w:val="007B167D"/>
    <w:rsid w:val="007B3021"/>
    <w:rsid w:val="007B319F"/>
    <w:rsid w:val="007B60E9"/>
    <w:rsid w:val="007B6CC3"/>
    <w:rsid w:val="007B76D3"/>
    <w:rsid w:val="007C3334"/>
    <w:rsid w:val="007D1725"/>
    <w:rsid w:val="007D2B98"/>
    <w:rsid w:val="007D5B29"/>
    <w:rsid w:val="007D7605"/>
    <w:rsid w:val="007E21BC"/>
    <w:rsid w:val="007E5572"/>
    <w:rsid w:val="007E5D1F"/>
    <w:rsid w:val="007E7C82"/>
    <w:rsid w:val="007F588D"/>
    <w:rsid w:val="0080214D"/>
    <w:rsid w:val="00803F1C"/>
    <w:rsid w:val="00803F42"/>
    <w:rsid w:val="0080600E"/>
    <w:rsid w:val="00806C00"/>
    <w:rsid w:val="00807BAF"/>
    <w:rsid w:val="00811EDB"/>
    <w:rsid w:val="00817612"/>
    <w:rsid w:val="008338A4"/>
    <w:rsid w:val="00834D49"/>
    <w:rsid w:val="00837C45"/>
    <w:rsid w:val="00842C98"/>
    <w:rsid w:val="00844730"/>
    <w:rsid w:val="008457C2"/>
    <w:rsid w:val="00855486"/>
    <w:rsid w:val="00857A82"/>
    <w:rsid w:val="00860DC6"/>
    <w:rsid w:val="008652C5"/>
    <w:rsid w:val="00873836"/>
    <w:rsid w:val="00885737"/>
    <w:rsid w:val="00890650"/>
    <w:rsid w:val="00890943"/>
    <w:rsid w:val="00897E12"/>
    <w:rsid w:val="008A7E0F"/>
    <w:rsid w:val="008B12F5"/>
    <w:rsid w:val="008B3786"/>
    <w:rsid w:val="008B53E7"/>
    <w:rsid w:val="008B59C3"/>
    <w:rsid w:val="008C651D"/>
    <w:rsid w:val="008D768D"/>
    <w:rsid w:val="008E18AF"/>
    <w:rsid w:val="008E3759"/>
    <w:rsid w:val="008E3BFE"/>
    <w:rsid w:val="008F1912"/>
    <w:rsid w:val="008F5C54"/>
    <w:rsid w:val="00900A8E"/>
    <w:rsid w:val="0090270B"/>
    <w:rsid w:val="009041DC"/>
    <w:rsid w:val="00904D68"/>
    <w:rsid w:val="009116E8"/>
    <w:rsid w:val="00917A75"/>
    <w:rsid w:val="00917B5A"/>
    <w:rsid w:val="00920A58"/>
    <w:rsid w:val="00920A8C"/>
    <w:rsid w:val="00920E6D"/>
    <w:rsid w:val="00932072"/>
    <w:rsid w:val="00933BE8"/>
    <w:rsid w:val="00934A2C"/>
    <w:rsid w:val="00936647"/>
    <w:rsid w:val="009404EB"/>
    <w:rsid w:val="00942945"/>
    <w:rsid w:val="0094523F"/>
    <w:rsid w:val="009456E1"/>
    <w:rsid w:val="00945902"/>
    <w:rsid w:val="00946ACD"/>
    <w:rsid w:val="00950761"/>
    <w:rsid w:val="0095180E"/>
    <w:rsid w:val="00951C2A"/>
    <w:rsid w:val="00953DBA"/>
    <w:rsid w:val="00957130"/>
    <w:rsid w:val="0096706E"/>
    <w:rsid w:val="009675CA"/>
    <w:rsid w:val="00974491"/>
    <w:rsid w:val="00974709"/>
    <w:rsid w:val="00975889"/>
    <w:rsid w:val="00975C4E"/>
    <w:rsid w:val="00980282"/>
    <w:rsid w:val="00981571"/>
    <w:rsid w:val="00981F2C"/>
    <w:rsid w:val="00981FBA"/>
    <w:rsid w:val="009840FA"/>
    <w:rsid w:val="00984B40"/>
    <w:rsid w:val="00985868"/>
    <w:rsid w:val="00985FD4"/>
    <w:rsid w:val="009959F6"/>
    <w:rsid w:val="00997BC5"/>
    <w:rsid w:val="009A4F41"/>
    <w:rsid w:val="009B23A8"/>
    <w:rsid w:val="009B381B"/>
    <w:rsid w:val="009C563B"/>
    <w:rsid w:val="009C5AF2"/>
    <w:rsid w:val="009D1200"/>
    <w:rsid w:val="009D1753"/>
    <w:rsid w:val="009D3249"/>
    <w:rsid w:val="009D7611"/>
    <w:rsid w:val="009E0B61"/>
    <w:rsid w:val="009E204C"/>
    <w:rsid w:val="009E4A68"/>
    <w:rsid w:val="009E53DE"/>
    <w:rsid w:val="009E592E"/>
    <w:rsid w:val="009F3A7E"/>
    <w:rsid w:val="009F618A"/>
    <w:rsid w:val="00A11212"/>
    <w:rsid w:val="00A11E44"/>
    <w:rsid w:val="00A14B51"/>
    <w:rsid w:val="00A20E1B"/>
    <w:rsid w:val="00A212B1"/>
    <w:rsid w:val="00A2749A"/>
    <w:rsid w:val="00A27CDF"/>
    <w:rsid w:val="00A30795"/>
    <w:rsid w:val="00A323B5"/>
    <w:rsid w:val="00A328B3"/>
    <w:rsid w:val="00A357BE"/>
    <w:rsid w:val="00A35EA2"/>
    <w:rsid w:val="00A372DA"/>
    <w:rsid w:val="00A37F2E"/>
    <w:rsid w:val="00A456C0"/>
    <w:rsid w:val="00A50FCF"/>
    <w:rsid w:val="00A528D1"/>
    <w:rsid w:val="00A53003"/>
    <w:rsid w:val="00A558F5"/>
    <w:rsid w:val="00A610CD"/>
    <w:rsid w:val="00A735CD"/>
    <w:rsid w:val="00A75799"/>
    <w:rsid w:val="00A758AA"/>
    <w:rsid w:val="00A75CC3"/>
    <w:rsid w:val="00A8174B"/>
    <w:rsid w:val="00A84B77"/>
    <w:rsid w:val="00A92649"/>
    <w:rsid w:val="00A934A2"/>
    <w:rsid w:val="00A96E5F"/>
    <w:rsid w:val="00AA09A2"/>
    <w:rsid w:val="00AA4BEF"/>
    <w:rsid w:val="00AA6416"/>
    <w:rsid w:val="00AA7996"/>
    <w:rsid w:val="00AB0171"/>
    <w:rsid w:val="00AB27FF"/>
    <w:rsid w:val="00AC118A"/>
    <w:rsid w:val="00AC1419"/>
    <w:rsid w:val="00AC19CB"/>
    <w:rsid w:val="00AD1410"/>
    <w:rsid w:val="00AD3B33"/>
    <w:rsid w:val="00AE26D0"/>
    <w:rsid w:val="00AE2A26"/>
    <w:rsid w:val="00AE5488"/>
    <w:rsid w:val="00AE6D2B"/>
    <w:rsid w:val="00AE6F91"/>
    <w:rsid w:val="00AE7A89"/>
    <w:rsid w:val="00AE7C9A"/>
    <w:rsid w:val="00AF3067"/>
    <w:rsid w:val="00AF5571"/>
    <w:rsid w:val="00B00068"/>
    <w:rsid w:val="00B00746"/>
    <w:rsid w:val="00B02389"/>
    <w:rsid w:val="00B07341"/>
    <w:rsid w:val="00B15DE1"/>
    <w:rsid w:val="00B30539"/>
    <w:rsid w:val="00B314DB"/>
    <w:rsid w:val="00B361F2"/>
    <w:rsid w:val="00B3718B"/>
    <w:rsid w:val="00B44BCA"/>
    <w:rsid w:val="00B45456"/>
    <w:rsid w:val="00B45654"/>
    <w:rsid w:val="00B4632A"/>
    <w:rsid w:val="00B51266"/>
    <w:rsid w:val="00B51940"/>
    <w:rsid w:val="00B530F1"/>
    <w:rsid w:val="00B6505B"/>
    <w:rsid w:val="00B650D5"/>
    <w:rsid w:val="00B74BF9"/>
    <w:rsid w:val="00B85AC3"/>
    <w:rsid w:val="00B86604"/>
    <w:rsid w:val="00B86788"/>
    <w:rsid w:val="00B878DB"/>
    <w:rsid w:val="00B95931"/>
    <w:rsid w:val="00BA276C"/>
    <w:rsid w:val="00BA2A06"/>
    <w:rsid w:val="00BA5ACD"/>
    <w:rsid w:val="00BA660D"/>
    <w:rsid w:val="00BB306F"/>
    <w:rsid w:val="00BB3B20"/>
    <w:rsid w:val="00BC2A79"/>
    <w:rsid w:val="00BC2D7E"/>
    <w:rsid w:val="00BD4B89"/>
    <w:rsid w:val="00BD5922"/>
    <w:rsid w:val="00BD6291"/>
    <w:rsid w:val="00BE4B9C"/>
    <w:rsid w:val="00BF02CB"/>
    <w:rsid w:val="00BF49A6"/>
    <w:rsid w:val="00BF6FD8"/>
    <w:rsid w:val="00C00262"/>
    <w:rsid w:val="00C03680"/>
    <w:rsid w:val="00C04151"/>
    <w:rsid w:val="00C04DC2"/>
    <w:rsid w:val="00C05133"/>
    <w:rsid w:val="00C054DF"/>
    <w:rsid w:val="00C0639D"/>
    <w:rsid w:val="00C106FD"/>
    <w:rsid w:val="00C111FF"/>
    <w:rsid w:val="00C12F6B"/>
    <w:rsid w:val="00C164FD"/>
    <w:rsid w:val="00C21657"/>
    <w:rsid w:val="00C21762"/>
    <w:rsid w:val="00C21FEF"/>
    <w:rsid w:val="00C24543"/>
    <w:rsid w:val="00C25420"/>
    <w:rsid w:val="00C256A2"/>
    <w:rsid w:val="00C3078F"/>
    <w:rsid w:val="00C33CE7"/>
    <w:rsid w:val="00C36409"/>
    <w:rsid w:val="00C45BC6"/>
    <w:rsid w:val="00C51515"/>
    <w:rsid w:val="00C5660B"/>
    <w:rsid w:val="00C66B72"/>
    <w:rsid w:val="00C67DD9"/>
    <w:rsid w:val="00C7503D"/>
    <w:rsid w:val="00C80795"/>
    <w:rsid w:val="00C81501"/>
    <w:rsid w:val="00C87AC4"/>
    <w:rsid w:val="00C94B07"/>
    <w:rsid w:val="00C9567A"/>
    <w:rsid w:val="00C96AA4"/>
    <w:rsid w:val="00C96AFF"/>
    <w:rsid w:val="00CB0A52"/>
    <w:rsid w:val="00CB212D"/>
    <w:rsid w:val="00CB2660"/>
    <w:rsid w:val="00CB48E5"/>
    <w:rsid w:val="00CC0249"/>
    <w:rsid w:val="00CC1094"/>
    <w:rsid w:val="00CC1C92"/>
    <w:rsid w:val="00CC5E90"/>
    <w:rsid w:val="00CD046C"/>
    <w:rsid w:val="00CD5CEE"/>
    <w:rsid w:val="00CD6CCF"/>
    <w:rsid w:val="00CE076C"/>
    <w:rsid w:val="00CE5185"/>
    <w:rsid w:val="00CE5199"/>
    <w:rsid w:val="00CE66D5"/>
    <w:rsid w:val="00CF0816"/>
    <w:rsid w:val="00CF637A"/>
    <w:rsid w:val="00CF6976"/>
    <w:rsid w:val="00D02CD8"/>
    <w:rsid w:val="00D03E48"/>
    <w:rsid w:val="00D059DE"/>
    <w:rsid w:val="00D05ABD"/>
    <w:rsid w:val="00D1117E"/>
    <w:rsid w:val="00D13FCE"/>
    <w:rsid w:val="00D16BB5"/>
    <w:rsid w:val="00D202EB"/>
    <w:rsid w:val="00D21316"/>
    <w:rsid w:val="00D26228"/>
    <w:rsid w:val="00D306D1"/>
    <w:rsid w:val="00D30800"/>
    <w:rsid w:val="00D34786"/>
    <w:rsid w:val="00D358AF"/>
    <w:rsid w:val="00D37BFC"/>
    <w:rsid w:val="00D42F1E"/>
    <w:rsid w:val="00D44270"/>
    <w:rsid w:val="00D47A8E"/>
    <w:rsid w:val="00D51692"/>
    <w:rsid w:val="00D52C24"/>
    <w:rsid w:val="00D52D14"/>
    <w:rsid w:val="00D56A62"/>
    <w:rsid w:val="00D63BD0"/>
    <w:rsid w:val="00D65118"/>
    <w:rsid w:val="00D712D3"/>
    <w:rsid w:val="00D71422"/>
    <w:rsid w:val="00D723DD"/>
    <w:rsid w:val="00D72DC6"/>
    <w:rsid w:val="00D7558D"/>
    <w:rsid w:val="00D81D92"/>
    <w:rsid w:val="00D834AA"/>
    <w:rsid w:val="00D86434"/>
    <w:rsid w:val="00D876F9"/>
    <w:rsid w:val="00D8772D"/>
    <w:rsid w:val="00D91630"/>
    <w:rsid w:val="00D91AF2"/>
    <w:rsid w:val="00DA2224"/>
    <w:rsid w:val="00DA7B5F"/>
    <w:rsid w:val="00DB7F79"/>
    <w:rsid w:val="00DC04D7"/>
    <w:rsid w:val="00DC11E7"/>
    <w:rsid w:val="00DC15CF"/>
    <w:rsid w:val="00DC2CFD"/>
    <w:rsid w:val="00DC2DFA"/>
    <w:rsid w:val="00DC7023"/>
    <w:rsid w:val="00DC769A"/>
    <w:rsid w:val="00DD145E"/>
    <w:rsid w:val="00DD189E"/>
    <w:rsid w:val="00DD3D4D"/>
    <w:rsid w:val="00DD3D86"/>
    <w:rsid w:val="00DD4AD2"/>
    <w:rsid w:val="00DE34D7"/>
    <w:rsid w:val="00DE7593"/>
    <w:rsid w:val="00DF1E04"/>
    <w:rsid w:val="00DF1EC4"/>
    <w:rsid w:val="00DF266C"/>
    <w:rsid w:val="00DF3401"/>
    <w:rsid w:val="00DF4D70"/>
    <w:rsid w:val="00E01C23"/>
    <w:rsid w:val="00E02ED6"/>
    <w:rsid w:val="00E0340B"/>
    <w:rsid w:val="00E04A90"/>
    <w:rsid w:val="00E0551F"/>
    <w:rsid w:val="00E072AB"/>
    <w:rsid w:val="00E07F16"/>
    <w:rsid w:val="00E1172C"/>
    <w:rsid w:val="00E1328D"/>
    <w:rsid w:val="00E167CE"/>
    <w:rsid w:val="00E219C7"/>
    <w:rsid w:val="00E2348E"/>
    <w:rsid w:val="00E25984"/>
    <w:rsid w:val="00E31933"/>
    <w:rsid w:val="00E32FA9"/>
    <w:rsid w:val="00E3322A"/>
    <w:rsid w:val="00E3460C"/>
    <w:rsid w:val="00E40376"/>
    <w:rsid w:val="00E4118C"/>
    <w:rsid w:val="00E42404"/>
    <w:rsid w:val="00E43157"/>
    <w:rsid w:val="00E45224"/>
    <w:rsid w:val="00E45C69"/>
    <w:rsid w:val="00E461CE"/>
    <w:rsid w:val="00E50178"/>
    <w:rsid w:val="00E526D9"/>
    <w:rsid w:val="00E5568B"/>
    <w:rsid w:val="00E55F62"/>
    <w:rsid w:val="00E70755"/>
    <w:rsid w:val="00E720CA"/>
    <w:rsid w:val="00E757F9"/>
    <w:rsid w:val="00E77B2D"/>
    <w:rsid w:val="00E77E10"/>
    <w:rsid w:val="00E812CC"/>
    <w:rsid w:val="00E81D12"/>
    <w:rsid w:val="00E83A19"/>
    <w:rsid w:val="00E84EB5"/>
    <w:rsid w:val="00E84FA1"/>
    <w:rsid w:val="00E85662"/>
    <w:rsid w:val="00E86F7E"/>
    <w:rsid w:val="00E8789F"/>
    <w:rsid w:val="00E97B71"/>
    <w:rsid w:val="00E97CB1"/>
    <w:rsid w:val="00EA1A34"/>
    <w:rsid w:val="00EA3D34"/>
    <w:rsid w:val="00EA7537"/>
    <w:rsid w:val="00EB1A15"/>
    <w:rsid w:val="00EB3CE2"/>
    <w:rsid w:val="00EB454D"/>
    <w:rsid w:val="00EB6142"/>
    <w:rsid w:val="00EC3C4B"/>
    <w:rsid w:val="00ED2B12"/>
    <w:rsid w:val="00ED3F88"/>
    <w:rsid w:val="00ED43D9"/>
    <w:rsid w:val="00ED549D"/>
    <w:rsid w:val="00ED76BE"/>
    <w:rsid w:val="00EE00E9"/>
    <w:rsid w:val="00EE0AA6"/>
    <w:rsid w:val="00EE10AD"/>
    <w:rsid w:val="00EE2674"/>
    <w:rsid w:val="00EE2C30"/>
    <w:rsid w:val="00EE4573"/>
    <w:rsid w:val="00EF619B"/>
    <w:rsid w:val="00EF634D"/>
    <w:rsid w:val="00F00B55"/>
    <w:rsid w:val="00F02AD1"/>
    <w:rsid w:val="00F07C05"/>
    <w:rsid w:val="00F11AE5"/>
    <w:rsid w:val="00F17F2E"/>
    <w:rsid w:val="00F21187"/>
    <w:rsid w:val="00F253CC"/>
    <w:rsid w:val="00F26DFA"/>
    <w:rsid w:val="00F26F6B"/>
    <w:rsid w:val="00F27918"/>
    <w:rsid w:val="00F34727"/>
    <w:rsid w:val="00F34D16"/>
    <w:rsid w:val="00F37106"/>
    <w:rsid w:val="00F372FC"/>
    <w:rsid w:val="00F41CDE"/>
    <w:rsid w:val="00F42983"/>
    <w:rsid w:val="00F4461F"/>
    <w:rsid w:val="00F4466B"/>
    <w:rsid w:val="00F45663"/>
    <w:rsid w:val="00F468DB"/>
    <w:rsid w:val="00F519CF"/>
    <w:rsid w:val="00F52001"/>
    <w:rsid w:val="00F539D8"/>
    <w:rsid w:val="00F56BA5"/>
    <w:rsid w:val="00F603A8"/>
    <w:rsid w:val="00F60E22"/>
    <w:rsid w:val="00F62569"/>
    <w:rsid w:val="00F64D6A"/>
    <w:rsid w:val="00F72F63"/>
    <w:rsid w:val="00F74313"/>
    <w:rsid w:val="00F74F6E"/>
    <w:rsid w:val="00F81395"/>
    <w:rsid w:val="00F81BB8"/>
    <w:rsid w:val="00F917D1"/>
    <w:rsid w:val="00F9653B"/>
    <w:rsid w:val="00FA134D"/>
    <w:rsid w:val="00FA4AB8"/>
    <w:rsid w:val="00FA66C4"/>
    <w:rsid w:val="00FB62CF"/>
    <w:rsid w:val="00FC3E04"/>
    <w:rsid w:val="00FC7F77"/>
    <w:rsid w:val="00FD3C3B"/>
    <w:rsid w:val="00FE07DD"/>
    <w:rsid w:val="00FE089D"/>
    <w:rsid w:val="00FE4C93"/>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 w:type="character" w:customStyle="1" w:styleId="normaltextrun">
    <w:name w:val="normaltextrun"/>
    <w:basedOn w:val="DefaultParagraphFont"/>
    <w:rsid w:val="001A6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36846231">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360326356">
      <w:bodyDiv w:val="1"/>
      <w:marLeft w:val="0"/>
      <w:marRight w:val="0"/>
      <w:marTop w:val="0"/>
      <w:marBottom w:val="0"/>
      <w:divBdr>
        <w:top w:val="none" w:sz="0" w:space="0" w:color="auto"/>
        <w:left w:val="none" w:sz="0" w:space="0" w:color="auto"/>
        <w:bottom w:val="none" w:sz="0" w:space="0" w:color="auto"/>
        <w:right w:val="none" w:sz="0" w:space="0" w:color="auto"/>
      </w:divBdr>
    </w:div>
    <w:div w:id="507258363">
      <w:bodyDiv w:val="1"/>
      <w:marLeft w:val="0"/>
      <w:marRight w:val="0"/>
      <w:marTop w:val="0"/>
      <w:marBottom w:val="0"/>
      <w:divBdr>
        <w:top w:val="none" w:sz="0" w:space="0" w:color="auto"/>
        <w:left w:val="none" w:sz="0" w:space="0" w:color="auto"/>
        <w:bottom w:val="none" w:sz="0" w:space="0" w:color="auto"/>
        <w:right w:val="none" w:sz="0" w:space="0" w:color="auto"/>
      </w:divBdr>
    </w:div>
    <w:div w:id="592586796">
      <w:bodyDiv w:val="1"/>
      <w:marLeft w:val="0"/>
      <w:marRight w:val="0"/>
      <w:marTop w:val="0"/>
      <w:marBottom w:val="0"/>
      <w:divBdr>
        <w:top w:val="none" w:sz="0" w:space="0" w:color="auto"/>
        <w:left w:val="none" w:sz="0" w:space="0" w:color="auto"/>
        <w:bottom w:val="none" w:sz="0" w:space="0" w:color="auto"/>
        <w:right w:val="none" w:sz="0" w:space="0" w:color="auto"/>
      </w:divBdr>
    </w:div>
    <w:div w:id="763572163">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986056356">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900776">
      <w:bodyDiv w:val="1"/>
      <w:marLeft w:val="0"/>
      <w:marRight w:val="0"/>
      <w:marTop w:val="0"/>
      <w:marBottom w:val="0"/>
      <w:divBdr>
        <w:top w:val="none" w:sz="0" w:space="0" w:color="auto"/>
        <w:left w:val="none" w:sz="0" w:space="0" w:color="auto"/>
        <w:bottom w:val="none" w:sz="0" w:space="0" w:color="auto"/>
        <w:right w:val="none" w:sz="0" w:space="0" w:color="auto"/>
      </w:divBdr>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10292601">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71110235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4788748">
      <w:bodyDiv w:val="1"/>
      <w:marLeft w:val="0"/>
      <w:marRight w:val="0"/>
      <w:marTop w:val="0"/>
      <w:marBottom w:val="0"/>
      <w:divBdr>
        <w:top w:val="none" w:sz="0" w:space="0" w:color="auto"/>
        <w:left w:val="none" w:sz="0" w:space="0" w:color="auto"/>
        <w:bottom w:val="none" w:sz="0" w:space="0" w:color="auto"/>
        <w:right w:val="none" w:sz="0" w:space="0" w:color="auto"/>
      </w:divBdr>
    </w:div>
    <w:div w:id="1820532709">
      <w:bodyDiv w:val="1"/>
      <w:marLeft w:val="0"/>
      <w:marRight w:val="0"/>
      <w:marTop w:val="0"/>
      <w:marBottom w:val="0"/>
      <w:divBdr>
        <w:top w:val="none" w:sz="0" w:space="0" w:color="auto"/>
        <w:left w:val="none" w:sz="0" w:space="0" w:color="auto"/>
        <w:bottom w:val="none" w:sz="0" w:space="0" w:color="auto"/>
        <w:right w:val="none" w:sz="0" w:space="0" w:color="auto"/>
      </w:divBdr>
    </w:div>
    <w:div w:id="1906523837">
      <w:bodyDiv w:val="1"/>
      <w:marLeft w:val="0"/>
      <w:marRight w:val="0"/>
      <w:marTop w:val="0"/>
      <w:marBottom w:val="0"/>
      <w:divBdr>
        <w:top w:val="none" w:sz="0" w:space="0" w:color="auto"/>
        <w:left w:val="none" w:sz="0" w:space="0" w:color="auto"/>
        <w:bottom w:val="none" w:sz="0" w:space="0" w:color="auto"/>
        <w:right w:val="none" w:sz="0" w:space="0" w:color="auto"/>
      </w:divBdr>
    </w:div>
    <w:div w:id="1970549580">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3341</Words>
  <Characters>19044</Characters>
  <Application>Microsoft Office Word</Application>
  <DocSecurity>0</DocSecurity>
  <Lines>158</Lines>
  <Paragraphs>44</Paragraphs>
  <ScaleCrop>false</ScaleCrop>
  <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77/24</dc:title>
  <dc:creator/>
  <cp:lastModifiedBy/>
  <cp:revision>1</cp:revision>
  <dcterms:created xsi:type="dcterms:W3CDTF">2024-08-21T15:36:00Z</dcterms:created>
  <dcterms:modified xsi:type="dcterms:W3CDTF">2024-08-21T21:56:00Z</dcterms:modified>
</cp:coreProperties>
</file>