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3826DAE8" w:rsidR="00040C3A" w:rsidRPr="00187F52" w:rsidRDefault="00CC272E" w:rsidP="00627C9F">
      <w:pPr>
        <w:jc w:val="both"/>
        <w:rPr>
          <w:rFonts w:asciiTheme="majorHAnsi" w:hAnsiTheme="majorHAnsi" w:cs="Univers"/>
          <w:b/>
          <w:bCs/>
          <w:color w:val="000000" w:themeColor="text1"/>
          <w:sz w:val="22"/>
          <w:szCs w:val="22"/>
          <w:lang w:val="pt-BR"/>
        </w:rPr>
      </w:pPr>
      <w:r w:rsidRPr="00187F52">
        <w:rPr>
          <w:rFonts w:asciiTheme="majorHAnsi" w:hAnsiTheme="majorHAnsi"/>
          <w:noProof/>
          <w:color w:val="000000" w:themeColor="text1"/>
          <w:sz w:val="22"/>
          <w:szCs w:val="22"/>
          <w:lang w:val="pt-BR"/>
        </w:rPr>
        <mc:AlternateContent>
          <mc:Choice Requires="wps">
            <w:drawing>
              <wp:anchor distT="0" distB="0" distL="114300" distR="114300" simplePos="0" relativeHeight="251658243" behindDoc="0" locked="0" layoutInCell="1" allowOverlap="1" wp14:anchorId="10F4F91A" wp14:editId="0A2B6A45">
                <wp:simplePos x="0" y="0"/>
                <wp:positionH relativeFrom="column">
                  <wp:posOffset>1215862</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95.75pt;margin-top:-33.4pt;width:413.25pt;height:7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AB9OaeIAAAALAQAADwAAAGRycy9k&#10;b3ducmV2LnhtbEyPTU+DQBRF9yb+h8kzcdcO1ICUMjQNSWNidNHajbsHMwXifCAzbdFf7+uqLm/e&#10;zX3nFOvJaHZWo++dFRDPI2DKNk72thVw+NjOMmA+oJWonVUCfpSHdXl/V2Au3cXu1HkfWkYj1uco&#10;oAthyDn3TacM+rkblKXb0Y0GA8Wx5XLEC40bzRdRlHKDvaUPHQ6q6lTztT8ZAa/V9h139cJkv7p6&#10;eTtuhu/DZyLE48O0WQELagq3MlzxCR1KYqrdyUrPNOVlnFBVwCxNyeHaiOKM9GoBz8kT8LLg/x3K&#10;PwAAAP//AwBQSwECLQAUAAYACAAAACEAtoM4kv4AAADhAQAAEwAAAAAAAAAAAAAAAAAAAAAAW0Nv&#10;bnRlbnRfVHlwZXNdLnhtbFBLAQItABQABgAIAAAAIQA4/SH/1gAAAJQBAAALAAAAAAAAAAAAAAAA&#10;AC8BAABfcmVscy8ucmVsc1BLAQItABQABgAIAAAAIQBu9HZIaQIAAD0FAAAOAAAAAAAAAAAAAAAA&#10;AC4CAABkcnMvZTJvRG9jLnhtbFBLAQItABQABgAIAAAAIQAAH05p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D306D1" w:rsidRPr="00187F52">
        <w:rPr>
          <w:rFonts w:asciiTheme="majorHAnsi" w:hAnsiTheme="majorHAnsi"/>
          <w:noProof/>
          <w:color w:val="000000" w:themeColor="text1"/>
          <w:sz w:val="22"/>
          <w:szCs w:val="22"/>
          <w:lang w:val="pt-BR"/>
        </w:rPr>
        <mc:AlternateContent>
          <mc:Choice Requires="wps">
            <w:drawing>
              <wp:anchor distT="0" distB="0" distL="114300" distR="114300" simplePos="0" relativeHeight="251658240" behindDoc="0" locked="0" layoutInCell="1" allowOverlap="1" wp14:anchorId="179A3F0F" wp14:editId="45A8D42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92F7584"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bgAIAAGAFAAAOAAAAZHJzL2Uyb0RvYy54bWysVE1v2zAMvQ/YfxB0X+2kSbsGdYogRYYB&#10;RVusHXpWZCk2IIsapXzt14+SP9J1xQ7DLrYkPj6ST6Subw6NYTuFvgZb8NFZzpmyEsrabgr+/Xn1&#10;6TNnPghbCgNWFfyoPL+Zf/xwvXczNYYKTKmQEYn1s70reBWCm2WZl5VqhD8DpywZNWAjAm1xk5Uo&#10;9sTemGyc5xfZHrB0CFJ5T6e3rZHPE7/WSoYHrb0KzBSccgvpi+m7jt9sfi1mGxSuqmWXhviHLBpR&#10;Wwo6UN2KINgW6z+omloieNDhTEKTgda1VKkGqmaUv6nmqRJOpVpIHO8Gmfz/o5X3uyf3iCTD3vmZ&#10;p2Ws4qCxiX/Kjx2SWMdBLHUITNLhaDo5z6ekqSTbVX51cX45jXJmJ3eHPnxR0LC4KDjSbSSRxO7O&#10;hxbaQ2I0D6YuV7UxaYOb9dIg2wm6udVqmefpsoj9N5ixEWwhurWM8SQ7FZNW4WhUxBn7TWlWl5T+&#10;OGWS+kwNcYSUyoZRa6pEqdrwUwo+RI+dGT1SpYkwMmuKP3B3BD2yJem52yw7fHRVqU0H5/xvibXO&#10;g0eKDDYMzk1tAd8jMFRVF7nF9yK10kSV1lAeH5EhtEPinVzVdG93wodHgTQVdNc06eGBPtrAvuDQ&#10;rTirAH++dx7x1Kxk5WxPU1Zw/2MrUHFmvlpq46vRZBLHMm0m08sxbfC1Zf3aYrfNEqgdRvSmOJmW&#10;ER9Mv9QIzQs9CIsYlUzCSopdcBmw3yxDO/30pEi1WCQYjaIT4c4+ORnJo6qxL58PLwJd17yB+v4e&#10;+okUszc93GKjp4XFNoCuU4OfdO30pjFOjdM9OfGdeL1PqNPDOP8FAAD//wMAUEsDBBQABgAIAAAA&#10;IQDoGhhK4AAAAAwBAAAPAAAAZHJzL2Rvd25yZXYueG1sTI/NTsMwEITvSLyDtUjcWie1mkKIU1UV&#10;PXEiBdqjG5skqn8i203C27M5wW12ZzT7bbGdjCaD8qFzlkO6TIAoWzvZ2YbDx/GweAISorBSaGcV&#10;hx8VYFve3xUil26072qoYkOwxIZccGhj7HNKQ90qI8LS9cqi9+28ERFH31DpxYjlRtNVkmTUiM7i&#10;hVb0at+q+lrdDAeqP/3bcGLXc5qwQ/o6Vmb3tef88WHavQCJaop/YZjxER1KZLq4m5WBaA6LbL3G&#10;6CyeV0DmxGaDmwsKljEGtCzo/yfKXwAAAP//AwBQSwECLQAUAAYACAAAACEAtoM4kv4AAADhAQAA&#10;EwAAAAAAAAAAAAAAAAAAAAAAW0NvbnRlbnRfVHlwZXNdLnhtbFBLAQItABQABgAIAAAAIQA4/SH/&#10;1gAAAJQBAAALAAAAAAAAAAAAAAAAAC8BAABfcmVscy8ucmVsc1BLAQItABQABgAIAAAAIQD+iHkb&#10;gAIAAGAFAAAOAAAAAAAAAAAAAAAAAC4CAABkcnMvZTJvRG9jLnhtbFBLAQItABQABgAIAAAAIQDo&#10;GhhK4AAAAAwBAAAPAAAAAAAAAAAAAAAAANoEAABkcnMvZG93bnJldi54bWxQSwUGAAAAAAQABADz&#10;AAAA5wUAAAAA&#10;" fillcolor="#ffc000" stroked="f" strokeweight="2pt"/>
            </w:pict>
          </mc:Fallback>
        </mc:AlternateContent>
      </w:r>
    </w:p>
    <w:p w14:paraId="47386BAF" w14:textId="77777777" w:rsidR="00040C3A" w:rsidRPr="00187F52"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187F52"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187F52"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187F52"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187F52"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187F52"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187F52"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48690D23" w:rsidR="005B52B0" w:rsidRPr="00187F52"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60779C9D" w:rsidR="005B52B0" w:rsidRPr="00187F52"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6975E101" w:rsidR="005B52B0" w:rsidRPr="00187F52"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19680D61"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2D81B7E8" w14:textId="2CD17D4E"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03ACD9CC" w:rsidR="00040C3A" w:rsidRPr="00187F52" w:rsidRDefault="005E7ECE" w:rsidP="00040C3A">
      <w:pPr>
        <w:tabs>
          <w:tab w:val="center" w:pos="5400"/>
        </w:tabs>
        <w:suppressAutoHyphens/>
        <w:jc w:val="center"/>
        <w:rPr>
          <w:rFonts w:asciiTheme="majorHAnsi" w:hAnsiTheme="majorHAnsi"/>
          <w:color w:val="000000" w:themeColor="text1"/>
          <w:sz w:val="22"/>
          <w:szCs w:val="22"/>
          <w:lang w:val="pt-BR"/>
        </w:rPr>
      </w:pPr>
      <w:r w:rsidRPr="00187F52">
        <w:rPr>
          <w:rFonts w:asciiTheme="majorHAnsi" w:hAnsiTheme="majorHAnsi"/>
          <w:noProof/>
          <w:sz w:val="22"/>
          <w:szCs w:val="22"/>
          <w:lang w:val="pt-BR"/>
        </w:rPr>
        <mc:AlternateContent>
          <mc:Choice Requires="wps">
            <w:drawing>
              <wp:anchor distT="0" distB="0" distL="114300" distR="114300" simplePos="0" relativeHeight="251658247" behindDoc="0" locked="0" layoutInCell="1" allowOverlap="1" wp14:anchorId="192C1318" wp14:editId="1F27DCC6">
                <wp:simplePos x="0" y="0"/>
                <wp:positionH relativeFrom="column">
                  <wp:posOffset>1280160</wp:posOffset>
                </wp:positionH>
                <wp:positionV relativeFrom="paragraph">
                  <wp:posOffset>110684</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43B35" w14:textId="106775C7"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931EA9">
                              <w:rPr>
                                <w:rFonts w:asciiTheme="majorHAnsi" w:hAnsiTheme="majorHAnsi" w:cs="Arial"/>
                                <w:b/>
                                <w:bCs/>
                                <w:color w:val="0D0D0D" w:themeColor="text1" w:themeTint="F2"/>
                                <w:sz w:val="36"/>
                                <w:szCs w:val="22"/>
                                <w:lang w:val="pt-BR"/>
                              </w:rPr>
                              <w:t>235</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0B922555"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B16985">
                              <w:rPr>
                                <w:rFonts w:asciiTheme="majorHAnsi" w:hAnsiTheme="majorHAnsi" w:cs="Arial"/>
                                <w:b/>
                                <w:color w:val="0D0D0D" w:themeColor="text1" w:themeTint="F2"/>
                                <w:sz w:val="36"/>
                                <w:szCs w:val="22"/>
                                <w:lang w:val="pt-BR"/>
                              </w:rPr>
                              <w:t>422-19</w:t>
                            </w:r>
                          </w:p>
                          <w:p w14:paraId="5B67C2E9" w14:textId="5113295F"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0" w:name="_ftnref1"/>
                          </w:p>
                          <w:bookmarkEnd w:id="0"/>
                          <w:p w14:paraId="3402D604" w14:textId="458CC94E" w:rsidR="005E7ECE" w:rsidRPr="005E7ECE" w:rsidRDefault="005170CC"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TREVIAN FERNEY ARAGON VALENCIA</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1318" id="Text Box 5" o:spid="_x0000_s1027" type="#_x0000_t202" style="position:absolute;left:0;text-align:left;margin-left:100.8pt;margin-top:8.7pt;width:349.7pt;height:17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Pq2esnhAAAACgEAAA8AAABkcnMv&#10;ZG93bnJldi54bWxMj8FOwzAQRO9I/IO1SNyonQChTeNUVaQKCcGhpRduTuwmUe11iN028PUsJziu&#10;5mn2TbGanGVnM4beo4RkJoAZbLzusZWwf9/czYGFqFAr69FI+DIBVuX1VaFy7S+4NeddbBmVYMiV&#10;hC7GIec8NJ1xKsz8YJCygx+dinSOLdejulC5szwVIuNO9UgfOjWYqjPNcXdyEl6qzZva1qmbf9vq&#10;+fWwHj73H49S3t5M6yWwaKb4B8OvPqlDSU61P6EOzEpIRZIRSsHTAzACFiKhcbWE+0wsgJcF/z+h&#10;/AEAAP//AwBQSwECLQAUAAYACAAAACEAtoM4kv4AAADhAQAAEwAAAAAAAAAAAAAAAAAAAAAAW0Nv&#10;bnRlbnRfVHlwZXNdLnhtbFBLAQItABQABgAIAAAAIQA4/SH/1gAAAJQBAAALAAAAAAAAAAAAAAAA&#10;AC8BAABfcmVscy8ucmVsc1BLAQItABQABgAIAAAAIQC824VCagIAAEUFAAAOAAAAAAAAAAAAAAAA&#10;AC4CAABkcnMvZTJvRG9jLnhtbFBLAQItABQABgAIAAAAIQD6tnrJ4QAAAAoBAAAPAAAAAAAAAAAA&#10;AAAAAMQEAABkcnMvZG93bnJldi54bWxQSwUGAAAAAAQABADzAAAA0gUAAAAA&#10;" filled="f" stroked="f" strokeweight=".5pt">
                <v:textbox>
                  <w:txbxContent>
                    <w:p w14:paraId="65143B35" w14:textId="106775C7" w:rsidR="005E7ECE" w:rsidRPr="003436C3" w:rsidRDefault="005E7ECE" w:rsidP="005E7ECE">
                      <w:pPr>
                        <w:spacing w:line="276" w:lineRule="auto"/>
                        <w:rPr>
                          <w:rFonts w:asciiTheme="majorHAnsi" w:hAnsiTheme="majorHAnsi" w:cs="Arial"/>
                          <w:b/>
                          <w:bCs/>
                          <w:color w:val="0D0D0D" w:themeColor="text1" w:themeTint="F2"/>
                          <w:sz w:val="36"/>
                          <w:szCs w:val="22"/>
                          <w:lang w:val="pt-BR"/>
                        </w:rPr>
                      </w:pPr>
                      <w:r w:rsidRPr="003436C3">
                        <w:rPr>
                          <w:rFonts w:asciiTheme="majorHAnsi" w:hAnsiTheme="majorHAnsi" w:cs="Arial"/>
                          <w:b/>
                          <w:bCs/>
                          <w:color w:val="0D0D0D" w:themeColor="text1" w:themeTint="F2"/>
                          <w:sz w:val="36"/>
                          <w:szCs w:val="22"/>
                          <w:lang w:val="pt-BR"/>
                        </w:rPr>
                        <w:t xml:space="preserve">RELATÓRIO </w:t>
                      </w:r>
                      <w:r w:rsidRPr="003436C3">
                        <w:rPr>
                          <w:rFonts w:asciiTheme="majorHAnsi" w:hAnsiTheme="majorHAnsi" w:cs="Arial"/>
                          <w:b/>
                          <w:bCs/>
                          <w:color w:val="0D0D0D" w:themeColor="text1" w:themeTint="F2"/>
                          <w:sz w:val="36"/>
                          <w:szCs w:val="40"/>
                          <w:lang w:val="pt-BR"/>
                        </w:rPr>
                        <w:t>No.</w:t>
                      </w:r>
                      <w:r w:rsidRPr="003436C3">
                        <w:rPr>
                          <w:rFonts w:asciiTheme="majorHAnsi" w:hAnsiTheme="majorHAnsi" w:cs="Arial"/>
                          <w:b/>
                          <w:bCs/>
                          <w:color w:val="0D0D0D" w:themeColor="text1" w:themeTint="F2"/>
                          <w:sz w:val="36"/>
                          <w:szCs w:val="22"/>
                          <w:lang w:val="pt-BR"/>
                        </w:rPr>
                        <w:t xml:space="preserve"> </w:t>
                      </w:r>
                      <w:r w:rsidR="00931EA9">
                        <w:rPr>
                          <w:rFonts w:asciiTheme="majorHAnsi" w:hAnsiTheme="majorHAnsi" w:cs="Arial"/>
                          <w:b/>
                          <w:bCs/>
                          <w:color w:val="0D0D0D" w:themeColor="text1" w:themeTint="F2"/>
                          <w:sz w:val="36"/>
                          <w:szCs w:val="22"/>
                          <w:lang w:val="pt-BR"/>
                        </w:rPr>
                        <w:t>235</w:t>
                      </w:r>
                      <w:r w:rsidRPr="003436C3">
                        <w:rPr>
                          <w:rFonts w:asciiTheme="majorHAnsi" w:hAnsiTheme="majorHAnsi" w:cs="Arial"/>
                          <w:b/>
                          <w:bCs/>
                          <w:color w:val="0D0D0D" w:themeColor="text1" w:themeTint="F2"/>
                          <w:sz w:val="36"/>
                          <w:szCs w:val="22"/>
                          <w:lang w:val="pt-BR"/>
                        </w:rPr>
                        <w:t>/2</w:t>
                      </w:r>
                      <w:r w:rsidR="00EE28DC">
                        <w:rPr>
                          <w:rFonts w:asciiTheme="majorHAnsi" w:hAnsiTheme="majorHAnsi" w:cs="Arial"/>
                          <w:b/>
                          <w:bCs/>
                          <w:color w:val="0D0D0D" w:themeColor="text1" w:themeTint="F2"/>
                          <w:sz w:val="36"/>
                          <w:szCs w:val="22"/>
                          <w:lang w:val="pt-BR"/>
                        </w:rPr>
                        <w:t>4</w:t>
                      </w:r>
                    </w:p>
                    <w:p w14:paraId="543048DA" w14:textId="0B922555" w:rsidR="005E7ECE" w:rsidRPr="005E7ECE" w:rsidRDefault="005E7ECE" w:rsidP="005E7ECE">
                      <w:pPr>
                        <w:spacing w:line="276" w:lineRule="auto"/>
                        <w:rPr>
                          <w:rFonts w:asciiTheme="majorHAnsi" w:hAnsiTheme="majorHAnsi" w:cs="Arial"/>
                          <w:b/>
                          <w:color w:val="0D0D0D" w:themeColor="text1" w:themeTint="F2"/>
                          <w:sz w:val="36"/>
                          <w:szCs w:val="22"/>
                          <w:lang w:val="pt-BR"/>
                        </w:rPr>
                      </w:pPr>
                      <w:r w:rsidRPr="005E7ECE">
                        <w:rPr>
                          <w:rFonts w:asciiTheme="majorHAnsi" w:hAnsiTheme="majorHAnsi" w:cs="Arial"/>
                          <w:b/>
                          <w:color w:val="0D0D0D" w:themeColor="text1" w:themeTint="F2"/>
                          <w:sz w:val="36"/>
                          <w:szCs w:val="22"/>
                          <w:lang w:val="pt-BR"/>
                        </w:rPr>
                        <w:t xml:space="preserve">PETIÇÃO </w:t>
                      </w:r>
                      <w:r w:rsidR="00B16985">
                        <w:rPr>
                          <w:rFonts w:asciiTheme="majorHAnsi" w:hAnsiTheme="majorHAnsi" w:cs="Arial"/>
                          <w:b/>
                          <w:color w:val="0D0D0D" w:themeColor="text1" w:themeTint="F2"/>
                          <w:sz w:val="36"/>
                          <w:szCs w:val="22"/>
                          <w:lang w:val="pt-BR"/>
                        </w:rPr>
                        <w:t>422-19</w:t>
                      </w:r>
                    </w:p>
                    <w:p w14:paraId="5B67C2E9" w14:textId="5113295F" w:rsidR="005E7ECE" w:rsidRPr="005E7ECE" w:rsidRDefault="005E7ECE" w:rsidP="005E7ECE">
                      <w:pPr>
                        <w:spacing w:line="276" w:lineRule="auto"/>
                        <w:rPr>
                          <w:rFonts w:asciiTheme="majorHAnsi" w:hAnsiTheme="majorHAnsi" w:cs="Arial"/>
                          <w:color w:val="0D0D0D" w:themeColor="text1" w:themeTint="F2"/>
                          <w:szCs w:val="22"/>
                          <w:lang w:val="pt-BR"/>
                        </w:rPr>
                      </w:pPr>
                      <w:r w:rsidRPr="005E7ECE">
                        <w:rPr>
                          <w:rFonts w:asciiTheme="majorHAnsi" w:hAnsiTheme="majorHAnsi" w:cs="Arial"/>
                          <w:color w:val="0D0D0D" w:themeColor="text1" w:themeTint="F2"/>
                          <w:szCs w:val="22"/>
                          <w:lang w:val="pt-BR"/>
                        </w:rPr>
                        <w:t>RELATÓRIO DE ADMISSIBILIDADE</w:t>
                      </w:r>
                    </w:p>
                    <w:p w14:paraId="36AD5E2E" w14:textId="77777777" w:rsidR="005E7ECE" w:rsidRPr="005E7ECE" w:rsidRDefault="005E7ECE" w:rsidP="005E7ECE">
                      <w:pPr>
                        <w:spacing w:line="276" w:lineRule="auto"/>
                        <w:rPr>
                          <w:rFonts w:asciiTheme="majorHAnsi" w:hAnsiTheme="majorHAnsi" w:cs="Arial"/>
                          <w:color w:val="0D0D0D" w:themeColor="text1" w:themeTint="F2"/>
                          <w:szCs w:val="22"/>
                          <w:lang w:val="pt-BR"/>
                        </w:rPr>
                      </w:pPr>
                      <w:bookmarkStart w:id="1" w:name="_ftnref1"/>
                    </w:p>
                    <w:bookmarkEnd w:id="1"/>
                    <w:p w14:paraId="3402D604" w14:textId="458CC94E" w:rsidR="005E7ECE" w:rsidRPr="005E7ECE" w:rsidRDefault="005170CC" w:rsidP="005E7ECE">
                      <w:pPr>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TREVIAN FERNEY ARAGON VALENCIA</w:t>
                      </w:r>
                    </w:p>
                    <w:p w14:paraId="6BD91FFB" w14:textId="1298D963" w:rsidR="005E7ECE" w:rsidRPr="005E7ECE" w:rsidRDefault="005E7ECE" w:rsidP="005E7ECE">
                      <w:pPr>
                        <w:rPr>
                          <w:color w:val="0D0D0D" w:themeColor="text1" w:themeTint="F2"/>
                          <w:lang w:val="pt-BR"/>
                        </w:rPr>
                      </w:pPr>
                      <w:r w:rsidRPr="005E7ECE">
                        <w:rPr>
                          <w:rFonts w:asciiTheme="majorHAnsi" w:hAnsiTheme="majorHAnsi" w:cs="Arial"/>
                          <w:color w:val="0D0D0D" w:themeColor="text1" w:themeTint="F2"/>
                          <w:szCs w:val="22"/>
                          <w:lang w:val="pt-BR"/>
                        </w:rPr>
                        <w:t>BRASIL</w:t>
                      </w:r>
                    </w:p>
                  </w:txbxContent>
                </v:textbox>
              </v:shape>
            </w:pict>
          </mc:Fallback>
        </mc:AlternateContent>
      </w:r>
      <w:r w:rsidR="004E2649" w:rsidRPr="00187F52">
        <w:rPr>
          <w:rFonts w:asciiTheme="majorHAnsi" w:hAnsiTheme="majorHAnsi"/>
          <w:noProof/>
          <w:color w:val="000000" w:themeColor="text1"/>
          <w:sz w:val="22"/>
          <w:szCs w:val="22"/>
          <w:lang w:val="pt-BR"/>
        </w:rPr>
        <mc:AlternateContent>
          <mc:Choice Requires="wps">
            <w:drawing>
              <wp:anchor distT="0" distB="0" distL="114300" distR="114300" simplePos="0" relativeHeight="251658242" behindDoc="0" locked="0" layoutInCell="1" allowOverlap="1" wp14:anchorId="73BE5919" wp14:editId="4DDE529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4F9B20B"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66D59CA"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30A75">
                              <w:rPr>
                                <w:rFonts w:asciiTheme="minorHAnsi" w:hAnsiTheme="minorHAnsi"/>
                                <w:sz w:val="22"/>
                                <w:lang w:val="pt-BR"/>
                              </w:rPr>
                              <w:t>247</w:t>
                            </w:r>
                          </w:p>
                          <w:p w14:paraId="69373ED2" w14:textId="176C2D9A" w:rsidR="00627C9F" w:rsidRPr="0072489E" w:rsidRDefault="00930A75" w:rsidP="007A5817">
                            <w:pPr>
                              <w:spacing w:line="276" w:lineRule="auto"/>
                              <w:jc w:val="right"/>
                              <w:rPr>
                                <w:rFonts w:asciiTheme="minorHAnsi" w:hAnsiTheme="minorHAnsi"/>
                                <w:sz w:val="22"/>
                                <w:lang w:val="pt-BR"/>
                              </w:rPr>
                            </w:pPr>
                            <w:r>
                              <w:rPr>
                                <w:rFonts w:asciiTheme="minorHAnsi" w:hAnsiTheme="minorHAnsi"/>
                                <w:sz w:val="22"/>
                                <w:lang w:val="pt-BR"/>
                              </w:rPr>
                              <w:t>5 dezembro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04F9B20B" w:rsidR="00627C9F" w:rsidRPr="00A75CC3" w:rsidRDefault="00834D49" w:rsidP="007A5817">
                      <w:pPr>
                        <w:spacing w:line="276" w:lineRule="auto"/>
                        <w:jc w:val="right"/>
                        <w:rPr>
                          <w:rFonts w:asciiTheme="minorHAnsi" w:hAnsiTheme="minorHAnsi"/>
                          <w:sz w:val="22"/>
                          <w:lang w:val="pt-BR"/>
                        </w:rPr>
                      </w:pPr>
                      <w:r w:rsidRPr="00A75CC3">
                        <w:rPr>
                          <w:rFonts w:asciiTheme="minorHAnsi" w:hAnsiTheme="minorHAnsi"/>
                          <w:sz w:val="22"/>
                          <w:lang w:val="pt-BR"/>
                        </w:rPr>
                        <w:t>OEA/Ser.L/V/II</w:t>
                      </w:r>
                    </w:p>
                    <w:p w14:paraId="6A41611B" w14:textId="766D59CA" w:rsidR="00627C9F" w:rsidRPr="00A75CC3" w:rsidRDefault="00627C9F" w:rsidP="007A5817">
                      <w:pPr>
                        <w:spacing w:line="276" w:lineRule="auto"/>
                        <w:jc w:val="right"/>
                        <w:rPr>
                          <w:rFonts w:asciiTheme="minorHAnsi" w:hAnsiTheme="minorHAnsi"/>
                          <w:sz w:val="22"/>
                          <w:lang w:val="pt-BR"/>
                        </w:rPr>
                      </w:pPr>
                      <w:r w:rsidRPr="00A75CC3">
                        <w:rPr>
                          <w:rFonts w:asciiTheme="minorHAnsi" w:hAnsiTheme="minorHAnsi"/>
                          <w:sz w:val="22"/>
                          <w:lang w:val="pt-BR"/>
                        </w:rPr>
                        <w:t xml:space="preserve">Doc. </w:t>
                      </w:r>
                      <w:r w:rsidR="00930A75">
                        <w:rPr>
                          <w:rFonts w:asciiTheme="minorHAnsi" w:hAnsiTheme="minorHAnsi"/>
                          <w:sz w:val="22"/>
                          <w:lang w:val="pt-BR"/>
                        </w:rPr>
                        <w:t>247</w:t>
                      </w:r>
                    </w:p>
                    <w:p w14:paraId="69373ED2" w14:textId="176C2D9A" w:rsidR="00627C9F" w:rsidRPr="0072489E" w:rsidRDefault="00930A75" w:rsidP="007A5817">
                      <w:pPr>
                        <w:spacing w:line="276" w:lineRule="auto"/>
                        <w:jc w:val="right"/>
                        <w:rPr>
                          <w:rFonts w:asciiTheme="minorHAnsi" w:hAnsiTheme="minorHAnsi"/>
                          <w:sz w:val="22"/>
                          <w:lang w:val="pt-BR"/>
                        </w:rPr>
                      </w:pPr>
                      <w:r>
                        <w:rPr>
                          <w:rFonts w:asciiTheme="minorHAnsi" w:hAnsiTheme="minorHAnsi"/>
                          <w:sz w:val="22"/>
                          <w:lang w:val="pt-BR"/>
                        </w:rPr>
                        <w:t>5 dezembro</w:t>
                      </w:r>
                      <w:r w:rsidR="00627C9F" w:rsidRPr="0072489E">
                        <w:rPr>
                          <w:rFonts w:asciiTheme="minorHAnsi" w:hAnsiTheme="minorHAnsi"/>
                          <w:sz w:val="22"/>
                          <w:lang w:val="pt-BR"/>
                        </w:rPr>
                        <w:t xml:space="preserve"> 20</w:t>
                      </w:r>
                      <w:r w:rsidR="00D834AA">
                        <w:rPr>
                          <w:rFonts w:asciiTheme="minorHAnsi" w:hAnsiTheme="minorHAnsi"/>
                          <w:sz w:val="22"/>
                          <w:lang w:val="pt-BR"/>
                        </w:rPr>
                        <w:t>2</w:t>
                      </w:r>
                      <w:r w:rsidR="00EE28DC">
                        <w:rPr>
                          <w:rFonts w:asciiTheme="minorHAnsi" w:hAnsiTheme="minorHAnsi"/>
                          <w:sz w:val="22"/>
                          <w:lang w:val="pt-BR"/>
                        </w:rPr>
                        <w:t>4</w:t>
                      </w:r>
                    </w:p>
                    <w:p w14:paraId="0771DB5B" w14:textId="40CA6718" w:rsidR="00627C9F" w:rsidRPr="0072489E" w:rsidRDefault="00E0340B" w:rsidP="007A5817">
                      <w:pPr>
                        <w:spacing w:line="276" w:lineRule="auto"/>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p>
    <w:p w14:paraId="155B0536" w14:textId="0E3E6654"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5426DAC2"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187F52"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187F52"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187F52"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187F52"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187F52"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187F52"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187F52" w:rsidRDefault="0090270B" w:rsidP="00040C3A">
      <w:pPr>
        <w:tabs>
          <w:tab w:val="center" w:pos="5400"/>
        </w:tabs>
        <w:suppressAutoHyphens/>
        <w:jc w:val="center"/>
        <w:rPr>
          <w:rFonts w:asciiTheme="majorHAnsi" w:hAnsiTheme="majorHAnsi"/>
          <w:color w:val="000000" w:themeColor="text1"/>
          <w:sz w:val="18"/>
          <w:szCs w:val="22"/>
          <w:lang w:val="pt-BR"/>
        </w:rPr>
      </w:pPr>
      <w:r w:rsidRPr="00187F52">
        <w:rPr>
          <w:rFonts w:asciiTheme="majorHAnsi" w:hAnsiTheme="majorHAnsi"/>
          <w:noProof/>
          <w:color w:val="000000" w:themeColor="text1"/>
          <w:sz w:val="22"/>
          <w:szCs w:val="22"/>
          <w:lang w:val="pt-BR"/>
        </w:rPr>
        <mc:AlternateContent>
          <mc:Choice Requires="wps">
            <w:drawing>
              <wp:anchor distT="0" distB="0" distL="114300" distR="114300" simplePos="0" relativeHeight="251658241"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62375C5"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931EA9">
                              <w:rPr>
                                <w:rFonts w:asciiTheme="majorHAnsi" w:hAnsiTheme="majorHAnsi"/>
                                <w:color w:val="0D0D0D" w:themeColor="text1" w:themeTint="F2"/>
                                <w:sz w:val="18"/>
                                <w:szCs w:val="22"/>
                                <w:lang w:val="pt-BR"/>
                              </w:rPr>
                              <w:t>5</w:t>
                            </w:r>
                            <w:r w:rsidR="00DD3D86" w:rsidRPr="0038709A">
                              <w:rPr>
                                <w:rFonts w:asciiTheme="majorHAnsi" w:hAnsiTheme="majorHAnsi"/>
                                <w:color w:val="0D0D0D" w:themeColor="text1" w:themeTint="F2"/>
                                <w:sz w:val="18"/>
                                <w:szCs w:val="22"/>
                                <w:lang w:val="pt-BR"/>
                              </w:rPr>
                              <w:t xml:space="preserve"> de </w:t>
                            </w:r>
                            <w:r w:rsidR="00931EA9">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931EA9">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62375C5"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931EA9">
                        <w:rPr>
                          <w:rFonts w:asciiTheme="majorHAnsi" w:hAnsiTheme="majorHAnsi"/>
                          <w:color w:val="0D0D0D" w:themeColor="text1" w:themeTint="F2"/>
                          <w:sz w:val="18"/>
                          <w:szCs w:val="22"/>
                          <w:lang w:val="pt-BR"/>
                        </w:rPr>
                        <w:t>5</w:t>
                      </w:r>
                      <w:r w:rsidR="00DD3D86" w:rsidRPr="0038709A">
                        <w:rPr>
                          <w:rFonts w:asciiTheme="majorHAnsi" w:hAnsiTheme="majorHAnsi"/>
                          <w:color w:val="0D0D0D" w:themeColor="text1" w:themeTint="F2"/>
                          <w:sz w:val="18"/>
                          <w:szCs w:val="22"/>
                          <w:lang w:val="pt-BR"/>
                        </w:rPr>
                        <w:t xml:space="preserve"> de </w:t>
                      </w:r>
                      <w:r w:rsidR="00931EA9">
                        <w:rPr>
                          <w:rFonts w:asciiTheme="majorHAnsi" w:hAnsiTheme="majorHAnsi"/>
                          <w:color w:val="0D0D0D" w:themeColor="text1" w:themeTint="F2"/>
                          <w:sz w:val="18"/>
                          <w:szCs w:val="22"/>
                          <w:lang w:val="pt-BR"/>
                        </w:rPr>
                        <w:t>dezembro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EE28DC">
                        <w:rPr>
                          <w:rFonts w:asciiTheme="majorHAnsi" w:hAnsiTheme="majorHAnsi"/>
                          <w:color w:val="0D0D0D" w:themeColor="text1" w:themeTint="F2"/>
                          <w:sz w:val="18"/>
                          <w:szCs w:val="22"/>
                          <w:lang w:val="pt-BR"/>
                        </w:rPr>
                        <w:t>4</w:t>
                      </w:r>
                      <w:r w:rsidR="00931EA9">
                        <w:rPr>
                          <w:rFonts w:asciiTheme="majorHAnsi" w:hAnsiTheme="majorHAnsi"/>
                          <w:color w:val="0D0D0D" w:themeColor="text1" w:themeTint="F2"/>
                          <w:sz w:val="18"/>
                          <w:szCs w:val="22"/>
                          <w:lang w:val="pt-BR"/>
                        </w:rPr>
                        <w:t>.</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187F52" w:rsidRDefault="0090270B" w:rsidP="00040C3A">
      <w:pPr>
        <w:tabs>
          <w:tab w:val="center" w:pos="5400"/>
        </w:tabs>
        <w:suppressAutoHyphens/>
        <w:jc w:val="center"/>
        <w:rPr>
          <w:rFonts w:asciiTheme="majorHAnsi" w:hAnsiTheme="majorHAnsi"/>
          <w:color w:val="000000" w:themeColor="text1"/>
          <w:sz w:val="18"/>
          <w:szCs w:val="22"/>
          <w:lang w:val="pt-BR"/>
        </w:rPr>
      </w:pPr>
      <w:r w:rsidRPr="00187F52">
        <w:rPr>
          <w:rFonts w:asciiTheme="majorHAnsi" w:hAnsiTheme="majorHAnsi"/>
          <w:noProof/>
          <w:color w:val="000000" w:themeColor="text1"/>
          <w:sz w:val="18"/>
          <w:szCs w:val="22"/>
          <w:lang w:val="pt-BR"/>
        </w:rPr>
        <mc:AlternateContent>
          <mc:Choice Requires="wps">
            <w:drawing>
              <wp:anchor distT="0" distB="0" distL="114300" distR="114300" simplePos="0" relativeHeight="251658244"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A1B94" w14:textId="77777777" w:rsidR="00931EA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931EA9">
                              <w:rPr>
                                <w:rFonts w:asciiTheme="majorHAnsi" w:hAnsiTheme="majorHAnsi"/>
                                <w:color w:val="595959" w:themeColor="text1" w:themeTint="A6"/>
                                <w:sz w:val="18"/>
                                <w:szCs w:val="18"/>
                                <w:lang w:val="pt-BR"/>
                              </w:rPr>
                              <w:t>235</w:t>
                            </w:r>
                            <w:r w:rsidR="0038709A" w:rsidRPr="0038709A">
                              <w:rPr>
                                <w:rFonts w:asciiTheme="majorHAnsi" w:hAnsiTheme="majorHAnsi"/>
                                <w:color w:val="595959" w:themeColor="text1" w:themeTint="A6"/>
                                <w:sz w:val="18"/>
                                <w:szCs w:val="18"/>
                                <w:lang w:val="pt-BR"/>
                              </w:rPr>
                              <w:t>/</w:t>
                            </w:r>
                            <w:r w:rsidR="00931EA9">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93FA1">
                              <w:rPr>
                                <w:rFonts w:asciiTheme="majorHAnsi" w:hAnsiTheme="majorHAnsi"/>
                                <w:color w:val="595959" w:themeColor="text1" w:themeTint="A6"/>
                                <w:sz w:val="18"/>
                                <w:szCs w:val="18"/>
                                <w:lang w:val="pt-BR"/>
                              </w:rPr>
                              <w:t xml:space="preserve"> </w:t>
                            </w:r>
                            <w:r w:rsidR="00B16985">
                              <w:rPr>
                                <w:rFonts w:asciiTheme="majorHAnsi" w:hAnsiTheme="majorHAnsi"/>
                                <w:color w:val="595959" w:themeColor="text1" w:themeTint="A6"/>
                                <w:sz w:val="18"/>
                                <w:szCs w:val="18"/>
                                <w:lang w:val="pt-BR"/>
                              </w:rPr>
                              <w:t>422-21</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Admissibilidade</w:t>
                            </w:r>
                            <w:r w:rsidR="004F1F31">
                              <w:rPr>
                                <w:rFonts w:asciiTheme="majorHAnsi" w:hAnsiTheme="majorHAnsi"/>
                                <w:color w:val="595959" w:themeColor="text1" w:themeTint="A6"/>
                                <w:sz w:val="18"/>
                                <w:szCs w:val="18"/>
                                <w:lang w:val="pt-BR"/>
                              </w:rPr>
                              <w:t>.</w:t>
                            </w:r>
                          </w:p>
                          <w:p w14:paraId="0D1B22CF" w14:textId="6109C376" w:rsidR="00113F73" w:rsidRPr="0038709A" w:rsidRDefault="00B16985"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Trevian Ferney Aragon Valencia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931EA9">
                              <w:rPr>
                                <w:rFonts w:asciiTheme="majorHAnsi" w:hAnsiTheme="majorHAnsi"/>
                                <w:color w:val="595959" w:themeColor="text1" w:themeTint="A6"/>
                                <w:sz w:val="18"/>
                                <w:szCs w:val="18"/>
                                <w:lang w:val="pt-BR"/>
                              </w:rPr>
                              <w:t>5 de dezembro de 2024</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03A1B94" w14:textId="77777777" w:rsidR="00931EA9"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931EA9">
                        <w:rPr>
                          <w:rFonts w:asciiTheme="majorHAnsi" w:hAnsiTheme="majorHAnsi"/>
                          <w:color w:val="595959" w:themeColor="text1" w:themeTint="A6"/>
                          <w:sz w:val="18"/>
                          <w:szCs w:val="18"/>
                          <w:lang w:val="pt-BR"/>
                        </w:rPr>
                        <w:t>235</w:t>
                      </w:r>
                      <w:r w:rsidR="0038709A" w:rsidRPr="0038709A">
                        <w:rPr>
                          <w:rFonts w:asciiTheme="majorHAnsi" w:hAnsiTheme="majorHAnsi"/>
                          <w:color w:val="595959" w:themeColor="text1" w:themeTint="A6"/>
                          <w:sz w:val="18"/>
                          <w:szCs w:val="18"/>
                          <w:lang w:val="pt-BR"/>
                        </w:rPr>
                        <w:t>/</w:t>
                      </w:r>
                      <w:r w:rsidR="00931EA9">
                        <w:rPr>
                          <w:rFonts w:asciiTheme="majorHAnsi" w:hAnsiTheme="majorHAnsi"/>
                          <w:color w:val="595959" w:themeColor="text1" w:themeTint="A6"/>
                          <w:sz w:val="18"/>
                          <w:szCs w:val="18"/>
                          <w:lang w:val="pt-BR"/>
                        </w:rPr>
                        <w:t>24</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93FA1">
                        <w:rPr>
                          <w:rFonts w:asciiTheme="majorHAnsi" w:hAnsiTheme="majorHAnsi"/>
                          <w:color w:val="595959" w:themeColor="text1" w:themeTint="A6"/>
                          <w:sz w:val="18"/>
                          <w:szCs w:val="18"/>
                          <w:lang w:val="pt-BR"/>
                        </w:rPr>
                        <w:t xml:space="preserve"> </w:t>
                      </w:r>
                      <w:r w:rsidR="00B16985">
                        <w:rPr>
                          <w:rFonts w:asciiTheme="majorHAnsi" w:hAnsiTheme="majorHAnsi"/>
                          <w:color w:val="595959" w:themeColor="text1" w:themeTint="A6"/>
                          <w:sz w:val="18"/>
                          <w:szCs w:val="18"/>
                          <w:lang w:val="pt-BR"/>
                        </w:rPr>
                        <w:t>422-21</w:t>
                      </w:r>
                      <w:r w:rsidR="000433C9" w:rsidRPr="0038709A">
                        <w:rPr>
                          <w:rFonts w:asciiTheme="majorHAnsi" w:hAnsiTheme="majorHAnsi"/>
                          <w:color w:val="595959" w:themeColor="text1" w:themeTint="A6"/>
                          <w:sz w:val="18"/>
                          <w:szCs w:val="18"/>
                          <w:lang w:val="pt-BR"/>
                        </w:rPr>
                        <w:t xml:space="preserve">. </w:t>
                      </w:r>
                      <w:r w:rsidR="00C31CE3">
                        <w:rPr>
                          <w:rFonts w:asciiTheme="majorHAnsi" w:hAnsiTheme="majorHAnsi"/>
                          <w:color w:val="595959" w:themeColor="text1" w:themeTint="A6"/>
                          <w:sz w:val="18"/>
                          <w:szCs w:val="18"/>
                          <w:lang w:val="pt-BR"/>
                        </w:rPr>
                        <w:t>Admissibilidade</w:t>
                      </w:r>
                      <w:r w:rsidR="004F1F31">
                        <w:rPr>
                          <w:rFonts w:asciiTheme="majorHAnsi" w:hAnsiTheme="majorHAnsi"/>
                          <w:color w:val="595959" w:themeColor="text1" w:themeTint="A6"/>
                          <w:sz w:val="18"/>
                          <w:szCs w:val="18"/>
                          <w:lang w:val="pt-BR"/>
                        </w:rPr>
                        <w:t>.</w:t>
                      </w:r>
                    </w:p>
                    <w:p w14:paraId="0D1B22CF" w14:textId="6109C376" w:rsidR="00113F73" w:rsidRPr="0038709A" w:rsidRDefault="00B16985" w:rsidP="00113F73">
                      <w:pPr>
                        <w:spacing w:line="276" w:lineRule="auto"/>
                        <w:rPr>
                          <w:rFonts w:asciiTheme="majorHAnsi" w:hAnsiTheme="majorHAnsi"/>
                          <w:color w:val="595959" w:themeColor="text1" w:themeTint="A6"/>
                          <w:sz w:val="18"/>
                          <w:szCs w:val="18"/>
                          <w:lang w:val="pt-BR"/>
                        </w:rPr>
                      </w:pPr>
                      <w:r>
                        <w:rPr>
                          <w:rFonts w:asciiTheme="majorHAnsi" w:hAnsiTheme="majorHAnsi"/>
                          <w:color w:val="595959" w:themeColor="text1" w:themeTint="A6"/>
                          <w:sz w:val="18"/>
                          <w:szCs w:val="18"/>
                          <w:lang w:val="pt-BR"/>
                        </w:rPr>
                        <w:t>Trevian Ferney Aragon Valencia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931EA9">
                        <w:rPr>
                          <w:rFonts w:asciiTheme="majorHAnsi" w:hAnsiTheme="majorHAnsi"/>
                          <w:color w:val="595959" w:themeColor="text1" w:themeTint="A6"/>
                          <w:sz w:val="18"/>
                          <w:szCs w:val="18"/>
                          <w:lang w:val="pt-BR"/>
                        </w:rPr>
                        <w:t>5 de dezembro de 2024</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187F52"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0A94A046" w:rsidR="0090270B" w:rsidRPr="00187F52" w:rsidRDefault="00D306D1" w:rsidP="005516A1">
      <w:pPr>
        <w:tabs>
          <w:tab w:val="center" w:pos="5400"/>
        </w:tabs>
        <w:suppressAutoHyphens/>
        <w:jc w:val="center"/>
        <w:rPr>
          <w:rFonts w:asciiTheme="majorHAnsi" w:hAnsiTheme="majorHAnsi"/>
          <w:b/>
          <w:color w:val="000000" w:themeColor="text1"/>
          <w:sz w:val="20"/>
          <w:lang w:val="pt-BR"/>
        </w:rPr>
      </w:pPr>
      <w:r w:rsidRPr="00187F52">
        <w:rPr>
          <w:rFonts w:asciiTheme="majorHAnsi" w:hAnsiTheme="majorHAnsi"/>
          <w:noProof/>
          <w:color w:val="000000" w:themeColor="text1"/>
          <w:sz w:val="22"/>
          <w:szCs w:val="22"/>
          <w:lang w:val="pt-BR"/>
        </w:rPr>
        <mc:AlternateContent>
          <mc:Choice Requires="wps">
            <w:drawing>
              <wp:anchor distT="0" distB="0" distL="114300" distR="114300" simplePos="0" relativeHeight="251658246" behindDoc="0" locked="0" layoutInCell="1" allowOverlap="1" wp14:anchorId="02EDA5EE" wp14:editId="5EEF386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02D5418D" w:rsidR="0070697F" w:rsidRPr="00187F52" w:rsidRDefault="00093FA1" w:rsidP="005516A1">
      <w:pPr>
        <w:tabs>
          <w:tab w:val="center" w:pos="5400"/>
        </w:tabs>
        <w:suppressAutoHyphens/>
        <w:jc w:val="center"/>
        <w:rPr>
          <w:rFonts w:asciiTheme="majorHAnsi" w:hAnsiTheme="majorHAnsi"/>
          <w:b/>
          <w:color w:val="000000" w:themeColor="text1"/>
          <w:sz w:val="20"/>
          <w:lang w:val="pt-BR"/>
        </w:rPr>
        <w:sectPr w:rsidR="0070697F" w:rsidRPr="00187F52" w:rsidSect="002B5D1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87F52">
        <w:rPr>
          <w:rFonts w:asciiTheme="majorHAnsi" w:hAnsiTheme="majorHAnsi"/>
          <w:noProof/>
          <w:color w:val="000000" w:themeColor="text1"/>
          <w:sz w:val="18"/>
          <w:szCs w:val="22"/>
          <w:lang w:val="pt-BR"/>
        </w:rPr>
        <mc:AlternateContent>
          <mc:Choice Requires="wps">
            <w:drawing>
              <wp:anchor distT="0" distB="0" distL="114300" distR="114300" simplePos="0" relativeHeight="251658245" behindDoc="0" locked="0" layoutInCell="1" allowOverlap="1" wp14:anchorId="50472543" wp14:editId="2796FE6C">
                <wp:simplePos x="0" y="0"/>
                <wp:positionH relativeFrom="column">
                  <wp:posOffset>1264757</wp:posOffset>
                </wp:positionH>
                <wp:positionV relativeFrom="paragraph">
                  <wp:posOffset>490220</wp:posOffset>
                </wp:positionV>
                <wp:extent cx="4096385" cy="660903"/>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096385" cy="660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B221549" w:rsidR="00D72DC6" w:rsidRPr="00D72DC6" w:rsidRDefault="002F576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CF8051F" wp14:editId="01E97A4A">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9.6pt;margin-top:38.6pt;width:322.55pt;height:5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Q1eAIAAGwFAAAOAAAAZHJzL2Uyb0RvYy54bWysVEtPGzEQvlfqf7B8L7uBkELEBqUgqkqo&#10;oELF2fHaxKrX49qT7Ka/vmPv5lHKhaqX3bHn/fmbubjsGsvWKkQDruKjo5Iz5STUxj1X/PvjzYcz&#10;ziIKVwsLTlV8oyK/nL1/d9H6qTqGJdhaBUZBXJy2vuJLRD8tiiiXqhHxCLxypNQQGoF0DM9FHURL&#10;0RtbHJflpGgh1D6AVDHS7XWv5LMcX2sl8U7rqJDZilNtmL8hfxfpW8wuxPQ5CL80cihD/EMVjTCO&#10;ku5CXQsUbBXMX6EaIwNE0HgkoSlAayNV7oG6GZUvunlYCq9yLwRO9DuY4v8LK7+uH/x9YNh9go4e&#10;MAHS+jiNdJn66XRo0p8qZaQnCDc72FSHTNLluDyfnJydciZJN5mU5+VJClPsvX2I+FlBw5JQ8UDP&#10;ktES69uIvenWJCWLYE19Y6zNh0QFdWUDWwt6RIu5Rgr+h5V1rKXkJ6dlDuwgufeRrUthVCbDkG7f&#10;YZZwY1Wyse6b0szUudFXcgspldvlz9bJSlOqtzgO9vuq3uLc90EeOTM43Dk3xkHI3efp2UNW/9hC&#10;pnt7epuDvpOI3aKjxgnBLQEWUG+IFwH6kYle3hh6vFsR8V4EmhGiAs093tFHWyDwYZA4W0L49dp9&#10;sifqkpazlmau4vHnSgTFmf3iiNTno/E4DWk+jE8/HtMhHGoWhxq3aq6AGDGiDeNlFpM92q2oAzRP&#10;tB7mKSuphJOUu+K4Fa+w3wS0XqSaz7MRjaUXeOsevEyhE8qJmo/dkwh+4C8S87/CdjrF9AWNe9vk&#10;6WC+QtAmczzh3KM64E8jnadkWD9pZxyes9V+Sc5+AwAA//8DAFBLAwQUAAYACAAAACEAE8YbfuEA&#10;AAAKAQAADwAAAGRycy9kb3ducmV2LnhtbEyPzU7DMBCE70i8g7VIXBB12hSShjgVQkAlbjT8iJsb&#10;L0lEvI5iNwlvz3KC02o0n2Zn8u1sOzHi4FtHCpaLCARS5UxLtYKX8uEyBeGDJqM7R6jgGz1si9OT&#10;XGfGTfSM4z7UgkPIZ1pBE0KfSemrBq32C9cjsffpBqsDy6GWZtATh9tOrqLoWlrdEn9odI93DVZf&#10;+6NV8HFRvz/5+fF1iq/i/n43lsmbKZU6P5tvb0AEnMMfDL/1uToU3OngjmS86FhvNitGFSQJXwbS&#10;9ToGcWAnXcYgi1z+n1D8AAAA//8DAFBLAQItABQABgAIAAAAIQC2gziS/gAAAOEBAAATAAAAAAAA&#10;AAAAAAAAAAAAAABbQ29udGVudF9UeXBlc10ueG1sUEsBAi0AFAAGAAgAAAAhADj9If/WAAAAlAEA&#10;AAsAAAAAAAAAAAAAAAAALwEAAF9yZWxzLy5yZWxzUEsBAi0AFAAGAAgAAAAhAJ9iNDV4AgAAbAUA&#10;AA4AAAAAAAAAAAAAAAAALgIAAGRycy9lMm9Eb2MueG1sUEsBAi0AFAAGAAgAAAAhABPGG37hAAAA&#10;CgEAAA8AAAAAAAAAAAAAAAAA0gQAAGRycy9kb3ducmV2LnhtbFBLBQYAAAAABAAEAPMAAADgBQAA&#10;AAA=&#10;" fillcolor="white [3201]" stroked="f" strokeweight=".5pt">
                <v:textbox>
                  <w:txbxContent>
                    <w:p w14:paraId="2A1ECD3C" w14:textId="6B221549" w:rsidR="00D72DC6" w:rsidRPr="00D72DC6" w:rsidRDefault="002F576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CF8051F" wp14:editId="01E97A4A">
                            <wp:extent cx="2042538" cy="5590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62715" cy="564599"/>
                                    </a:xfrm>
                                    <a:prstGeom prst="rect">
                                      <a:avLst/>
                                    </a:prstGeom>
                                    <a:noFill/>
                                    <a:ln>
                                      <a:noFill/>
                                    </a:ln>
                                  </pic:spPr>
                                </pic:pic>
                              </a:graphicData>
                            </a:graphic>
                          </wp:inline>
                        </w:drawing>
                      </w:r>
                    </w:p>
                  </w:txbxContent>
                </v:textbox>
              </v:shape>
            </w:pict>
          </mc:Fallback>
        </mc:AlternateContent>
      </w:r>
      <w:r w:rsidR="004A6A54" w:rsidRPr="00187F52">
        <w:rPr>
          <w:rFonts w:asciiTheme="majorHAnsi" w:hAnsiTheme="majorHAnsi"/>
          <w:b/>
          <w:color w:val="000000" w:themeColor="text1"/>
          <w:sz w:val="20"/>
          <w:lang w:val="pt-BR"/>
        </w:rPr>
        <w:tab/>
      </w:r>
    </w:p>
    <w:p w14:paraId="376DDC8B" w14:textId="1B8154B1" w:rsidR="003239B8" w:rsidRPr="00187F52" w:rsidRDefault="00A37F2E" w:rsidP="004A6A54">
      <w:pPr>
        <w:spacing w:after="240"/>
        <w:ind w:firstLine="720"/>
        <w:jc w:val="both"/>
        <w:rPr>
          <w:rFonts w:asciiTheme="majorHAnsi" w:hAnsiTheme="majorHAnsi"/>
          <w:b/>
          <w:bCs/>
          <w:color w:val="000000" w:themeColor="text1"/>
          <w:sz w:val="20"/>
          <w:szCs w:val="20"/>
          <w:lang w:val="pt-BR"/>
        </w:rPr>
      </w:pPr>
      <w:r w:rsidRPr="00187F52">
        <w:rPr>
          <w:rFonts w:asciiTheme="majorHAnsi" w:hAnsiTheme="majorHAnsi"/>
          <w:b/>
          <w:bCs/>
          <w:color w:val="000000" w:themeColor="text1"/>
          <w:sz w:val="20"/>
          <w:szCs w:val="20"/>
          <w:lang w:val="pt-BR"/>
        </w:rPr>
        <w:lastRenderedPageBreak/>
        <w:t>I.</w:t>
      </w:r>
      <w:r w:rsidRPr="00187F52">
        <w:rPr>
          <w:rFonts w:asciiTheme="majorHAnsi" w:hAnsiTheme="majorHAnsi"/>
          <w:b/>
          <w:bCs/>
          <w:color w:val="000000" w:themeColor="text1"/>
          <w:sz w:val="20"/>
          <w:szCs w:val="20"/>
          <w:lang w:val="pt-BR"/>
        </w:rPr>
        <w:tab/>
        <w:t>DAD</w:t>
      </w:r>
      <w:r w:rsidR="003239B8" w:rsidRPr="00187F52">
        <w:rPr>
          <w:rFonts w:asciiTheme="majorHAnsi" w:hAnsiTheme="majorHAnsi"/>
          <w:b/>
          <w:bCs/>
          <w:color w:val="000000" w:themeColor="text1"/>
          <w:sz w:val="20"/>
          <w:szCs w:val="20"/>
          <w:lang w:val="pt-BR"/>
        </w:rPr>
        <w:t xml:space="preserve">OS </w:t>
      </w:r>
      <w:r w:rsidRPr="00187F52">
        <w:rPr>
          <w:rFonts w:asciiTheme="majorHAnsi" w:hAnsiTheme="majorHAnsi"/>
          <w:b/>
          <w:bCs/>
          <w:color w:val="000000" w:themeColor="text1"/>
          <w:sz w:val="20"/>
          <w:szCs w:val="20"/>
          <w:lang w:val="pt-BR"/>
        </w:rPr>
        <w:t>DA PETIÇÃO</w:t>
      </w:r>
      <w:r w:rsidR="003239B8" w:rsidRPr="00187F52">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F1403" w:rsidRPr="00B21F14" w14:paraId="5A79D1F7" w14:textId="77777777" w:rsidTr="1B80724B">
        <w:tc>
          <w:tcPr>
            <w:tcW w:w="3600" w:type="dxa"/>
            <w:tcBorders>
              <w:top w:val="single" w:sz="4" w:space="0" w:color="auto"/>
              <w:bottom w:val="single" w:sz="6" w:space="0" w:color="auto"/>
            </w:tcBorders>
            <w:shd w:val="clear" w:color="auto" w:fill="FFC000"/>
            <w:vAlign w:val="center"/>
          </w:tcPr>
          <w:p w14:paraId="0CB2A43B" w14:textId="2CA35E64" w:rsidR="006F1403" w:rsidRPr="00187F52" w:rsidRDefault="006F1403" w:rsidP="006F140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Parte peticionária:</w:t>
            </w:r>
          </w:p>
        </w:tc>
        <w:tc>
          <w:tcPr>
            <w:tcW w:w="5760" w:type="dxa"/>
            <w:vAlign w:val="center"/>
          </w:tcPr>
          <w:p w14:paraId="0AF4AFFB" w14:textId="4F4B7891" w:rsidR="006F1403" w:rsidRPr="00187F52" w:rsidRDefault="006F1403" w:rsidP="006F1403">
            <w:pPr>
              <w:jc w:val="both"/>
              <w:rPr>
                <w:rFonts w:ascii="Cambria" w:hAnsi="Cambria"/>
                <w:bCs/>
                <w:color w:val="000000" w:themeColor="text1"/>
                <w:sz w:val="20"/>
                <w:szCs w:val="20"/>
                <w:lang w:val="pt-BR"/>
              </w:rPr>
            </w:pPr>
            <w:r w:rsidRPr="00187F52">
              <w:rPr>
                <w:rFonts w:ascii="Cambria" w:hAnsi="Cambria"/>
                <w:sz w:val="20"/>
                <w:szCs w:val="20"/>
                <w:lang w:val="pt-BR"/>
              </w:rPr>
              <w:t>Defensoria Pública do Estado do Rio de Janeiro</w:t>
            </w:r>
          </w:p>
        </w:tc>
      </w:tr>
      <w:tr w:rsidR="006F1403" w:rsidRPr="00187F52" w14:paraId="593A7E45" w14:textId="77777777" w:rsidTr="1B80724B">
        <w:tc>
          <w:tcPr>
            <w:tcW w:w="3600" w:type="dxa"/>
            <w:tcBorders>
              <w:top w:val="single" w:sz="6" w:space="0" w:color="auto"/>
              <w:bottom w:val="single" w:sz="6" w:space="0" w:color="auto"/>
            </w:tcBorders>
            <w:shd w:val="clear" w:color="auto" w:fill="FFC000"/>
            <w:vAlign w:val="center"/>
          </w:tcPr>
          <w:p w14:paraId="0E78CA0C" w14:textId="53268A67" w:rsidR="006F1403" w:rsidRPr="00187F52" w:rsidRDefault="006F1403" w:rsidP="006F140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Possíveis vítimas:</w:t>
            </w:r>
          </w:p>
        </w:tc>
        <w:tc>
          <w:tcPr>
            <w:tcW w:w="5760" w:type="dxa"/>
            <w:vAlign w:val="center"/>
          </w:tcPr>
          <w:p w14:paraId="27563B86" w14:textId="1D5D2F70" w:rsidR="006F1403" w:rsidRPr="00187F52" w:rsidRDefault="006F1403" w:rsidP="006F1403">
            <w:pPr>
              <w:jc w:val="both"/>
              <w:rPr>
                <w:rFonts w:ascii="Cambria" w:hAnsi="Cambria"/>
                <w:bCs/>
                <w:color w:val="000000" w:themeColor="text1"/>
                <w:sz w:val="20"/>
                <w:szCs w:val="20"/>
                <w:lang w:val="pt-BR"/>
              </w:rPr>
            </w:pPr>
            <w:r w:rsidRPr="00187F52">
              <w:rPr>
                <w:rFonts w:ascii="Cambria" w:hAnsi="Cambria"/>
                <w:sz w:val="20"/>
                <w:szCs w:val="20"/>
                <w:lang w:val="pt-BR"/>
              </w:rPr>
              <w:t>Trevian Ferney Aragon Valencia</w:t>
            </w:r>
          </w:p>
        </w:tc>
      </w:tr>
      <w:tr w:rsidR="006F1403" w:rsidRPr="00187F52" w14:paraId="3E62E1D3" w14:textId="77777777" w:rsidTr="1B80724B">
        <w:tc>
          <w:tcPr>
            <w:tcW w:w="3600" w:type="dxa"/>
            <w:tcBorders>
              <w:top w:val="single" w:sz="6" w:space="0" w:color="auto"/>
              <w:bottom w:val="single" w:sz="6" w:space="0" w:color="auto"/>
            </w:tcBorders>
            <w:shd w:val="clear" w:color="auto" w:fill="FFC000"/>
            <w:vAlign w:val="center"/>
          </w:tcPr>
          <w:p w14:paraId="340B0F09" w14:textId="77777777" w:rsidR="006F1403" w:rsidRPr="00187F52" w:rsidRDefault="006F1403" w:rsidP="006F140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Estado denunciado:</w:t>
            </w:r>
          </w:p>
        </w:tc>
        <w:tc>
          <w:tcPr>
            <w:tcW w:w="5760" w:type="dxa"/>
            <w:vAlign w:val="center"/>
          </w:tcPr>
          <w:p w14:paraId="6832D457" w14:textId="1AF1B095" w:rsidR="006F1403" w:rsidRPr="00187F52" w:rsidRDefault="006F1403" w:rsidP="006F1403">
            <w:pPr>
              <w:jc w:val="both"/>
              <w:rPr>
                <w:rFonts w:ascii="Cambria" w:hAnsi="Cambria"/>
                <w:bCs/>
                <w:color w:val="000000" w:themeColor="text1"/>
                <w:sz w:val="20"/>
                <w:szCs w:val="20"/>
                <w:lang w:val="pt-BR"/>
              </w:rPr>
            </w:pPr>
            <w:r w:rsidRPr="00187F52">
              <w:rPr>
                <w:rFonts w:ascii="Cambria" w:hAnsi="Cambria"/>
                <w:sz w:val="20"/>
                <w:szCs w:val="20"/>
                <w:lang w:val="pt-BR"/>
              </w:rPr>
              <w:t>Brasil</w:t>
            </w:r>
          </w:p>
        </w:tc>
      </w:tr>
      <w:tr w:rsidR="006F1403" w:rsidRPr="00B21F14" w14:paraId="632511BC" w14:textId="77777777" w:rsidTr="1B80724B">
        <w:tc>
          <w:tcPr>
            <w:tcW w:w="3600" w:type="dxa"/>
            <w:tcBorders>
              <w:top w:val="single" w:sz="6" w:space="0" w:color="auto"/>
              <w:bottom w:val="single" w:sz="6" w:space="0" w:color="auto"/>
            </w:tcBorders>
            <w:shd w:val="clear" w:color="auto" w:fill="FFC000"/>
            <w:vAlign w:val="center"/>
          </w:tcPr>
          <w:p w14:paraId="727E2F6B" w14:textId="2C1BB426" w:rsidR="006F1403" w:rsidRPr="00187F52" w:rsidRDefault="006F1403" w:rsidP="006F140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Direitos alegados:</w:t>
            </w:r>
          </w:p>
        </w:tc>
        <w:tc>
          <w:tcPr>
            <w:tcW w:w="5760" w:type="dxa"/>
            <w:vAlign w:val="center"/>
          </w:tcPr>
          <w:p w14:paraId="0CB8736E" w14:textId="72508B07" w:rsidR="006F1403" w:rsidRPr="00187F52" w:rsidRDefault="1E62BDD8" w:rsidP="006F1403">
            <w:pPr>
              <w:jc w:val="both"/>
              <w:rPr>
                <w:rFonts w:ascii="Cambria" w:hAnsi="Cambria"/>
                <w:color w:val="000000" w:themeColor="text1"/>
                <w:sz w:val="20"/>
                <w:szCs w:val="20"/>
                <w:lang w:val="pt-BR"/>
              </w:rPr>
            </w:pPr>
            <w:r w:rsidRPr="00187F52">
              <w:rPr>
                <w:rFonts w:ascii="Cambria" w:hAnsi="Cambria"/>
                <w:sz w:val="20"/>
                <w:szCs w:val="20"/>
                <w:lang w:val="pt-BR"/>
              </w:rPr>
              <w:t xml:space="preserve">Artigos 5 (integridade personal), 7 (liberdade pessoal), 8 (Garantias judiciais), 13 (liberdade de pensamento e de expressão), 21 (propriedade privada) c.c os artigos 1.1 (obrigação de respeitar os Direitos) e 2 (dever de </w:t>
            </w:r>
            <w:r w:rsidR="1E281CF4" w:rsidRPr="00187F52">
              <w:rPr>
                <w:rFonts w:ascii="Cambria" w:hAnsi="Cambria"/>
                <w:sz w:val="20"/>
                <w:szCs w:val="20"/>
                <w:lang w:val="pt-BR"/>
              </w:rPr>
              <w:t>a</w:t>
            </w:r>
            <w:r w:rsidRPr="00187F52">
              <w:rPr>
                <w:rFonts w:ascii="Cambria" w:hAnsi="Cambria"/>
                <w:sz w:val="20"/>
                <w:szCs w:val="20"/>
                <w:lang w:val="pt-BR"/>
              </w:rPr>
              <w:t>dotar disposições de direito interno) da Convenção Americana de Direitos Humanos</w:t>
            </w:r>
            <w:r w:rsidR="006F1403" w:rsidRPr="00187F52">
              <w:rPr>
                <w:rStyle w:val="FootnoteReference"/>
                <w:rFonts w:ascii="Cambria" w:hAnsi="Cambria"/>
                <w:sz w:val="20"/>
                <w:szCs w:val="20"/>
                <w:lang w:val="pt-BR"/>
              </w:rPr>
              <w:footnoteReference w:id="2"/>
            </w:r>
            <w:r w:rsidRPr="00187F52">
              <w:rPr>
                <w:rFonts w:ascii="Cambria" w:hAnsi="Cambria"/>
                <w:sz w:val="20"/>
                <w:szCs w:val="20"/>
                <w:lang w:val="pt-BR"/>
              </w:rPr>
              <w:t xml:space="preserve">. </w:t>
            </w:r>
          </w:p>
        </w:tc>
      </w:tr>
    </w:tbl>
    <w:p w14:paraId="20263696" w14:textId="2A740D7A" w:rsidR="003239B8" w:rsidRPr="00187F52" w:rsidRDefault="00A37F2E" w:rsidP="003239B8">
      <w:pPr>
        <w:spacing w:before="240" w:after="240"/>
        <w:ind w:firstLine="720"/>
        <w:jc w:val="both"/>
        <w:rPr>
          <w:rFonts w:asciiTheme="majorHAnsi" w:hAnsiTheme="majorHAnsi"/>
          <w:b/>
          <w:bCs/>
          <w:color w:val="000000" w:themeColor="text1"/>
          <w:sz w:val="20"/>
          <w:szCs w:val="20"/>
          <w:lang w:val="pt-BR"/>
        </w:rPr>
      </w:pPr>
      <w:r w:rsidRPr="00187F52">
        <w:rPr>
          <w:rFonts w:asciiTheme="majorHAnsi" w:hAnsiTheme="majorHAnsi"/>
          <w:b/>
          <w:bCs/>
          <w:color w:val="000000" w:themeColor="text1"/>
          <w:sz w:val="20"/>
          <w:szCs w:val="20"/>
          <w:lang w:val="pt-BR"/>
        </w:rPr>
        <w:t>II.</w:t>
      </w:r>
      <w:r w:rsidRPr="00187F52">
        <w:rPr>
          <w:rFonts w:asciiTheme="majorHAnsi" w:hAnsiTheme="majorHAnsi"/>
          <w:b/>
          <w:bCs/>
          <w:color w:val="000000" w:themeColor="text1"/>
          <w:sz w:val="20"/>
          <w:szCs w:val="20"/>
          <w:lang w:val="pt-BR"/>
        </w:rPr>
        <w:tab/>
        <w:t xml:space="preserve">TRÂMITE </w:t>
      </w:r>
      <w:r w:rsidR="003335D7" w:rsidRPr="00187F52">
        <w:rPr>
          <w:rFonts w:asciiTheme="majorHAnsi" w:hAnsiTheme="majorHAnsi"/>
          <w:b/>
          <w:bCs/>
          <w:color w:val="000000" w:themeColor="text1"/>
          <w:sz w:val="20"/>
          <w:szCs w:val="20"/>
          <w:lang w:val="pt-BR"/>
        </w:rPr>
        <w:t>PER</w:t>
      </w:r>
      <w:r w:rsidRPr="00187F52">
        <w:rPr>
          <w:rFonts w:asciiTheme="majorHAnsi" w:hAnsiTheme="majorHAnsi"/>
          <w:b/>
          <w:bCs/>
          <w:color w:val="000000" w:themeColor="text1"/>
          <w:sz w:val="20"/>
          <w:szCs w:val="20"/>
          <w:lang w:val="pt-BR"/>
        </w:rPr>
        <w:t>ANTE A</w:t>
      </w:r>
      <w:r w:rsidR="003239B8" w:rsidRPr="00187F52">
        <w:rPr>
          <w:rFonts w:asciiTheme="majorHAnsi" w:hAnsiTheme="majorHAnsi"/>
          <w:b/>
          <w:bCs/>
          <w:color w:val="000000" w:themeColor="text1"/>
          <w:sz w:val="20"/>
          <w:szCs w:val="20"/>
          <w:lang w:val="pt-BR"/>
        </w:rPr>
        <w:t xml:space="preserve"> CIDH</w:t>
      </w:r>
      <w:r w:rsidR="008E3BFE" w:rsidRPr="00187F52">
        <w:rPr>
          <w:rStyle w:val="FootnoteReference"/>
          <w:rFonts w:ascii="Cambria" w:hAnsi="Cambria"/>
          <w:b/>
          <w:color w:val="000000" w:themeColor="text1"/>
          <w:sz w:val="20"/>
          <w:szCs w:val="20"/>
          <w:lang w:val="pt-BR"/>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528D4" w:rsidRPr="00187F52" w14:paraId="306EFCB0" w14:textId="77777777" w:rsidTr="009528D4">
        <w:tc>
          <w:tcPr>
            <w:tcW w:w="3600" w:type="dxa"/>
            <w:tcBorders>
              <w:top w:val="single" w:sz="6" w:space="0" w:color="auto"/>
              <w:bottom w:val="single" w:sz="6" w:space="0" w:color="auto"/>
            </w:tcBorders>
            <w:shd w:val="clear" w:color="auto" w:fill="FFC000"/>
            <w:vAlign w:val="center"/>
          </w:tcPr>
          <w:p w14:paraId="7508D16F" w14:textId="7F75E762" w:rsidR="009528D4" w:rsidRPr="00187F52" w:rsidRDefault="009528D4" w:rsidP="00B24B1C">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Apresentação da petição:</w:t>
            </w:r>
          </w:p>
        </w:tc>
        <w:tc>
          <w:tcPr>
            <w:tcW w:w="5760" w:type="dxa"/>
            <w:vAlign w:val="center"/>
          </w:tcPr>
          <w:p w14:paraId="49BA3A9C" w14:textId="5B0FA7EC" w:rsidR="009528D4" w:rsidRPr="00187F52" w:rsidRDefault="009528D4" w:rsidP="00B24B1C">
            <w:pPr>
              <w:jc w:val="both"/>
              <w:rPr>
                <w:rFonts w:ascii="Cambria" w:hAnsi="Cambria"/>
                <w:bCs/>
                <w:color w:val="000000" w:themeColor="text1"/>
                <w:sz w:val="20"/>
                <w:szCs w:val="20"/>
                <w:lang w:val="pt-BR"/>
              </w:rPr>
            </w:pPr>
            <w:r w:rsidRPr="00187F52">
              <w:rPr>
                <w:rFonts w:ascii="Cambria" w:hAnsi="Cambria"/>
                <w:sz w:val="20"/>
                <w:szCs w:val="20"/>
                <w:lang w:val="pt-BR"/>
              </w:rPr>
              <w:t>20 de fevereiro de 2019</w:t>
            </w:r>
          </w:p>
        </w:tc>
      </w:tr>
      <w:tr w:rsidR="009528D4" w:rsidRPr="00187F52" w14:paraId="67253830" w14:textId="77777777" w:rsidTr="009528D4">
        <w:tc>
          <w:tcPr>
            <w:tcW w:w="3600" w:type="dxa"/>
            <w:tcBorders>
              <w:top w:val="single" w:sz="6" w:space="0" w:color="auto"/>
              <w:bottom w:val="single" w:sz="6" w:space="0" w:color="auto"/>
            </w:tcBorders>
            <w:shd w:val="clear" w:color="auto" w:fill="FFC000"/>
            <w:vAlign w:val="center"/>
          </w:tcPr>
          <w:p w14:paraId="063C5EF4" w14:textId="606164DC" w:rsidR="009528D4" w:rsidRPr="00187F52" w:rsidRDefault="009528D4" w:rsidP="00B24B1C">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Informação adicional na etapa de estudo inicial:</w:t>
            </w:r>
          </w:p>
        </w:tc>
        <w:tc>
          <w:tcPr>
            <w:tcW w:w="5760" w:type="dxa"/>
            <w:vAlign w:val="center"/>
          </w:tcPr>
          <w:p w14:paraId="4C4E20CC" w14:textId="3F0B6092" w:rsidR="009528D4" w:rsidRPr="00187F52" w:rsidRDefault="001F5808" w:rsidP="00B24B1C">
            <w:pPr>
              <w:jc w:val="both"/>
              <w:rPr>
                <w:rFonts w:ascii="Cambria" w:hAnsi="Cambria"/>
                <w:bCs/>
                <w:color w:val="000000" w:themeColor="text1"/>
                <w:sz w:val="20"/>
                <w:szCs w:val="20"/>
                <w:lang w:val="pt-BR"/>
              </w:rPr>
            </w:pPr>
            <w:r w:rsidRPr="00187F52">
              <w:rPr>
                <w:rFonts w:ascii="Cambria" w:hAnsi="Cambria"/>
                <w:sz w:val="20"/>
                <w:szCs w:val="20"/>
                <w:lang w:val="pt-BR"/>
              </w:rPr>
              <w:t>11</w:t>
            </w:r>
            <w:r w:rsidR="009528D4" w:rsidRPr="00187F52">
              <w:rPr>
                <w:rFonts w:ascii="Cambria" w:hAnsi="Cambria"/>
                <w:sz w:val="20"/>
                <w:szCs w:val="20"/>
                <w:lang w:val="pt-BR"/>
              </w:rPr>
              <w:t xml:space="preserve"> de agosto de 2022</w:t>
            </w:r>
          </w:p>
        </w:tc>
      </w:tr>
      <w:tr w:rsidR="00233048" w:rsidRPr="00187F52" w14:paraId="102BD90F" w14:textId="77777777" w:rsidTr="009528D4">
        <w:tc>
          <w:tcPr>
            <w:tcW w:w="3600" w:type="dxa"/>
            <w:tcBorders>
              <w:top w:val="single" w:sz="6" w:space="0" w:color="auto"/>
              <w:bottom w:val="single" w:sz="6" w:space="0" w:color="auto"/>
            </w:tcBorders>
            <w:shd w:val="clear" w:color="auto" w:fill="FFC000"/>
            <w:vAlign w:val="center"/>
          </w:tcPr>
          <w:p w14:paraId="46283CA3" w14:textId="4CFA2167" w:rsidR="00233048" w:rsidRPr="00187F52" w:rsidRDefault="00233048" w:rsidP="00B24B1C">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Notificação do Estado</w:t>
            </w:r>
          </w:p>
        </w:tc>
        <w:tc>
          <w:tcPr>
            <w:tcW w:w="5760" w:type="dxa"/>
            <w:vAlign w:val="center"/>
          </w:tcPr>
          <w:p w14:paraId="10AB215E" w14:textId="13673F8A" w:rsidR="00233048" w:rsidRPr="00187F52" w:rsidRDefault="00000E1C" w:rsidP="00B24B1C">
            <w:pPr>
              <w:jc w:val="both"/>
              <w:rPr>
                <w:rFonts w:ascii="Cambria" w:hAnsi="Cambria"/>
                <w:sz w:val="20"/>
                <w:szCs w:val="20"/>
                <w:lang w:val="pt-BR"/>
              </w:rPr>
            </w:pPr>
            <w:r w:rsidRPr="00187F52">
              <w:rPr>
                <w:rFonts w:ascii="Cambria" w:hAnsi="Cambria"/>
                <w:sz w:val="20"/>
                <w:szCs w:val="20"/>
                <w:lang w:val="pt-BR"/>
              </w:rPr>
              <w:t xml:space="preserve">29 de </w:t>
            </w:r>
            <w:r w:rsidR="00187F52" w:rsidRPr="00187F52">
              <w:rPr>
                <w:rFonts w:ascii="Cambria" w:hAnsi="Cambria"/>
                <w:sz w:val="20"/>
                <w:szCs w:val="20"/>
                <w:lang w:val="pt-BR"/>
              </w:rPr>
              <w:t>a</w:t>
            </w:r>
            <w:r w:rsidR="001F5808" w:rsidRPr="00187F52">
              <w:rPr>
                <w:rFonts w:ascii="Cambria" w:hAnsi="Cambria"/>
                <w:sz w:val="20"/>
                <w:szCs w:val="20"/>
                <w:lang w:val="pt-BR"/>
              </w:rPr>
              <w:t>gosto de 2022</w:t>
            </w:r>
          </w:p>
        </w:tc>
      </w:tr>
      <w:tr w:rsidR="009528D4" w:rsidRPr="00187F52" w14:paraId="1BDCD5C6" w14:textId="77777777" w:rsidTr="009528D4">
        <w:tc>
          <w:tcPr>
            <w:tcW w:w="3600" w:type="dxa"/>
            <w:tcBorders>
              <w:top w:val="single" w:sz="6" w:space="0" w:color="auto"/>
              <w:bottom w:val="single" w:sz="6" w:space="0" w:color="auto"/>
            </w:tcBorders>
            <w:shd w:val="clear" w:color="auto" w:fill="FFC000"/>
            <w:vAlign w:val="center"/>
          </w:tcPr>
          <w:p w14:paraId="7A18664F" w14:textId="5C26143A" w:rsidR="009528D4" w:rsidRPr="00187F52" w:rsidRDefault="009528D4" w:rsidP="00B24B1C">
            <w:pPr>
              <w:jc w:val="center"/>
              <w:rPr>
                <w:rFonts w:ascii="Cambria" w:hAnsi="Cambria"/>
                <w:b/>
                <w:color w:val="000000" w:themeColor="text1"/>
                <w:sz w:val="20"/>
                <w:szCs w:val="20"/>
                <w:lang w:val="pt-BR"/>
              </w:rPr>
            </w:pPr>
            <w:r w:rsidRPr="00187F52">
              <w:rPr>
                <w:rFonts w:ascii="Cambria" w:hAnsi="Cambria"/>
                <w:b/>
                <w:color w:val="000000" w:themeColor="text1"/>
                <w:sz w:val="20"/>
                <w:szCs w:val="20"/>
                <w:lang w:val="pt-BR"/>
              </w:rPr>
              <w:t>Primeira Resposta do Estado</w:t>
            </w:r>
          </w:p>
        </w:tc>
        <w:tc>
          <w:tcPr>
            <w:tcW w:w="5760" w:type="dxa"/>
            <w:vAlign w:val="center"/>
          </w:tcPr>
          <w:p w14:paraId="76E58100" w14:textId="4BAAC476" w:rsidR="009528D4" w:rsidRPr="00187F52" w:rsidRDefault="009528D4" w:rsidP="00B24B1C">
            <w:pPr>
              <w:jc w:val="both"/>
              <w:rPr>
                <w:rFonts w:ascii="Cambria" w:hAnsi="Cambria"/>
                <w:bCs/>
                <w:color w:val="000000" w:themeColor="text1"/>
                <w:sz w:val="20"/>
                <w:szCs w:val="20"/>
                <w:lang w:val="pt-BR"/>
              </w:rPr>
            </w:pPr>
            <w:r w:rsidRPr="00187F52">
              <w:rPr>
                <w:rFonts w:ascii="Cambria" w:hAnsi="Cambria"/>
                <w:sz w:val="20"/>
                <w:szCs w:val="20"/>
                <w:lang w:val="pt-BR"/>
              </w:rPr>
              <w:t>29 de novembro de 2022</w:t>
            </w:r>
          </w:p>
        </w:tc>
      </w:tr>
    </w:tbl>
    <w:p w14:paraId="21DAA666" w14:textId="3B44E0DA" w:rsidR="003239B8" w:rsidRPr="00187F52" w:rsidRDefault="00D358AF" w:rsidP="003239B8">
      <w:pPr>
        <w:spacing w:before="240" w:after="240"/>
        <w:ind w:firstLine="720"/>
        <w:jc w:val="both"/>
        <w:rPr>
          <w:rFonts w:asciiTheme="majorHAnsi" w:hAnsiTheme="majorHAnsi"/>
          <w:b/>
          <w:bCs/>
          <w:color w:val="000000" w:themeColor="text1"/>
          <w:sz w:val="20"/>
          <w:szCs w:val="20"/>
          <w:lang w:val="pt-BR"/>
        </w:rPr>
      </w:pPr>
      <w:r w:rsidRPr="00187F52">
        <w:rPr>
          <w:rFonts w:asciiTheme="majorHAnsi" w:hAnsiTheme="majorHAnsi"/>
          <w:b/>
          <w:bCs/>
          <w:color w:val="000000" w:themeColor="text1"/>
          <w:sz w:val="20"/>
          <w:szCs w:val="20"/>
          <w:lang w:val="pt-BR"/>
        </w:rPr>
        <w:t xml:space="preserve">III. </w:t>
      </w:r>
      <w:r w:rsidRPr="00187F52">
        <w:rPr>
          <w:rFonts w:asciiTheme="majorHAnsi" w:hAnsiTheme="majorHAnsi"/>
          <w:b/>
          <w:bCs/>
          <w:color w:val="000000" w:themeColor="text1"/>
          <w:sz w:val="20"/>
          <w:szCs w:val="20"/>
          <w:lang w:val="pt-BR"/>
        </w:rPr>
        <w:tab/>
        <w:t>COMPETÊ</w:t>
      </w:r>
      <w:r w:rsidR="003239B8" w:rsidRPr="00187F52">
        <w:rPr>
          <w:rFonts w:asciiTheme="majorHAnsi" w:hAnsiTheme="majorHAnsi"/>
          <w:b/>
          <w:bCs/>
          <w:color w:val="000000" w:themeColor="text1"/>
          <w:sz w:val="20"/>
          <w:szCs w:val="20"/>
          <w:lang w:val="pt-BR"/>
        </w:rPr>
        <w:t>NCIA</w:t>
      </w:r>
      <w:r w:rsidR="00EE00E9" w:rsidRPr="00187F52">
        <w:rPr>
          <w:rFonts w:asciiTheme="majorHAnsi" w:hAnsiTheme="majorHAnsi"/>
          <w:b/>
          <w:bCs/>
          <w:color w:val="000000" w:themeColor="text1"/>
          <w:sz w:val="20"/>
          <w:szCs w:val="20"/>
          <w:lang w:val="pt-BR"/>
        </w:rPr>
        <w:t xml:space="preserv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C31CE3" w:rsidRPr="00187F52" w14:paraId="072532AD" w14:textId="77777777" w:rsidTr="00C31CE3">
        <w:trPr>
          <w:cantSplit/>
        </w:trPr>
        <w:tc>
          <w:tcPr>
            <w:tcW w:w="3561" w:type="dxa"/>
            <w:tcBorders>
              <w:top w:val="single" w:sz="4" w:space="0" w:color="auto"/>
              <w:bottom w:val="single" w:sz="6" w:space="0" w:color="auto"/>
            </w:tcBorders>
            <w:shd w:val="clear" w:color="auto" w:fill="FFC000"/>
            <w:vAlign w:val="center"/>
          </w:tcPr>
          <w:p w14:paraId="5C2E4B34" w14:textId="4428BC7E" w:rsidR="00C31CE3" w:rsidRPr="00187F52" w:rsidRDefault="00C31CE3" w:rsidP="00C31CE3">
            <w:pPr>
              <w:jc w:val="center"/>
              <w:rPr>
                <w:rFonts w:ascii="Cambria" w:hAnsi="Cambria"/>
                <w:b/>
                <w:bCs/>
                <w:i/>
                <w:color w:val="000000" w:themeColor="text1"/>
                <w:sz w:val="20"/>
                <w:szCs w:val="20"/>
                <w:lang w:val="pt-BR"/>
              </w:rPr>
            </w:pPr>
            <w:r w:rsidRPr="00187F52">
              <w:rPr>
                <w:rFonts w:ascii="Cambria" w:hAnsi="Cambria"/>
                <w:b/>
                <w:bCs/>
                <w:color w:val="000000" w:themeColor="text1"/>
                <w:sz w:val="20"/>
                <w:szCs w:val="20"/>
                <w:lang w:val="pt-BR"/>
              </w:rPr>
              <w:t>Competência</w:t>
            </w:r>
            <w:r w:rsidRPr="00187F52">
              <w:rPr>
                <w:rFonts w:ascii="Cambria" w:hAnsi="Cambria"/>
                <w:b/>
                <w:bCs/>
                <w:i/>
                <w:color w:val="000000" w:themeColor="text1"/>
                <w:sz w:val="20"/>
                <w:szCs w:val="20"/>
                <w:lang w:val="pt-BR"/>
              </w:rPr>
              <w:t xml:space="preserve"> Ratione personae:</w:t>
            </w:r>
          </w:p>
        </w:tc>
        <w:tc>
          <w:tcPr>
            <w:tcW w:w="5681" w:type="dxa"/>
            <w:vAlign w:val="center"/>
          </w:tcPr>
          <w:p w14:paraId="7D38AF97" w14:textId="0BC4A834" w:rsidR="00C31CE3" w:rsidRPr="00187F52" w:rsidRDefault="00C31CE3" w:rsidP="00C31CE3">
            <w:pPr>
              <w:rPr>
                <w:rFonts w:ascii="Cambria" w:hAnsi="Cambria"/>
                <w:bCs/>
                <w:color w:val="000000" w:themeColor="text1"/>
                <w:sz w:val="20"/>
                <w:szCs w:val="20"/>
                <w:lang w:val="pt-BR"/>
              </w:rPr>
            </w:pPr>
            <w:r w:rsidRPr="00187F52">
              <w:rPr>
                <w:rFonts w:ascii="Cambria" w:hAnsi="Cambria"/>
                <w:bCs/>
                <w:color w:val="000000" w:themeColor="text1"/>
                <w:sz w:val="20"/>
                <w:szCs w:val="20"/>
                <w:lang w:val="pt-BR"/>
              </w:rPr>
              <w:t>Sim.</w:t>
            </w:r>
          </w:p>
        </w:tc>
      </w:tr>
      <w:tr w:rsidR="00C31CE3" w:rsidRPr="00187F52" w14:paraId="4B8802DA" w14:textId="77777777" w:rsidTr="00C31CE3">
        <w:trPr>
          <w:cantSplit/>
        </w:trPr>
        <w:tc>
          <w:tcPr>
            <w:tcW w:w="3561" w:type="dxa"/>
            <w:tcBorders>
              <w:top w:val="single" w:sz="6" w:space="0" w:color="auto"/>
              <w:bottom w:val="single" w:sz="6" w:space="0" w:color="auto"/>
            </w:tcBorders>
            <w:shd w:val="clear" w:color="auto" w:fill="FFC000"/>
            <w:vAlign w:val="center"/>
          </w:tcPr>
          <w:p w14:paraId="3915C23B" w14:textId="5BC7D7BF" w:rsidR="00C31CE3" w:rsidRPr="00187F52" w:rsidRDefault="00C31CE3" w:rsidP="00C31CE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Competência</w:t>
            </w:r>
            <w:r w:rsidRPr="00187F52">
              <w:rPr>
                <w:rFonts w:ascii="Cambria" w:hAnsi="Cambria"/>
                <w:b/>
                <w:bCs/>
                <w:i/>
                <w:color w:val="000000" w:themeColor="text1"/>
                <w:sz w:val="20"/>
                <w:szCs w:val="20"/>
                <w:lang w:val="pt-BR"/>
              </w:rPr>
              <w:t xml:space="preserve"> Ratione loci</w:t>
            </w:r>
            <w:r w:rsidRPr="00187F52">
              <w:rPr>
                <w:rFonts w:ascii="Cambria" w:hAnsi="Cambria"/>
                <w:b/>
                <w:bCs/>
                <w:color w:val="000000" w:themeColor="text1"/>
                <w:sz w:val="20"/>
                <w:szCs w:val="20"/>
                <w:lang w:val="pt-BR"/>
              </w:rPr>
              <w:t>:</w:t>
            </w:r>
          </w:p>
        </w:tc>
        <w:tc>
          <w:tcPr>
            <w:tcW w:w="5681" w:type="dxa"/>
            <w:vAlign w:val="center"/>
          </w:tcPr>
          <w:p w14:paraId="7B9840D5" w14:textId="127587DE" w:rsidR="00C31CE3" w:rsidRPr="00187F52" w:rsidRDefault="00C31CE3" w:rsidP="00C31CE3">
            <w:pPr>
              <w:rPr>
                <w:rFonts w:ascii="Cambria" w:hAnsi="Cambria"/>
                <w:bCs/>
                <w:color w:val="000000" w:themeColor="text1"/>
                <w:sz w:val="20"/>
                <w:szCs w:val="20"/>
                <w:lang w:val="pt-BR"/>
              </w:rPr>
            </w:pPr>
            <w:r w:rsidRPr="00187F52">
              <w:rPr>
                <w:rFonts w:ascii="Cambria" w:hAnsi="Cambria"/>
                <w:bCs/>
                <w:color w:val="000000" w:themeColor="text1"/>
                <w:sz w:val="20"/>
                <w:szCs w:val="20"/>
                <w:lang w:val="pt-BR"/>
              </w:rPr>
              <w:t>Sim.</w:t>
            </w:r>
          </w:p>
        </w:tc>
      </w:tr>
      <w:tr w:rsidR="00C31CE3" w:rsidRPr="00187F52" w14:paraId="4362FDF3" w14:textId="77777777" w:rsidTr="00C31CE3">
        <w:trPr>
          <w:cantSplit/>
        </w:trPr>
        <w:tc>
          <w:tcPr>
            <w:tcW w:w="3561" w:type="dxa"/>
            <w:tcBorders>
              <w:top w:val="single" w:sz="6" w:space="0" w:color="auto"/>
              <w:bottom w:val="single" w:sz="6" w:space="0" w:color="auto"/>
            </w:tcBorders>
            <w:shd w:val="clear" w:color="auto" w:fill="FFC000"/>
            <w:vAlign w:val="center"/>
          </w:tcPr>
          <w:p w14:paraId="3BE23153" w14:textId="0DA4396B" w:rsidR="00C31CE3" w:rsidRPr="00187F52" w:rsidRDefault="00C31CE3" w:rsidP="00C31CE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Competência</w:t>
            </w:r>
            <w:r w:rsidRPr="00187F52">
              <w:rPr>
                <w:rFonts w:ascii="Cambria" w:hAnsi="Cambria"/>
                <w:b/>
                <w:bCs/>
                <w:i/>
                <w:color w:val="000000" w:themeColor="text1"/>
                <w:sz w:val="20"/>
                <w:szCs w:val="20"/>
                <w:lang w:val="pt-BR"/>
              </w:rPr>
              <w:t xml:space="preserve"> Ratione temporis</w:t>
            </w:r>
            <w:r w:rsidRPr="00187F52">
              <w:rPr>
                <w:rFonts w:ascii="Cambria" w:hAnsi="Cambria"/>
                <w:b/>
                <w:bCs/>
                <w:color w:val="000000" w:themeColor="text1"/>
                <w:sz w:val="20"/>
                <w:szCs w:val="20"/>
                <w:lang w:val="pt-BR"/>
              </w:rPr>
              <w:t>:</w:t>
            </w:r>
          </w:p>
        </w:tc>
        <w:tc>
          <w:tcPr>
            <w:tcW w:w="5681" w:type="dxa"/>
            <w:vAlign w:val="center"/>
          </w:tcPr>
          <w:p w14:paraId="56324676" w14:textId="41EA133C" w:rsidR="00C31CE3" w:rsidRPr="00187F52" w:rsidRDefault="00C31CE3" w:rsidP="00C31CE3">
            <w:pPr>
              <w:rPr>
                <w:bCs/>
                <w:color w:val="000000" w:themeColor="text1"/>
                <w:sz w:val="20"/>
                <w:szCs w:val="20"/>
                <w:lang w:val="pt-BR"/>
              </w:rPr>
            </w:pPr>
            <w:r w:rsidRPr="00187F52">
              <w:rPr>
                <w:rFonts w:ascii="Cambria" w:hAnsi="Cambria"/>
                <w:bCs/>
                <w:color w:val="000000" w:themeColor="text1"/>
                <w:sz w:val="20"/>
                <w:szCs w:val="20"/>
                <w:lang w:val="pt-BR"/>
              </w:rPr>
              <w:t>Sim.</w:t>
            </w:r>
          </w:p>
        </w:tc>
      </w:tr>
      <w:tr w:rsidR="00C31CE3" w:rsidRPr="00B21F14" w14:paraId="30ABEC3E" w14:textId="77777777" w:rsidTr="00C31CE3">
        <w:trPr>
          <w:cantSplit/>
        </w:trPr>
        <w:tc>
          <w:tcPr>
            <w:tcW w:w="3561" w:type="dxa"/>
            <w:tcBorders>
              <w:top w:val="single" w:sz="6" w:space="0" w:color="auto"/>
              <w:bottom w:val="single" w:sz="6" w:space="0" w:color="auto"/>
            </w:tcBorders>
            <w:shd w:val="clear" w:color="auto" w:fill="FFC000"/>
            <w:vAlign w:val="center"/>
          </w:tcPr>
          <w:p w14:paraId="47B529D2" w14:textId="38F880CA" w:rsidR="00C31CE3" w:rsidRPr="00187F52" w:rsidRDefault="00C31CE3" w:rsidP="00C31CE3">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Competência</w:t>
            </w:r>
            <w:r w:rsidRPr="00187F52">
              <w:rPr>
                <w:rFonts w:ascii="Cambria" w:hAnsi="Cambria"/>
                <w:b/>
                <w:bCs/>
                <w:i/>
                <w:color w:val="000000" w:themeColor="text1"/>
                <w:sz w:val="20"/>
                <w:szCs w:val="20"/>
                <w:lang w:val="pt-BR"/>
              </w:rPr>
              <w:t xml:space="preserve"> Ratione materiae</w:t>
            </w:r>
            <w:r w:rsidRPr="00187F52">
              <w:rPr>
                <w:rFonts w:ascii="Cambria" w:hAnsi="Cambria"/>
                <w:b/>
                <w:bCs/>
                <w:color w:val="000000" w:themeColor="text1"/>
                <w:sz w:val="20"/>
                <w:szCs w:val="20"/>
                <w:lang w:val="pt-BR"/>
              </w:rPr>
              <w:t>:</w:t>
            </w:r>
          </w:p>
        </w:tc>
        <w:tc>
          <w:tcPr>
            <w:tcW w:w="5681" w:type="dxa"/>
            <w:vAlign w:val="center"/>
          </w:tcPr>
          <w:p w14:paraId="05620F3A" w14:textId="32848586" w:rsidR="00C31CE3" w:rsidRPr="00187F52" w:rsidRDefault="00C31CE3" w:rsidP="00C31CE3">
            <w:pPr>
              <w:jc w:val="both"/>
              <w:rPr>
                <w:rFonts w:asciiTheme="majorHAnsi" w:hAnsiTheme="majorHAnsi"/>
                <w:bCs/>
                <w:color w:val="000000" w:themeColor="text1"/>
                <w:sz w:val="20"/>
                <w:szCs w:val="20"/>
                <w:lang w:val="pt-BR"/>
              </w:rPr>
            </w:pPr>
            <w:r w:rsidRPr="00187F52">
              <w:rPr>
                <w:rFonts w:ascii="Cambria" w:hAnsi="Cambria"/>
                <w:bCs/>
                <w:color w:val="000000" w:themeColor="text1"/>
                <w:sz w:val="20"/>
                <w:szCs w:val="20"/>
                <w:lang w:val="pt-BR"/>
              </w:rPr>
              <w:t xml:space="preserve">Sim, Convenção Americana (depósito do instrumento de ratificação em </w:t>
            </w:r>
            <w:r w:rsidR="008F57C3" w:rsidRPr="00187F52">
              <w:rPr>
                <w:rFonts w:ascii="Cambria" w:hAnsi="Cambria"/>
                <w:bCs/>
                <w:color w:val="000000" w:themeColor="text1"/>
                <w:sz w:val="20"/>
                <w:szCs w:val="20"/>
                <w:lang w:val="pt-BR"/>
              </w:rPr>
              <w:t>25</w:t>
            </w:r>
            <w:r w:rsidRPr="00187F52">
              <w:rPr>
                <w:rFonts w:ascii="Cambria" w:hAnsi="Cambria"/>
                <w:bCs/>
                <w:color w:val="000000" w:themeColor="text1"/>
                <w:sz w:val="20"/>
                <w:szCs w:val="20"/>
                <w:lang w:val="pt-BR"/>
              </w:rPr>
              <w:t xml:space="preserve"> de setembro de 1992)</w:t>
            </w:r>
          </w:p>
        </w:tc>
      </w:tr>
    </w:tbl>
    <w:p w14:paraId="4E92C444" w14:textId="3D685744" w:rsidR="003239B8" w:rsidRPr="00187F52" w:rsidRDefault="003239B8" w:rsidP="003239B8">
      <w:pPr>
        <w:spacing w:before="240" w:after="240"/>
        <w:ind w:firstLine="720"/>
        <w:jc w:val="both"/>
        <w:rPr>
          <w:rFonts w:asciiTheme="majorHAnsi" w:hAnsiTheme="majorHAnsi"/>
          <w:b/>
          <w:bCs/>
          <w:color w:val="000000" w:themeColor="text1"/>
          <w:sz w:val="20"/>
          <w:szCs w:val="20"/>
          <w:lang w:val="pt-BR"/>
        </w:rPr>
      </w:pPr>
      <w:r w:rsidRPr="00187F52">
        <w:rPr>
          <w:rFonts w:asciiTheme="majorHAnsi" w:hAnsiTheme="majorHAnsi"/>
          <w:b/>
          <w:bCs/>
          <w:color w:val="000000" w:themeColor="text1"/>
          <w:sz w:val="20"/>
          <w:szCs w:val="20"/>
          <w:lang w:val="pt-BR"/>
        </w:rPr>
        <w:t xml:space="preserve">IV. </w:t>
      </w:r>
      <w:r w:rsidRPr="00187F52">
        <w:rPr>
          <w:rFonts w:asciiTheme="majorHAnsi" w:hAnsiTheme="majorHAnsi"/>
          <w:b/>
          <w:bCs/>
          <w:color w:val="000000" w:themeColor="text1"/>
          <w:sz w:val="20"/>
          <w:szCs w:val="20"/>
          <w:lang w:val="pt-BR"/>
        </w:rPr>
        <w:tab/>
      </w:r>
      <w:r w:rsidR="00D21316" w:rsidRPr="00187F52">
        <w:rPr>
          <w:rFonts w:asciiTheme="majorHAnsi" w:hAnsiTheme="majorHAnsi"/>
          <w:b/>
          <w:bCs/>
          <w:color w:val="000000" w:themeColor="text1"/>
          <w:sz w:val="20"/>
          <w:szCs w:val="20"/>
          <w:lang w:val="pt-BR"/>
        </w:rPr>
        <w:t>DUPLICAÇÃO</w:t>
      </w:r>
      <w:r w:rsidR="00EE00E9" w:rsidRPr="00187F52">
        <w:rPr>
          <w:rFonts w:asciiTheme="majorHAnsi" w:hAnsiTheme="majorHAnsi"/>
          <w:b/>
          <w:bCs/>
          <w:color w:val="000000" w:themeColor="text1"/>
          <w:sz w:val="20"/>
          <w:szCs w:val="20"/>
          <w:lang w:val="pt-BR"/>
        </w:rPr>
        <w:t xml:space="preserve"> </w:t>
      </w:r>
      <w:r w:rsidR="00D21316" w:rsidRPr="00187F52">
        <w:rPr>
          <w:rFonts w:asciiTheme="majorHAnsi" w:hAnsiTheme="majorHAnsi"/>
          <w:b/>
          <w:bCs/>
          <w:color w:val="000000" w:themeColor="text1"/>
          <w:sz w:val="20"/>
          <w:szCs w:val="20"/>
          <w:lang w:val="pt-BR"/>
        </w:rPr>
        <w:t>DE PROCEDIMENTOS E</w:t>
      </w:r>
      <w:r w:rsidR="00EE00E9" w:rsidRPr="00187F52">
        <w:rPr>
          <w:rFonts w:asciiTheme="majorHAnsi" w:hAnsiTheme="majorHAnsi"/>
          <w:b/>
          <w:bCs/>
          <w:color w:val="000000" w:themeColor="text1"/>
          <w:sz w:val="20"/>
          <w:szCs w:val="20"/>
          <w:lang w:val="pt-BR"/>
        </w:rPr>
        <w:t xml:space="preserve"> CO</w:t>
      </w:r>
      <w:r w:rsidR="00D21316" w:rsidRPr="00187F52">
        <w:rPr>
          <w:rFonts w:asciiTheme="majorHAnsi" w:hAnsiTheme="majorHAnsi"/>
          <w:b/>
          <w:bCs/>
          <w:color w:val="000000" w:themeColor="text1"/>
          <w:sz w:val="20"/>
          <w:szCs w:val="20"/>
          <w:lang w:val="pt-BR"/>
        </w:rPr>
        <w:t>ISA JUL</w:t>
      </w:r>
      <w:r w:rsidR="00EE00E9" w:rsidRPr="00187F52">
        <w:rPr>
          <w:rFonts w:asciiTheme="majorHAnsi" w:hAnsiTheme="majorHAnsi"/>
          <w:b/>
          <w:bCs/>
          <w:color w:val="000000" w:themeColor="text1"/>
          <w:sz w:val="20"/>
          <w:szCs w:val="20"/>
          <w:lang w:val="pt-BR"/>
        </w:rPr>
        <w:t>GADA</w:t>
      </w:r>
      <w:r w:rsidR="00EE00E9" w:rsidRPr="00187F52">
        <w:rPr>
          <w:rFonts w:asciiTheme="majorHAnsi" w:hAnsiTheme="majorHAnsi"/>
          <w:b/>
          <w:bCs/>
          <w:i/>
          <w:color w:val="000000" w:themeColor="text1"/>
          <w:sz w:val="20"/>
          <w:szCs w:val="20"/>
          <w:lang w:val="pt-BR"/>
        </w:rPr>
        <w:t xml:space="preserve"> </w:t>
      </w:r>
      <w:r w:rsidR="00EE00E9" w:rsidRPr="00187F52">
        <w:rPr>
          <w:rFonts w:asciiTheme="majorHAnsi" w:hAnsiTheme="majorHAnsi"/>
          <w:b/>
          <w:bCs/>
          <w:color w:val="000000" w:themeColor="text1"/>
          <w:sz w:val="20"/>
          <w:szCs w:val="20"/>
          <w:lang w:val="pt-BR"/>
        </w:rPr>
        <w:t xml:space="preserve">INTERNACIONAL, </w:t>
      </w:r>
      <w:r w:rsidR="00D21316" w:rsidRPr="00187F52">
        <w:rPr>
          <w:rFonts w:asciiTheme="majorHAnsi" w:hAnsiTheme="majorHAnsi"/>
          <w:b/>
          <w:bCs/>
          <w:color w:val="000000" w:themeColor="text1"/>
          <w:sz w:val="20"/>
          <w:szCs w:val="20"/>
          <w:lang w:val="pt-BR"/>
        </w:rPr>
        <w:t>CARACTERIZAÇÃO</w:t>
      </w:r>
      <w:r w:rsidRPr="00187F52">
        <w:rPr>
          <w:rFonts w:asciiTheme="majorHAnsi" w:hAnsiTheme="majorHAnsi"/>
          <w:b/>
          <w:bCs/>
          <w:color w:val="000000" w:themeColor="text1"/>
          <w:sz w:val="20"/>
          <w:szCs w:val="20"/>
          <w:lang w:val="pt-BR"/>
        </w:rPr>
        <w:t xml:space="preserve">, </w:t>
      </w:r>
      <w:r w:rsidR="00D21316" w:rsidRPr="00187F52">
        <w:rPr>
          <w:rFonts w:asciiTheme="majorHAnsi" w:hAnsiTheme="majorHAnsi"/>
          <w:b/>
          <w:color w:val="000000" w:themeColor="text1"/>
          <w:sz w:val="20"/>
          <w:szCs w:val="20"/>
          <w:lang w:val="pt-BR"/>
        </w:rPr>
        <w:t>ESGOTAM</w:t>
      </w:r>
      <w:r w:rsidRPr="00187F52">
        <w:rPr>
          <w:rFonts w:asciiTheme="majorHAnsi" w:hAnsiTheme="majorHAnsi"/>
          <w:b/>
          <w:color w:val="000000" w:themeColor="text1"/>
          <w:sz w:val="20"/>
          <w:szCs w:val="20"/>
          <w:lang w:val="pt-BR"/>
        </w:rPr>
        <w:t>ENTO D</w:t>
      </w:r>
      <w:r w:rsidR="00D21316" w:rsidRPr="00187F52">
        <w:rPr>
          <w:rFonts w:asciiTheme="majorHAnsi" w:hAnsiTheme="majorHAnsi"/>
          <w:b/>
          <w:color w:val="000000" w:themeColor="text1"/>
          <w:sz w:val="20"/>
          <w:szCs w:val="20"/>
          <w:lang w:val="pt-BR"/>
        </w:rPr>
        <w:t>OS RECURSOS INTERNOS E PR</w:t>
      </w:r>
      <w:r w:rsidRPr="00187F52">
        <w:rPr>
          <w:rFonts w:asciiTheme="majorHAnsi" w:hAnsiTheme="majorHAnsi"/>
          <w:b/>
          <w:color w:val="000000" w:themeColor="text1"/>
          <w:sz w:val="20"/>
          <w:szCs w:val="20"/>
          <w:lang w:val="pt-BR"/>
        </w:rPr>
        <w:t xml:space="preserve">AZO DE </w:t>
      </w:r>
      <w:r w:rsidR="00D21316" w:rsidRPr="00187F52">
        <w:rPr>
          <w:rFonts w:asciiTheme="majorHAnsi" w:hAnsiTheme="majorHAnsi"/>
          <w:b/>
          <w:color w:val="000000" w:themeColor="text1"/>
          <w:sz w:val="20"/>
          <w:szCs w:val="20"/>
          <w:lang w:val="pt-BR"/>
        </w:rPr>
        <w:t>APRESENTAÇÃO</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4A060A" w:rsidRPr="00187F52" w14:paraId="1231C988" w14:textId="77777777" w:rsidTr="1B80724B">
        <w:trPr>
          <w:cantSplit/>
        </w:trPr>
        <w:tc>
          <w:tcPr>
            <w:tcW w:w="3567" w:type="dxa"/>
            <w:tcBorders>
              <w:top w:val="single" w:sz="4" w:space="0" w:color="auto"/>
              <w:bottom w:val="single" w:sz="6" w:space="0" w:color="auto"/>
            </w:tcBorders>
            <w:shd w:val="clear" w:color="auto" w:fill="FFC000"/>
            <w:vAlign w:val="center"/>
          </w:tcPr>
          <w:p w14:paraId="6F8031F4" w14:textId="7F2FBF91" w:rsidR="004A060A" w:rsidRPr="00187F52" w:rsidRDefault="004A060A" w:rsidP="004A060A">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Duplicação de procedimentos e coisa julgada internacional:</w:t>
            </w:r>
          </w:p>
        </w:tc>
        <w:tc>
          <w:tcPr>
            <w:tcW w:w="5675" w:type="dxa"/>
            <w:vAlign w:val="center"/>
          </w:tcPr>
          <w:p w14:paraId="60B1A3FD" w14:textId="7EFB5AA4" w:rsidR="004A060A" w:rsidRPr="00187F52" w:rsidRDefault="004A060A" w:rsidP="1B80724B">
            <w:pPr>
              <w:jc w:val="both"/>
              <w:rPr>
                <w:rFonts w:ascii="Cambria" w:hAnsi="Cambria"/>
                <w:color w:val="000000" w:themeColor="text1"/>
                <w:sz w:val="20"/>
                <w:szCs w:val="20"/>
                <w:lang w:val="pt-BR"/>
              </w:rPr>
            </w:pPr>
            <w:r w:rsidRPr="1B80724B">
              <w:rPr>
                <w:rFonts w:ascii="Cambria" w:hAnsi="Cambria"/>
                <w:sz w:val="20"/>
                <w:szCs w:val="20"/>
                <w:lang w:val="pt-BR"/>
              </w:rPr>
              <w:t>Não</w:t>
            </w:r>
            <w:r w:rsidR="3026F2B2" w:rsidRPr="1B80724B">
              <w:rPr>
                <w:rFonts w:ascii="Cambria" w:hAnsi="Cambria"/>
                <w:sz w:val="20"/>
                <w:szCs w:val="20"/>
                <w:lang w:val="pt-BR"/>
              </w:rPr>
              <w:t>.</w:t>
            </w:r>
          </w:p>
        </w:tc>
      </w:tr>
      <w:tr w:rsidR="004A060A" w:rsidRPr="00B21F14" w14:paraId="15FAA7D1" w14:textId="77777777" w:rsidTr="1B80724B">
        <w:trPr>
          <w:cantSplit/>
        </w:trPr>
        <w:tc>
          <w:tcPr>
            <w:tcW w:w="3567" w:type="dxa"/>
            <w:tcBorders>
              <w:top w:val="single" w:sz="4" w:space="0" w:color="auto"/>
              <w:bottom w:val="single" w:sz="6" w:space="0" w:color="auto"/>
            </w:tcBorders>
            <w:shd w:val="clear" w:color="auto" w:fill="FFC000"/>
            <w:vAlign w:val="center"/>
          </w:tcPr>
          <w:p w14:paraId="1B0D29FF" w14:textId="577ED540" w:rsidR="004A060A" w:rsidRPr="00187F52" w:rsidRDefault="004A060A" w:rsidP="004A060A">
            <w:pPr>
              <w:jc w:val="center"/>
              <w:rPr>
                <w:rFonts w:ascii="Cambria" w:hAnsi="Cambria"/>
                <w:b/>
                <w:bCs/>
                <w:i/>
                <w:color w:val="000000" w:themeColor="text1"/>
                <w:sz w:val="20"/>
                <w:szCs w:val="20"/>
                <w:lang w:val="pt-BR"/>
              </w:rPr>
            </w:pPr>
            <w:r w:rsidRPr="00187F52">
              <w:rPr>
                <w:rFonts w:ascii="Cambria" w:hAnsi="Cambria"/>
                <w:b/>
                <w:bCs/>
                <w:color w:val="000000" w:themeColor="text1"/>
                <w:sz w:val="20"/>
                <w:szCs w:val="20"/>
                <w:lang w:val="pt-BR"/>
              </w:rPr>
              <w:t>Direitos declarados admitidos</w:t>
            </w:r>
            <w:r w:rsidRPr="00187F52">
              <w:rPr>
                <w:rFonts w:ascii="Cambria" w:hAnsi="Cambria"/>
                <w:b/>
                <w:bCs/>
                <w:i/>
                <w:color w:val="000000" w:themeColor="text1"/>
                <w:sz w:val="20"/>
                <w:szCs w:val="20"/>
                <w:lang w:val="pt-BR"/>
              </w:rPr>
              <w:t>:</w:t>
            </w:r>
          </w:p>
        </w:tc>
        <w:tc>
          <w:tcPr>
            <w:tcW w:w="5675" w:type="dxa"/>
            <w:vAlign w:val="center"/>
          </w:tcPr>
          <w:p w14:paraId="01759613" w14:textId="7EC2E09A" w:rsidR="004A060A" w:rsidRPr="00187F52" w:rsidRDefault="004A060A" w:rsidP="1B80724B">
            <w:pPr>
              <w:jc w:val="both"/>
              <w:rPr>
                <w:rFonts w:ascii="Cambria" w:hAnsi="Cambria"/>
                <w:color w:val="000000" w:themeColor="text1"/>
                <w:sz w:val="20"/>
                <w:szCs w:val="20"/>
                <w:lang w:val="pt-BR"/>
              </w:rPr>
            </w:pPr>
            <w:r w:rsidRPr="1B80724B">
              <w:rPr>
                <w:rFonts w:ascii="Cambria" w:hAnsi="Cambria"/>
                <w:sz w:val="20"/>
                <w:szCs w:val="20"/>
                <w:lang w:val="pt-BR"/>
              </w:rPr>
              <w:t>Artigos. 5 (integridade pessoal), 7 (liberdade pessoal), 8 (garantias judiciais), 11 (honra e privacidade), 13 (liberdade de pensamento e expressão), 21 (propriedade privada), 24 (igualdade ante a lei) e 25 (</w:t>
            </w:r>
            <w:r w:rsidR="3750682F" w:rsidRPr="1B80724B">
              <w:rPr>
                <w:rFonts w:ascii="Cambria" w:hAnsi="Cambria"/>
                <w:sz w:val="20"/>
                <w:szCs w:val="20"/>
                <w:lang w:val="pt-BR"/>
              </w:rPr>
              <w:t>proteção judicial</w:t>
            </w:r>
            <w:r w:rsidRPr="1B80724B">
              <w:rPr>
                <w:rFonts w:ascii="Cambria" w:hAnsi="Cambria"/>
                <w:sz w:val="20"/>
                <w:szCs w:val="20"/>
                <w:lang w:val="pt-BR"/>
              </w:rPr>
              <w:t xml:space="preserve">) em relação com os artigos 1.1 (obrigação de respeitar direitos) e 2 (obrigação de adotar disposições de direito interno) da Convenção Americana sobre Direitos Humanos. </w:t>
            </w:r>
          </w:p>
        </w:tc>
      </w:tr>
      <w:tr w:rsidR="004A060A" w:rsidRPr="00B21F14" w14:paraId="4EFD141E" w14:textId="77777777" w:rsidTr="1B80724B">
        <w:trPr>
          <w:cantSplit/>
        </w:trPr>
        <w:tc>
          <w:tcPr>
            <w:tcW w:w="3567" w:type="dxa"/>
            <w:tcBorders>
              <w:top w:val="single" w:sz="6" w:space="0" w:color="auto"/>
              <w:bottom w:val="single" w:sz="6" w:space="0" w:color="auto"/>
            </w:tcBorders>
            <w:shd w:val="clear" w:color="auto" w:fill="FFC000"/>
            <w:vAlign w:val="center"/>
          </w:tcPr>
          <w:p w14:paraId="4C04A89C" w14:textId="4CDE326B" w:rsidR="004A060A" w:rsidRPr="00187F52" w:rsidRDefault="004A060A" w:rsidP="004A060A">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Esgotamento dos recursos internos ou procedência de uma exceção:</w:t>
            </w:r>
          </w:p>
        </w:tc>
        <w:tc>
          <w:tcPr>
            <w:tcW w:w="5675" w:type="dxa"/>
            <w:vAlign w:val="center"/>
          </w:tcPr>
          <w:p w14:paraId="7966DB4F" w14:textId="09EBC772" w:rsidR="004A060A" w:rsidRPr="00187F52" w:rsidRDefault="004A060A" w:rsidP="004A060A">
            <w:pPr>
              <w:rPr>
                <w:rFonts w:ascii="Cambria" w:hAnsi="Cambria"/>
                <w:bCs/>
                <w:color w:val="000000" w:themeColor="text1"/>
                <w:sz w:val="20"/>
                <w:szCs w:val="20"/>
                <w:lang w:val="pt-BR"/>
              </w:rPr>
            </w:pPr>
            <w:r w:rsidRPr="00187F52">
              <w:rPr>
                <w:rFonts w:ascii="Cambria" w:hAnsi="Cambria"/>
                <w:sz w:val="20"/>
                <w:szCs w:val="20"/>
                <w:lang w:val="pt-BR"/>
              </w:rPr>
              <w:t>Sim, nos termos da seção VI.</w:t>
            </w:r>
          </w:p>
        </w:tc>
      </w:tr>
      <w:tr w:rsidR="004A060A" w:rsidRPr="00B21F14" w14:paraId="52B5BA17" w14:textId="77777777" w:rsidTr="1B80724B">
        <w:trPr>
          <w:cantSplit/>
        </w:trPr>
        <w:tc>
          <w:tcPr>
            <w:tcW w:w="3567" w:type="dxa"/>
            <w:tcBorders>
              <w:top w:val="single" w:sz="6" w:space="0" w:color="auto"/>
              <w:bottom w:val="single" w:sz="6" w:space="0" w:color="auto"/>
            </w:tcBorders>
            <w:shd w:val="clear" w:color="auto" w:fill="FFC000"/>
            <w:vAlign w:val="center"/>
          </w:tcPr>
          <w:p w14:paraId="5DF99086" w14:textId="35473084" w:rsidR="004A060A" w:rsidRPr="00187F52" w:rsidRDefault="004A060A" w:rsidP="004A060A">
            <w:pPr>
              <w:jc w:val="center"/>
              <w:rPr>
                <w:rFonts w:ascii="Cambria" w:hAnsi="Cambria"/>
                <w:b/>
                <w:bCs/>
                <w:color w:val="000000" w:themeColor="text1"/>
                <w:sz w:val="20"/>
                <w:szCs w:val="20"/>
                <w:lang w:val="pt-BR"/>
              </w:rPr>
            </w:pPr>
            <w:r w:rsidRPr="00187F52">
              <w:rPr>
                <w:rFonts w:ascii="Cambria" w:hAnsi="Cambria"/>
                <w:b/>
                <w:bCs/>
                <w:color w:val="000000" w:themeColor="text1"/>
                <w:sz w:val="20"/>
                <w:szCs w:val="20"/>
                <w:lang w:val="pt-BR"/>
              </w:rPr>
              <w:t>Apresentação dentro do prazo:</w:t>
            </w:r>
          </w:p>
        </w:tc>
        <w:tc>
          <w:tcPr>
            <w:tcW w:w="5675" w:type="dxa"/>
            <w:vAlign w:val="center"/>
          </w:tcPr>
          <w:p w14:paraId="6263B0A7" w14:textId="354F0BB9" w:rsidR="004A060A" w:rsidRPr="00187F52" w:rsidRDefault="004A060A" w:rsidP="004A060A">
            <w:pPr>
              <w:rPr>
                <w:rFonts w:ascii="Cambria" w:hAnsi="Cambria"/>
                <w:bCs/>
                <w:color w:val="000000" w:themeColor="text1"/>
                <w:sz w:val="20"/>
                <w:szCs w:val="20"/>
                <w:lang w:val="pt-BR"/>
              </w:rPr>
            </w:pPr>
            <w:r w:rsidRPr="00187F52">
              <w:rPr>
                <w:rFonts w:ascii="Cambria" w:hAnsi="Cambria"/>
                <w:sz w:val="20"/>
                <w:szCs w:val="20"/>
                <w:lang w:val="pt-BR"/>
              </w:rPr>
              <w:t xml:space="preserve">Sim, nos termos da seção VI. </w:t>
            </w:r>
          </w:p>
        </w:tc>
      </w:tr>
    </w:tbl>
    <w:p w14:paraId="3D8B5E00" w14:textId="77777777" w:rsidR="005C04F3" w:rsidRPr="00187F52" w:rsidRDefault="00223A29" w:rsidP="005C04F3">
      <w:pPr>
        <w:spacing w:before="240" w:after="240"/>
        <w:ind w:firstLine="720"/>
        <w:jc w:val="both"/>
        <w:rPr>
          <w:rFonts w:asciiTheme="majorHAnsi" w:hAnsiTheme="majorHAnsi"/>
          <w:b/>
          <w:bCs/>
          <w:sz w:val="20"/>
          <w:szCs w:val="20"/>
          <w:lang w:val="pt-BR"/>
        </w:rPr>
      </w:pPr>
      <w:r w:rsidRPr="00187F52">
        <w:rPr>
          <w:rFonts w:asciiTheme="majorHAnsi" w:hAnsiTheme="majorHAnsi"/>
          <w:b/>
          <w:color w:val="000000" w:themeColor="text1"/>
          <w:sz w:val="20"/>
          <w:szCs w:val="20"/>
          <w:lang w:val="pt-BR"/>
        </w:rPr>
        <w:t xml:space="preserve">V. </w:t>
      </w:r>
      <w:r w:rsidRPr="00187F52">
        <w:rPr>
          <w:rFonts w:asciiTheme="majorHAnsi" w:hAnsiTheme="majorHAnsi"/>
          <w:b/>
          <w:color w:val="000000" w:themeColor="text1"/>
          <w:sz w:val="20"/>
          <w:szCs w:val="20"/>
          <w:lang w:val="pt-BR"/>
        </w:rPr>
        <w:tab/>
      </w:r>
      <w:r w:rsidR="005C04F3" w:rsidRPr="00187F52">
        <w:rPr>
          <w:rFonts w:asciiTheme="majorHAnsi" w:hAnsiTheme="majorHAnsi"/>
          <w:b/>
          <w:bCs/>
          <w:sz w:val="20"/>
          <w:szCs w:val="20"/>
          <w:lang w:val="pt-BR"/>
        </w:rPr>
        <w:t>POSIÇÃO DAS PARTES</w:t>
      </w:r>
    </w:p>
    <w:p w14:paraId="26A1F8A6" w14:textId="7DA3F4E2" w:rsidR="005C04F3" w:rsidRPr="00187F52" w:rsidRDefault="00094C19" w:rsidP="005C04F3">
      <w:pPr>
        <w:spacing w:before="240" w:after="240"/>
        <w:ind w:firstLine="720"/>
        <w:jc w:val="both"/>
        <w:rPr>
          <w:rFonts w:asciiTheme="majorHAnsi" w:hAnsiTheme="majorHAnsi"/>
          <w:i/>
          <w:iCs/>
          <w:sz w:val="20"/>
          <w:szCs w:val="20"/>
          <w:lang w:val="pt-BR"/>
        </w:rPr>
      </w:pPr>
      <w:r w:rsidRPr="00187F52">
        <w:rPr>
          <w:rFonts w:asciiTheme="majorHAnsi" w:hAnsiTheme="majorHAnsi"/>
          <w:i/>
          <w:iCs/>
          <w:sz w:val="20"/>
          <w:szCs w:val="20"/>
          <w:lang w:val="pt-BR"/>
        </w:rPr>
        <w:t>P</w:t>
      </w:r>
      <w:r w:rsidR="005C04F3" w:rsidRPr="00187F52">
        <w:rPr>
          <w:rFonts w:asciiTheme="majorHAnsi" w:hAnsiTheme="majorHAnsi"/>
          <w:i/>
          <w:iCs/>
          <w:sz w:val="20"/>
          <w:szCs w:val="20"/>
          <w:lang w:val="pt-BR"/>
        </w:rPr>
        <w:t xml:space="preserve">arte peticionaria </w:t>
      </w:r>
    </w:p>
    <w:p w14:paraId="2ECCB932" w14:textId="48C563F4"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FF0000"/>
          <w:lang w:val="pt-BR"/>
        </w:rPr>
      </w:pPr>
      <w:r w:rsidRPr="1B80724B">
        <w:rPr>
          <w:rFonts w:ascii="Cambria" w:hAnsi="Cambria"/>
          <w:sz w:val="20"/>
          <w:szCs w:val="20"/>
          <w:lang w:val="pt-BR"/>
        </w:rPr>
        <w:t xml:space="preserve">A parte peticionária alega que o Sr. Trevian Ferney Aragon Valencia (doravante "Sr. Ferney Aragon" ou "a suposta vítima") </w:t>
      </w:r>
      <w:r w:rsidR="724BC781" w:rsidRPr="1B80724B">
        <w:rPr>
          <w:rFonts w:ascii="Cambria" w:hAnsi="Cambria"/>
          <w:sz w:val="20"/>
          <w:szCs w:val="20"/>
          <w:lang w:val="pt-BR"/>
        </w:rPr>
        <w:t>foi vítima</w:t>
      </w:r>
      <w:r w:rsidR="006C7F2C" w:rsidRPr="1B80724B">
        <w:rPr>
          <w:rFonts w:ascii="Cambria" w:hAnsi="Cambria"/>
          <w:sz w:val="20"/>
          <w:szCs w:val="20"/>
          <w:lang w:val="pt-BR"/>
        </w:rPr>
        <w:t xml:space="preserve"> de violência por </w:t>
      </w:r>
      <w:r w:rsidRPr="1B80724B">
        <w:rPr>
          <w:rFonts w:ascii="Cambria" w:hAnsi="Cambria"/>
          <w:sz w:val="20"/>
          <w:szCs w:val="20"/>
          <w:lang w:val="pt-BR"/>
        </w:rPr>
        <w:t>guardas municipais</w:t>
      </w:r>
      <w:r w:rsidR="006C7F2C" w:rsidRPr="1B80724B">
        <w:rPr>
          <w:rFonts w:ascii="Cambria" w:hAnsi="Cambria"/>
          <w:sz w:val="20"/>
          <w:szCs w:val="20"/>
          <w:lang w:val="pt-BR"/>
        </w:rPr>
        <w:t xml:space="preserve"> da cidade do Rio de Janeiro</w:t>
      </w:r>
      <w:r w:rsidR="004059F7" w:rsidRPr="1B80724B">
        <w:rPr>
          <w:rFonts w:ascii="Cambria" w:hAnsi="Cambria"/>
          <w:sz w:val="20"/>
          <w:szCs w:val="20"/>
          <w:lang w:val="pt-BR"/>
        </w:rPr>
        <w:t xml:space="preserve"> durante uma patrulha policial. Os agentes</w:t>
      </w:r>
      <w:r w:rsidRPr="1B80724B">
        <w:rPr>
          <w:rFonts w:ascii="Cambria" w:hAnsi="Cambria"/>
          <w:sz w:val="20"/>
          <w:szCs w:val="20"/>
          <w:lang w:val="pt-BR"/>
        </w:rPr>
        <w:t xml:space="preserve"> teriam confiscado suas ferramentas de trabalho, agredido</w:t>
      </w:r>
      <w:r w:rsidR="00E93C6F" w:rsidRPr="1B80724B">
        <w:rPr>
          <w:rFonts w:ascii="Cambria" w:hAnsi="Cambria"/>
          <w:sz w:val="20"/>
          <w:szCs w:val="20"/>
          <w:lang w:val="pt-BR"/>
        </w:rPr>
        <w:t xml:space="preserve"> a suposta vítima</w:t>
      </w:r>
      <w:r w:rsidRPr="1B80724B">
        <w:rPr>
          <w:rFonts w:ascii="Cambria" w:hAnsi="Cambria"/>
          <w:sz w:val="20"/>
          <w:szCs w:val="20"/>
          <w:lang w:val="pt-BR"/>
        </w:rPr>
        <w:t xml:space="preserve"> verbal e fisicamente e o teriam detido. Além disso, a parte peticionária afirma que o Sr. Ferney Aragon</w:t>
      </w:r>
      <w:r w:rsidR="00C32341" w:rsidRPr="1B80724B">
        <w:rPr>
          <w:rFonts w:ascii="Cambria" w:hAnsi="Cambria"/>
          <w:sz w:val="20"/>
          <w:szCs w:val="20"/>
          <w:lang w:val="pt-BR"/>
        </w:rPr>
        <w:t xml:space="preserve">, </w:t>
      </w:r>
      <w:r w:rsidR="00C32341" w:rsidRPr="1B80724B">
        <w:rPr>
          <w:rFonts w:ascii="Cambria" w:hAnsi="Cambria"/>
          <w:sz w:val="20"/>
          <w:szCs w:val="20"/>
          <w:lang w:val="pt-BR"/>
        </w:rPr>
        <w:lastRenderedPageBreak/>
        <w:t>quem se opôs verbalmente à ação policial,</w:t>
      </w:r>
      <w:r w:rsidRPr="1B80724B">
        <w:rPr>
          <w:rFonts w:ascii="Cambria" w:hAnsi="Cambria"/>
          <w:sz w:val="20"/>
          <w:szCs w:val="20"/>
          <w:lang w:val="pt-BR"/>
        </w:rPr>
        <w:t xml:space="preserve"> foi acusado do crime de desacato e que as autoridades brasileiras decidiram sobre a constitucionalidade desta tipificação penal</w:t>
      </w:r>
      <w:r w:rsidR="005E74F7" w:rsidRPr="1B80724B">
        <w:rPr>
          <w:rFonts w:ascii="Cambria" w:hAnsi="Cambria"/>
          <w:sz w:val="20"/>
          <w:szCs w:val="20"/>
          <w:lang w:val="pt-BR"/>
        </w:rPr>
        <w:t xml:space="preserve">. </w:t>
      </w:r>
    </w:p>
    <w:p w14:paraId="7EE9722D"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pt-BR"/>
        </w:rPr>
      </w:pPr>
      <w:r w:rsidRPr="00187F52">
        <w:rPr>
          <w:rFonts w:ascii="Cambria" w:hAnsi="Cambria"/>
          <w:sz w:val="20"/>
          <w:szCs w:val="20"/>
          <w:lang w:val="pt-BR"/>
        </w:rPr>
        <w:t>Conforme relatado pela parte peticionária, em 01 de agosto de 2013 o Sr. Ferney Aragon, migrante e afrodescendente, foi agredido por cinco guardas municipais enquanto exercia a atividade de cabeleireiro na via pública, como fazia diariamente desde 2010. A peticionária aponta que a suposta vítima foi abordada pelos guardas municipais com gritos ofensivo, enquanto destruíam o cartaz que anunciava seu trabalho e danificavam suas ferramentas profissionais. Também alega que os guardas municipais fizeram uso excessivo da força para deter a suposta vítima, que tentava resistir à colocação de algemas. Nessas circunstâncias, a vítima teria dito expressões ofensivas aos agentes policiais (“vai se fuder! Filho da puta!”).  Apesar dos protestos dos transeuntes, que pediam que uma ambulância fosse chamada para o Sr. Ferney Aragon, dada seu estado de quase inconsciência, as agressões policiais persistiram e ocasionaram sequelas físicas sentidas até a presente data.</w:t>
      </w:r>
    </w:p>
    <w:p w14:paraId="5CCE1F55"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A peticionária narra que a suposta vítima teve sua liberdade restringida entre 01de agosto de 2013 e 02 de agosto de 2013. Segundo a peticionária, depois que a suposta vítima foi detida e algemada no dia 01 de agosto de 2013, foi colocada dentro de um veículo policial, onde, entre os assentos do carro, teria sofrido novas agressões físicas por parte dos guardas municipais, enquanto proferiam insultos discriminatórios, referindo-se à origem nacional e raça da suposta vítima. A suposta vítima foi conduzida a uma unidade de saúde, onde teria sido tratado de forma agressiva pelos profissionais de saúde e permaneceu algemado durante toda a noite, em decorrência de uma suposta orientação dos próprios guardas municipais.</w:t>
      </w:r>
    </w:p>
    <w:p w14:paraId="6A94EACD"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 xml:space="preserve">A peticionária alega que, no dia seguinte, o Sr. Ferney Aragon foi conduzido à delegacia e acusado dos crimes de desacato e prática resistência. Nessa ocasião, afirmam que os agentes exigiram que o Sr. Ferney Aragon assinasse um documento que não teve a oportunidade de ler, registrando que havia manifestado seu direito constitucional de permanecer em silêncio. Também aponta que não lhe devolveram seus instrumentos de trabalho. Além disso, sustenta que, o Sr. Ferney Aragon foi transferido da delegacia para o Aeroporto Internacional do Rio de Janeiro, onde teria sido ameaçado de deportação. Ao chegar ao local, sob custódia da Polícia Federal, teria tido acesso à água pela primeira vez desde o início dos eventos. A peticionária afirma que a suposta vítima liberada após essas diligências no Aeroporto Internacional do Rio de Janeiro, no dia 02 de agosto de 2013. </w:t>
      </w:r>
    </w:p>
    <w:p w14:paraId="6E009C07"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 xml:space="preserve">A peticionária afirma que, em fevereiro de 2014, o Ministério Público ofertou denúncia contra a suposta vítima pelo crime de desacato – fundamentando o suposto delito nas ofensas que a vítima teria proferido aos agentes policiais em 1 de agosto de 2013 -, assim como o delito de resistência – que teria sido cometido pela suposta vítima teria se oposto, com violência, à execução de um ato legal do agente policial. A peticionária afirma que a 37ª Vara Criminal do Rio de Janeiro, em 28 de abril de 2016, i) absolveu o Sr. Ferney Aragon sumariamente em relação à acusação de prática de resistência, reconhecendo a atipicidade penal da conduta e a ausência de justa causa para a ação penal, e ii) também decidiu pela rejeição da denúncia no que concerne ao crime de desacato, fundamentando a decisão na inconformidade do delito diante o direito constitucional e convencional à liberdade de expressão. </w:t>
      </w:r>
    </w:p>
    <w:p w14:paraId="286EA56A" w14:textId="77777777" w:rsidR="005C04F3"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 xml:space="preserve">A peticionária sustenta que o Ministério Público interpôs Recurso em Sentido Estrito perante o Tribunal de Justiça do Rio de Janeiro (TJRJ), em face da decisão que rejeitou a denúncia em relação ao crime de desacato. Em 14 de março de 2017, a Quarta Câmara Criminal do TJRJ deu provimento ao Recurso em Sentido Estrito, determinando o prosseguimento da ação penal em relação ao delito de desacato, sob fundamento de que "a derrogação da norma incriminadora prevista no art. 331 do CP pela Convenção Americana de Direitos Humanos (CADH) é de competência das autoridades nacionais, de sorte que eventual supressão do tipo penal por incompatibilidade com a CADH deverá ser reconhecida pelo órgão jurisdicional competente". O mesmo órgão também deferiu o recurso de apelação, interposto pelo Ministério Público, que requeria o prosseguimento da ação penal em relação ao delito resistência. </w:t>
      </w:r>
    </w:p>
    <w:p w14:paraId="60961C19" w14:textId="77777777" w:rsidR="009C4915" w:rsidRPr="00187F52" w:rsidRDefault="009C4915" w:rsidP="009C49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p>
    <w:p w14:paraId="37CCAA80"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lastRenderedPageBreak/>
        <w:t>Diante da decisão que determinou o prosseguimento da ação penal quanto ao delito de desacato, a suposta vítima interpôs Recurso Especial ao Superior Tribunal de Justiça (STJ). O Recurso Especial, no entanto, foi inadmitido pelo Tribunal de Justiça do Rio de Janeiro (órgão competente para o exercício do juízo de admissibilidade diante da interposição de Recurso Especial), em sentença datada de 29 de maio de 2017. Tendo em vista a inadmissão do Recurso Especial, foi interposto Agravo em Recurso Especial pela peticionária, negado pelo STJ em 07 de fevereiro de 2018, através de decisão monocrática que confirma o prosseguimento da ação penal pelo delito de desacato.  Contra a nova negativa, foi interposto Agravo Regimental no Agravo em Recurso Especial, negado pela Quinta Turma do STJ, em acórdão proferido em 01 de março de 2018, mais uma vez ratificando o prosseguimento da ação penal pelo delito de desacato.</w:t>
      </w:r>
    </w:p>
    <w:p w14:paraId="41B5C5EB" w14:textId="4CE39E09" w:rsidR="005C04F3" w:rsidRPr="00187F52" w:rsidRDefault="00D613C6"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 xml:space="preserve">A </w:t>
      </w:r>
      <w:r w:rsidR="005C04F3" w:rsidRPr="00187F52">
        <w:rPr>
          <w:rFonts w:ascii="Cambria" w:hAnsi="Cambria"/>
          <w:sz w:val="20"/>
          <w:szCs w:val="20"/>
          <w:lang w:val="pt-BR"/>
        </w:rPr>
        <w:t>peticionária interpôs</w:t>
      </w:r>
      <w:r w:rsidR="007706D1" w:rsidRPr="00187F52">
        <w:rPr>
          <w:rFonts w:ascii="Cambria" w:hAnsi="Cambria"/>
          <w:sz w:val="20"/>
          <w:szCs w:val="20"/>
          <w:lang w:val="pt-BR"/>
        </w:rPr>
        <w:t>, então,</w:t>
      </w:r>
      <w:r w:rsidR="005C04F3" w:rsidRPr="00187F52">
        <w:rPr>
          <w:rFonts w:ascii="Cambria" w:hAnsi="Cambria"/>
          <w:sz w:val="20"/>
          <w:szCs w:val="20"/>
          <w:lang w:val="pt-BR"/>
        </w:rPr>
        <w:t xml:space="preserve"> uma ação de </w:t>
      </w:r>
      <w:r w:rsidR="005C04F3" w:rsidRPr="00187F52">
        <w:rPr>
          <w:rFonts w:ascii="Cambria" w:hAnsi="Cambria"/>
          <w:i/>
          <w:iCs/>
          <w:sz w:val="20"/>
          <w:szCs w:val="20"/>
          <w:lang w:val="pt-BR"/>
        </w:rPr>
        <w:t>Habeas Corpus</w:t>
      </w:r>
      <w:r w:rsidR="005C04F3" w:rsidRPr="00187F52">
        <w:rPr>
          <w:rFonts w:ascii="Cambria" w:hAnsi="Cambria"/>
          <w:sz w:val="20"/>
          <w:szCs w:val="20"/>
          <w:lang w:val="pt-BR"/>
        </w:rPr>
        <w:t xml:space="preserve"> perante o Supremo Tribunal Federal com o objetivo de restabelecer a decisão absolutória do juízo de primeira instancia em relação ao delito de desacato. Contudo, afirma que o Supremo Tribunal Federal negou a concessão do </w:t>
      </w:r>
      <w:r w:rsidR="005C04F3" w:rsidRPr="00187F52">
        <w:rPr>
          <w:rFonts w:ascii="Cambria" w:hAnsi="Cambria"/>
          <w:i/>
          <w:iCs/>
          <w:sz w:val="20"/>
          <w:szCs w:val="20"/>
          <w:lang w:val="pt-BR"/>
        </w:rPr>
        <w:t xml:space="preserve">Habeas Corpus </w:t>
      </w:r>
      <w:r w:rsidR="005C04F3" w:rsidRPr="00187F52">
        <w:rPr>
          <w:rFonts w:ascii="Cambria" w:hAnsi="Cambria"/>
          <w:sz w:val="20"/>
          <w:szCs w:val="20"/>
          <w:lang w:val="pt-BR"/>
        </w:rPr>
        <w:t>em 08 de agosto de 2018., notificada em 20 de agosto de 2018.</w:t>
      </w:r>
    </w:p>
    <w:p w14:paraId="7576A4E8" w14:textId="4EB8B4E7"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1B80724B">
        <w:rPr>
          <w:rFonts w:ascii="Cambria" w:hAnsi="Cambria"/>
          <w:sz w:val="20"/>
          <w:szCs w:val="20"/>
          <w:lang w:val="pt-BR"/>
        </w:rPr>
        <w:t xml:space="preserve">A </w:t>
      </w:r>
      <w:r w:rsidR="1FA0E908" w:rsidRPr="1B80724B">
        <w:rPr>
          <w:rFonts w:ascii="Cambria" w:hAnsi="Cambria"/>
          <w:sz w:val="20"/>
          <w:szCs w:val="20"/>
          <w:lang w:val="pt-BR"/>
        </w:rPr>
        <w:t xml:space="preserve">parte </w:t>
      </w:r>
      <w:r w:rsidRPr="1B80724B">
        <w:rPr>
          <w:rFonts w:ascii="Cambria" w:hAnsi="Cambria"/>
          <w:sz w:val="20"/>
          <w:szCs w:val="20"/>
          <w:lang w:val="pt-BR"/>
        </w:rPr>
        <w:t xml:space="preserve">peticionária afirma que o processo transitou em julgado em outubro de 2019, 5 anos após o oferecimento da denúncia pelo Ministério Público do Estado do Rio de Janeiro, e 6 anos após a suposta condução ilegal à delegacia de </w:t>
      </w:r>
      <w:r w:rsidR="1C8F706B" w:rsidRPr="1B80724B">
        <w:rPr>
          <w:rFonts w:ascii="Cambria" w:hAnsi="Cambria"/>
          <w:sz w:val="20"/>
          <w:szCs w:val="20"/>
          <w:lang w:val="pt-BR"/>
        </w:rPr>
        <w:t>polícia</w:t>
      </w:r>
      <w:r w:rsidRPr="1B80724B">
        <w:rPr>
          <w:rFonts w:ascii="Cambria" w:hAnsi="Cambria"/>
          <w:sz w:val="20"/>
          <w:szCs w:val="20"/>
          <w:lang w:val="pt-BR"/>
        </w:rPr>
        <w:t>. Afirma que o trânsito em julgado decorreu entre o longo intervalo entre o recebimento da denúncia e uma eventual sentença condenatória, ocasionando a prescrição da pretensão punitiva, tanto em relação ao delito de desacato quanto ao delito de resistência. A peticionária alega que o longo tempo de tramitação processual implicou em nova vitimização do Sr. Ferney Aragon.</w:t>
      </w:r>
    </w:p>
    <w:p w14:paraId="63A13EA2" w14:textId="1BD50DD7" w:rsidR="005C04F3" w:rsidRPr="00187F52" w:rsidRDefault="005C04F3" w:rsidP="00094C19">
      <w:pPr>
        <w:spacing w:after="240"/>
        <w:ind w:firstLine="720"/>
        <w:jc w:val="both"/>
        <w:rPr>
          <w:rFonts w:ascii="Cambria" w:hAnsi="Cambria"/>
          <w:lang w:val="pt-BR"/>
        </w:rPr>
      </w:pPr>
      <w:r w:rsidRPr="00187F52">
        <w:rPr>
          <w:rFonts w:ascii="Cambria" w:hAnsi="Cambria"/>
          <w:i/>
          <w:iCs/>
          <w:sz w:val="20"/>
          <w:szCs w:val="20"/>
          <w:lang w:val="pt-BR"/>
        </w:rPr>
        <w:t>Estado</w:t>
      </w:r>
    </w:p>
    <w:p w14:paraId="3BECAB56"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pt-BR"/>
        </w:rPr>
      </w:pPr>
      <w:r w:rsidRPr="00187F52">
        <w:rPr>
          <w:rFonts w:ascii="Cambria" w:hAnsi="Cambria"/>
          <w:sz w:val="20"/>
          <w:szCs w:val="20"/>
          <w:lang w:val="pt-BR"/>
        </w:rPr>
        <w:t>O Estado argumenta que a situação da suposta vítima chegou ao conhecimento e julgamento das mais altas instâncias judiciais do país por meio do Habeas Corpus n. 154.143, julgado pelo Supremo Tribunal Federal, invocando a proibição da atuação do sistema interamericano como uma quarta instância (fórmula da quarta instância), substituindo a jurisdição estatal interna.</w:t>
      </w:r>
    </w:p>
    <w:p w14:paraId="0175DDF5"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O Estado também afirma que o tipo penal de desacato foi escrutinado definitivamente pelo Estado brasileiro por meio da Arguição de Descumprimento de Preceito Fundamental n.º 496, no âmbito do controle abstrato de constitucionalidade. O Estado sustenta que, nessa ocasião, o Supremo Tribunal Federal analisou minuciosamente o artigo 13 da CADH e a jurisprudência da Corte Interamericana de Direitos Humanos, concluindo pela constitucionalidade do crime de desacato, bem como pela sua conformidade com a Convenção Americana, estabelecendo a seguinte tese vinculante: "foi recepcionada pela Constituição de 1988 a norma do artigo 331 do Código Penal, que tipifica o crime de desacato".</w:t>
      </w:r>
    </w:p>
    <w:p w14:paraId="21D0C012"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pt-BR"/>
        </w:rPr>
      </w:pPr>
      <w:r w:rsidRPr="00187F52">
        <w:rPr>
          <w:rFonts w:ascii="Cambria" w:hAnsi="Cambria"/>
          <w:sz w:val="20"/>
          <w:szCs w:val="20"/>
          <w:lang w:val="pt-BR"/>
        </w:rPr>
        <w:t>Em relação ao argumento da peticionária de que a violação à liberdade de expressão devido à detenção e processamento pelo crime de desacato também acarretaria uma violação à liberdade pessoal, o Estado alega que, uma vez que o crime de desacato não viola a liberdade de expressão, tampouco implicaria uma violação à liberdade pessoal.</w:t>
      </w:r>
    </w:p>
    <w:p w14:paraId="606531A1"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pt-BR"/>
        </w:rPr>
      </w:pPr>
      <w:r w:rsidRPr="00187F52">
        <w:rPr>
          <w:rFonts w:ascii="Cambria" w:hAnsi="Cambria"/>
          <w:color w:val="000000" w:themeColor="text1"/>
          <w:sz w:val="20"/>
          <w:szCs w:val="20"/>
          <w:lang w:val="pt-BR"/>
        </w:rPr>
        <w:t>O Estado alega, adicionalmente, que a obrigação da suposta vítima de buscar reparação pecuniária perante a jurisdição interna, por meio de uma ação indenizatória no âmbito cível, antes de recorrer à jurisdição internacional em busca dessa espécie de reparação. Afirma que a ausência de uma ação civil para reparar as supostas violações à integridade pessoal e à propriedade, recurso que estava plenamente disponível, implicaria na impossibilidade de admissibilidade do caso, devido à falta de esgotamento dos recursos internos.</w:t>
      </w:r>
    </w:p>
    <w:p w14:paraId="52E8F5E3" w14:textId="77777777" w:rsidR="00931EA9"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eastAsia="Cambria" w:hAnsi="Cambria"/>
          <w:sz w:val="20"/>
          <w:szCs w:val="20"/>
          <w:lang w:val="pt-BR"/>
        </w:rPr>
      </w:pPr>
      <w:r w:rsidRPr="00187F52">
        <w:rPr>
          <w:rFonts w:ascii="Cambria" w:hAnsi="Cambria"/>
          <w:sz w:val="20"/>
          <w:szCs w:val="20"/>
          <w:lang w:val="pt-BR"/>
        </w:rPr>
        <w:t>Por</w:t>
      </w:r>
      <w:r w:rsidRPr="00187F52">
        <w:rPr>
          <w:rFonts w:ascii="Cambria" w:eastAsia="Cambria" w:hAnsi="Cambria"/>
          <w:sz w:val="20"/>
          <w:szCs w:val="20"/>
          <w:lang w:val="pt-BR"/>
        </w:rPr>
        <w:t xml:space="preserve"> conseguinte, o Estado considera que a suposta vítima não utilizou os recursos disponíveis para buscar reparação pecuniária das violações do direito à integridade pessoal e do direito à propriedade. Além disso, argumenta que a suposta vítima poderia ter acessado de forma eficaz os recursos disponíveis na legislação interna para proteger e denunciar as alegadas violações ao direito à liberdade de expressão e à liberdade pessoal, não sendo viável que a CIDH exerça a função de instância revisional da jurisdição doméstica.</w:t>
      </w:r>
    </w:p>
    <w:p w14:paraId="51EAB8DA" w14:textId="77777777" w:rsidR="00931EA9" w:rsidRDefault="00931EA9" w:rsidP="00931EA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eastAsia="Cambria" w:hAnsi="Cambria"/>
          <w:sz w:val="20"/>
          <w:szCs w:val="20"/>
          <w:lang w:val="pt-BR"/>
        </w:rPr>
      </w:pPr>
    </w:p>
    <w:p w14:paraId="69A7B340" w14:textId="11A18255" w:rsidR="005C04F3" w:rsidRPr="00187F52" w:rsidRDefault="005C04F3" w:rsidP="009C4915">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Cambria" w:hAnsi="Cambria"/>
          <w:sz w:val="20"/>
          <w:szCs w:val="20"/>
          <w:lang w:val="pt-BR"/>
        </w:rPr>
      </w:pPr>
      <w:r w:rsidRPr="00187F52">
        <w:rPr>
          <w:rFonts w:ascii="Cambria" w:eastAsia="Cambria" w:hAnsi="Cambria"/>
          <w:sz w:val="20"/>
          <w:szCs w:val="20"/>
          <w:lang w:val="pt-BR"/>
        </w:rPr>
        <w:lastRenderedPageBreak/>
        <w:t xml:space="preserve"> </w:t>
      </w:r>
      <w:r w:rsidR="009C4915">
        <w:rPr>
          <w:rFonts w:ascii="Cambria" w:eastAsia="Cambria" w:hAnsi="Cambria"/>
          <w:sz w:val="20"/>
          <w:szCs w:val="20"/>
          <w:lang w:val="pt-BR"/>
        </w:rPr>
        <w:tab/>
      </w:r>
      <w:r w:rsidRPr="00187F52">
        <w:rPr>
          <w:rFonts w:asciiTheme="majorHAnsi" w:eastAsia="Cambria" w:hAnsiTheme="majorHAnsi" w:cs="Cambria"/>
          <w:b/>
          <w:bCs/>
          <w:sz w:val="20"/>
          <w:szCs w:val="20"/>
          <w:lang w:val="pt-BR" w:eastAsia="es-ES"/>
        </w:rPr>
        <w:t>VI.</w:t>
      </w:r>
      <w:r w:rsidRPr="00187F52">
        <w:rPr>
          <w:lang w:val="pt-BR"/>
        </w:rPr>
        <w:tab/>
      </w:r>
      <w:r w:rsidRPr="00187F52">
        <w:rPr>
          <w:rFonts w:asciiTheme="majorHAnsi" w:hAnsiTheme="majorHAnsi"/>
          <w:b/>
          <w:bCs/>
          <w:sz w:val="20"/>
          <w:szCs w:val="20"/>
          <w:lang w:val="pt-BR"/>
        </w:rPr>
        <w:t>ANÁLISIS DE ESGOTAMENTO DOS RECURSOS INTERNOS E PRAZO DE APRESENTAÇÃO</w:t>
      </w:r>
      <w:r w:rsidRPr="00187F52">
        <w:rPr>
          <w:rFonts w:asciiTheme="majorHAnsi" w:eastAsia="Cambria" w:hAnsiTheme="majorHAnsi" w:cs="Cambria"/>
          <w:b/>
          <w:bCs/>
          <w:sz w:val="20"/>
          <w:szCs w:val="20"/>
          <w:lang w:val="pt-BR" w:eastAsia="es-ES"/>
        </w:rPr>
        <w:t xml:space="preserve"> </w:t>
      </w:r>
    </w:p>
    <w:p w14:paraId="61949742" w14:textId="25C5BB2C"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000000" w:themeColor="text1"/>
          <w:sz w:val="20"/>
          <w:szCs w:val="20"/>
          <w:lang w:val="pt-BR"/>
        </w:rPr>
      </w:pPr>
      <w:r w:rsidRPr="1B80724B">
        <w:rPr>
          <w:rFonts w:ascii="Cambria" w:hAnsi="Cambria"/>
          <w:sz w:val="20"/>
          <w:szCs w:val="20"/>
          <w:lang w:val="pt-BR"/>
        </w:rPr>
        <w:t xml:space="preserve"> A presente petição sustenta violações de direitos humanos que teriam sido praticadas por agentes policiais no decorrer de uma patrulha policial, na qual que tias agentes teriam abordado a suposta vítima, enquanto ela exercia atividades comerciais em uma via pública, proferido insultos, </w:t>
      </w:r>
      <w:r w:rsidR="0FD7BDBD" w:rsidRPr="1B80724B">
        <w:rPr>
          <w:rFonts w:ascii="Cambria" w:hAnsi="Cambria"/>
          <w:sz w:val="20"/>
          <w:szCs w:val="20"/>
          <w:lang w:val="pt-BR"/>
        </w:rPr>
        <w:t>destruídos materiais</w:t>
      </w:r>
      <w:r w:rsidRPr="1B80724B">
        <w:rPr>
          <w:rFonts w:ascii="Cambria" w:hAnsi="Cambria"/>
          <w:sz w:val="20"/>
          <w:szCs w:val="20"/>
          <w:lang w:val="pt-BR"/>
        </w:rPr>
        <w:t xml:space="preserve"> e agredindo-a. A suposta vítima, por sua vez, teria ofendido os policiais, os quais também relatam resistência a execução de ordens legais durante o patrulhamento. Um processo por desacato, considerando as ofensas cometidas pela suposta vítima contra os agentes públicos, foi levado à cabo. Apesar de o processo ter sido arquivado pela prescrição da pretensão punitiva, a representação legal da suposta vítima tentou por anos, inclusive com recurso decido pela mais alta instância do país, que o processo fosse prontamente arquivado pela inconvencionalidade do delito de desacato. </w:t>
      </w:r>
    </w:p>
    <w:p w14:paraId="1C7BA63B"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000000" w:themeColor="text1"/>
          <w:sz w:val="20"/>
          <w:szCs w:val="20"/>
          <w:lang w:val="pt-BR"/>
        </w:rPr>
      </w:pPr>
      <w:r w:rsidRPr="00187F52">
        <w:rPr>
          <w:rFonts w:ascii="Cambria" w:hAnsi="Cambria"/>
          <w:sz w:val="20"/>
          <w:szCs w:val="20"/>
          <w:lang w:val="pt-BR"/>
        </w:rPr>
        <w:t>O artigo 46. 1. a) da Convenção Americana estabelece como requisito para a admissibilidade de um caso que “hajam sido interpostos e esgotados os recursos da jurisdição interna, de acordo com os princípios de direito internacional geralmente reconhecidos”.</w:t>
      </w:r>
    </w:p>
    <w:p w14:paraId="4EA4E473" w14:textId="5797C417"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000000" w:themeColor="text1"/>
          <w:sz w:val="20"/>
          <w:szCs w:val="20"/>
          <w:lang w:val="pt-BR"/>
        </w:rPr>
      </w:pPr>
      <w:r w:rsidRPr="1B80724B">
        <w:rPr>
          <w:rFonts w:ascii="Cambria" w:eastAsia="Cambria" w:hAnsi="Cambria" w:cs="Cambria"/>
          <w:sz w:val="20"/>
          <w:szCs w:val="20"/>
          <w:lang w:val="pt-BR"/>
        </w:rPr>
        <w:t xml:space="preserve">Para a análise do esgotamento dos recursos internos no presente assunto, a CIDH recorda que, de acordo com sua prática consolidada e reiterada, para identificar os recursos adequados que deveriam ter sido esgotados por um peticionário antes de recorrer ao Sistema Interamericano, o primeiro passo metodológico da análise consiste em separar as diferentes reivindicações formuladas na petição correspondente para proceder ao seu exame individualizado. </w:t>
      </w:r>
    </w:p>
    <w:p w14:paraId="26DCE067"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000000" w:themeColor="text1"/>
          <w:sz w:val="20"/>
          <w:szCs w:val="20"/>
          <w:lang w:val="pt-BR"/>
        </w:rPr>
      </w:pPr>
      <w:r w:rsidRPr="00187F52">
        <w:rPr>
          <w:rFonts w:ascii="Cambria" w:eastAsia="Cambria" w:hAnsi="Cambria" w:cs="Cambria"/>
          <w:sz w:val="20"/>
          <w:szCs w:val="20"/>
          <w:lang w:val="pt-BR"/>
        </w:rPr>
        <w:t xml:space="preserve">No presente caso, o Estado apresenta duas posições distintas em relação às alegadas violações do direito à liberdade de expressão e liberdade pessoal com as alegadas violações aos demais direitos invocados pela peticionária.  </w:t>
      </w:r>
    </w:p>
    <w:p w14:paraId="029993FB" w14:textId="77777777" w:rsidR="005C04F3" w:rsidRPr="00187F52" w:rsidRDefault="005C04F3" w:rsidP="005C0235">
      <w:pPr>
        <w:spacing w:after="240" w:line="259" w:lineRule="auto"/>
        <w:ind w:firstLine="720"/>
        <w:jc w:val="both"/>
        <w:rPr>
          <w:rFonts w:ascii="Cambria" w:hAnsi="Cambria"/>
          <w:color w:val="000000" w:themeColor="text1"/>
          <w:sz w:val="20"/>
          <w:szCs w:val="20"/>
          <w:lang w:val="pt-BR"/>
        </w:rPr>
      </w:pPr>
      <w:r w:rsidRPr="00187F52">
        <w:rPr>
          <w:rFonts w:ascii="Cambria" w:hAnsi="Cambria"/>
          <w:i/>
          <w:iCs/>
          <w:sz w:val="20"/>
          <w:szCs w:val="20"/>
          <w:lang w:val="pt-BR"/>
        </w:rPr>
        <w:t>Esgotamento de recursos sobre alegadas violações à liberdade de expressão e à liberdade pessoal</w:t>
      </w:r>
    </w:p>
    <w:p w14:paraId="58CEBF60" w14:textId="40EDC10D"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color w:val="000000" w:themeColor="text1"/>
          <w:sz w:val="20"/>
          <w:szCs w:val="20"/>
          <w:lang w:val="pt-BR"/>
        </w:rPr>
      </w:pPr>
      <w:r w:rsidRPr="1B80724B">
        <w:rPr>
          <w:rFonts w:ascii="Cambria" w:hAnsi="Cambria"/>
          <w:color w:val="000000" w:themeColor="text1"/>
          <w:sz w:val="20"/>
          <w:szCs w:val="20"/>
          <w:lang w:val="pt-BR"/>
        </w:rPr>
        <w:t>Apesar de ne</w:t>
      </w:r>
      <w:r w:rsidRPr="1B80724B">
        <w:rPr>
          <w:rFonts w:ascii="Cambria" w:hAnsi="Cambria"/>
          <w:sz w:val="20"/>
          <w:szCs w:val="20"/>
          <w:lang w:val="pt-BR"/>
        </w:rPr>
        <w:t xml:space="preserve">gar a configuração de violações à liberdade de expressão e à liberdade pessoal, o Estado afirma que os recursos internos foram esgotados no que concerne a estas alegações. De acordo a peticionária, os recursos internos foram esgotados diante da decisão proferida </w:t>
      </w:r>
      <w:r w:rsidR="0A456CFF" w:rsidRPr="1B80724B">
        <w:rPr>
          <w:rFonts w:ascii="Cambria" w:hAnsi="Cambria"/>
          <w:sz w:val="20"/>
          <w:szCs w:val="20"/>
          <w:lang w:val="pt-BR"/>
        </w:rPr>
        <w:t>pelo</w:t>
      </w:r>
      <w:r w:rsidRPr="1B80724B">
        <w:rPr>
          <w:rFonts w:ascii="Cambria" w:hAnsi="Cambria"/>
          <w:sz w:val="20"/>
          <w:szCs w:val="20"/>
          <w:lang w:val="pt-BR"/>
        </w:rPr>
        <w:t xml:space="preserve"> Supremo Tribunal Federal negando a ordem de Habeas Corpus, ao Sr. Ferney Aragon, </w:t>
      </w:r>
      <w:r w:rsidRPr="1B80724B">
        <w:rPr>
          <w:rFonts w:ascii="Cambria" w:eastAsia="Cambria" w:hAnsi="Cambria" w:cs="Cambria"/>
          <w:color w:val="000000" w:themeColor="text1"/>
          <w:sz w:val="20"/>
          <w:szCs w:val="20"/>
          <w:lang w:val="pt-BR"/>
        </w:rPr>
        <w:t xml:space="preserve">em 08 de agosto de 2018, </w:t>
      </w:r>
      <w:r w:rsidRPr="1B80724B">
        <w:rPr>
          <w:rFonts w:ascii="Cambria" w:hAnsi="Cambria"/>
          <w:sz w:val="20"/>
          <w:szCs w:val="20"/>
          <w:lang w:val="pt-BR"/>
        </w:rPr>
        <w:t xml:space="preserve">mantendo o processo penal </w:t>
      </w:r>
      <w:r w:rsidRPr="1B80724B">
        <w:rPr>
          <w:rFonts w:ascii="Cambria" w:hAnsi="Cambria"/>
          <w:color w:val="000000" w:themeColor="text1"/>
          <w:sz w:val="20"/>
          <w:szCs w:val="20"/>
          <w:lang w:val="pt-BR"/>
        </w:rPr>
        <w:t xml:space="preserve">pelos crimes de desacato. Portanto, a CIDH conclui que, no que tange às alegadas violações do direito à liberdade de expressão e à liberdade pessoal, foram esgotados os recursos internos com a negativa do Habeas Corpus, atendendo-se ao requisito do art. 46.1.a) da Convenção. </w:t>
      </w:r>
    </w:p>
    <w:p w14:paraId="0E90B2C0" w14:textId="3E01C5EC" w:rsidR="005C04F3" w:rsidRPr="00187F52" w:rsidRDefault="005A0D68"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sz w:val="20"/>
          <w:szCs w:val="20"/>
          <w:lang w:val="pt-BR"/>
        </w:rPr>
      </w:pPr>
      <w:r>
        <w:rPr>
          <w:rFonts w:ascii="Cambria" w:hAnsi="Cambria"/>
          <w:sz w:val="20"/>
          <w:szCs w:val="20"/>
          <w:lang w:val="pt-BR"/>
        </w:rPr>
        <w:t>Além disso, n</w:t>
      </w:r>
      <w:r w:rsidR="005C04F3" w:rsidRPr="00187F52">
        <w:rPr>
          <w:rFonts w:ascii="Cambria" w:hAnsi="Cambria"/>
          <w:sz w:val="20"/>
          <w:szCs w:val="20"/>
          <w:lang w:val="pt-BR"/>
        </w:rPr>
        <w:t>o presente caso, os peticionários foram notificados da denegação da ordem de Habeas Corpus, decisão de última instancia, em 20 de agosto de 2018, seis meses antes da apresentação da petição de denúncia perante a Comissão Interamericana de Direitos Humanos, em 20 de fevereiro de 2019</w:t>
      </w:r>
      <w:r w:rsidR="00AD6413">
        <w:rPr>
          <w:rFonts w:ascii="Cambria" w:hAnsi="Cambria"/>
          <w:sz w:val="20"/>
          <w:szCs w:val="20"/>
          <w:lang w:val="pt-BR"/>
        </w:rPr>
        <w:t xml:space="preserve">. Portanto, </w:t>
      </w:r>
      <w:r>
        <w:rPr>
          <w:rFonts w:ascii="Cambria" w:hAnsi="Cambria"/>
          <w:sz w:val="20"/>
          <w:szCs w:val="20"/>
          <w:lang w:val="pt-BR"/>
        </w:rPr>
        <w:t>a</w:t>
      </w:r>
      <w:r w:rsidR="005C04F3" w:rsidRPr="00187F52">
        <w:rPr>
          <w:rFonts w:ascii="Cambria" w:hAnsi="Cambria"/>
          <w:sz w:val="20"/>
          <w:szCs w:val="20"/>
          <w:lang w:val="pt-BR"/>
        </w:rPr>
        <w:t xml:space="preserve"> Comissão </w:t>
      </w:r>
      <w:r w:rsidR="00EE3F35">
        <w:rPr>
          <w:rFonts w:ascii="Cambria" w:hAnsi="Cambria"/>
          <w:sz w:val="20"/>
          <w:szCs w:val="20"/>
          <w:lang w:val="pt-BR"/>
        </w:rPr>
        <w:t>conclui</w:t>
      </w:r>
      <w:r w:rsidR="00EE3F35" w:rsidRPr="00187F52">
        <w:rPr>
          <w:rFonts w:ascii="Cambria" w:hAnsi="Cambria"/>
          <w:sz w:val="20"/>
          <w:szCs w:val="20"/>
          <w:lang w:val="pt-BR"/>
        </w:rPr>
        <w:t xml:space="preserve"> </w:t>
      </w:r>
      <w:r w:rsidR="005C04F3" w:rsidRPr="00187F52">
        <w:rPr>
          <w:rFonts w:ascii="Cambria" w:hAnsi="Cambria"/>
          <w:sz w:val="20"/>
          <w:szCs w:val="20"/>
          <w:lang w:val="pt-BR"/>
        </w:rPr>
        <w:t xml:space="preserve">que a petição </w:t>
      </w:r>
      <w:r>
        <w:rPr>
          <w:rFonts w:ascii="Cambria" w:hAnsi="Cambria"/>
          <w:sz w:val="20"/>
          <w:szCs w:val="20"/>
          <w:lang w:val="pt-BR"/>
        </w:rPr>
        <w:t xml:space="preserve">foi apresentada </w:t>
      </w:r>
      <w:r w:rsidR="005C04F3" w:rsidRPr="00187F52">
        <w:rPr>
          <w:rFonts w:ascii="Cambria" w:hAnsi="Cambria"/>
          <w:sz w:val="20"/>
          <w:szCs w:val="20"/>
          <w:lang w:val="pt-BR"/>
        </w:rPr>
        <w:t>em conformidade com o artigo 46(1)(b) da Convenção.</w:t>
      </w:r>
    </w:p>
    <w:p w14:paraId="6026374E" w14:textId="77777777" w:rsidR="005C04F3" w:rsidRPr="00187F52" w:rsidRDefault="005C04F3" w:rsidP="005C0235">
      <w:pPr>
        <w:spacing w:after="240"/>
        <w:ind w:firstLine="720"/>
        <w:jc w:val="both"/>
        <w:rPr>
          <w:rFonts w:ascii="Cambria" w:hAnsi="Cambria"/>
          <w:i/>
          <w:iCs/>
          <w:color w:val="000000" w:themeColor="text1"/>
          <w:sz w:val="20"/>
          <w:szCs w:val="20"/>
          <w:lang w:val="pt-BR"/>
        </w:rPr>
      </w:pPr>
      <w:r w:rsidRPr="00187F52">
        <w:rPr>
          <w:rFonts w:ascii="Cambria" w:hAnsi="Cambria"/>
          <w:i/>
          <w:iCs/>
          <w:color w:val="000000" w:themeColor="text1"/>
          <w:sz w:val="20"/>
          <w:szCs w:val="20"/>
          <w:lang w:val="pt-BR"/>
        </w:rPr>
        <w:t>Esgotamento de recursos em relação às demais violações alegadas</w:t>
      </w:r>
    </w:p>
    <w:p w14:paraId="35249715" w14:textId="1D454070"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lang w:val="pt-BR"/>
        </w:rPr>
      </w:pPr>
      <w:r w:rsidRPr="00187F52">
        <w:rPr>
          <w:rFonts w:ascii="Cambria" w:hAnsi="Cambria"/>
          <w:sz w:val="20"/>
          <w:szCs w:val="20"/>
          <w:lang w:val="pt-BR"/>
        </w:rPr>
        <w:t xml:space="preserve">Em relação </w:t>
      </w:r>
      <w:r w:rsidR="005947DF" w:rsidRPr="00187F52">
        <w:rPr>
          <w:rFonts w:ascii="Cambria" w:hAnsi="Cambria"/>
          <w:sz w:val="20"/>
          <w:szCs w:val="20"/>
          <w:lang w:val="pt-BR"/>
        </w:rPr>
        <w:t xml:space="preserve">às violações decorrentes de </w:t>
      </w:r>
      <w:r w:rsidR="00912EC5" w:rsidRPr="00187F52">
        <w:rPr>
          <w:rFonts w:ascii="Cambria" w:hAnsi="Cambria"/>
          <w:sz w:val="20"/>
          <w:szCs w:val="20"/>
          <w:lang w:val="pt-BR"/>
        </w:rPr>
        <w:t>alegados atos de violência de agentes policiais</w:t>
      </w:r>
      <w:r w:rsidRPr="00187F52">
        <w:rPr>
          <w:rFonts w:ascii="Cambria" w:hAnsi="Cambria"/>
          <w:sz w:val="20"/>
          <w:szCs w:val="20"/>
          <w:lang w:val="pt-BR"/>
        </w:rPr>
        <w:t xml:space="preserve">, o Estado sustenta que os recursos internos disponíveis não foram esgotados, uma vez que não foi apresentada uma ação de indenização para </w:t>
      </w:r>
      <w:r w:rsidRPr="00187F52">
        <w:rPr>
          <w:rFonts w:ascii="Cambria" w:hAnsi="Cambria"/>
          <w:color w:val="000000" w:themeColor="text1"/>
          <w:sz w:val="20"/>
          <w:szCs w:val="20"/>
          <w:lang w:val="pt-BR"/>
        </w:rPr>
        <w:t xml:space="preserve">compensar financeiramente a suposta vítima. A Comissão passará a apreciar esta alegação. </w:t>
      </w:r>
    </w:p>
    <w:p w14:paraId="57C4E21C"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87F52">
        <w:rPr>
          <w:rFonts w:ascii="Cambria" w:hAnsi="Cambria"/>
          <w:color w:val="000000" w:themeColor="text1"/>
          <w:sz w:val="20"/>
          <w:szCs w:val="20"/>
          <w:lang w:val="pt-BR"/>
        </w:rPr>
        <w:t xml:space="preserve">A CIDH recorda que, na hipótese de alegar a falta de esgotamento dos recursos internos, o Estado tem o dever de indicar os recursos não esgotados e demonstrar sua adequação. </w:t>
      </w:r>
      <w:r w:rsidRPr="00187F52">
        <w:rPr>
          <w:rFonts w:ascii="Cambria" w:hAnsi="Cambria"/>
          <w:sz w:val="20"/>
          <w:szCs w:val="20"/>
          <w:lang w:val="pt-BR"/>
        </w:rPr>
        <w:t xml:space="preserve"> Ademais, os recursos internos que exigem prévio esgotamento devem ser suficientemente seguros do ponto de vista formal e </w:t>
      </w:r>
      <w:r w:rsidRPr="00187F52">
        <w:rPr>
          <w:rFonts w:ascii="Cambria" w:hAnsi="Cambria"/>
          <w:sz w:val="20"/>
          <w:szCs w:val="20"/>
          <w:lang w:val="pt-BR"/>
        </w:rPr>
        <w:lastRenderedPageBreak/>
        <w:t>satisfatórios à reparação, da perspectiva material.  A efetividade de um recurso deve ser entendida com relação à sua possibilidade para determinar a existência de violações de direitos fundamentais, de reparar o dano causado e permitir a punição dos responsáveis</w:t>
      </w:r>
      <w:r w:rsidRPr="00187F52">
        <w:rPr>
          <w:rFonts w:ascii="Cambria" w:hAnsi="Cambria"/>
          <w:sz w:val="20"/>
          <w:szCs w:val="20"/>
          <w:vertAlign w:val="superscript"/>
          <w:lang w:val="pt-BR"/>
        </w:rPr>
        <w:footnoteReference w:id="4"/>
      </w:r>
      <w:r w:rsidRPr="00187F52">
        <w:rPr>
          <w:rFonts w:ascii="Cambria" w:hAnsi="Cambria"/>
          <w:sz w:val="20"/>
          <w:szCs w:val="20"/>
          <w:lang w:val="pt-BR"/>
        </w:rPr>
        <w:t>.</w:t>
      </w:r>
    </w:p>
    <w:p w14:paraId="37233213" w14:textId="2C30FDB7" w:rsidR="005C04F3" w:rsidRPr="00187F52" w:rsidRDefault="005C04F3" w:rsidP="005C04F3">
      <w:pPr>
        <w:pStyle w:val="ListParagraph"/>
        <w:numPr>
          <w:ilvl w:val="0"/>
          <w:numId w:val="55"/>
        </w:numPr>
        <w:spacing w:after="240"/>
        <w:jc w:val="both"/>
        <w:rPr>
          <w:color w:val="000000" w:themeColor="text1"/>
          <w:lang w:val="pt-BR"/>
        </w:rPr>
      </w:pPr>
      <w:r w:rsidRPr="00187F52">
        <w:rPr>
          <w:sz w:val="20"/>
          <w:szCs w:val="20"/>
          <w:lang w:val="pt-BR"/>
        </w:rPr>
        <w:t>Em casos</w:t>
      </w:r>
      <w:r w:rsidR="2238A4B6" w:rsidRPr="00187F52">
        <w:rPr>
          <w:sz w:val="20"/>
          <w:szCs w:val="20"/>
          <w:lang w:val="pt-BR"/>
        </w:rPr>
        <w:t xml:space="preserve"> </w:t>
      </w:r>
      <w:r w:rsidRPr="00187F52">
        <w:rPr>
          <w:sz w:val="20"/>
          <w:szCs w:val="20"/>
          <w:lang w:val="pt-BR"/>
        </w:rPr>
        <w:t>como no presente,o fato de a suposta vítima ter ou não recorrido à jurisdição cível em busca de indenização pecuniária não é determinante para a análise do esgotamento dos recursos internos</w:t>
      </w:r>
      <w:r w:rsidRPr="00187F52">
        <w:rPr>
          <w:sz w:val="20"/>
          <w:szCs w:val="20"/>
          <w:vertAlign w:val="superscript"/>
          <w:lang w:val="pt-BR"/>
        </w:rPr>
        <w:footnoteReference w:id="5"/>
      </w:r>
      <w:r w:rsidRPr="00187F52">
        <w:rPr>
          <w:sz w:val="20"/>
          <w:szCs w:val="20"/>
          <w:vertAlign w:val="superscript"/>
          <w:lang w:val="pt-BR"/>
        </w:rPr>
        <w:t>.</w:t>
      </w:r>
      <w:r w:rsidRPr="00187F52">
        <w:rPr>
          <w:sz w:val="20"/>
          <w:szCs w:val="20"/>
          <w:lang w:val="pt-BR"/>
        </w:rPr>
        <w:t xml:space="preserve"> A Comissão expressa que, embora uma ação de responsabilidade civil possa reparar financeiramente a suposta vítima, não seria adequada o suficiente para corrigir integralmente as supostas violações alegadas</w:t>
      </w:r>
      <w:r w:rsidRPr="00187F52">
        <w:rPr>
          <w:sz w:val="20"/>
          <w:szCs w:val="20"/>
          <w:vertAlign w:val="superscript"/>
          <w:lang w:val="pt-BR"/>
        </w:rPr>
        <w:footnoteReference w:id="6"/>
      </w:r>
      <w:r w:rsidRPr="00187F52">
        <w:rPr>
          <w:sz w:val="20"/>
          <w:szCs w:val="20"/>
          <w:lang w:val="pt-BR"/>
        </w:rPr>
        <w:t xml:space="preserve">. </w:t>
      </w:r>
    </w:p>
    <w:p w14:paraId="5C44DDF0" w14:textId="77777777" w:rsidR="005C04F3" w:rsidRPr="00187F52" w:rsidRDefault="005C04F3" w:rsidP="005C04F3">
      <w:pPr>
        <w:pStyle w:val="ListParagraph"/>
        <w:numPr>
          <w:ilvl w:val="0"/>
          <w:numId w:val="55"/>
        </w:numPr>
        <w:spacing w:after="240"/>
        <w:jc w:val="both"/>
        <w:rPr>
          <w:color w:val="000000" w:themeColor="text1"/>
          <w:lang w:val="pt-BR"/>
        </w:rPr>
      </w:pPr>
      <w:r w:rsidRPr="00187F52">
        <w:rPr>
          <w:sz w:val="20"/>
          <w:szCs w:val="20"/>
          <w:lang w:val="pt-BR"/>
        </w:rPr>
        <w:t>Assim, conclui-se que o Estado não conseguiu demonstrar que os recursos não esgotados são "adequados" para remediar a alegada violação, ou seja, que a função desses recursos dentro do sistema legal interno seja adequada para proteger a situação jurídica violada. Dessa forma, não se desincumbiu do ônus que lhe cabia ao alegar o não esgotamento dos recursos internos.</w:t>
      </w:r>
    </w:p>
    <w:p w14:paraId="590334A0" w14:textId="029878CA" w:rsidR="005C04F3" w:rsidRPr="00187F52" w:rsidRDefault="005C04F3" w:rsidP="005C04F3">
      <w:pPr>
        <w:pStyle w:val="ListParagraph"/>
        <w:numPr>
          <w:ilvl w:val="0"/>
          <w:numId w:val="55"/>
        </w:numPr>
        <w:spacing w:after="240"/>
        <w:jc w:val="both"/>
        <w:rPr>
          <w:color w:val="000000" w:themeColor="text1"/>
          <w:lang w:val="pt-BR"/>
        </w:rPr>
      </w:pPr>
      <w:r w:rsidRPr="1B80724B">
        <w:rPr>
          <w:sz w:val="20"/>
          <w:szCs w:val="20"/>
          <w:lang w:val="pt-BR"/>
        </w:rPr>
        <w:t xml:space="preserve">Não obstante, em cumprimento ao artigo 31.3 do Regulamento, a Comissão verificará a informação presente no expediente sobre a falta de esgotamento de recursos </w:t>
      </w:r>
      <w:r w:rsidR="000043D8" w:rsidRPr="1B80724B">
        <w:rPr>
          <w:sz w:val="20"/>
          <w:szCs w:val="20"/>
          <w:lang w:val="pt-BR"/>
        </w:rPr>
        <w:t xml:space="preserve">quanto  </w:t>
      </w:r>
      <w:r w:rsidR="00B23368" w:rsidRPr="1B80724B">
        <w:rPr>
          <w:sz w:val="20"/>
          <w:szCs w:val="20"/>
          <w:lang w:val="pt-BR"/>
        </w:rPr>
        <w:t>à</w:t>
      </w:r>
      <w:r w:rsidR="003A5E64" w:rsidRPr="1B80724B">
        <w:rPr>
          <w:sz w:val="20"/>
          <w:szCs w:val="20"/>
          <w:lang w:val="pt-BR"/>
        </w:rPr>
        <w:t xml:space="preserve">s </w:t>
      </w:r>
      <w:r w:rsidRPr="1B80724B">
        <w:rPr>
          <w:sz w:val="20"/>
          <w:szCs w:val="20"/>
          <w:lang w:val="pt-BR"/>
        </w:rPr>
        <w:t xml:space="preserve">ações tomadas por agentes policiais durante o patrulhamento de 1 de agosto de 2013 e no período em que a </w:t>
      </w:r>
      <w:r w:rsidR="7FE30239" w:rsidRPr="1B80724B">
        <w:rPr>
          <w:sz w:val="20"/>
          <w:szCs w:val="20"/>
          <w:lang w:val="pt-BR"/>
        </w:rPr>
        <w:t>suposta vítima</w:t>
      </w:r>
      <w:r w:rsidRPr="1B80724B">
        <w:rPr>
          <w:sz w:val="20"/>
          <w:szCs w:val="20"/>
          <w:lang w:val="pt-BR"/>
        </w:rPr>
        <w:t xml:space="preserve"> ficou detida. </w:t>
      </w:r>
    </w:p>
    <w:p w14:paraId="28C52F27" w14:textId="578F0856" w:rsidR="009B0F0C"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87F52">
        <w:rPr>
          <w:rFonts w:ascii="Cambria" w:hAnsi="Cambria"/>
          <w:sz w:val="20"/>
          <w:szCs w:val="20"/>
          <w:lang w:val="pt-BR"/>
        </w:rPr>
        <w:t>Em situações que incluem crimes contra a integridade, os recursos internos que devem ser considerados para efeitos de admissibilidade das petições são aqueles relacionados à investigação penal e punição dos responsáveis</w:t>
      </w:r>
      <w:r w:rsidRPr="00187F52">
        <w:rPr>
          <w:rFonts w:ascii="Cambria" w:hAnsi="Cambria"/>
          <w:sz w:val="20"/>
          <w:szCs w:val="20"/>
          <w:vertAlign w:val="superscript"/>
          <w:lang w:val="pt-BR"/>
        </w:rPr>
        <w:footnoteReference w:id="7"/>
      </w:r>
      <w:r w:rsidRPr="00187F52">
        <w:rPr>
          <w:rFonts w:ascii="Cambria" w:hAnsi="Cambria"/>
          <w:sz w:val="20"/>
          <w:szCs w:val="20"/>
          <w:lang w:val="pt-BR"/>
        </w:rPr>
        <w:t xml:space="preserve">. </w:t>
      </w:r>
      <w:r w:rsidR="009B0F0C" w:rsidRPr="00187F52">
        <w:rPr>
          <w:rFonts w:ascii="Cambria" w:hAnsi="Cambria"/>
          <w:sz w:val="20"/>
          <w:szCs w:val="20"/>
          <w:lang w:val="pt-BR"/>
        </w:rPr>
        <w:t xml:space="preserve">A CIDH observa que, no presente caso, a </w:t>
      </w:r>
      <w:r w:rsidR="00CE50BD" w:rsidRPr="00187F52">
        <w:rPr>
          <w:rFonts w:ascii="Cambria" w:hAnsi="Cambria"/>
          <w:sz w:val="20"/>
          <w:szCs w:val="20"/>
          <w:lang w:val="pt-BR"/>
        </w:rPr>
        <w:t>suposta</w:t>
      </w:r>
      <w:r w:rsidR="009B0F0C" w:rsidRPr="00187F52">
        <w:rPr>
          <w:rFonts w:ascii="Cambria" w:hAnsi="Cambria"/>
          <w:sz w:val="20"/>
          <w:szCs w:val="20"/>
          <w:lang w:val="pt-BR"/>
        </w:rPr>
        <w:t xml:space="preserve"> vítima alega a ocorrência de atos de violência por parte de agentes do Estado entre </w:t>
      </w:r>
      <w:r w:rsidR="00327CB0" w:rsidRPr="00187F52">
        <w:rPr>
          <w:rFonts w:ascii="Cambria" w:hAnsi="Cambria"/>
          <w:sz w:val="20"/>
          <w:szCs w:val="20"/>
          <w:lang w:val="pt-BR"/>
        </w:rPr>
        <w:t xml:space="preserve">1 e 2 de agosto de 2023, que teriam afetado sua integridade pessoal. Estes atos violentos teriam incluído danos à sua propriedade, os quais poderiam ter sido qualificados como delitos. </w:t>
      </w:r>
    </w:p>
    <w:p w14:paraId="6B06C24D" w14:textId="2CBDA2E6"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1B80724B">
        <w:rPr>
          <w:rFonts w:ascii="Cambria" w:hAnsi="Cambria"/>
          <w:sz w:val="20"/>
          <w:szCs w:val="20"/>
          <w:lang w:val="pt-BR"/>
        </w:rPr>
        <w:t>Nesse sentido, desde 01 de agosto de 2013, o Estado tinha</w:t>
      </w:r>
      <w:r w:rsidR="00094AEA" w:rsidRPr="1B80724B">
        <w:rPr>
          <w:rFonts w:ascii="Cambria" w:hAnsi="Cambria"/>
          <w:sz w:val="20"/>
          <w:szCs w:val="20"/>
          <w:lang w:val="pt-BR"/>
        </w:rPr>
        <w:t xml:space="preserve"> conhecimento de que </w:t>
      </w:r>
      <w:r w:rsidR="0088322E" w:rsidRPr="1B80724B">
        <w:rPr>
          <w:rFonts w:ascii="Cambria" w:hAnsi="Cambria"/>
          <w:sz w:val="20"/>
          <w:szCs w:val="20"/>
          <w:lang w:val="pt-BR"/>
        </w:rPr>
        <w:t>os agentes públicos tiveram de usar a força contra o sr. Trevian Ferney.</w:t>
      </w:r>
      <w:r w:rsidR="00CA367F" w:rsidRPr="1B80724B">
        <w:rPr>
          <w:rFonts w:ascii="Cambria" w:hAnsi="Cambria"/>
          <w:sz w:val="20"/>
          <w:szCs w:val="20"/>
          <w:lang w:val="pt-BR"/>
        </w:rPr>
        <w:t xml:space="preserve"> A detenção foi produzida por próprios agentes do Estado e a suposta vítima foi levada a uma delegacia. </w:t>
      </w:r>
      <w:r w:rsidR="0088322E" w:rsidRPr="1B80724B">
        <w:rPr>
          <w:rFonts w:ascii="Cambria" w:hAnsi="Cambria"/>
          <w:sz w:val="20"/>
          <w:szCs w:val="20"/>
          <w:lang w:val="pt-BR"/>
        </w:rPr>
        <w:t xml:space="preserve"> No termo circunstanciado, </w:t>
      </w:r>
      <w:r w:rsidR="004F49AF" w:rsidRPr="1B80724B">
        <w:rPr>
          <w:rFonts w:ascii="Cambria" w:hAnsi="Cambria"/>
          <w:sz w:val="20"/>
          <w:szCs w:val="20"/>
          <w:lang w:val="pt-BR"/>
        </w:rPr>
        <w:t xml:space="preserve">firmado na 12 Delegacia de Polícia, ainda que a suposta vítima tenha se mantido em silêncio durante seu depoimento, </w:t>
      </w:r>
      <w:r w:rsidR="00F91A0E" w:rsidRPr="1B80724B">
        <w:rPr>
          <w:rFonts w:ascii="Cambria" w:hAnsi="Cambria"/>
          <w:sz w:val="20"/>
          <w:szCs w:val="20"/>
          <w:lang w:val="pt-BR"/>
        </w:rPr>
        <w:t>dois agentes</w:t>
      </w:r>
      <w:r w:rsidR="004F49AF" w:rsidRPr="1B80724B">
        <w:rPr>
          <w:rFonts w:ascii="Cambria" w:hAnsi="Cambria"/>
          <w:sz w:val="20"/>
          <w:szCs w:val="20"/>
          <w:lang w:val="pt-BR"/>
        </w:rPr>
        <w:t xml:space="preserve"> policiais </w:t>
      </w:r>
      <w:r w:rsidR="00F91A0E" w:rsidRPr="1B80724B">
        <w:rPr>
          <w:rFonts w:ascii="Cambria" w:hAnsi="Cambria"/>
          <w:sz w:val="20"/>
          <w:szCs w:val="20"/>
          <w:lang w:val="pt-BR"/>
        </w:rPr>
        <w:t xml:space="preserve">declarantes </w:t>
      </w:r>
      <w:r w:rsidR="004F49AF" w:rsidRPr="1B80724B">
        <w:rPr>
          <w:rFonts w:ascii="Cambria" w:hAnsi="Cambria"/>
          <w:sz w:val="20"/>
          <w:szCs w:val="20"/>
          <w:lang w:val="pt-BR"/>
        </w:rPr>
        <w:t xml:space="preserve">ressaltaram que tiveram de </w:t>
      </w:r>
      <w:r w:rsidR="00F91A0E" w:rsidRPr="1B80724B">
        <w:rPr>
          <w:rFonts w:ascii="Cambria" w:hAnsi="Cambria"/>
          <w:sz w:val="20"/>
          <w:szCs w:val="20"/>
          <w:lang w:val="pt-BR"/>
        </w:rPr>
        <w:t>“unir forças” contra a suposta vítima</w:t>
      </w:r>
      <w:r w:rsidR="00F22056" w:rsidRPr="1B80724B">
        <w:rPr>
          <w:rFonts w:ascii="Cambria" w:hAnsi="Cambria"/>
          <w:sz w:val="20"/>
          <w:szCs w:val="20"/>
          <w:lang w:val="pt-BR"/>
        </w:rPr>
        <w:t xml:space="preserve"> e “despender forças para detê-lo”</w:t>
      </w:r>
      <w:r w:rsidR="000E1D1E" w:rsidRPr="1B80724B">
        <w:rPr>
          <w:rFonts w:ascii="Cambria" w:hAnsi="Cambria"/>
          <w:sz w:val="20"/>
          <w:szCs w:val="20"/>
          <w:lang w:val="pt-BR"/>
        </w:rPr>
        <w:t xml:space="preserve">. Ambos os agentes também afirmaram que “o autor do fato </w:t>
      </w:r>
      <w:r w:rsidR="003B0CC8" w:rsidRPr="1B80724B">
        <w:rPr>
          <w:rFonts w:ascii="Cambria" w:hAnsi="Cambria"/>
          <w:sz w:val="20"/>
          <w:szCs w:val="20"/>
          <w:lang w:val="pt-BR"/>
        </w:rPr>
        <w:t>passou</w:t>
      </w:r>
      <w:r w:rsidR="000E1D1E" w:rsidRPr="1B80724B">
        <w:rPr>
          <w:rFonts w:ascii="Cambria" w:hAnsi="Cambria"/>
          <w:sz w:val="20"/>
          <w:szCs w:val="20"/>
          <w:lang w:val="pt-BR"/>
        </w:rPr>
        <w:t xml:space="preserve"> mal e teve de ser conduzido a UPA”(um </w:t>
      </w:r>
      <w:r w:rsidR="2BAE0D96" w:rsidRPr="1B80724B">
        <w:rPr>
          <w:rFonts w:ascii="Cambria" w:hAnsi="Cambria"/>
          <w:sz w:val="20"/>
          <w:szCs w:val="20"/>
          <w:lang w:val="pt-BR"/>
        </w:rPr>
        <w:t>estabelecimento público</w:t>
      </w:r>
      <w:r w:rsidR="000E1D1E" w:rsidRPr="1B80724B">
        <w:rPr>
          <w:rFonts w:ascii="Cambria" w:hAnsi="Cambria"/>
          <w:sz w:val="20"/>
          <w:szCs w:val="20"/>
          <w:lang w:val="pt-BR"/>
        </w:rPr>
        <w:t xml:space="preserve"> de atendimento de saúde no Brasil). </w:t>
      </w:r>
      <w:r w:rsidR="00217A48" w:rsidRPr="1B80724B">
        <w:rPr>
          <w:rFonts w:ascii="Cambria" w:hAnsi="Cambria"/>
          <w:sz w:val="20"/>
          <w:szCs w:val="20"/>
          <w:lang w:val="pt-BR"/>
        </w:rPr>
        <w:t xml:space="preserve">Ambos os policiais também afirmaram que </w:t>
      </w:r>
      <w:r w:rsidR="00DC6321" w:rsidRPr="1B80724B">
        <w:rPr>
          <w:rFonts w:ascii="Cambria" w:hAnsi="Cambria"/>
          <w:sz w:val="20"/>
          <w:szCs w:val="20"/>
          <w:lang w:val="pt-BR"/>
        </w:rPr>
        <w:t xml:space="preserve">não sabiam do paradeiro de pertences da suposta vítima, que teriam sido “subtraídos”. </w:t>
      </w:r>
      <w:r w:rsidR="003B0CC8" w:rsidRPr="1B80724B">
        <w:rPr>
          <w:rFonts w:ascii="Cambria" w:hAnsi="Cambria"/>
          <w:sz w:val="20"/>
          <w:szCs w:val="20"/>
          <w:lang w:val="pt-BR"/>
        </w:rPr>
        <w:t xml:space="preserve">Além disso, na peça de denúncia que a Promotoria apresentou contra </w:t>
      </w:r>
      <w:r w:rsidR="002D43C6" w:rsidRPr="1B80724B">
        <w:rPr>
          <w:rFonts w:ascii="Cambria" w:hAnsi="Cambria"/>
          <w:sz w:val="20"/>
          <w:szCs w:val="20"/>
          <w:lang w:val="pt-BR"/>
        </w:rPr>
        <w:t xml:space="preserve">o sr. </w:t>
      </w:r>
      <w:r w:rsidR="003B0CC8" w:rsidRPr="1B80724B">
        <w:rPr>
          <w:rFonts w:ascii="Cambria" w:hAnsi="Cambria"/>
          <w:sz w:val="20"/>
          <w:szCs w:val="20"/>
          <w:lang w:val="pt-BR"/>
        </w:rPr>
        <w:t xml:space="preserve">Trevian Ferney pelos delitos de desacato e resistência, </w:t>
      </w:r>
      <w:r w:rsidR="002D43C6" w:rsidRPr="1B80724B">
        <w:rPr>
          <w:rFonts w:ascii="Cambria" w:hAnsi="Cambria"/>
          <w:sz w:val="20"/>
          <w:szCs w:val="20"/>
          <w:lang w:val="pt-BR"/>
        </w:rPr>
        <w:t xml:space="preserve">está claro – porque mencionado no documento – que a promotoria também </w:t>
      </w:r>
      <w:r w:rsidR="0070304C" w:rsidRPr="1B80724B">
        <w:rPr>
          <w:rFonts w:ascii="Cambria" w:hAnsi="Cambria"/>
          <w:sz w:val="20"/>
          <w:szCs w:val="20"/>
          <w:lang w:val="pt-BR"/>
        </w:rPr>
        <w:t>conheceu</w:t>
      </w:r>
      <w:r w:rsidR="002D43C6" w:rsidRPr="1B80724B">
        <w:rPr>
          <w:rFonts w:ascii="Cambria" w:hAnsi="Cambria"/>
          <w:sz w:val="20"/>
          <w:szCs w:val="20"/>
          <w:lang w:val="pt-BR"/>
        </w:rPr>
        <w:t xml:space="preserve"> que policiais tiveram de usar força contra o sr. Trevian Ferney e que a suposta vítima passou mal e necessitou de atendimento médico. </w:t>
      </w:r>
      <w:r w:rsidR="00CA367F" w:rsidRPr="1B80724B">
        <w:rPr>
          <w:rFonts w:ascii="Cambria" w:hAnsi="Cambria"/>
          <w:sz w:val="20"/>
          <w:szCs w:val="20"/>
          <w:lang w:val="pt-BR"/>
        </w:rPr>
        <w:t>Portanto, o Estado tinha</w:t>
      </w:r>
      <w:r w:rsidRPr="1B80724B">
        <w:rPr>
          <w:rFonts w:ascii="Cambria" w:hAnsi="Cambria"/>
          <w:sz w:val="20"/>
          <w:szCs w:val="20"/>
          <w:lang w:val="pt-BR"/>
        </w:rPr>
        <w:t xml:space="preserve"> pleno conhecimento d</w:t>
      </w:r>
      <w:r w:rsidR="00CA367F" w:rsidRPr="1B80724B">
        <w:rPr>
          <w:rFonts w:ascii="Cambria" w:hAnsi="Cambria"/>
          <w:sz w:val="20"/>
          <w:szCs w:val="20"/>
          <w:lang w:val="pt-BR"/>
        </w:rPr>
        <w:t xml:space="preserve">os fatos que baseiam as atribuições de violações de direitos </w:t>
      </w:r>
      <w:r w:rsidR="70A0BDE0" w:rsidRPr="1B80724B">
        <w:rPr>
          <w:rFonts w:ascii="Cambria" w:hAnsi="Cambria"/>
          <w:sz w:val="20"/>
          <w:szCs w:val="20"/>
          <w:lang w:val="pt-BR"/>
        </w:rPr>
        <w:t>humanos do</w:t>
      </w:r>
      <w:r w:rsidR="00CD5898" w:rsidRPr="1B80724B">
        <w:rPr>
          <w:rFonts w:ascii="Cambria" w:hAnsi="Cambria"/>
          <w:sz w:val="20"/>
          <w:szCs w:val="20"/>
          <w:lang w:val="pt-BR"/>
        </w:rPr>
        <w:t xml:space="preserve"> </w:t>
      </w:r>
      <w:r w:rsidR="6C362801" w:rsidRPr="1B80724B">
        <w:rPr>
          <w:rFonts w:ascii="Cambria" w:hAnsi="Cambria"/>
          <w:sz w:val="20"/>
          <w:szCs w:val="20"/>
          <w:lang w:val="pt-BR"/>
        </w:rPr>
        <w:t>presente</w:t>
      </w:r>
      <w:r w:rsidR="00CD5898" w:rsidRPr="1B80724B">
        <w:rPr>
          <w:rFonts w:ascii="Cambria" w:hAnsi="Cambria"/>
          <w:sz w:val="20"/>
          <w:szCs w:val="20"/>
          <w:lang w:val="pt-BR"/>
        </w:rPr>
        <w:t xml:space="preserve"> caso</w:t>
      </w:r>
      <w:r w:rsidRPr="1B80724B">
        <w:rPr>
          <w:rFonts w:ascii="Cambria" w:hAnsi="Cambria"/>
          <w:sz w:val="20"/>
          <w:szCs w:val="20"/>
          <w:lang w:val="pt-BR"/>
        </w:rPr>
        <w:t xml:space="preserve">. </w:t>
      </w:r>
    </w:p>
    <w:p w14:paraId="696D09A8" w14:textId="69796EC0" w:rsidR="00850D8F" w:rsidRPr="00187F52" w:rsidRDefault="00850D8F" w:rsidP="00CA36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87F52">
        <w:rPr>
          <w:rFonts w:ascii="Cambria" w:hAnsi="Cambria"/>
          <w:sz w:val="20"/>
          <w:szCs w:val="20"/>
          <w:lang w:val="pt-BR"/>
        </w:rPr>
        <w:t xml:space="preserve">Apesar disso, passados </w:t>
      </w:r>
      <w:r w:rsidR="002A0318" w:rsidRPr="00187F52">
        <w:rPr>
          <w:rFonts w:ascii="Cambria" w:hAnsi="Cambria"/>
          <w:sz w:val="20"/>
          <w:szCs w:val="20"/>
          <w:lang w:val="pt-BR"/>
        </w:rPr>
        <w:t>mais de onze</w:t>
      </w:r>
      <w:r w:rsidRPr="00187F52">
        <w:rPr>
          <w:rFonts w:ascii="Cambria" w:hAnsi="Cambria"/>
          <w:sz w:val="20"/>
          <w:szCs w:val="20"/>
          <w:lang w:val="pt-BR"/>
        </w:rPr>
        <w:t xml:space="preserve"> anos desde a data dos referidos acontecimentos, o Estado não apresentou informações que permitam comprovar que </w:t>
      </w:r>
      <w:r w:rsidR="002A0318" w:rsidRPr="00187F52">
        <w:rPr>
          <w:rFonts w:ascii="Cambria" w:hAnsi="Cambria"/>
          <w:sz w:val="20"/>
          <w:szCs w:val="20"/>
          <w:lang w:val="pt-BR"/>
        </w:rPr>
        <w:t>adotou ações investigativas</w:t>
      </w:r>
      <w:r w:rsidRPr="00187F52">
        <w:rPr>
          <w:rFonts w:ascii="Cambria" w:hAnsi="Cambria"/>
          <w:sz w:val="20"/>
          <w:szCs w:val="20"/>
          <w:lang w:val="pt-BR"/>
        </w:rPr>
        <w:t xml:space="preserve"> para esclarecer o ocorrido. Por isso, a CIDH conclui, como fez em outros casos</w:t>
      </w:r>
      <w:r w:rsidR="000F1AE0" w:rsidRPr="00187F52">
        <w:rPr>
          <w:rStyle w:val="FootnoteReference"/>
          <w:rFonts w:ascii="Cambria" w:hAnsi="Cambria"/>
          <w:sz w:val="20"/>
          <w:szCs w:val="20"/>
          <w:lang w:val="pt-BR"/>
        </w:rPr>
        <w:footnoteReference w:id="8"/>
      </w:r>
      <w:r w:rsidRPr="00187F52">
        <w:rPr>
          <w:rFonts w:ascii="Cambria" w:hAnsi="Cambria"/>
          <w:sz w:val="20"/>
          <w:szCs w:val="20"/>
          <w:lang w:val="pt-BR"/>
        </w:rPr>
        <w:t xml:space="preserve">, que aplica a exceção ao esgotamento dos recursos </w:t>
      </w:r>
      <w:r w:rsidRPr="00187F52">
        <w:rPr>
          <w:rFonts w:ascii="Cambria" w:hAnsi="Cambria"/>
          <w:sz w:val="20"/>
          <w:szCs w:val="20"/>
          <w:lang w:val="pt-BR"/>
        </w:rPr>
        <w:lastRenderedPageBreak/>
        <w:t>internos, conforme estabelecido no artigo 46.2.c) da Convenção. Além disso, a CIDH considera que os fatos alegados nesta parte da petição continuam vigentes devido à falta de investigação e que foram apresentados dentro de um prazo razoável nos termos do artigo 32.2 do Regulamento da CIDH.</w:t>
      </w:r>
    </w:p>
    <w:p w14:paraId="30D601C6" w14:textId="77777777" w:rsidR="005C04F3" w:rsidRPr="00187F52" w:rsidRDefault="005C04F3" w:rsidP="005C04F3">
      <w:pPr>
        <w:suppressAutoHyphens/>
        <w:spacing w:after="240"/>
        <w:ind w:left="720"/>
        <w:jc w:val="both"/>
        <w:rPr>
          <w:rFonts w:asciiTheme="majorHAnsi" w:hAnsiTheme="majorHAnsi"/>
          <w:b/>
          <w:bCs/>
          <w:sz w:val="20"/>
          <w:szCs w:val="20"/>
          <w:lang w:val="pt-BR"/>
        </w:rPr>
      </w:pPr>
      <w:r w:rsidRPr="00187F52">
        <w:rPr>
          <w:rFonts w:asciiTheme="majorHAnsi" w:hAnsiTheme="majorHAnsi"/>
          <w:b/>
          <w:bCs/>
          <w:sz w:val="20"/>
          <w:szCs w:val="20"/>
          <w:lang w:val="pt-BR"/>
        </w:rPr>
        <w:t>VII.</w:t>
      </w:r>
      <w:r w:rsidRPr="00187F52">
        <w:rPr>
          <w:lang w:val="pt-BR"/>
        </w:rPr>
        <w:tab/>
      </w:r>
      <w:r w:rsidRPr="00187F52">
        <w:rPr>
          <w:rFonts w:asciiTheme="majorHAnsi" w:hAnsiTheme="majorHAnsi"/>
          <w:b/>
          <w:bCs/>
          <w:sz w:val="20"/>
          <w:szCs w:val="20"/>
          <w:lang w:val="pt-BR"/>
        </w:rPr>
        <w:t>CARACTERIZAÇÃO DOS FATOS ALEGADOS</w:t>
      </w:r>
    </w:p>
    <w:p w14:paraId="1D0ECA0B" w14:textId="3E328BBC"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1B80724B">
        <w:rPr>
          <w:rFonts w:ascii="Cambria" w:hAnsi="Cambria"/>
          <w:sz w:val="20"/>
          <w:szCs w:val="20"/>
          <w:lang w:val="pt-BR"/>
        </w:rPr>
        <w:t>Em relação à análise de admissibilidade, a Comissão considera que não é apropriado, nesta etapa processual, decidir se ocorreram ou não violações à integridade, à liberdade de expressão e às garantias judiciais. Para fins de admissibilidade, a CIDH deve decidir, nesta etapa, apenas se são apresentados fatos que, se comprovados, caracterizariam violações à Convenção Americana, conforme estipulado no artigo 47. b), bem como se a petição é "manifestamente infundada" ou "obviamente fora de propósito", de acordo com o parágrafo c) do mesmo artigo.</w:t>
      </w:r>
    </w:p>
    <w:p w14:paraId="5B69DBEA" w14:textId="445FAA7D" w:rsidR="005C04F3" w:rsidRPr="00187F52" w:rsidRDefault="005C04F3" w:rsidP="1B80724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pt-BR"/>
        </w:rPr>
      </w:pPr>
      <w:r w:rsidRPr="1B80724B">
        <w:rPr>
          <w:rFonts w:ascii="Cambria" w:hAnsi="Cambria"/>
          <w:sz w:val="20"/>
          <w:szCs w:val="20"/>
          <w:lang w:val="pt-BR"/>
        </w:rPr>
        <w:t xml:space="preserve">Não obstante a prescrição de punibilidade na ação penal que tinha como réu o Sr. Ferney Aragon, observa-se que os fatos alegados poderiam caracterizar violações aos direitos à liberdade de pensamento e expressão, à liberdade pessoal, à proteção da honra e da dignidade, ao direito à propriedade privada e ao direito à igualde perante a lei. As reivindicações da suposta vítima no presente caso não eram dependentes da condenação penal por desacato. Do contrário, a petição foi apresentada antes da finalização do processo penal pela parte peticionária considerar que os elementos presentes até aquele momento poderiam, por si só, ser caracterizadas como violações de direitos humanos. A </w:t>
      </w:r>
      <w:r w:rsidR="1343FA76" w:rsidRPr="1B80724B">
        <w:rPr>
          <w:rFonts w:ascii="Cambria" w:hAnsi="Cambria"/>
          <w:sz w:val="20"/>
          <w:szCs w:val="20"/>
          <w:lang w:val="pt-BR"/>
        </w:rPr>
        <w:t>petição trata</w:t>
      </w:r>
      <w:r w:rsidRPr="1B80724B">
        <w:rPr>
          <w:rFonts w:ascii="Cambria" w:hAnsi="Cambria"/>
          <w:sz w:val="20"/>
          <w:szCs w:val="20"/>
          <w:lang w:val="pt-BR"/>
        </w:rPr>
        <w:t xml:space="preserve"> da abertura do processo penal , baseada no delito de desacato, como uma alegada violação; e elementos que vão além do processo, como alegação de maus tratos por agentes policiais, tratamento discriminatório, destruição de instrumentos laborais, aplicação do delito de desacato. </w:t>
      </w:r>
      <w:r w:rsidR="3A522D83" w:rsidRPr="1B80724B">
        <w:rPr>
          <w:rFonts w:ascii="Cambria" w:hAnsi="Cambria"/>
          <w:sz w:val="20"/>
          <w:szCs w:val="20"/>
          <w:lang w:val="pt-BR"/>
        </w:rPr>
        <w:t xml:space="preserve">A CIDH </w:t>
      </w:r>
      <w:r w:rsidRPr="1B80724B">
        <w:rPr>
          <w:rFonts w:ascii="Cambria" w:hAnsi="Cambria"/>
          <w:sz w:val="20"/>
          <w:szCs w:val="20"/>
          <w:lang w:val="pt-BR"/>
        </w:rPr>
        <w:t xml:space="preserve">bserva ainda que, </w:t>
      </w:r>
      <w:r w:rsidRPr="1B80724B">
        <w:rPr>
          <w:rFonts w:ascii="Cambria" w:hAnsi="Cambria"/>
          <w:i/>
          <w:iCs/>
          <w:sz w:val="20"/>
          <w:szCs w:val="20"/>
          <w:lang w:val="pt-BR"/>
        </w:rPr>
        <w:t>prima facie</w:t>
      </w:r>
      <w:r w:rsidRPr="1B80724B">
        <w:rPr>
          <w:rFonts w:ascii="Cambria" w:hAnsi="Cambria"/>
          <w:sz w:val="20"/>
          <w:szCs w:val="20"/>
          <w:lang w:val="pt-BR"/>
        </w:rPr>
        <w:t>,</w:t>
      </w:r>
      <w:r w:rsidR="4C50AED8" w:rsidRPr="1B80724B">
        <w:rPr>
          <w:rFonts w:ascii="Cambria" w:hAnsi="Cambria"/>
          <w:sz w:val="20"/>
          <w:szCs w:val="20"/>
          <w:lang w:val="pt-BR"/>
        </w:rPr>
        <w:t xml:space="preserve"> são elementos que</w:t>
      </w:r>
      <w:r w:rsidRPr="1B80724B">
        <w:rPr>
          <w:rFonts w:ascii="Cambria" w:hAnsi="Cambria"/>
          <w:sz w:val="20"/>
          <w:szCs w:val="20"/>
          <w:lang w:val="pt-BR"/>
        </w:rPr>
        <w:t xml:space="preserve"> tendem a caracterizar violações às garantias judiciais e à proteção judicial, em virtude das alegações </w:t>
      </w:r>
      <w:r w:rsidR="34CF4E2E" w:rsidRPr="1B80724B">
        <w:rPr>
          <w:rFonts w:ascii="Cambria" w:hAnsi="Cambria"/>
          <w:sz w:val="20"/>
          <w:szCs w:val="20"/>
          <w:lang w:val="pt-BR"/>
        </w:rPr>
        <w:t>sobre ineficácia</w:t>
      </w:r>
      <w:r w:rsidRPr="1B80724B">
        <w:rPr>
          <w:rFonts w:ascii="Cambria" w:hAnsi="Cambria"/>
          <w:sz w:val="20"/>
          <w:szCs w:val="20"/>
          <w:lang w:val="pt-BR"/>
        </w:rPr>
        <w:t xml:space="preserve"> dos recursos judiciais acessados e da não observância do controle de convencionalidade por parte das autoridades brasileiras, à luz da criminalização da liberdade de expressão por meio do crime de desacato.</w:t>
      </w:r>
    </w:p>
    <w:p w14:paraId="07268AA2" w14:textId="77777777" w:rsidR="005C04F3" w:rsidRPr="00187F52" w:rsidRDefault="005C04F3" w:rsidP="005C04F3">
      <w:pPr>
        <w:jc w:val="both"/>
        <w:rPr>
          <w:rFonts w:ascii="Cambria" w:hAnsi="Cambria"/>
          <w:lang w:val="pt-BR"/>
        </w:rPr>
      </w:pPr>
    </w:p>
    <w:p w14:paraId="6CA12E88" w14:textId="4D3B1C38"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pt-BR"/>
        </w:rPr>
      </w:pPr>
      <w:r w:rsidRPr="00187F52">
        <w:rPr>
          <w:rFonts w:ascii="Cambria" w:hAnsi="Cambria"/>
          <w:sz w:val="20"/>
          <w:szCs w:val="20"/>
          <w:lang w:val="pt-BR"/>
        </w:rPr>
        <w:t>A  Comissão também enfatiza que a Convenção não exige que a parte peticionária identifique os direitos específicos que são alegadamente violados pelo Estado em um assunto submetido à Comissão, embora os peticionários possam fazê-lo. Cabe à Comissão, com base na jurisprudência do sistema, determinar em seus relatórios de admissibilidade qual disposição dos instrumentos interamericanos relevantes é aplicável e poderia ser estabelecida sua violação se os fatos alegados forem comprovados por elementos suficientes</w:t>
      </w:r>
      <w:r w:rsidRPr="00187F52">
        <w:rPr>
          <w:rFonts w:ascii="Cambria" w:eastAsia="Cambria" w:hAnsi="Cambria" w:cs="Cambria"/>
          <w:color w:val="000000" w:themeColor="text1"/>
          <w:sz w:val="20"/>
          <w:szCs w:val="20"/>
          <w:vertAlign w:val="superscript"/>
          <w:lang w:val="pt-BR"/>
        </w:rPr>
        <w:footnoteReference w:id="9"/>
      </w:r>
      <w:r w:rsidRPr="00187F52">
        <w:rPr>
          <w:rFonts w:ascii="Cambria" w:eastAsia="Cambria" w:hAnsi="Cambria" w:cs="Cambria"/>
          <w:color w:val="000000" w:themeColor="text1"/>
          <w:sz w:val="20"/>
          <w:szCs w:val="20"/>
          <w:lang w:val="pt-BR"/>
        </w:rPr>
        <w:t>.</w:t>
      </w:r>
    </w:p>
    <w:p w14:paraId="7E8314C2"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jc w:val="both"/>
        <w:rPr>
          <w:rFonts w:ascii="Cambria" w:hAnsi="Cambria"/>
          <w:sz w:val="20"/>
          <w:szCs w:val="20"/>
          <w:lang w:val="pt-BR"/>
        </w:rPr>
      </w:pPr>
      <w:r w:rsidRPr="00187F52">
        <w:rPr>
          <w:rFonts w:ascii="Cambria" w:hAnsi="Cambria"/>
          <w:sz w:val="20"/>
          <w:szCs w:val="20"/>
          <w:lang w:val="pt-BR"/>
        </w:rPr>
        <w:t>Em relação à alegada violação ao direito à proteção da honra e dignidade, do direito à igualdade perante a lei e o alegado descumprimento da proibição de discriminação a Comissão considera que as argumentações da peticionária sobre alegados atos discriminatórios contra o Sr. Ferney Aragon, com base em sua raça e origem nacional, poderiam caracterizar um descumprimento da proibição de discriminação contida no artigo 1.1 em relação aos direitos contidos nos artigos 5, 7, 8, 11 e 25 da Convenção Americana ou, em todo caso, uma violação do artigo 24 e 11 em relação ao artigo 1.1 desse instrumento. Considerando que as alegações referentes ao suposto tratamento discriminatório por parte da polícia com base na raça e origem nacional da suposta vítima; e considerando que raça e origem nacional são categorias que implicam escrutínio especialmente rigoroso, a Comissão considera tais alegações admissíveis para fins de estudo na fase de mérito.</w:t>
      </w:r>
    </w:p>
    <w:p w14:paraId="05C05256"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eastAsia="Cambria" w:hAnsi="Cambria" w:cs="Cambria"/>
          <w:color w:val="000000" w:themeColor="text1"/>
          <w:sz w:val="20"/>
          <w:szCs w:val="20"/>
          <w:lang w:val="pt-BR"/>
        </w:rPr>
      </w:pPr>
      <w:r w:rsidRPr="00187F52">
        <w:rPr>
          <w:rFonts w:ascii="Cambria" w:hAnsi="Cambria"/>
          <w:sz w:val="20"/>
          <w:szCs w:val="20"/>
          <w:lang w:val="pt-BR"/>
        </w:rPr>
        <w:t>Finalmente, em</w:t>
      </w:r>
      <w:r w:rsidRPr="00187F52">
        <w:rPr>
          <w:rFonts w:ascii="Cambria" w:eastAsia="Cambria" w:hAnsi="Cambria" w:cs="Cambria"/>
          <w:color w:val="000000" w:themeColor="text1"/>
          <w:sz w:val="20"/>
          <w:szCs w:val="20"/>
          <w:lang w:val="pt-BR"/>
        </w:rPr>
        <w:t xml:space="preserve"> relação ao argumento da "fórmula da quarta instância", a Comissão destaca o caráter complementar do sistema interamericano e ressalta que, como indicado pela Corte Interamericana, para que uma exceção de "quarta instância" seja procedente, seria necessário que se buscasse da revisão da "decisão de um tribunal interno devido à sua incorreta apreciação da prova, dos fatos ou do direito interno, </w:t>
      </w:r>
      <w:r w:rsidRPr="00187F52">
        <w:rPr>
          <w:rFonts w:ascii="Cambria" w:eastAsia="Cambria" w:hAnsi="Cambria" w:cs="Cambria"/>
          <w:color w:val="000000" w:themeColor="text1"/>
          <w:sz w:val="20"/>
          <w:szCs w:val="20"/>
          <w:lang w:val="pt-BR"/>
        </w:rPr>
        <w:lastRenderedPageBreak/>
        <w:t>sem que, ao mesmo tempo, se alegue que tal decisão incorreu em uma violação de tratados internacionais [...]"</w:t>
      </w:r>
      <w:r w:rsidRPr="00187F52">
        <w:rPr>
          <w:rFonts w:ascii="Cambria" w:eastAsia="Cambria" w:hAnsi="Cambria" w:cs="Cambria"/>
          <w:color w:val="000000" w:themeColor="text1"/>
          <w:sz w:val="20"/>
          <w:szCs w:val="20"/>
          <w:vertAlign w:val="superscript"/>
          <w:lang w:val="pt-BR"/>
        </w:rPr>
        <w:footnoteReference w:id="10"/>
      </w:r>
      <w:r w:rsidRPr="00187F52">
        <w:rPr>
          <w:rFonts w:ascii="Cambria" w:eastAsia="Cambria" w:hAnsi="Cambria" w:cs="Cambria"/>
          <w:color w:val="000000" w:themeColor="text1"/>
          <w:sz w:val="20"/>
          <w:szCs w:val="20"/>
          <w:lang w:val="pt-BR"/>
        </w:rPr>
        <w:t xml:space="preserve">. Não é esta a hipótese do presente caso, em que a parte peticionária discorreu sobre alegadas violações atribuíveis a autoridades estatais. A análise realizada pela Comissão centra-se em determinar se, no contexto da atividade policial e no decurso do processo penal, foram respeitadas as garantias estabelecidas na Convenção Americana ou em outros instrumentos aplicáveis. Em outras palavras, essa análise é objetiva e realizada à luz dos padrões e normas relevantes do direito internacional dos direitos humanos. Portanto, a análise sobre se o Estado incorreu ou não em violações da Convenção corresponde ao mérito do assunto. </w:t>
      </w:r>
    </w:p>
    <w:p w14:paraId="3E236A76" w14:textId="77777777"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87F52">
        <w:rPr>
          <w:rFonts w:ascii="Cambria" w:hAnsi="Cambria"/>
          <w:sz w:val="20"/>
          <w:szCs w:val="20"/>
          <w:lang w:val="pt-BR"/>
        </w:rPr>
        <w:t>Destaca-se, ainda, que em diversas ocasiões a CIDH determinou que o delito de desacato não é compatível com a Convenção Americana, pois autorizaria o abuso de autoridade como meio de silenciar ideias e opiniões, reprimindo, assim, debates de vital importância para o funcionamento efetivo das instituições democráticas</w:t>
      </w:r>
      <w:r w:rsidRPr="00187F52">
        <w:rPr>
          <w:rStyle w:val="FootnoteReference"/>
          <w:rFonts w:ascii="Cambria" w:hAnsi="Cambria"/>
          <w:sz w:val="20"/>
          <w:szCs w:val="20"/>
          <w:lang w:val="pt-BR"/>
        </w:rPr>
        <w:footnoteReference w:id="11"/>
      </w:r>
      <w:r w:rsidRPr="00187F52">
        <w:rPr>
          <w:rFonts w:ascii="Cambria" w:hAnsi="Cambria"/>
          <w:sz w:val="20"/>
          <w:szCs w:val="20"/>
          <w:lang w:val="pt-BR"/>
        </w:rPr>
        <w:t xml:space="preserve">. </w:t>
      </w:r>
    </w:p>
    <w:p w14:paraId="6FB7F3B3" w14:textId="46D49F10" w:rsidR="005C04F3" w:rsidRPr="00187F52" w:rsidRDefault="005C04F3" w:rsidP="005C04F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pt-BR"/>
        </w:rPr>
      </w:pPr>
      <w:r w:rsidRPr="00187F52">
        <w:rPr>
          <w:rFonts w:ascii="Cambria" w:hAnsi="Cambria"/>
          <w:sz w:val="20"/>
          <w:szCs w:val="20"/>
          <w:lang w:val="pt-BR"/>
        </w:rPr>
        <w:t xml:space="preserve">À luz destas considerações e após examinar os elementos de fato e direito apresentados pelas partes, a Comissão considera que as alegações do peticionário não são manifestamente infundadas e requerem um estudo de mérito. Por conseguinte, a Comissão analisará a possível violação dos direitos consagrados nos artigos 5 (integridade pessoal), 7 (liberdade pessoal), </w:t>
      </w:r>
      <w:r w:rsidR="00175EC9" w:rsidRPr="00187F52">
        <w:rPr>
          <w:rFonts w:ascii="Cambria" w:hAnsi="Cambria"/>
          <w:sz w:val="20"/>
          <w:szCs w:val="20"/>
          <w:lang w:val="pt-BR"/>
        </w:rPr>
        <w:t xml:space="preserve">8 (garantias judiciais), </w:t>
      </w:r>
      <w:r w:rsidRPr="00187F52">
        <w:rPr>
          <w:rFonts w:ascii="Cambria" w:hAnsi="Cambria"/>
          <w:sz w:val="20"/>
          <w:szCs w:val="20"/>
          <w:lang w:val="pt-BR"/>
        </w:rPr>
        <w:t>11 (proteção da honra e da dignidade), 13 (liberdade de pensamento e expressão)</w:t>
      </w:r>
      <w:r w:rsidR="00175EC9" w:rsidRPr="00187F52">
        <w:rPr>
          <w:rFonts w:ascii="Cambria" w:hAnsi="Cambria"/>
          <w:sz w:val="20"/>
          <w:szCs w:val="20"/>
          <w:lang w:val="pt-BR"/>
        </w:rPr>
        <w:t xml:space="preserve"> 21 (direito à propriedade privada), 24 (igualdade perante a lei) e 25 (proteção judicial) da Convenção Americana</w:t>
      </w:r>
      <w:r w:rsidRPr="00187F52">
        <w:rPr>
          <w:rFonts w:ascii="Cambria" w:hAnsi="Cambria"/>
          <w:sz w:val="20"/>
          <w:szCs w:val="20"/>
          <w:lang w:val="pt-BR"/>
        </w:rPr>
        <w:t xml:space="preserve">, em conformidade com os artigos </w:t>
      </w:r>
      <w:r w:rsidR="00175EC9" w:rsidRPr="00187F52">
        <w:rPr>
          <w:rFonts w:ascii="Cambria" w:hAnsi="Cambria"/>
          <w:sz w:val="20"/>
          <w:szCs w:val="20"/>
          <w:lang w:val="pt-BR"/>
        </w:rPr>
        <w:t xml:space="preserve">1(1) e 2 deste </w:t>
      </w:r>
      <w:r w:rsidR="00E12876" w:rsidRPr="00187F52">
        <w:rPr>
          <w:rFonts w:ascii="Cambria" w:hAnsi="Cambria"/>
          <w:sz w:val="20"/>
          <w:szCs w:val="20"/>
          <w:lang w:val="pt-BR"/>
        </w:rPr>
        <w:t>tratado</w:t>
      </w:r>
      <w:r w:rsidR="00175EC9" w:rsidRPr="00187F52">
        <w:rPr>
          <w:rFonts w:ascii="Cambria" w:hAnsi="Cambria"/>
          <w:sz w:val="20"/>
          <w:szCs w:val="20"/>
          <w:lang w:val="pt-BR"/>
        </w:rPr>
        <w:t xml:space="preserve"> </w:t>
      </w:r>
      <w:r w:rsidRPr="00187F52">
        <w:rPr>
          <w:rFonts w:ascii="Cambria" w:hAnsi="Cambria"/>
          <w:sz w:val="20"/>
          <w:szCs w:val="20"/>
          <w:lang w:val="pt-BR"/>
        </w:rPr>
        <w:t xml:space="preserve"> , em detrimento do senhor Trevian Ferney Aragon Valencia.</w:t>
      </w:r>
    </w:p>
    <w:p w14:paraId="7F0D1B20" w14:textId="77777777" w:rsidR="005C04F3" w:rsidRPr="00187F52" w:rsidRDefault="005C04F3" w:rsidP="005C04F3">
      <w:pPr>
        <w:pStyle w:val="ListParagraph"/>
        <w:spacing w:before="240" w:after="240"/>
        <w:jc w:val="both"/>
        <w:rPr>
          <w:rFonts w:asciiTheme="majorHAnsi" w:hAnsiTheme="majorHAnsi"/>
          <w:b/>
          <w:bCs/>
          <w:color w:val="auto"/>
          <w:sz w:val="20"/>
          <w:szCs w:val="20"/>
          <w:lang w:val="pt-BR"/>
        </w:rPr>
      </w:pPr>
      <w:r w:rsidRPr="00187F52">
        <w:rPr>
          <w:rFonts w:asciiTheme="majorHAnsi" w:hAnsiTheme="majorHAnsi"/>
          <w:b/>
          <w:bCs/>
          <w:color w:val="auto"/>
          <w:sz w:val="20"/>
          <w:szCs w:val="20"/>
          <w:lang w:val="pt-BR"/>
        </w:rPr>
        <w:t xml:space="preserve">VIII. </w:t>
      </w:r>
      <w:r w:rsidRPr="00187F52">
        <w:rPr>
          <w:lang w:val="pt-BR"/>
        </w:rPr>
        <w:tab/>
      </w:r>
      <w:r w:rsidRPr="00187F52">
        <w:rPr>
          <w:rFonts w:asciiTheme="majorHAnsi" w:hAnsiTheme="majorHAnsi"/>
          <w:b/>
          <w:bCs/>
          <w:color w:val="auto"/>
          <w:sz w:val="20"/>
          <w:szCs w:val="20"/>
          <w:lang w:val="pt-BR"/>
        </w:rPr>
        <w:t>DECISIÓN</w:t>
      </w:r>
    </w:p>
    <w:p w14:paraId="34D699A1" w14:textId="77777777" w:rsidR="005C04F3" w:rsidRPr="00187F52" w:rsidRDefault="005C04F3" w:rsidP="005C04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187F52">
        <w:rPr>
          <w:rFonts w:asciiTheme="majorHAnsi" w:hAnsiTheme="majorHAnsi"/>
          <w:sz w:val="20"/>
          <w:szCs w:val="20"/>
          <w:lang w:val="pt-BR"/>
        </w:rPr>
        <w:t>Declarar admissível a presente petição em relação aos artigos 5, 7, 8, 11, 13, 21, 24 e 25 da Convenção Americana, em relação aos artigos 1(1) e 2.</w:t>
      </w:r>
    </w:p>
    <w:p w14:paraId="27D08AD5" w14:textId="77777777" w:rsidR="005C04F3" w:rsidRPr="00AB61A8" w:rsidRDefault="005C04F3" w:rsidP="005C04F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pt-BR"/>
        </w:rPr>
      </w:pPr>
      <w:r w:rsidRPr="00187F52">
        <w:rPr>
          <w:rFonts w:asciiTheme="majorHAnsi" w:hAnsiTheme="majorHAnsi"/>
          <w:sz w:val="20"/>
          <w:szCs w:val="20"/>
          <w:lang w:val="pt-BR"/>
        </w:rPr>
        <w:t>Notificar as partes desta decisão; continuar com a análise do mérito do assunto; e publicar esta decisão e incluí-la em seu Relatório Anual à Assembleia Geral da Organização dos Estados Americanos.</w:t>
      </w:r>
    </w:p>
    <w:p w14:paraId="65809C50" w14:textId="09D69379" w:rsidR="00820A51" w:rsidRPr="00B21F14" w:rsidRDefault="00820A51" w:rsidP="00B21F1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2"/>
          <w:szCs w:val="22"/>
          <w:lang w:val="pt-BR"/>
        </w:rPr>
      </w:pPr>
      <w:bookmarkStart w:id="2" w:name="_Hlk89363282"/>
      <w:r w:rsidRPr="003C0CDA">
        <w:rPr>
          <w:rFonts w:asciiTheme="majorHAnsi" w:hAnsiTheme="majorHAnsi"/>
          <w:sz w:val="22"/>
          <w:szCs w:val="22"/>
          <w:lang w:val="pt-BR"/>
        </w:rPr>
        <w:t xml:space="preserve">Aprovado pela Comissão Interamericana de Direitos Humanos aos </w:t>
      </w:r>
      <w:r>
        <w:rPr>
          <w:rFonts w:asciiTheme="majorHAnsi" w:hAnsiTheme="majorHAnsi"/>
          <w:sz w:val="22"/>
          <w:szCs w:val="22"/>
          <w:lang w:val="pt-BR"/>
        </w:rPr>
        <w:t>5</w:t>
      </w:r>
      <w:r w:rsidRPr="003C0CDA">
        <w:rPr>
          <w:rFonts w:asciiTheme="majorHAnsi" w:hAnsiTheme="majorHAnsi"/>
          <w:sz w:val="22"/>
          <w:szCs w:val="22"/>
          <w:lang w:val="pt-BR"/>
        </w:rPr>
        <w:t xml:space="preserve"> dias do mês de </w:t>
      </w:r>
      <w:r w:rsidR="00AE5F43">
        <w:rPr>
          <w:rFonts w:asciiTheme="majorHAnsi" w:hAnsiTheme="majorHAnsi"/>
          <w:sz w:val="22"/>
          <w:szCs w:val="22"/>
          <w:lang w:val="pt-BR"/>
        </w:rPr>
        <w:t>dezembro</w:t>
      </w:r>
      <w:r w:rsidRPr="003C0CDA">
        <w:rPr>
          <w:rFonts w:asciiTheme="majorHAnsi" w:hAnsiTheme="majorHAnsi"/>
          <w:sz w:val="22"/>
          <w:szCs w:val="22"/>
          <w:lang w:val="pt-BR"/>
        </w:rPr>
        <w:t xml:space="preserve"> de 2024. (Assinado): </w:t>
      </w:r>
      <w:r w:rsidRPr="00B074F0">
        <w:rPr>
          <w:rFonts w:asciiTheme="majorHAnsi" w:hAnsiTheme="majorHAnsi"/>
          <w:sz w:val="22"/>
          <w:szCs w:val="22"/>
          <w:lang w:val="pt-BR"/>
        </w:rPr>
        <w:t>Roberta Clarke, Presidenta; Carlos Bernal Pulido, Primeiro Vicepresidente; Arif Bulkan e Gloria Monique de Mees</w:t>
      </w:r>
      <w:r w:rsidRPr="003C0CDA">
        <w:rPr>
          <w:rFonts w:asciiTheme="majorHAnsi" w:hAnsiTheme="majorHAnsi"/>
          <w:sz w:val="22"/>
          <w:szCs w:val="22"/>
          <w:lang w:val="pt-BR"/>
        </w:rPr>
        <w:t>, membros da Comissão.</w:t>
      </w:r>
      <w:r>
        <w:rPr>
          <w:rFonts w:asciiTheme="majorHAnsi" w:hAnsiTheme="majorHAnsi"/>
          <w:sz w:val="22"/>
          <w:szCs w:val="22"/>
          <w:lang w:val="pt-BR"/>
        </w:rPr>
        <w:t xml:space="preserve"> </w:t>
      </w:r>
      <w:bookmarkEnd w:id="2"/>
    </w:p>
    <w:p w14:paraId="65FB5623" w14:textId="066AE2F3" w:rsidR="00985FD4" w:rsidRPr="00187F52" w:rsidRDefault="00985FD4" w:rsidP="005C04F3">
      <w:pPr>
        <w:spacing w:before="240" w:after="240"/>
        <w:ind w:firstLine="720"/>
        <w:jc w:val="both"/>
        <w:rPr>
          <w:rFonts w:asciiTheme="majorHAnsi" w:hAnsiTheme="majorHAnsi"/>
          <w:color w:val="000000" w:themeColor="text1"/>
          <w:sz w:val="20"/>
          <w:szCs w:val="20"/>
          <w:lang w:val="pt-BR"/>
        </w:rPr>
      </w:pPr>
    </w:p>
    <w:sectPr w:rsidR="00985FD4" w:rsidRPr="00187F52" w:rsidSect="002B5D1F">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0758" w14:textId="77777777" w:rsidR="00DB1634" w:rsidRDefault="00DB1634">
      <w:r>
        <w:separator/>
      </w:r>
    </w:p>
  </w:endnote>
  <w:endnote w:type="continuationSeparator" w:id="0">
    <w:p w14:paraId="3799841C" w14:textId="77777777" w:rsidR="00DB1634" w:rsidRDefault="00DB1634">
      <w:r>
        <w:continuationSeparator/>
      </w:r>
    </w:p>
  </w:endnote>
  <w:endnote w:type="continuationNotice" w:id="1">
    <w:p w14:paraId="727BFF54" w14:textId="77777777" w:rsidR="00DB1634" w:rsidRDefault="00DB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93EC" w14:textId="77777777" w:rsidR="00DB1634" w:rsidRPr="000F35ED" w:rsidRDefault="00DB16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68104F8" w14:textId="77777777" w:rsidR="00DB1634" w:rsidRPr="000F35ED" w:rsidRDefault="00DB1634" w:rsidP="000F35ED">
      <w:pPr>
        <w:rPr>
          <w:rFonts w:asciiTheme="majorHAnsi" w:hAnsiTheme="majorHAnsi"/>
          <w:sz w:val="16"/>
          <w:szCs w:val="16"/>
        </w:rPr>
      </w:pPr>
      <w:r w:rsidRPr="000F35ED">
        <w:rPr>
          <w:rFonts w:asciiTheme="majorHAnsi" w:hAnsiTheme="majorHAnsi"/>
          <w:sz w:val="16"/>
          <w:szCs w:val="16"/>
        </w:rPr>
        <w:separator/>
      </w:r>
    </w:p>
    <w:p w14:paraId="3EA86354" w14:textId="77777777" w:rsidR="00DB1634" w:rsidRPr="000F35ED" w:rsidRDefault="00DB16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9536A99" w14:textId="77777777" w:rsidR="00DB1634" w:rsidRPr="000F35ED" w:rsidRDefault="00DB16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327217" w14:textId="4727CFA1" w:rsidR="006F1403" w:rsidRPr="00FB55C4" w:rsidRDefault="006F1403" w:rsidP="006F1403">
      <w:pPr>
        <w:pStyle w:val="FootnoteText"/>
        <w:jc w:val="both"/>
        <w:rPr>
          <w:rFonts w:ascii="Cambria" w:hAnsi="Cambria"/>
          <w:sz w:val="16"/>
          <w:szCs w:val="16"/>
          <w:lang w:val="pt-BR"/>
        </w:rPr>
      </w:pPr>
      <w:r w:rsidRPr="00FB55C4">
        <w:rPr>
          <w:rFonts w:ascii="Cambria" w:hAnsi="Cambria"/>
          <w:sz w:val="16"/>
          <w:szCs w:val="16"/>
          <w:lang w:val="pt-BR"/>
        </w:rPr>
        <w:tab/>
      </w:r>
      <w:r w:rsidRPr="00FB55C4">
        <w:rPr>
          <w:rStyle w:val="FootnoteReference"/>
          <w:rFonts w:ascii="Cambria" w:hAnsi="Cambria"/>
          <w:sz w:val="16"/>
          <w:szCs w:val="16"/>
          <w:lang w:val="pt-BR"/>
        </w:rPr>
        <w:t xml:space="preserve">1 </w:t>
      </w:r>
      <w:r w:rsidR="00395F93" w:rsidRPr="00B16985">
        <w:rPr>
          <w:rFonts w:ascii="Cambria" w:hAnsi="Cambria"/>
          <w:sz w:val="16"/>
          <w:szCs w:val="16"/>
          <w:lang w:val="pt-BR"/>
        </w:rPr>
        <w:t>Adiante</w:t>
      </w:r>
      <w:r w:rsidRPr="00B16985">
        <w:rPr>
          <w:rFonts w:ascii="Cambria" w:hAnsi="Cambria"/>
          <w:sz w:val="16"/>
          <w:szCs w:val="16"/>
          <w:lang w:val="pt-BR"/>
        </w:rPr>
        <w:t xml:space="preserve"> “Convenção Americana” ou “Convenção”.</w:t>
      </w:r>
    </w:p>
  </w:footnote>
  <w:footnote w:id="3">
    <w:p w14:paraId="79F07139" w14:textId="59ADAE8B" w:rsidR="008E3BFE" w:rsidRPr="00CF6976" w:rsidRDefault="008E3BFE" w:rsidP="00EE28DC">
      <w:pPr>
        <w:pStyle w:val="FootnoteText"/>
        <w:tabs>
          <w:tab w:val="left" w:pos="0"/>
          <w:tab w:val="left" w:pos="567"/>
        </w:tabs>
        <w:ind w:firstLine="709"/>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00A53003" w:rsidRPr="00CF6976">
        <w:rPr>
          <w:rFonts w:asciiTheme="majorHAnsi" w:hAnsiTheme="majorHAnsi"/>
          <w:color w:val="000000" w:themeColor="text1"/>
          <w:sz w:val="16"/>
          <w:szCs w:val="16"/>
          <w:lang w:val="pt-BR"/>
        </w:rPr>
        <w:t>As observações de cada parte foram dev</w:t>
      </w:r>
      <w:r w:rsidRPr="00CF6976">
        <w:rPr>
          <w:rFonts w:asciiTheme="majorHAnsi" w:hAnsiTheme="majorHAnsi"/>
          <w:color w:val="000000" w:themeColor="text1"/>
          <w:sz w:val="16"/>
          <w:szCs w:val="16"/>
          <w:lang w:val="pt-BR"/>
        </w:rPr>
        <w:t>idamente tra</w:t>
      </w:r>
      <w:r w:rsidR="00A53003" w:rsidRPr="00CF6976">
        <w:rPr>
          <w:rFonts w:asciiTheme="majorHAnsi" w:hAnsiTheme="majorHAnsi"/>
          <w:color w:val="000000" w:themeColor="text1"/>
          <w:sz w:val="16"/>
          <w:szCs w:val="16"/>
          <w:lang w:val="pt-BR"/>
        </w:rPr>
        <w:t>n</w:t>
      </w:r>
      <w:r w:rsidRPr="00CF6976">
        <w:rPr>
          <w:rFonts w:asciiTheme="majorHAnsi" w:hAnsiTheme="majorHAnsi"/>
          <w:color w:val="000000" w:themeColor="text1"/>
          <w:sz w:val="16"/>
          <w:szCs w:val="16"/>
          <w:lang w:val="pt-BR"/>
        </w:rPr>
        <w:t xml:space="preserve">sladadas </w:t>
      </w:r>
      <w:r w:rsidR="00A53003" w:rsidRPr="00CF6976">
        <w:rPr>
          <w:rFonts w:asciiTheme="majorHAnsi" w:hAnsiTheme="majorHAnsi"/>
          <w:color w:val="000000" w:themeColor="text1"/>
          <w:sz w:val="16"/>
          <w:szCs w:val="16"/>
          <w:lang w:val="pt-BR"/>
        </w:rPr>
        <w:t>à parte contrá</w:t>
      </w:r>
      <w:r w:rsidRPr="00CF6976">
        <w:rPr>
          <w:rFonts w:asciiTheme="majorHAnsi" w:hAnsiTheme="majorHAnsi"/>
          <w:color w:val="000000" w:themeColor="text1"/>
          <w:sz w:val="16"/>
          <w:szCs w:val="16"/>
          <w:lang w:val="pt-BR"/>
        </w:rPr>
        <w:t>ria.</w:t>
      </w:r>
    </w:p>
  </w:footnote>
  <w:footnote w:id="4">
    <w:p w14:paraId="4D914863" w14:textId="77777777" w:rsidR="005C04F3" w:rsidRPr="00786153" w:rsidRDefault="005C04F3" w:rsidP="00395F93">
      <w:pPr>
        <w:ind w:right="788" w:firstLine="851"/>
        <w:jc w:val="both"/>
        <w:rPr>
          <w:rFonts w:ascii="Cambria" w:eastAsiaTheme="majorEastAsia" w:hAnsi="Cambria" w:cstheme="majorBidi"/>
          <w:sz w:val="16"/>
          <w:szCs w:val="16"/>
          <w:lang w:val="pt-BR"/>
        </w:rPr>
      </w:pPr>
      <w:r w:rsidRPr="005C0235">
        <w:rPr>
          <w:rFonts w:ascii="Cambria" w:eastAsiaTheme="majorEastAsia" w:hAnsi="Cambria" w:cstheme="majorBidi"/>
          <w:sz w:val="16"/>
          <w:szCs w:val="16"/>
          <w:vertAlign w:val="superscript"/>
        </w:rPr>
        <w:footnoteRef/>
      </w:r>
      <w:r w:rsidRPr="005C0235">
        <w:rPr>
          <w:rFonts w:ascii="Cambria" w:eastAsiaTheme="majorEastAsia" w:hAnsi="Cambria" w:cstheme="majorBidi"/>
          <w:sz w:val="16"/>
          <w:szCs w:val="16"/>
          <w:vertAlign w:val="superscript"/>
          <w:lang w:val="pt-BR"/>
        </w:rPr>
        <w:t xml:space="preserve"> </w:t>
      </w:r>
      <w:r w:rsidRPr="00786153">
        <w:rPr>
          <w:rFonts w:ascii="Cambria" w:eastAsiaTheme="majorEastAsia" w:hAnsi="Cambria" w:cstheme="majorBidi"/>
          <w:sz w:val="16"/>
          <w:szCs w:val="16"/>
          <w:lang w:val="pt-BR"/>
        </w:rPr>
        <w:t>CIDH. O acesso à justiça como garantia dos direitos econômicos, sociais e culturais. Estudo dos padrões estabelecidos pelo Sistema Interamericano de Direitos Humanos. OEA/Ser.L/V/II.129. Doc. 4. 7 de setembro de 2007. Parágrafo 248.</w:t>
      </w:r>
    </w:p>
  </w:footnote>
  <w:footnote w:id="5">
    <w:p w14:paraId="5992DC13" w14:textId="77777777" w:rsidR="005C04F3" w:rsidRPr="00FB55C4" w:rsidRDefault="005C04F3" w:rsidP="00395F93">
      <w:pPr>
        <w:ind w:firstLine="851"/>
        <w:jc w:val="both"/>
        <w:rPr>
          <w:rFonts w:ascii="Cambria" w:eastAsiaTheme="majorEastAsia" w:hAnsi="Cambria" w:cstheme="majorBidi"/>
          <w:sz w:val="16"/>
          <w:szCs w:val="16"/>
          <w:lang w:val="es-ES"/>
        </w:rPr>
      </w:pPr>
      <w:r w:rsidRPr="005C0235">
        <w:rPr>
          <w:rFonts w:ascii="Cambria" w:eastAsiaTheme="majorEastAsia" w:hAnsi="Cambria" w:cstheme="majorBidi"/>
          <w:sz w:val="16"/>
          <w:szCs w:val="16"/>
          <w:vertAlign w:val="superscript"/>
          <w:lang w:val="es-ES"/>
        </w:rPr>
        <w:footnoteRef/>
      </w:r>
      <w:r w:rsidRPr="005C0235">
        <w:rPr>
          <w:rFonts w:ascii="Cambria" w:eastAsiaTheme="majorEastAsia" w:hAnsi="Cambria" w:cstheme="majorBidi"/>
          <w:sz w:val="16"/>
          <w:szCs w:val="16"/>
          <w:vertAlign w:val="superscript"/>
          <w:lang w:val="es-ES"/>
        </w:rPr>
        <w:t xml:space="preserve"> </w:t>
      </w:r>
      <w:r w:rsidRPr="00FB55C4">
        <w:rPr>
          <w:rFonts w:ascii="Cambria" w:eastAsiaTheme="majorEastAsia" w:hAnsi="Cambria" w:cstheme="majorBidi"/>
          <w:sz w:val="16"/>
          <w:szCs w:val="16"/>
          <w:lang w:val="es-ES"/>
        </w:rPr>
        <w:t>CIDH, Informe No. 105/17, Petición 798-07. Admisibilidad. David Valderrama Opazo y otros. Chile. 7 de septiembre de 2017, párr. 11.</w:t>
      </w:r>
    </w:p>
  </w:footnote>
  <w:footnote w:id="6">
    <w:p w14:paraId="7211A422" w14:textId="77777777" w:rsidR="005C04F3" w:rsidRPr="00786153" w:rsidRDefault="005C04F3" w:rsidP="00395F93">
      <w:pPr>
        <w:ind w:firstLine="851"/>
        <w:jc w:val="both"/>
        <w:rPr>
          <w:rFonts w:ascii="Cambria" w:hAnsi="Cambria"/>
          <w:sz w:val="16"/>
          <w:szCs w:val="16"/>
          <w:lang w:val="pt-BR"/>
        </w:rPr>
      </w:pPr>
      <w:r w:rsidRPr="005C0235">
        <w:rPr>
          <w:rFonts w:ascii="Cambria" w:hAnsi="Cambria"/>
          <w:sz w:val="16"/>
          <w:szCs w:val="16"/>
          <w:vertAlign w:val="superscript"/>
        </w:rPr>
        <w:footnoteRef/>
      </w:r>
      <w:r w:rsidRPr="005C0235">
        <w:rPr>
          <w:rFonts w:ascii="Cambria" w:hAnsi="Cambria"/>
          <w:sz w:val="16"/>
          <w:szCs w:val="16"/>
          <w:vertAlign w:val="superscript"/>
          <w:lang w:val="es-PE"/>
        </w:rPr>
        <w:t xml:space="preserve"> </w:t>
      </w:r>
      <w:r w:rsidRPr="00FB55C4">
        <w:rPr>
          <w:rFonts w:ascii="Cambria" w:hAnsi="Cambria"/>
          <w:sz w:val="16"/>
          <w:szCs w:val="16"/>
          <w:lang w:val="es-US"/>
        </w:rPr>
        <w:t xml:space="preserve">Corte IDH. Caso Familia Julien Grisonas vs. Argentina. Excepciones Preliminares, Fondo, Reparaciones y Costas. Sentencia de 23 de septiembre de 2021. Serie C No. 437, párr. 40; Caso Vásquez Durand y otros vs. Ecuador. Excepciones Preliminares, Fondo, Reparaciones y Costas. Sentencia de 15 de febrero de 2017. </w:t>
      </w:r>
      <w:r w:rsidRPr="00B16985">
        <w:rPr>
          <w:rFonts w:ascii="Cambria" w:hAnsi="Cambria"/>
          <w:sz w:val="16"/>
          <w:szCs w:val="16"/>
          <w:lang w:val="pt-BR"/>
        </w:rPr>
        <w:t>Serie C No. 332, párr. 40.</w:t>
      </w:r>
    </w:p>
  </w:footnote>
  <w:footnote w:id="7">
    <w:p w14:paraId="29D2A763" w14:textId="77777777" w:rsidR="005C04F3" w:rsidRPr="00786153" w:rsidRDefault="005C04F3" w:rsidP="00395F93">
      <w:pPr>
        <w:ind w:firstLine="851"/>
        <w:jc w:val="both"/>
        <w:rPr>
          <w:rFonts w:ascii="Cambria" w:eastAsiaTheme="majorEastAsia" w:hAnsi="Cambria" w:cstheme="majorBidi"/>
          <w:color w:val="0D0D0D" w:themeColor="text1" w:themeTint="F2"/>
          <w:sz w:val="16"/>
          <w:szCs w:val="16"/>
          <w:lang w:val="pt-BR"/>
        </w:rPr>
      </w:pPr>
      <w:r w:rsidRPr="005C0235">
        <w:rPr>
          <w:rFonts w:ascii="Cambria" w:eastAsiaTheme="majorEastAsia" w:hAnsi="Cambria" w:cstheme="majorBidi"/>
          <w:sz w:val="16"/>
          <w:szCs w:val="16"/>
          <w:vertAlign w:val="superscript"/>
        </w:rPr>
        <w:footnoteRef/>
      </w:r>
      <w:r w:rsidRPr="005C0235">
        <w:rPr>
          <w:rFonts w:ascii="Cambria" w:eastAsiaTheme="majorEastAsia" w:hAnsi="Cambria" w:cstheme="majorBidi"/>
          <w:sz w:val="16"/>
          <w:szCs w:val="16"/>
          <w:vertAlign w:val="superscript"/>
          <w:lang w:val="pt-BR"/>
        </w:rPr>
        <w:t xml:space="preserve"> </w:t>
      </w:r>
      <w:r w:rsidRPr="00786153">
        <w:rPr>
          <w:rFonts w:ascii="Cambria" w:eastAsiaTheme="majorEastAsia" w:hAnsi="Cambria" w:cstheme="majorBidi"/>
          <w:color w:val="0D0D0D" w:themeColor="text1" w:themeTint="F2"/>
          <w:sz w:val="16"/>
          <w:szCs w:val="16"/>
          <w:lang w:val="pt-BR"/>
        </w:rPr>
        <w:t>CIDH, Relatório No. 72/18, Petição 1131-08. Admissibilidade. Moisés de Jesús Hernández Pinto e família. Guatemala. 20 de junho de 2018, par. 10.</w:t>
      </w:r>
    </w:p>
  </w:footnote>
  <w:footnote w:id="8">
    <w:p w14:paraId="729AAADE" w14:textId="23EBD6C3" w:rsidR="000F1AE0" w:rsidRPr="005C0235" w:rsidRDefault="000F1AE0" w:rsidP="005C0235">
      <w:pPr>
        <w:pStyle w:val="FootnoteText"/>
        <w:ind w:firstLine="851"/>
        <w:jc w:val="both"/>
        <w:rPr>
          <w:lang w:val="pt-BR"/>
        </w:rPr>
      </w:pPr>
      <w:r>
        <w:rPr>
          <w:rStyle w:val="FootnoteReference"/>
        </w:rPr>
        <w:footnoteRef/>
      </w:r>
      <w:r w:rsidRPr="005C0235">
        <w:rPr>
          <w:lang w:val="pt-BR"/>
        </w:rPr>
        <w:t xml:space="preserve"> </w:t>
      </w:r>
      <w:r w:rsidR="005C34A2" w:rsidRPr="005C0235">
        <w:rPr>
          <w:rFonts w:ascii="Cambria" w:hAnsi="Cambria"/>
          <w:sz w:val="16"/>
          <w:szCs w:val="16"/>
          <w:lang w:val="pt-BR"/>
        </w:rPr>
        <w:t xml:space="preserve">A este respecto, véase sobre todo: CIDH, Informe No. 19/16, Petición 3546-02. Admisibilidad. Galo Roberto Matute Robles y familia. </w:t>
      </w:r>
      <w:r w:rsidR="005C34A2" w:rsidRPr="00CC272E">
        <w:rPr>
          <w:rFonts w:ascii="Cambria" w:hAnsi="Cambria"/>
          <w:sz w:val="16"/>
          <w:szCs w:val="16"/>
          <w:lang w:val="es-ES"/>
        </w:rPr>
        <w:t xml:space="preserve">Ecuador. 15 de abril de 2016, párr. 34. Además, CIDH, Informe No. 159/17, Petición 712-08. Admisibilidad. Sebastián Larroza Velázquez y familia. Paraguay. 30 de noviembre de 2017, párr. 15; e Informe No. 262/20, Petición 863-11. Admisibilidad. Carla Marcelina Camargo Bermúdez y otro (Masacre de los Tupes). </w:t>
      </w:r>
      <w:r w:rsidR="005C34A2" w:rsidRPr="00CD5898">
        <w:rPr>
          <w:rFonts w:ascii="Cambria" w:hAnsi="Cambria"/>
          <w:sz w:val="16"/>
          <w:szCs w:val="16"/>
          <w:lang w:val="pt-BR"/>
        </w:rPr>
        <w:t>Colombia. 25 de septiembre de 2020, párr. 18</w:t>
      </w:r>
    </w:p>
  </w:footnote>
  <w:footnote w:id="9">
    <w:p w14:paraId="3B91EC62" w14:textId="77777777" w:rsidR="005C04F3" w:rsidRPr="00B16985" w:rsidRDefault="005C04F3" w:rsidP="00395F93">
      <w:pPr>
        <w:ind w:firstLine="851"/>
        <w:jc w:val="both"/>
        <w:rPr>
          <w:rFonts w:ascii="Cambria" w:eastAsiaTheme="majorEastAsia" w:hAnsi="Cambria" w:cstheme="majorBidi"/>
          <w:color w:val="0D0D0D" w:themeColor="text1" w:themeTint="F2"/>
          <w:sz w:val="16"/>
          <w:szCs w:val="16"/>
          <w:lang w:val="pt-BR"/>
        </w:rPr>
      </w:pPr>
      <w:r w:rsidRPr="005C0235">
        <w:rPr>
          <w:rFonts w:ascii="Cambria" w:eastAsiaTheme="majorEastAsia" w:hAnsi="Cambria" w:cstheme="majorBidi"/>
          <w:sz w:val="16"/>
          <w:szCs w:val="16"/>
          <w:vertAlign w:val="superscript"/>
        </w:rPr>
        <w:footnoteRef/>
      </w:r>
      <w:r w:rsidRPr="00786153">
        <w:rPr>
          <w:rFonts w:ascii="Cambria" w:eastAsiaTheme="majorEastAsia" w:hAnsi="Cambria" w:cstheme="majorBidi"/>
          <w:sz w:val="16"/>
          <w:szCs w:val="16"/>
          <w:lang w:val="pt-BR"/>
        </w:rPr>
        <w:t xml:space="preserve"> </w:t>
      </w:r>
      <w:r w:rsidRPr="00786153">
        <w:rPr>
          <w:rFonts w:ascii="Cambria" w:eastAsiaTheme="majorEastAsia" w:hAnsi="Cambria" w:cstheme="majorBidi"/>
          <w:color w:val="0D0D0D" w:themeColor="text1" w:themeTint="F2"/>
          <w:sz w:val="16"/>
          <w:szCs w:val="16"/>
          <w:lang w:val="pt-BR"/>
        </w:rPr>
        <w:t xml:space="preserve">Veja, por exemplo: CIDH, Relatório No. 143/22. Petição 1350-13. Admissibilidade. Luis Guillermo Catalán Arriagada. Chile. 27 de junho de 2022, parágrafo 18; CIDH, Relatório No. 27/16, Petição 30-04. Inadmissibilidade. Luis Alexsander Santillán Hermoza. Peru. 15 de abril de 2016, par. 29; e CIDH, Relatório No. 7/12. Petição 609-98. Admissibilidade. Guillermo Armando Capó. Argentina. 19 de março de 2012, par. 26. No mesmo sentido, veja mutatis mutandis: Corte IDH. Caso Hilaire Vs. Trinidad e Tobago. Exceções Preliminares. Sentença de 1 de setembro de 2001. </w:t>
      </w:r>
      <w:r w:rsidRPr="00B16985">
        <w:rPr>
          <w:rFonts w:ascii="Cambria" w:eastAsiaTheme="majorEastAsia" w:hAnsi="Cambria" w:cstheme="majorBidi"/>
          <w:color w:val="0D0D0D" w:themeColor="text1" w:themeTint="F2"/>
          <w:sz w:val="16"/>
          <w:szCs w:val="16"/>
          <w:lang w:val="pt-BR"/>
        </w:rPr>
        <w:t>Série C No. 80, págs. 40 a 42.</w:t>
      </w:r>
    </w:p>
  </w:footnote>
  <w:footnote w:id="10">
    <w:p w14:paraId="6826442A" w14:textId="1EA469A7" w:rsidR="005C04F3" w:rsidRPr="005C0235" w:rsidRDefault="005C04F3" w:rsidP="00395F93">
      <w:pPr>
        <w:ind w:firstLine="851"/>
        <w:jc w:val="both"/>
        <w:rPr>
          <w:rFonts w:ascii="Cambria" w:eastAsiaTheme="majorEastAsia" w:hAnsi="Cambria" w:cstheme="majorBidi"/>
          <w:color w:val="0D0D0D" w:themeColor="text1" w:themeTint="F2"/>
          <w:sz w:val="16"/>
          <w:szCs w:val="16"/>
          <w:lang w:val="pt-BR"/>
        </w:rPr>
      </w:pPr>
      <w:r w:rsidRPr="005C0235">
        <w:rPr>
          <w:rFonts w:ascii="Cambria" w:eastAsiaTheme="majorEastAsia" w:hAnsi="Cambria" w:cstheme="majorBidi"/>
          <w:sz w:val="16"/>
          <w:szCs w:val="16"/>
          <w:vertAlign w:val="superscript"/>
        </w:rPr>
        <w:footnoteRef/>
      </w:r>
      <w:r w:rsidRPr="00786153">
        <w:rPr>
          <w:rFonts w:ascii="Cambria" w:eastAsiaTheme="majorEastAsia" w:hAnsi="Cambria" w:cstheme="majorBidi"/>
          <w:sz w:val="16"/>
          <w:szCs w:val="16"/>
          <w:lang w:val="pt-BR"/>
        </w:rPr>
        <w:t xml:space="preserve"> </w:t>
      </w:r>
      <w:r w:rsidRPr="00786153">
        <w:rPr>
          <w:rFonts w:ascii="Cambria" w:eastAsiaTheme="majorEastAsia" w:hAnsi="Cambria" w:cstheme="majorBidi"/>
          <w:color w:val="0D0D0D" w:themeColor="text1" w:themeTint="F2"/>
          <w:sz w:val="16"/>
          <w:szCs w:val="16"/>
          <w:lang w:val="pt-BR"/>
        </w:rPr>
        <w:t xml:space="preserve">Corte IDH. Caso Cabrera García </w:t>
      </w:r>
      <w:r w:rsidR="00786153">
        <w:rPr>
          <w:rFonts w:ascii="Cambria" w:eastAsiaTheme="majorEastAsia" w:hAnsi="Cambria" w:cstheme="majorBidi"/>
          <w:color w:val="0D0D0D" w:themeColor="text1" w:themeTint="F2"/>
          <w:sz w:val="16"/>
          <w:szCs w:val="16"/>
          <w:lang w:val="pt-BR"/>
        </w:rPr>
        <w:t xml:space="preserve">e </w:t>
      </w:r>
      <w:r w:rsidRPr="00786153">
        <w:rPr>
          <w:rFonts w:ascii="Cambria" w:eastAsiaTheme="majorEastAsia" w:hAnsi="Cambria" w:cstheme="majorBidi"/>
          <w:color w:val="0D0D0D" w:themeColor="text1" w:themeTint="F2"/>
          <w:sz w:val="16"/>
          <w:szCs w:val="16"/>
          <w:lang w:val="pt-BR"/>
        </w:rPr>
        <w:t xml:space="preserve">Montiel Flores Vs. México. Exceção Preliminar, Mérito, Reparações e Custas. </w:t>
      </w:r>
      <w:r w:rsidRPr="005C0235">
        <w:rPr>
          <w:rFonts w:ascii="Cambria" w:eastAsiaTheme="majorEastAsia" w:hAnsi="Cambria" w:cstheme="majorBidi"/>
          <w:color w:val="0D0D0D" w:themeColor="text1" w:themeTint="F2"/>
          <w:sz w:val="16"/>
          <w:szCs w:val="16"/>
          <w:lang w:val="pt-BR"/>
        </w:rPr>
        <w:t xml:space="preserve">Sentença de 26 de novembro de 2010. Série C No. 220, </w:t>
      </w:r>
      <w:r w:rsidR="00786153" w:rsidRPr="005C0235">
        <w:rPr>
          <w:rFonts w:ascii="Cambria" w:eastAsiaTheme="majorEastAsia" w:hAnsi="Cambria" w:cstheme="majorBidi"/>
          <w:color w:val="0D0D0D" w:themeColor="text1" w:themeTint="F2"/>
          <w:sz w:val="16"/>
          <w:szCs w:val="16"/>
          <w:lang w:val="pt-BR"/>
        </w:rPr>
        <w:t>par</w:t>
      </w:r>
      <w:r w:rsidRPr="005C0235">
        <w:rPr>
          <w:rFonts w:ascii="Cambria" w:eastAsiaTheme="majorEastAsia" w:hAnsi="Cambria" w:cstheme="majorBidi"/>
          <w:color w:val="0D0D0D" w:themeColor="text1" w:themeTint="F2"/>
          <w:sz w:val="16"/>
          <w:szCs w:val="16"/>
          <w:lang w:val="pt-BR"/>
        </w:rPr>
        <w:t xml:space="preserve"> 18.</w:t>
      </w:r>
    </w:p>
  </w:footnote>
  <w:footnote w:id="11">
    <w:p w14:paraId="1F11FF63" w14:textId="77777777" w:rsidR="005C04F3" w:rsidRDefault="005C04F3" w:rsidP="00395F93">
      <w:pPr>
        <w:pStyle w:val="FootnoteText"/>
        <w:ind w:firstLine="851"/>
        <w:jc w:val="both"/>
        <w:rPr>
          <w:sz w:val="18"/>
          <w:szCs w:val="18"/>
          <w:lang w:val="pt-BR"/>
        </w:rPr>
      </w:pPr>
      <w:r w:rsidRPr="00FB55C4">
        <w:rPr>
          <w:rStyle w:val="FootnoteReference"/>
          <w:rFonts w:ascii="Cambria" w:hAnsi="Cambria"/>
          <w:sz w:val="16"/>
          <w:szCs w:val="16"/>
        </w:rPr>
        <w:footnoteRef/>
      </w:r>
      <w:r w:rsidRPr="00FB55C4">
        <w:rPr>
          <w:rFonts w:ascii="Cambria" w:hAnsi="Cambria"/>
          <w:sz w:val="16"/>
          <w:szCs w:val="16"/>
          <w:lang w:val="pt-BR"/>
        </w:rPr>
        <w:t xml:space="preserve"> Veja-se a declaração </w:t>
      </w:r>
      <w:r w:rsidRPr="00786153">
        <w:rPr>
          <w:rFonts w:ascii="Cambria" w:hAnsi="Cambria"/>
          <w:sz w:val="16"/>
          <w:szCs w:val="16"/>
          <w:lang w:val="pt-BR"/>
        </w:rPr>
        <w:t>da CIDH, por meio da sua RELE, em IACHR. Relatório Anual de 1994. Capítulo V: Relatório sobre a compatibilidade entre as leis de desacato e a Convenção Americana sobre Direitos Humanos. Título III. OEA/Ser. L/V/11.88. doc. 9 rev. 17 de fevereiro de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01462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601A13" w:rsidP="00A50FCF">
    <w:pPr>
      <w:pStyle w:val="Header"/>
      <w:tabs>
        <w:tab w:val="clear" w:pos="4320"/>
        <w:tab w:val="clear" w:pos="8640"/>
      </w:tabs>
      <w:jc w:val="center"/>
      <w:rPr>
        <w:sz w:val="22"/>
        <w:szCs w:val="22"/>
      </w:rPr>
    </w:pPr>
    <w:r>
      <w:rPr>
        <w:noProof/>
        <w:sz w:val="22"/>
        <w:szCs w:val="22"/>
        <w:bdr w:val="nil"/>
      </w:rPr>
      <w:pict w14:anchorId="241D2EC4">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0C"/>
    <w:multiLevelType w:val="hybridMultilevel"/>
    <w:tmpl w:val="2724111A"/>
    <w:lvl w:ilvl="0" w:tplc="73F4F4A2">
      <w:start w:val="1"/>
      <w:numFmt w:val="decimal"/>
      <w:lvlText w:val="%1."/>
      <w:lvlJc w:val="left"/>
      <w:pPr>
        <w:ind w:left="720" w:hanging="360"/>
      </w:pPr>
      <w:rPr>
        <w:b w:val="0"/>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BA6A0BAE"/>
    <w:lvl w:ilvl="0" w:tplc="8B70BFD6">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53056667">
    <w:abstractNumId w:val="5"/>
  </w:num>
  <w:num w:numId="2" w16cid:durableId="1095054135">
    <w:abstractNumId w:val="7"/>
  </w:num>
  <w:num w:numId="3" w16cid:durableId="686636090">
    <w:abstractNumId w:val="55"/>
  </w:num>
  <w:num w:numId="4" w16cid:durableId="205989545">
    <w:abstractNumId w:val="23"/>
  </w:num>
  <w:num w:numId="5" w16cid:durableId="461386112">
    <w:abstractNumId w:val="49"/>
  </w:num>
  <w:num w:numId="6" w16cid:durableId="1951890293">
    <w:abstractNumId w:val="28"/>
  </w:num>
  <w:num w:numId="7" w16cid:durableId="224074655">
    <w:abstractNumId w:val="8"/>
  </w:num>
  <w:num w:numId="8" w16cid:durableId="509491146">
    <w:abstractNumId w:val="19"/>
  </w:num>
  <w:num w:numId="9" w16cid:durableId="679746523">
    <w:abstractNumId w:val="39"/>
  </w:num>
  <w:num w:numId="10" w16cid:durableId="785540507">
    <w:abstractNumId w:val="43"/>
  </w:num>
  <w:num w:numId="11" w16cid:durableId="591671258">
    <w:abstractNumId w:val="2"/>
  </w:num>
  <w:num w:numId="12" w16cid:durableId="1796824837">
    <w:abstractNumId w:val="38"/>
  </w:num>
  <w:num w:numId="13" w16cid:durableId="1038506908">
    <w:abstractNumId w:val="45"/>
  </w:num>
  <w:num w:numId="14" w16cid:durableId="86658834">
    <w:abstractNumId w:val="3"/>
  </w:num>
  <w:num w:numId="15" w16cid:durableId="16348715">
    <w:abstractNumId w:val="4"/>
  </w:num>
  <w:num w:numId="16" w16cid:durableId="1071270982">
    <w:abstractNumId w:val="9"/>
  </w:num>
  <w:num w:numId="17" w16cid:durableId="2122069102">
    <w:abstractNumId w:val="10"/>
  </w:num>
  <w:num w:numId="18" w16cid:durableId="588582568">
    <w:abstractNumId w:val="11"/>
  </w:num>
  <w:num w:numId="19" w16cid:durableId="1061296907">
    <w:abstractNumId w:val="12"/>
  </w:num>
  <w:num w:numId="20" w16cid:durableId="1653676677">
    <w:abstractNumId w:val="13"/>
  </w:num>
  <w:num w:numId="21" w16cid:durableId="895512675">
    <w:abstractNumId w:val="14"/>
  </w:num>
  <w:num w:numId="22" w16cid:durableId="63257943">
    <w:abstractNumId w:val="15"/>
  </w:num>
  <w:num w:numId="23" w16cid:durableId="937563255">
    <w:abstractNumId w:val="17"/>
  </w:num>
  <w:num w:numId="24" w16cid:durableId="252706929">
    <w:abstractNumId w:val="18"/>
  </w:num>
  <w:num w:numId="25" w16cid:durableId="496917761">
    <w:abstractNumId w:val="20"/>
  </w:num>
  <w:num w:numId="26" w16cid:durableId="144132384">
    <w:abstractNumId w:val="21"/>
  </w:num>
  <w:num w:numId="27" w16cid:durableId="84957105">
    <w:abstractNumId w:val="24"/>
  </w:num>
  <w:num w:numId="28" w16cid:durableId="1480459728">
    <w:abstractNumId w:val="25"/>
  </w:num>
  <w:num w:numId="29" w16cid:durableId="1728258308">
    <w:abstractNumId w:val="26"/>
  </w:num>
  <w:num w:numId="30" w16cid:durableId="562954423">
    <w:abstractNumId w:val="27"/>
  </w:num>
  <w:num w:numId="31" w16cid:durableId="1645811968">
    <w:abstractNumId w:val="29"/>
  </w:num>
  <w:num w:numId="32" w16cid:durableId="129707669">
    <w:abstractNumId w:val="30"/>
  </w:num>
  <w:num w:numId="33" w16cid:durableId="293829277">
    <w:abstractNumId w:val="31"/>
  </w:num>
  <w:num w:numId="34" w16cid:durableId="1371304091">
    <w:abstractNumId w:val="32"/>
  </w:num>
  <w:num w:numId="35" w16cid:durableId="912282219">
    <w:abstractNumId w:val="33"/>
  </w:num>
  <w:num w:numId="36" w16cid:durableId="1307125483">
    <w:abstractNumId w:val="35"/>
  </w:num>
  <w:num w:numId="37" w16cid:durableId="2065636347">
    <w:abstractNumId w:val="36"/>
  </w:num>
  <w:num w:numId="38" w16cid:durableId="1135483610">
    <w:abstractNumId w:val="37"/>
  </w:num>
  <w:num w:numId="39" w16cid:durableId="1360811991">
    <w:abstractNumId w:val="40"/>
  </w:num>
  <w:num w:numId="40" w16cid:durableId="93135522">
    <w:abstractNumId w:val="41"/>
  </w:num>
  <w:num w:numId="41" w16cid:durableId="187528895">
    <w:abstractNumId w:val="47"/>
  </w:num>
  <w:num w:numId="42" w16cid:durableId="921911955">
    <w:abstractNumId w:val="50"/>
  </w:num>
  <w:num w:numId="43" w16cid:durableId="1830780685">
    <w:abstractNumId w:val="51"/>
  </w:num>
  <w:num w:numId="44" w16cid:durableId="1662462542">
    <w:abstractNumId w:val="53"/>
  </w:num>
  <w:num w:numId="45" w16cid:durableId="2063560051">
    <w:abstractNumId w:val="54"/>
  </w:num>
  <w:num w:numId="46" w16cid:durableId="1659113872">
    <w:abstractNumId w:val="56"/>
  </w:num>
  <w:num w:numId="47" w16cid:durableId="2089229177">
    <w:abstractNumId w:val="57"/>
  </w:num>
  <w:num w:numId="48" w16cid:durableId="108285962">
    <w:abstractNumId w:val="58"/>
  </w:num>
  <w:num w:numId="49" w16cid:durableId="2077778408">
    <w:abstractNumId w:val="59"/>
  </w:num>
  <w:num w:numId="50" w16cid:durableId="265888232">
    <w:abstractNumId w:val="60"/>
  </w:num>
  <w:num w:numId="51" w16cid:durableId="1140345612">
    <w:abstractNumId w:val="22"/>
  </w:num>
  <w:num w:numId="52" w16cid:durableId="938297353">
    <w:abstractNumId w:val="42"/>
  </w:num>
  <w:num w:numId="53" w16cid:durableId="1604995787">
    <w:abstractNumId w:val="52"/>
  </w:num>
  <w:num w:numId="54" w16cid:durableId="1099061070">
    <w:abstractNumId w:val="46"/>
  </w:num>
  <w:num w:numId="55" w16cid:durableId="681661242">
    <w:abstractNumId w:val="6"/>
  </w:num>
  <w:num w:numId="56" w16cid:durableId="921334544">
    <w:abstractNumId w:val="44"/>
  </w:num>
  <w:num w:numId="57" w16cid:durableId="18165529">
    <w:abstractNumId w:val="34"/>
  </w:num>
  <w:num w:numId="58" w16cid:durableId="753631208">
    <w:abstractNumId w:val="1"/>
  </w:num>
  <w:num w:numId="59" w16cid:durableId="1322006672">
    <w:abstractNumId w:val="16"/>
  </w:num>
  <w:num w:numId="60" w16cid:durableId="1018697943">
    <w:abstractNumId w:val="48"/>
  </w:num>
  <w:num w:numId="61" w16cid:durableId="1230766913">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0E1C"/>
    <w:rsid w:val="0000115C"/>
    <w:rsid w:val="00003F7E"/>
    <w:rsid w:val="000043D8"/>
    <w:rsid w:val="00006E1F"/>
    <w:rsid w:val="000070D7"/>
    <w:rsid w:val="00007425"/>
    <w:rsid w:val="0001462F"/>
    <w:rsid w:val="0001788C"/>
    <w:rsid w:val="00020C18"/>
    <w:rsid w:val="00021C50"/>
    <w:rsid w:val="00023CCC"/>
    <w:rsid w:val="000246EA"/>
    <w:rsid w:val="00027153"/>
    <w:rsid w:val="00031D5F"/>
    <w:rsid w:val="000337EF"/>
    <w:rsid w:val="000364FC"/>
    <w:rsid w:val="00040C3A"/>
    <w:rsid w:val="000419AD"/>
    <w:rsid w:val="00042951"/>
    <w:rsid w:val="000433C9"/>
    <w:rsid w:val="000529AD"/>
    <w:rsid w:val="000541A2"/>
    <w:rsid w:val="0005538C"/>
    <w:rsid w:val="000607B7"/>
    <w:rsid w:val="0006641F"/>
    <w:rsid w:val="000716C5"/>
    <w:rsid w:val="00073049"/>
    <w:rsid w:val="00075E23"/>
    <w:rsid w:val="000815E7"/>
    <w:rsid w:val="000865AB"/>
    <w:rsid w:val="0009280F"/>
    <w:rsid w:val="0009344A"/>
    <w:rsid w:val="00093FA1"/>
    <w:rsid w:val="00094AEA"/>
    <w:rsid w:val="00094C19"/>
    <w:rsid w:val="00097037"/>
    <w:rsid w:val="000A1AC3"/>
    <w:rsid w:val="000A392E"/>
    <w:rsid w:val="000A53E5"/>
    <w:rsid w:val="000A575F"/>
    <w:rsid w:val="000A5B01"/>
    <w:rsid w:val="000A72D0"/>
    <w:rsid w:val="000B43BB"/>
    <w:rsid w:val="000B7559"/>
    <w:rsid w:val="000C2014"/>
    <w:rsid w:val="000C2F1A"/>
    <w:rsid w:val="000C4640"/>
    <w:rsid w:val="000C5C69"/>
    <w:rsid w:val="000D10DB"/>
    <w:rsid w:val="000D7963"/>
    <w:rsid w:val="000E1D1E"/>
    <w:rsid w:val="000E4B0C"/>
    <w:rsid w:val="000E5EB5"/>
    <w:rsid w:val="000F0067"/>
    <w:rsid w:val="000F1AE0"/>
    <w:rsid w:val="000F34D0"/>
    <w:rsid w:val="000F35ED"/>
    <w:rsid w:val="000F7FA6"/>
    <w:rsid w:val="001069B6"/>
    <w:rsid w:val="00107131"/>
    <w:rsid w:val="0010736F"/>
    <w:rsid w:val="001112AC"/>
    <w:rsid w:val="00113F73"/>
    <w:rsid w:val="00121CC2"/>
    <w:rsid w:val="00126384"/>
    <w:rsid w:val="00126E05"/>
    <w:rsid w:val="0012736F"/>
    <w:rsid w:val="00133EE5"/>
    <w:rsid w:val="0014089D"/>
    <w:rsid w:val="00141C48"/>
    <w:rsid w:val="00143744"/>
    <w:rsid w:val="001441FE"/>
    <w:rsid w:val="0014694C"/>
    <w:rsid w:val="00147DD4"/>
    <w:rsid w:val="00150313"/>
    <w:rsid w:val="00155879"/>
    <w:rsid w:val="00161EA8"/>
    <w:rsid w:val="00164DD1"/>
    <w:rsid w:val="00167A34"/>
    <w:rsid w:val="00175EC9"/>
    <w:rsid w:val="0018736C"/>
    <w:rsid w:val="00187F52"/>
    <w:rsid w:val="001917EA"/>
    <w:rsid w:val="00192FDC"/>
    <w:rsid w:val="001934A4"/>
    <w:rsid w:val="00193C4F"/>
    <w:rsid w:val="001A6521"/>
    <w:rsid w:val="001A7870"/>
    <w:rsid w:val="001B3A00"/>
    <w:rsid w:val="001C1B41"/>
    <w:rsid w:val="001C7ECC"/>
    <w:rsid w:val="001D2206"/>
    <w:rsid w:val="001D3950"/>
    <w:rsid w:val="001D5BF8"/>
    <w:rsid w:val="001D65EF"/>
    <w:rsid w:val="001E49E7"/>
    <w:rsid w:val="001E7F07"/>
    <w:rsid w:val="001F2860"/>
    <w:rsid w:val="001F5808"/>
    <w:rsid w:val="001F7201"/>
    <w:rsid w:val="0020280E"/>
    <w:rsid w:val="00204009"/>
    <w:rsid w:val="00204A80"/>
    <w:rsid w:val="00206F26"/>
    <w:rsid w:val="00213338"/>
    <w:rsid w:val="00217A48"/>
    <w:rsid w:val="00223A29"/>
    <w:rsid w:val="002250A3"/>
    <w:rsid w:val="002271FD"/>
    <w:rsid w:val="0022736D"/>
    <w:rsid w:val="00233048"/>
    <w:rsid w:val="00233CFB"/>
    <w:rsid w:val="00235217"/>
    <w:rsid w:val="00235691"/>
    <w:rsid w:val="00246D1F"/>
    <w:rsid w:val="00247403"/>
    <w:rsid w:val="00247542"/>
    <w:rsid w:val="00250E5C"/>
    <w:rsid w:val="0025182B"/>
    <w:rsid w:val="00253B95"/>
    <w:rsid w:val="00253E93"/>
    <w:rsid w:val="0025480A"/>
    <w:rsid w:val="00257978"/>
    <w:rsid w:val="00266B61"/>
    <w:rsid w:val="0026712A"/>
    <w:rsid w:val="002704DB"/>
    <w:rsid w:val="0027100F"/>
    <w:rsid w:val="00273C62"/>
    <w:rsid w:val="00291ED7"/>
    <w:rsid w:val="00296900"/>
    <w:rsid w:val="00296E76"/>
    <w:rsid w:val="002A0318"/>
    <w:rsid w:val="002A0AAE"/>
    <w:rsid w:val="002A0C19"/>
    <w:rsid w:val="002A1F0E"/>
    <w:rsid w:val="002A4763"/>
    <w:rsid w:val="002A5820"/>
    <w:rsid w:val="002A5F99"/>
    <w:rsid w:val="002B09A7"/>
    <w:rsid w:val="002B5D1F"/>
    <w:rsid w:val="002B6870"/>
    <w:rsid w:val="002C507C"/>
    <w:rsid w:val="002D2B26"/>
    <w:rsid w:val="002D388A"/>
    <w:rsid w:val="002D43C6"/>
    <w:rsid w:val="002D491B"/>
    <w:rsid w:val="002D5066"/>
    <w:rsid w:val="002D6596"/>
    <w:rsid w:val="002D7EA2"/>
    <w:rsid w:val="002E1290"/>
    <w:rsid w:val="002E187C"/>
    <w:rsid w:val="002E7CF3"/>
    <w:rsid w:val="002F379B"/>
    <w:rsid w:val="002F43B4"/>
    <w:rsid w:val="002F576E"/>
    <w:rsid w:val="002F7E89"/>
    <w:rsid w:val="00302733"/>
    <w:rsid w:val="003039E4"/>
    <w:rsid w:val="00311C9C"/>
    <w:rsid w:val="00312863"/>
    <w:rsid w:val="00312C63"/>
    <w:rsid w:val="00314078"/>
    <w:rsid w:val="0031535D"/>
    <w:rsid w:val="00322A75"/>
    <w:rsid w:val="0032331B"/>
    <w:rsid w:val="003239B8"/>
    <w:rsid w:val="003268C5"/>
    <w:rsid w:val="00327678"/>
    <w:rsid w:val="00327CB0"/>
    <w:rsid w:val="0033169F"/>
    <w:rsid w:val="003335D7"/>
    <w:rsid w:val="003436C3"/>
    <w:rsid w:val="00343C15"/>
    <w:rsid w:val="00344977"/>
    <w:rsid w:val="00346517"/>
    <w:rsid w:val="00346C95"/>
    <w:rsid w:val="003535A3"/>
    <w:rsid w:val="00354756"/>
    <w:rsid w:val="00356185"/>
    <w:rsid w:val="00360380"/>
    <w:rsid w:val="00363F62"/>
    <w:rsid w:val="003642D6"/>
    <w:rsid w:val="003728B8"/>
    <w:rsid w:val="0037519E"/>
    <w:rsid w:val="0037551B"/>
    <w:rsid w:val="00377667"/>
    <w:rsid w:val="00383E28"/>
    <w:rsid w:val="00386CF0"/>
    <w:rsid w:val="0038709A"/>
    <w:rsid w:val="00395F93"/>
    <w:rsid w:val="003A5E64"/>
    <w:rsid w:val="003B0CC8"/>
    <w:rsid w:val="003B3A8F"/>
    <w:rsid w:val="003B70FB"/>
    <w:rsid w:val="003B7EC7"/>
    <w:rsid w:val="003C2955"/>
    <w:rsid w:val="003C5EF0"/>
    <w:rsid w:val="003C676B"/>
    <w:rsid w:val="003D1AFA"/>
    <w:rsid w:val="003D3BC2"/>
    <w:rsid w:val="003D7924"/>
    <w:rsid w:val="003E644D"/>
    <w:rsid w:val="003E6CA1"/>
    <w:rsid w:val="003E6FA1"/>
    <w:rsid w:val="003E76DB"/>
    <w:rsid w:val="003F1230"/>
    <w:rsid w:val="003F7B5E"/>
    <w:rsid w:val="004023EB"/>
    <w:rsid w:val="004059F7"/>
    <w:rsid w:val="004065A8"/>
    <w:rsid w:val="00411485"/>
    <w:rsid w:val="00411971"/>
    <w:rsid w:val="004165C2"/>
    <w:rsid w:val="00420EC6"/>
    <w:rsid w:val="00422745"/>
    <w:rsid w:val="00424F4B"/>
    <w:rsid w:val="004253A6"/>
    <w:rsid w:val="00433114"/>
    <w:rsid w:val="004415CF"/>
    <w:rsid w:val="00441DD5"/>
    <w:rsid w:val="00441ECB"/>
    <w:rsid w:val="00445193"/>
    <w:rsid w:val="004464BA"/>
    <w:rsid w:val="00447C46"/>
    <w:rsid w:val="00453EBF"/>
    <w:rsid w:val="00455296"/>
    <w:rsid w:val="00461482"/>
    <w:rsid w:val="00462C1B"/>
    <w:rsid w:val="00467B7E"/>
    <w:rsid w:val="0047324A"/>
    <w:rsid w:val="00473BB4"/>
    <w:rsid w:val="00475B2D"/>
    <w:rsid w:val="00477592"/>
    <w:rsid w:val="00477B74"/>
    <w:rsid w:val="004851DF"/>
    <w:rsid w:val="00486F1C"/>
    <w:rsid w:val="0049419D"/>
    <w:rsid w:val="00495BDC"/>
    <w:rsid w:val="00496970"/>
    <w:rsid w:val="004A060A"/>
    <w:rsid w:val="004A29C0"/>
    <w:rsid w:val="004A3499"/>
    <w:rsid w:val="004A6A54"/>
    <w:rsid w:val="004C1EE8"/>
    <w:rsid w:val="004C20D2"/>
    <w:rsid w:val="004C2312"/>
    <w:rsid w:val="004C3147"/>
    <w:rsid w:val="004C4B62"/>
    <w:rsid w:val="004C54C9"/>
    <w:rsid w:val="004C5FB0"/>
    <w:rsid w:val="004C6C45"/>
    <w:rsid w:val="004D4ABA"/>
    <w:rsid w:val="004D6025"/>
    <w:rsid w:val="004E0AE8"/>
    <w:rsid w:val="004E22DE"/>
    <w:rsid w:val="004E2649"/>
    <w:rsid w:val="004E7298"/>
    <w:rsid w:val="004F05F3"/>
    <w:rsid w:val="004F1F31"/>
    <w:rsid w:val="004F2129"/>
    <w:rsid w:val="004F236C"/>
    <w:rsid w:val="004F49AF"/>
    <w:rsid w:val="00501399"/>
    <w:rsid w:val="00501448"/>
    <w:rsid w:val="00505C94"/>
    <w:rsid w:val="0050633D"/>
    <w:rsid w:val="00507BC4"/>
    <w:rsid w:val="005128E4"/>
    <w:rsid w:val="005133DB"/>
    <w:rsid w:val="005136E3"/>
    <w:rsid w:val="00516A0D"/>
    <w:rsid w:val="005170CC"/>
    <w:rsid w:val="00522115"/>
    <w:rsid w:val="0052234F"/>
    <w:rsid w:val="00523793"/>
    <w:rsid w:val="00525560"/>
    <w:rsid w:val="00527F9C"/>
    <w:rsid w:val="00533A38"/>
    <w:rsid w:val="00533AEE"/>
    <w:rsid w:val="00534309"/>
    <w:rsid w:val="00536B66"/>
    <w:rsid w:val="00537F33"/>
    <w:rsid w:val="005408AF"/>
    <w:rsid w:val="0054211B"/>
    <w:rsid w:val="00543F65"/>
    <w:rsid w:val="00544C49"/>
    <w:rsid w:val="00546921"/>
    <w:rsid w:val="00547145"/>
    <w:rsid w:val="00547CCB"/>
    <w:rsid w:val="005516A1"/>
    <w:rsid w:val="00551D6B"/>
    <w:rsid w:val="005521EF"/>
    <w:rsid w:val="00563557"/>
    <w:rsid w:val="00565317"/>
    <w:rsid w:val="00567F67"/>
    <w:rsid w:val="0057402A"/>
    <w:rsid w:val="005769C8"/>
    <w:rsid w:val="005771D0"/>
    <w:rsid w:val="005776AC"/>
    <w:rsid w:val="00580EF0"/>
    <w:rsid w:val="005813B3"/>
    <w:rsid w:val="00584073"/>
    <w:rsid w:val="005904C8"/>
    <w:rsid w:val="0059191A"/>
    <w:rsid w:val="005921FF"/>
    <w:rsid w:val="005947DF"/>
    <w:rsid w:val="00596B1D"/>
    <w:rsid w:val="00597603"/>
    <w:rsid w:val="0059769B"/>
    <w:rsid w:val="005A0D68"/>
    <w:rsid w:val="005A23BC"/>
    <w:rsid w:val="005A24ED"/>
    <w:rsid w:val="005A3E78"/>
    <w:rsid w:val="005A658E"/>
    <w:rsid w:val="005A68AD"/>
    <w:rsid w:val="005A6D0E"/>
    <w:rsid w:val="005A7BFD"/>
    <w:rsid w:val="005B09C1"/>
    <w:rsid w:val="005B131B"/>
    <w:rsid w:val="005B176D"/>
    <w:rsid w:val="005B421D"/>
    <w:rsid w:val="005B52B0"/>
    <w:rsid w:val="005B6806"/>
    <w:rsid w:val="005B6A07"/>
    <w:rsid w:val="005C0235"/>
    <w:rsid w:val="005C04F3"/>
    <w:rsid w:val="005C0D79"/>
    <w:rsid w:val="005C34A2"/>
    <w:rsid w:val="005C3767"/>
    <w:rsid w:val="005C4225"/>
    <w:rsid w:val="005D0ADC"/>
    <w:rsid w:val="005D3DFB"/>
    <w:rsid w:val="005E1672"/>
    <w:rsid w:val="005E4951"/>
    <w:rsid w:val="005E74F7"/>
    <w:rsid w:val="005E7ECE"/>
    <w:rsid w:val="005F0DAD"/>
    <w:rsid w:val="005F0F33"/>
    <w:rsid w:val="00600DEB"/>
    <w:rsid w:val="00600E05"/>
    <w:rsid w:val="00601A13"/>
    <w:rsid w:val="00601B47"/>
    <w:rsid w:val="00604F6F"/>
    <w:rsid w:val="00612C16"/>
    <w:rsid w:val="00614BEA"/>
    <w:rsid w:val="00615072"/>
    <w:rsid w:val="0062595C"/>
    <w:rsid w:val="00625C87"/>
    <w:rsid w:val="00627C9F"/>
    <w:rsid w:val="00630DCD"/>
    <w:rsid w:val="006311E9"/>
    <w:rsid w:val="00631D05"/>
    <w:rsid w:val="00632354"/>
    <w:rsid w:val="00642671"/>
    <w:rsid w:val="00642810"/>
    <w:rsid w:val="00646EEB"/>
    <w:rsid w:val="0065149A"/>
    <w:rsid w:val="00652333"/>
    <w:rsid w:val="00654B53"/>
    <w:rsid w:val="0066259D"/>
    <w:rsid w:val="00662DA3"/>
    <w:rsid w:val="00664F8A"/>
    <w:rsid w:val="00665636"/>
    <w:rsid w:val="00665C60"/>
    <w:rsid w:val="006660E3"/>
    <w:rsid w:val="00667EDC"/>
    <w:rsid w:val="00671900"/>
    <w:rsid w:val="00674295"/>
    <w:rsid w:val="0068009E"/>
    <w:rsid w:val="006833C6"/>
    <w:rsid w:val="00692219"/>
    <w:rsid w:val="0069474E"/>
    <w:rsid w:val="006A01C5"/>
    <w:rsid w:val="006A17B3"/>
    <w:rsid w:val="006A17D2"/>
    <w:rsid w:val="006A192C"/>
    <w:rsid w:val="006A20E7"/>
    <w:rsid w:val="006A4192"/>
    <w:rsid w:val="006A73E6"/>
    <w:rsid w:val="006A7D30"/>
    <w:rsid w:val="006B1E15"/>
    <w:rsid w:val="006B2D5C"/>
    <w:rsid w:val="006B5A25"/>
    <w:rsid w:val="006B5EE6"/>
    <w:rsid w:val="006B65F4"/>
    <w:rsid w:val="006C25B9"/>
    <w:rsid w:val="006C4EB1"/>
    <w:rsid w:val="006C5675"/>
    <w:rsid w:val="006C7F2C"/>
    <w:rsid w:val="006D1983"/>
    <w:rsid w:val="006E0166"/>
    <w:rsid w:val="006E22A3"/>
    <w:rsid w:val="006E7B34"/>
    <w:rsid w:val="006E7C98"/>
    <w:rsid w:val="006F1403"/>
    <w:rsid w:val="006F7B50"/>
    <w:rsid w:val="0070185B"/>
    <w:rsid w:val="00701B75"/>
    <w:rsid w:val="0070304C"/>
    <w:rsid w:val="00704E90"/>
    <w:rsid w:val="0070578D"/>
    <w:rsid w:val="00706026"/>
    <w:rsid w:val="0070697F"/>
    <w:rsid w:val="007123BB"/>
    <w:rsid w:val="007169FF"/>
    <w:rsid w:val="0072199C"/>
    <w:rsid w:val="00722C9F"/>
    <w:rsid w:val="0072342E"/>
    <w:rsid w:val="0072489E"/>
    <w:rsid w:val="007253B8"/>
    <w:rsid w:val="00725F8D"/>
    <w:rsid w:val="0073741F"/>
    <w:rsid w:val="00760838"/>
    <w:rsid w:val="007625B7"/>
    <w:rsid w:val="00763A93"/>
    <w:rsid w:val="00764460"/>
    <w:rsid w:val="0076643F"/>
    <w:rsid w:val="007665A8"/>
    <w:rsid w:val="007706D1"/>
    <w:rsid w:val="00771ABF"/>
    <w:rsid w:val="00775BF0"/>
    <w:rsid w:val="00777684"/>
    <w:rsid w:val="00777B01"/>
    <w:rsid w:val="00777F63"/>
    <w:rsid w:val="00786153"/>
    <w:rsid w:val="00790EC3"/>
    <w:rsid w:val="00790FEF"/>
    <w:rsid w:val="00791A37"/>
    <w:rsid w:val="0079679E"/>
    <w:rsid w:val="007A272C"/>
    <w:rsid w:val="007A3A6B"/>
    <w:rsid w:val="007A5817"/>
    <w:rsid w:val="007B05C4"/>
    <w:rsid w:val="007B0CAB"/>
    <w:rsid w:val="007B319F"/>
    <w:rsid w:val="007B60E9"/>
    <w:rsid w:val="007B6CC3"/>
    <w:rsid w:val="007B76D3"/>
    <w:rsid w:val="007C3334"/>
    <w:rsid w:val="007D2B98"/>
    <w:rsid w:val="007D5B29"/>
    <w:rsid w:val="007D7605"/>
    <w:rsid w:val="007E21BC"/>
    <w:rsid w:val="007E5572"/>
    <w:rsid w:val="007E5D1F"/>
    <w:rsid w:val="007E6938"/>
    <w:rsid w:val="007E7C82"/>
    <w:rsid w:val="007F588D"/>
    <w:rsid w:val="0080214D"/>
    <w:rsid w:val="00803F1C"/>
    <w:rsid w:val="0080600E"/>
    <w:rsid w:val="00806C00"/>
    <w:rsid w:val="00814099"/>
    <w:rsid w:val="00817612"/>
    <w:rsid w:val="00820A51"/>
    <w:rsid w:val="00822A2D"/>
    <w:rsid w:val="008247BE"/>
    <w:rsid w:val="008338A4"/>
    <w:rsid w:val="00834CC1"/>
    <w:rsid w:val="00834D49"/>
    <w:rsid w:val="00837C45"/>
    <w:rsid w:val="00844730"/>
    <w:rsid w:val="008457C2"/>
    <w:rsid w:val="00850D8F"/>
    <w:rsid w:val="00853628"/>
    <w:rsid w:val="00855486"/>
    <w:rsid w:val="00857A82"/>
    <w:rsid w:val="00860DC6"/>
    <w:rsid w:val="00865009"/>
    <w:rsid w:val="008652C5"/>
    <w:rsid w:val="00866F20"/>
    <w:rsid w:val="00873836"/>
    <w:rsid w:val="0088322E"/>
    <w:rsid w:val="00884D62"/>
    <w:rsid w:val="00885737"/>
    <w:rsid w:val="00886895"/>
    <w:rsid w:val="00890650"/>
    <w:rsid w:val="00890943"/>
    <w:rsid w:val="00896665"/>
    <w:rsid w:val="00897E12"/>
    <w:rsid w:val="008A7E0F"/>
    <w:rsid w:val="008B0541"/>
    <w:rsid w:val="008B08ED"/>
    <w:rsid w:val="008B12F5"/>
    <w:rsid w:val="008B3786"/>
    <w:rsid w:val="008C2ACB"/>
    <w:rsid w:val="008C6246"/>
    <w:rsid w:val="008C651D"/>
    <w:rsid w:val="008D768D"/>
    <w:rsid w:val="008E1228"/>
    <w:rsid w:val="008E3759"/>
    <w:rsid w:val="008E3BFE"/>
    <w:rsid w:val="008F0545"/>
    <w:rsid w:val="008F1912"/>
    <w:rsid w:val="008F2A4A"/>
    <w:rsid w:val="008F57C3"/>
    <w:rsid w:val="0090270B"/>
    <w:rsid w:val="00902833"/>
    <w:rsid w:val="009041DC"/>
    <w:rsid w:val="009116E8"/>
    <w:rsid w:val="00912EC5"/>
    <w:rsid w:val="00917B5A"/>
    <w:rsid w:val="00917B64"/>
    <w:rsid w:val="00920A58"/>
    <w:rsid w:val="00920A8C"/>
    <w:rsid w:val="00920E6D"/>
    <w:rsid w:val="00930A75"/>
    <w:rsid w:val="00931EA9"/>
    <w:rsid w:val="00933BE8"/>
    <w:rsid w:val="00934A2C"/>
    <w:rsid w:val="00936647"/>
    <w:rsid w:val="009404EB"/>
    <w:rsid w:val="009408AE"/>
    <w:rsid w:val="00942945"/>
    <w:rsid w:val="0094523F"/>
    <w:rsid w:val="00945902"/>
    <w:rsid w:val="00946ACD"/>
    <w:rsid w:val="00950761"/>
    <w:rsid w:val="0095180E"/>
    <w:rsid w:val="00951C2A"/>
    <w:rsid w:val="009528D4"/>
    <w:rsid w:val="00953DBA"/>
    <w:rsid w:val="0096706E"/>
    <w:rsid w:val="009675CA"/>
    <w:rsid w:val="00974491"/>
    <w:rsid w:val="00975C4E"/>
    <w:rsid w:val="00977989"/>
    <w:rsid w:val="00980282"/>
    <w:rsid w:val="009809E2"/>
    <w:rsid w:val="00981571"/>
    <w:rsid w:val="00981FBA"/>
    <w:rsid w:val="009840FA"/>
    <w:rsid w:val="00985868"/>
    <w:rsid w:val="00985FD4"/>
    <w:rsid w:val="00991615"/>
    <w:rsid w:val="009959F6"/>
    <w:rsid w:val="00997BC5"/>
    <w:rsid w:val="009A4F41"/>
    <w:rsid w:val="009A6FE5"/>
    <w:rsid w:val="009B0F0C"/>
    <w:rsid w:val="009B23A8"/>
    <w:rsid w:val="009B381B"/>
    <w:rsid w:val="009B6ABD"/>
    <w:rsid w:val="009C4915"/>
    <w:rsid w:val="009C531D"/>
    <w:rsid w:val="009D1200"/>
    <w:rsid w:val="009D1753"/>
    <w:rsid w:val="009D3249"/>
    <w:rsid w:val="009D5F11"/>
    <w:rsid w:val="009D7611"/>
    <w:rsid w:val="009E0B61"/>
    <w:rsid w:val="009E204C"/>
    <w:rsid w:val="009E53DE"/>
    <w:rsid w:val="009E592E"/>
    <w:rsid w:val="009E7B1F"/>
    <w:rsid w:val="009F2544"/>
    <w:rsid w:val="009F3A7E"/>
    <w:rsid w:val="009F618A"/>
    <w:rsid w:val="00A0504E"/>
    <w:rsid w:val="00A11212"/>
    <w:rsid w:val="00A11E44"/>
    <w:rsid w:val="00A169F9"/>
    <w:rsid w:val="00A20E1B"/>
    <w:rsid w:val="00A25AA7"/>
    <w:rsid w:val="00A26980"/>
    <w:rsid w:val="00A2749A"/>
    <w:rsid w:val="00A27CDF"/>
    <w:rsid w:val="00A3062C"/>
    <w:rsid w:val="00A30795"/>
    <w:rsid w:val="00A323B5"/>
    <w:rsid w:val="00A328B3"/>
    <w:rsid w:val="00A34C93"/>
    <w:rsid w:val="00A357BE"/>
    <w:rsid w:val="00A372DA"/>
    <w:rsid w:val="00A37F2E"/>
    <w:rsid w:val="00A456C0"/>
    <w:rsid w:val="00A50FCF"/>
    <w:rsid w:val="00A528D1"/>
    <w:rsid w:val="00A53003"/>
    <w:rsid w:val="00A610CB"/>
    <w:rsid w:val="00A610CD"/>
    <w:rsid w:val="00A61553"/>
    <w:rsid w:val="00A6353F"/>
    <w:rsid w:val="00A758AA"/>
    <w:rsid w:val="00A75CC3"/>
    <w:rsid w:val="00A847FC"/>
    <w:rsid w:val="00A84B77"/>
    <w:rsid w:val="00A91817"/>
    <w:rsid w:val="00A92649"/>
    <w:rsid w:val="00A934A2"/>
    <w:rsid w:val="00AA09A2"/>
    <w:rsid w:val="00AA7996"/>
    <w:rsid w:val="00AB0171"/>
    <w:rsid w:val="00AB140A"/>
    <w:rsid w:val="00AB61A8"/>
    <w:rsid w:val="00AC118A"/>
    <w:rsid w:val="00AC1419"/>
    <w:rsid w:val="00AC19CB"/>
    <w:rsid w:val="00AD6413"/>
    <w:rsid w:val="00AE3356"/>
    <w:rsid w:val="00AE5488"/>
    <w:rsid w:val="00AE5F43"/>
    <w:rsid w:val="00AE6D2B"/>
    <w:rsid w:val="00AE6F91"/>
    <w:rsid w:val="00AE78CF"/>
    <w:rsid w:val="00AE7A83"/>
    <w:rsid w:val="00AF3067"/>
    <w:rsid w:val="00AF5202"/>
    <w:rsid w:val="00AF5571"/>
    <w:rsid w:val="00AF5604"/>
    <w:rsid w:val="00B00746"/>
    <w:rsid w:val="00B02389"/>
    <w:rsid w:val="00B03C43"/>
    <w:rsid w:val="00B07341"/>
    <w:rsid w:val="00B15DE1"/>
    <w:rsid w:val="00B16985"/>
    <w:rsid w:val="00B21F14"/>
    <w:rsid w:val="00B23368"/>
    <w:rsid w:val="00B24B1C"/>
    <w:rsid w:val="00B24C11"/>
    <w:rsid w:val="00B30539"/>
    <w:rsid w:val="00B314DB"/>
    <w:rsid w:val="00B361F2"/>
    <w:rsid w:val="00B3718B"/>
    <w:rsid w:val="00B44BCA"/>
    <w:rsid w:val="00B45456"/>
    <w:rsid w:val="00B4632A"/>
    <w:rsid w:val="00B51266"/>
    <w:rsid w:val="00B530F1"/>
    <w:rsid w:val="00B57CF5"/>
    <w:rsid w:val="00B6242E"/>
    <w:rsid w:val="00B632E6"/>
    <w:rsid w:val="00B642DA"/>
    <w:rsid w:val="00B74BF9"/>
    <w:rsid w:val="00B81E09"/>
    <w:rsid w:val="00B83B24"/>
    <w:rsid w:val="00B84EAB"/>
    <w:rsid w:val="00B86604"/>
    <w:rsid w:val="00B86788"/>
    <w:rsid w:val="00B93BB3"/>
    <w:rsid w:val="00B95931"/>
    <w:rsid w:val="00BA276C"/>
    <w:rsid w:val="00BA2A06"/>
    <w:rsid w:val="00BA5ACD"/>
    <w:rsid w:val="00BB009B"/>
    <w:rsid w:val="00BB306F"/>
    <w:rsid w:val="00BB3B20"/>
    <w:rsid w:val="00BB7212"/>
    <w:rsid w:val="00BC180A"/>
    <w:rsid w:val="00BC193A"/>
    <w:rsid w:val="00BC2A79"/>
    <w:rsid w:val="00BD0AC4"/>
    <w:rsid w:val="00BD4B89"/>
    <w:rsid w:val="00BD5922"/>
    <w:rsid w:val="00BD6291"/>
    <w:rsid w:val="00BE4B9C"/>
    <w:rsid w:val="00BE4D9C"/>
    <w:rsid w:val="00BF02CB"/>
    <w:rsid w:val="00BF2B51"/>
    <w:rsid w:val="00BF49A6"/>
    <w:rsid w:val="00BF6FD8"/>
    <w:rsid w:val="00C03680"/>
    <w:rsid w:val="00C04151"/>
    <w:rsid w:val="00C054DF"/>
    <w:rsid w:val="00C0639D"/>
    <w:rsid w:val="00C106FD"/>
    <w:rsid w:val="00C111FF"/>
    <w:rsid w:val="00C12F6B"/>
    <w:rsid w:val="00C21657"/>
    <w:rsid w:val="00C21762"/>
    <w:rsid w:val="00C21FEF"/>
    <w:rsid w:val="00C24543"/>
    <w:rsid w:val="00C25420"/>
    <w:rsid w:val="00C256A2"/>
    <w:rsid w:val="00C31CE3"/>
    <w:rsid w:val="00C32341"/>
    <w:rsid w:val="00C33CE7"/>
    <w:rsid w:val="00C36409"/>
    <w:rsid w:val="00C444B7"/>
    <w:rsid w:val="00C45BC6"/>
    <w:rsid w:val="00C51515"/>
    <w:rsid w:val="00C54D5E"/>
    <w:rsid w:val="00C564DA"/>
    <w:rsid w:val="00C5660B"/>
    <w:rsid w:val="00C66B72"/>
    <w:rsid w:val="00C67DD9"/>
    <w:rsid w:val="00C737C5"/>
    <w:rsid w:val="00C80648"/>
    <w:rsid w:val="00C81501"/>
    <w:rsid w:val="00C8370B"/>
    <w:rsid w:val="00C8508B"/>
    <w:rsid w:val="00C87AC4"/>
    <w:rsid w:val="00C9567A"/>
    <w:rsid w:val="00C96AA4"/>
    <w:rsid w:val="00C96AFF"/>
    <w:rsid w:val="00CA367F"/>
    <w:rsid w:val="00CB212D"/>
    <w:rsid w:val="00CB2660"/>
    <w:rsid w:val="00CB358F"/>
    <w:rsid w:val="00CB48E5"/>
    <w:rsid w:val="00CC1094"/>
    <w:rsid w:val="00CC272E"/>
    <w:rsid w:val="00CC5E90"/>
    <w:rsid w:val="00CD046C"/>
    <w:rsid w:val="00CD5898"/>
    <w:rsid w:val="00CD5CEE"/>
    <w:rsid w:val="00CD6CCF"/>
    <w:rsid w:val="00CE076C"/>
    <w:rsid w:val="00CE2E6A"/>
    <w:rsid w:val="00CE3376"/>
    <w:rsid w:val="00CE364B"/>
    <w:rsid w:val="00CE3FD9"/>
    <w:rsid w:val="00CE4CD9"/>
    <w:rsid w:val="00CE50BD"/>
    <w:rsid w:val="00CE5199"/>
    <w:rsid w:val="00CE66D5"/>
    <w:rsid w:val="00CF0B7E"/>
    <w:rsid w:val="00CF637A"/>
    <w:rsid w:val="00CF6976"/>
    <w:rsid w:val="00D02CD8"/>
    <w:rsid w:val="00D03E48"/>
    <w:rsid w:val="00D059DE"/>
    <w:rsid w:val="00D05ABD"/>
    <w:rsid w:val="00D10315"/>
    <w:rsid w:val="00D118AA"/>
    <w:rsid w:val="00D13FCE"/>
    <w:rsid w:val="00D16BB5"/>
    <w:rsid w:val="00D202EB"/>
    <w:rsid w:val="00D21316"/>
    <w:rsid w:val="00D26228"/>
    <w:rsid w:val="00D304F5"/>
    <w:rsid w:val="00D306D1"/>
    <w:rsid w:val="00D30800"/>
    <w:rsid w:val="00D34786"/>
    <w:rsid w:val="00D358AF"/>
    <w:rsid w:val="00D37BFC"/>
    <w:rsid w:val="00D4209A"/>
    <w:rsid w:val="00D42F1E"/>
    <w:rsid w:val="00D476CB"/>
    <w:rsid w:val="00D47A8E"/>
    <w:rsid w:val="00D50EEC"/>
    <w:rsid w:val="00D51692"/>
    <w:rsid w:val="00D52C24"/>
    <w:rsid w:val="00D52D14"/>
    <w:rsid w:val="00D534AB"/>
    <w:rsid w:val="00D56A62"/>
    <w:rsid w:val="00D613C6"/>
    <w:rsid w:val="00D63BD0"/>
    <w:rsid w:val="00D65118"/>
    <w:rsid w:val="00D712D3"/>
    <w:rsid w:val="00D71422"/>
    <w:rsid w:val="00D72DC6"/>
    <w:rsid w:val="00D7558D"/>
    <w:rsid w:val="00D81D92"/>
    <w:rsid w:val="00D82093"/>
    <w:rsid w:val="00D834AA"/>
    <w:rsid w:val="00D86434"/>
    <w:rsid w:val="00D876F9"/>
    <w:rsid w:val="00D91630"/>
    <w:rsid w:val="00DA2224"/>
    <w:rsid w:val="00DA7B5F"/>
    <w:rsid w:val="00DB07B8"/>
    <w:rsid w:val="00DB1634"/>
    <w:rsid w:val="00DC11E7"/>
    <w:rsid w:val="00DC15CF"/>
    <w:rsid w:val="00DC2CFD"/>
    <w:rsid w:val="00DC3B3B"/>
    <w:rsid w:val="00DC4E88"/>
    <w:rsid w:val="00DC6321"/>
    <w:rsid w:val="00DC7023"/>
    <w:rsid w:val="00DC769A"/>
    <w:rsid w:val="00DD145E"/>
    <w:rsid w:val="00DD189E"/>
    <w:rsid w:val="00DD3D86"/>
    <w:rsid w:val="00DD4AD2"/>
    <w:rsid w:val="00DE21CE"/>
    <w:rsid w:val="00DE2A16"/>
    <w:rsid w:val="00DE2BAF"/>
    <w:rsid w:val="00DE69EE"/>
    <w:rsid w:val="00DE7593"/>
    <w:rsid w:val="00DF1E04"/>
    <w:rsid w:val="00DF1EC4"/>
    <w:rsid w:val="00DF266C"/>
    <w:rsid w:val="00DF3401"/>
    <w:rsid w:val="00E02B42"/>
    <w:rsid w:val="00E02ED6"/>
    <w:rsid w:val="00E0340B"/>
    <w:rsid w:val="00E03755"/>
    <w:rsid w:val="00E04A90"/>
    <w:rsid w:val="00E0551F"/>
    <w:rsid w:val="00E072AB"/>
    <w:rsid w:val="00E1172C"/>
    <w:rsid w:val="00E1175D"/>
    <w:rsid w:val="00E12876"/>
    <w:rsid w:val="00E167CE"/>
    <w:rsid w:val="00E219C7"/>
    <w:rsid w:val="00E2348E"/>
    <w:rsid w:val="00E24368"/>
    <w:rsid w:val="00E25718"/>
    <w:rsid w:val="00E31933"/>
    <w:rsid w:val="00E3460C"/>
    <w:rsid w:val="00E40376"/>
    <w:rsid w:val="00E4118C"/>
    <w:rsid w:val="00E43157"/>
    <w:rsid w:val="00E438D8"/>
    <w:rsid w:val="00E461CE"/>
    <w:rsid w:val="00E55F62"/>
    <w:rsid w:val="00E56933"/>
    <w:rsid w:val="00E720CA"/>
    <w:rsid w:val="00E757F9"/>
    <w:rsid w:val="00E77B2D"/>
    <w:rsid w:val="00E77E10"/>
    <w:rsid w:val="00E812CC"/>
    <w:rsid w:val="00E84EB5"/>
    <w:rsid w:val="00E84FA1"/>
    <w:rsid w:val="00E85662"/>
    <w:rsid w:val="00E85DC7"/>
    <w:rsid w:val="00E8789F"/>
    <w:rsid w:val="00E93C6F"/>
    <w:rsid w:val="00E97B71"/>
    <w:rsid w:val="00EA1A34"/>
    <w:rsid w:val="00EA3D34"/>
    <w:rsid w:val="00EA44B8"/>
    <w:rsid w:val="00EA7102"/>
    <w:rsid w:val="00EB1A15"/>
    <w:rsid w:val="00EB454D"/>
    <w:rsid w:val="00EB6142"/>
    <w:rsid w:val="00EB6B74"/>
    <w:rsid w:val="00EB6D3E"/>
    <w:rsid w:val="00EC3C4B"/>
    <w:rsid w:val="00EC3E2B"/>
    <w:rsid w:val="00EC463B"/>
    <w:rsid w:val="00EC68CD"/>
    <w:rsid w:val="00ED2B12"/>
    <w:rsid w:val="00ED43D9"/>
    <w:rsid w:val="00ED549D"/>
    <w:rsid w:val="00ED76BE"/>
    <w:rsid w:val="00EE00E9"/>
    <w:rsid w:val="00EE10AD"/>
    <w:rsid w:val="00EE2674"/>
    <w:rsid w:val="00EE28DC"/>
    <w:rsid w:val="00EE2C30"/>
    <w:rsid w:val="00EE3F35"/>
    <w:rsid w:val="00EF619B"/>
    <w:rsid w:val="00F00B55"/>
    <w:rsid w:val="00F02AD1"/>
    <w:rsid w:val="00F07C05"/>
    <w:rsid w:val="00F17F2E"/>
    <w:rsid w:val="00F21187"/>
    <w:rsid w:val="00F22056"/>
    <w:rsid w:val="00F253CC"/>
    <w:rsid w:val="00F26DFA"/>
    <w:rsid w:val="00F27918"/>
    <w:rsid w:val="00F30979"/>
    <w:rsid w:val="00F34727"/>
    <w:rsid w:val="00F34D16"/>
    <w:rsid w:val="00F3526E"/>
    <w:rsid w:val="00F37106"/>
    <w:rsid w:val="00F372FC"/>
    <w:rsid w:val="00F4466B"/>
    <w:rsid w:val="00F44E5D"/>
    <w:rsid w:val="00F468DB"/>
    <w:rsid w:val="00F519CF"/>
    <w:rsid w:val="00F52001"/>
    <w:rsid w:val="00F539D8"/>
    <w:rsid w:val="00F54833"/>
    <w:rsid w:val="00F56BA5"/>
    <w:rsid w:val="00F60E22"/>
    <w:rsid w:val="00F62569"/>
    <w:rsid w:val="00F64D6A"/>
    <w:rsid w:val="00F72F63"/>
    <w:rsid w:val="00F74313"/>
    <w:rsid w:val="00F744D7"/>
    <w:rsid w:val="00F74D5B"/>
    <w:rsid w:val="00F74F6E"/>
    <w:rsid w:val="00F81395"/>
    <w:rsid w:val="00F81BB8"/>
    <w:rsid w:val="00F91096"/>
    <w:rsid w:val="00F917D1"/>
    <w:rsid w:val="00F91A0E"/>
    <w:rsid w:val="00F95E5D"/>
    <w:rsid w:val="00F9653B"/>
    <w:rsid w:val="00F97E85"/>
    <w:rsid w:val="00FA134D"/>
    <w:rsid w:val="00FA2F94"/>
    <w:rsid w:val="00FA66C4"/>
    <w:rsid w:val="00FB62CF"/>
    <w:rsid w:val="00FC0475"/>
    <w:rsid w:val="00FC08ED"/>
    <w:rsid w:val="00FC7F77"/>
    <w:rsid w:val="00FD3C3B"/>
    <w:rsid w:val="00FD5D17"/>
    <w:rsid w:val="00FD7D13"/>
    <w:rsid w:val="00FE07DD"/>
    <w:rsid w:val="00FE5E34"/>
    <w:rsid w:val="00FE6B45"/>
    <w:rsid w:val="00FF2A7E"/>
    <w:rsid w:val="00FF4D0A"/>
    <w:rsid w:val="00FF55F3"/>
    <w:rsid w:val="00FF5851"/>
    <w:rsid w:val="00FF7B79"/>
    <w:rsid w:val="0A456CFF"/>
    <w:rsid w:val="0FD7BDBD"/>
    <w:rsid w:val="1343FA76"/>
    <w:rsid w:val="1B80724B"/>
    <w:rsid w:val="1C8F706B"/>
    <w:rsid w:val="1E281CF4"/>
    <w:rsid w:val="1E62BDD8"/>
    <w:rsid w:val="1FA0E908"/>
    <w:rsid w:val="2238A4B6"/>
    <w:rsid w:val="2BAE0D96"/>
    <w:rsid w:val="2CE5E3AB"/>
    <w:rsid w:val="3026F2B2"/>
    <w:rsid w:val="34CF4E2E"/>
    <w:rsid w:val="3750682F"/>
    <w:rsid w:val="3897E318"/>
    <w:rsid w:val="3A522D83"/>
    <w:rsid w:val="4C50AED8"/>
    <w:rsid w:val="5B4A3612"/>
    <w:rsid w:val="6C362801"/>
    <w:rsid w:val="6C5C66F5"/>
    <w:rsid w:val="6C66B7D8"/>
    <w:rsid w:val="70A0BDE0"/>
    <w:rsid w:val="724BC781"/>
    <w:rsid w:val="7A89EB4F"/>
    <w:rsid w:val="7FE30239"/>
    <w:rsid w:val="7FF2C0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unhideWhenUsed/>
    <w:rsid w:val="00E167CE"/>
    <w:rPr>
      <w:sz w:val="20"/>
      <w:szCs w:val="20"/>
    </w:rPr>
  </w:style>
  <w:style w:type="character" w:customStyle="1" w:styleId="CommentTextChar">
    <w:name w:val="Comment Text Char"/>
    <w:basedOn w:val="DefaultParagraphFont"/>
    <w:link w:val="CommentText"/>
    <w:uiPriority w:val="99"/>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paragraph" w:styleId="Revision">
    <w:name w:val="Revision"/>
    <w:hidden/>
    <w:uiPriority w:val="99"/>
    <w:semiHidden/>
    <w:rsid w:val="005976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C31CE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0"/>
      <w:szCs w:val="20"/>
      <w:bdr w:val="none" w:sz="0" w:space="0" w:color="auto"/>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353118975">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106312966">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32462691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812719666">
                                  <w:marLeft w:val="0"/>
                                  <w:marRight w:val="0"/>
                                  <w:marTop w:val="0"/>
                                  <w:marBottom w:val="0"/>
                                  <w:divBdr>
                                    <w:top w:val="none" w:sz="0" w:space="0" w:color="auto"/>
                                    <w:left w:val="none" w:sz="0" w:space="0" w:color="auto"/>
                                    <w:bottom w:val="none" w:sz="0" w:space="0" w:color="auto"/>
                                    <w:right w:val="none" w:sz="0" w:space="0" w:color="auto"/>
                                  </w:divBdr>
                                  <w:divsChild>
                                    <w:div w:id="173225989">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55936011">
                                      <w:marLeft w:val="0"/>
                                      <w:marRight w:val="0"/>
                                      <w:marTop w:val="0"/>
                                      <w:marBottom w:val="0"/>
                                      <w:divBdr>
                                        <w:top w:val="none" w:sz="0" w:space="0" w:color="auto"/>
                                        <w:left w:val="none" w:sz="0" w:space="0" w:color="auto"/>
                                        <w:bottom w:val="none" w:sz="0" w:space="0" w:color="auto"/>
                                        <w:right w:val="none" w:sz="0" w:space="0" w:color="auto"/>
                                      </w:divBdr>
                                    </w:div>
                                  </w:divsChild>
                                </w:div>
                                <w:div w:id="990409675">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1504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3715</Words>
  <Characters>21176</Characters>
  <Application>Microsoft Office Word</Application>
  <DocSecurity>0</DocSecurity>
  <Lines>176</Lines>
  <Paragraphs>49</Paragraphs>
  <ScaleCrop>false</ScaleCrop>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2025-02-10T19:40:00Z</dcterms:created>
  <dcterms:modified xsi:type="dcterms:W3CDTF">2025-02-10T19:40:00Z</dcterms:modified>
</cp:coreProperties>
</file>