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4DC8C1C2"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58240" behindDoc="0" locked="0" layoutInCell="1" allowOverlap="1" wp14:anchorId="179A3F0F" wp14:editId="346DE21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B95696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90270B">
        <w:rPr>
          <w:rFonts w:asciiTheme="majorHAnsi" w:hAnsiTheme="majorHAnsi"/>
          <w:noProof/>
          <w:sz w:val="22"/>
          <w:szCs w:val="22"/>
          <w:lang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1359ADD0" w:rsidR="00CB2660" w:rsidRDefault="00A066C6" w:rsidP="00AE5488">
                            <w:r>
                              <w:rPr>
                                <w:noProof/>
                              </w:rPr>
                              <w:drawing>
                                <wp:inline distT="0" distB="0" distL="0" distR="0" wp14:anchorId="726DCDFD" wp14:editId="79846369">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1359ADD0" w:rsidR="00CB2660" w:rsidRDefault="00A066C6" w:rsidP="00AE5488">
                      <w:r>
                        <w:rPr>
                          <w:noProof/>
                        </w:rPr>
                        <w:drawing>
                          <wp:inline distT="0" distB="0" distL="0" distR="0" wp14:anchorId="726DCDFD" wp14:editId="79846369">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634E37A" w:rsidR="005B52B0" w:rsidRPr="008533E6" w:rsidRDefault="005B52B0" w:rsidP="00997BC5">
                            <w:pPr>
                              <w:spacing w:line="276" w:lineRule="auto"/>
                              <w:rPr>
                                <w:rFonts w:asciiTheme="majorHAnsi" w:hAnsiTheme="majorHAnsi" w:cs="Arial"/>
                                <w:b/>
                                <w:bCs/>
                                <w:color w:val="0D0D0D" w:themeColor="text1" w:themeTint="F2"/>
                                <w:sz w:val="36"/>
                                <w:szCs w:val="22"/>
                                <w:lang w:val="pt-BR"/>
                              </w:rPr>
                            </w:pPr>
                            <w:r w:rsidRPr="008533E6">
                              <w:rPr>
                                <w:rFonts w:asciiTheme="majorHAnsi" w:hAnsiTheme="majorHAnsi" w:cs="Arial"/>
                                <w:b/>
                                <w:bCs/>
                                <w:color w:val="0D0D0D" w:themeColor="text1" w:themeTint="F2"/>
                                <w:sz w:val="36"/>
                                <w:szCs w:val="22"/>
                                <w:lang w:val="pt-BR"/>
                              </w:rPr>
                              <w:t xml:space="preserve">RELATÓRIO </w:t>
                            </w:r>
                            <w:r w:rsidR="00477592" w:rsidRPr="008533E6">
                              <w:rPr>
                                <w:rFonts w:asciiTheme="majorHAnsi" w:hAnsiTheme="majorHAnsi" w:cs="Arial"/>
                                <w:b/>
                                <w:bCs/>
                                <w:color w:val="0D0D0D" w:themeColor="text1" w:themeTint="F2"/>
                                <w:sz w:val="36"/>
                                <w:szCs w:val="40"/>
                                <w:lang w:val="pt-BR"/>
                              </w:rPr>
                              <w:t>Nº</w:t>
                            </w:r>
                            <w:r w:rsidR="007B05C4" w:rsidRPr="008533E6">
                              <w:rPr>
                                <w:rFonts w:asciiTheme="majorHAnsi" w:hAnsiTheme="majorHAnsi" w:cs="Arial"/>
                                <w:b/>
                                <w:bCs/>
                                <w:color w:val="0D0D0D" w:themeColor="text1" w:themeTint="F2"/>
                                <w:sz w:val="36"/>
                                <w:szCs w:val="22"/>
                                <w:lang w:val="pt-BR"/>
                              </w:rPr>
                              <w:t xml:space="preserve"> </w:t>
                            </w:r>
                            <w:r w:rsidR="00654CEE">
                              <w:rPr>
                                <w:rFonts w:asciiTheme="majorHAnsi" w:hAnsiTheme="majorHAnsi" w:cs="Arial"/>
                                <w:b/>
                                <w:bCs/>
                                <w:color w:val="0D0D0D" w:themeColor="text1" w:themeTint="F2"/>
                                <w:sz w:val="36"/>
                                <w:szCs w:val="22"/>
                                <w:lang w:val="pt-BR"/>
                              </w:rPr>
                              <w:t>67</w:t>
                            </w:r>
                            <w:r w:rsidR="007B05C4" w:rsidRPr="008533E6">
                              <w:rPr>
                                <w:rFonts w:asciiTheme="majorHAnsi" w:hAnsiTheme="majorHAnsi" w:cs="Arial"/>
                                <w:b/>
                                <w:bCs/>
                                <w:color w:val="0D0D0D" w:themeColor="text1" w:themeTint="F2"/>
                                <w:sz w:val="36"/>
                                <w:szCs w:val="22"/>
                                <w:lang w:val="pt-BR"/>
                              </w:rPr>
                              <w:t>/25</w:t>
                            </w:r>
                          </w:p>
                          <w:p w14:paraId="09C54AB3" w14:textId="60111BC3" w:rsidR="007B05C4" w:rsidRPr="008533E6" w:rsidRDefault="005B52B0" w:rsidP="00997BC5">
                            <w:pPr>
                              <w:spacing w:line="276" w:lineRule="auto"/>
                              <w:rPr>
                                <w:rFonts w:asciiTheme="majorHAnsi" w:hAnsiTheme="majorHAnsi" w:cs="Arial"/>
                                <w:b/>
                                <w:color w:val="0D0D0D" w:themeColor="text1" w:themeTint="F2"/>
                                <w:sz w:val="36"/>
                                <w:szCs w:val="22"/>
                                <w:lang w:val="pt-BR"/>
                              </w:rPr>
                            </w:pPr>
                            <w:r w:rsidRPr="008533E6">
                              <w:rPr>
                                <w:rFonts w:asciiTheme="majorHAnsi" w:hAnsiTheme="majorHAnsi" w:cs="Arial"/>
                                <w:b/>
                                <w:color w:val="0D0D0D" w:themeColor="text1" w:themeTint="F2"/>
                                <w:sz w:val="36"/>
                                <w:szCs w:val="22"/>
                                <w:lang w:val="pt-BR"/>
                              </w:rPr>
                              <w:t>PETIÇÃO 2043-21</w:t>
                            </w:r>
                          </w:p>
                          <w:p w14:paraId="70CF6833" w14:textId="23DB9CB9" w:rsidR="00CD046C" w:rsidRPr="008533E6" w:rsidRDefault="005B52B0" w:rsidP="00997BC5">
                            <w:pPr>
                              <w:spacing w:line="276" w:lineRule="auto"/>
                              <w:rPr>
                                <w:rFonts w:asciiTheme="majorHAnsi" w:hAnsiTheme="majorHAnsi" w:cs="Arial"/>
                                <w:color w:val="0D0D0D" w:themeColor="text1" w:themeTint="F2"/>
                                <w:szCs w:val="22"/>
                                <w:lang w:val="pt-BR"/>
                              </w:rPr>
                            </w:pPr>
                            <w:r w:rsidRPr="008533E6">
                              <w:rPr>
                                <w:rFonts w:asciiTheme="majorHAnsi" w:hAnsiTheme="majorHAnsi" w:cs="Arial"/>
                                <w:color w:val="0D0D0D" w:themeColor="text1" w:themeTint="F2"/>
                                <w:szCs w:val="22"/>
                                <w:lang w:val="pt-BR"/>
                              </w:rPr>
                              <w:t xml:space="preserve">RELATÓRIO DE ADMISSIBILIDADE </w:t>
                            </w:r>
                          </w:p>
                          <w:p w14:paraId="5FDD6F0D" w14:textId="77777777" w:rsidR="008F1912" w:rsidRPr="008533E6"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426B9C62" w14:textId="450471F5" w:rsidR="0062426C" w:rsidRPr="00837F3C" w:rsidRDefault="0062426C" w:rsidP="007A5817">
                            <w:pPr>
                              <w:rPr>
                                <w:rFonts w:asciiTheme="majorHAnsi" w:hAnsiTheme="majorHAnsi" w:cs="Arial"/>
                                <w:color w:val="0D0D0D" w:themeColor="text1" w:themeTint="F2"/>
                                <w:szCs w:val="22"/>
                                <w:lang w:val="pt-BR"/>
                              </w:rPr>
                            </w:pPr>
                            <w:r w:rsidRPr="008533E6">
                              <w:rPr>
                                <w:rFonts w:asciiTheme="majorHAnsi" w:hAnsiTheme="majorHAnsi" w:cs="Arial"/>
                                <w:color w:val="0D0D0D" w:themeColor="text1" w:themeTint="F2"/>
                                <w:szCs w:val="22"/>
                                <w:lang w:val="pt-BR"/>
                              </w:rPr>
                              <w:t>ELISON DA SILVA REIS E O</w:t>
                            </w:r>
                            <w:r w:rsidR="001172D6">
                              <w:rPr>
                                <w:rFonts w:asciiTheme="majorHAnsi" w:hAnsiTheme="majorHAnsi" w:cs="Arial"/>
                                <w:color w:val="0D0D0D" w:themeColor="text1" w:themeTint="F2"/>
                                <w:szCs w:val="22"/>
                                <w:lang w:val="pt-BR"/>
                              </w:rPr>
                              <w:t>UTROS</w:t>
                            </w:r>
                          </w:p>
                          <w:p w14:paraId="575DFD52" w14:textId="1440330F" w:rsidR="005B52B0" w:rsidRPr="0062426C" w:rsidRDefault="007D3EFE" w:rsidP="007A5817">
                            <w:pPr>
                              <w:rPr>
                                <w:color w:val="0D0D0D" w:themeColor="text1" w:themeTint="F2"/>
                                <w:lang w:val="pt-BR"/>
                              </w:rPr>
                            </w:pPr>
                            <w:r w:rsidRPr="00837F3C">
                              <w:rPr>
                                <w:rFonts w:asciiTheme="majorHAnsi" w:hAnsiTheme="majorHAnsi" w:cs="Arial"/>
                                <w:color w:val="0D0D0D" w:themeColor="text1" w:themeTint="F2"/>
                                <w:szCs w:val="22"/>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634E37A" w:rsidR="005B52B0" w:rsidRPr="008533E6" w:rsidRDefault="005B52B0" w:rsidP="00997BC5">
                      <w:pPr>
                        <w:spacing w:line="276" w:lineRule="auto"/>
                        <w:rPr>
                          <w:rFonts w:asciiTheme="majorHAnsi" w:hAnsiTheme="majorHAnsi" w:cs="Arial"/>
                          <w:b/>
                          <w:bCs/>
                          <w:color w:val="0D0D0D" w:themeColor="text1" w:themeTint="F2"/>
                          <w:sz w:val="36"/>
                          <w:szCs w:val="22"/>
                          <w:lang w:val="pt-BR"/>
                        </w:rPr>
                      </w:pPr>
                      <w:r w:rsidRPr="008533E6">
                        <w:rPr>
                          <w:rFonts w:asciiTheme="majorHAnsi" w:hAnsiTheme="majorHAnsi" w:cs="Arial"/>
                          <w:b/>
                          <w:bCs/>
                          <w:color w:val="0D0D0D" w:themeColor="text1" w:themeTint="F2"/>
                          <w:sz w:val="36"/>
                          <w:szCs w:val="22"/>
                          <w:lang w:val="pt-BR"/>
                        </w:rPr>
                        <w:t xml:space="preserve">RELATÓRIO </w:t>
                      </w:r>
                      <w:r w:rsidR="00477592" w:rsidRPr="008533E6">
                        <w:rPr>
                          <w:rFonts w:asciiTheme="majorHAnsi" w:hAnsiTheme="majorHAnsi" w:cs="Arial"/>
                          <w:b/>
                          <w:bCs/>
                          <w:color w:val="0D0D0D" w:themeColor="text1" w:themeTint="F2"/>
                          <w:sz w:val="36"/>
                          <w:szCs w:val="40"/>
                          <w:lang w:val="pt-BR"/>
                        </w:rPr>
                        <w:t>Nº</w:t>
                      </w:r>
                      <w:r w:rsidR="007B05C4" w:rsidRPr="008533E6">
                        <w:rPr>
                          <w:rFonts w:asciiTheme="majorHAnsi" w:hAnsiTheme="majorHAnsi" w:cs="Arial"/>
                          <w:b/>
                          <w:bCs/>
                          <w:color w:val="0D0D0D" w:themeColor="text1" w:themeTint="F2"/>
                          <w:sz w:val="36"/>
                          <w:szCs w:val="22"/>
                          <w:lang w:val="pt-BR"/>
                        </w:rPr>
                        <w:t xml:space="preserve"> </w:t>
                      </w:r>
                      <w:r w:rsidR="00654CEE">
                        <w:rPr>
                          <w:rFonts w:asciiTheme="majorHAnsi" w:hAnsiTheme="majorHAnsi" w:cs="Arial"/>
                          <w:b/>
                          <w:bCs/>
                          <w:color w:val="0D0D0D" w:themeColor="text1" w:themeTint="F2"/>
                          <w:sz w:val="36"/>
                          <w:szCs w:val="22"/>
                          <w:lang w:val="pt-BR"/>
                        </w:rPr>
                        <w:t>67</w:t>
                      </w:r>
                      <w:r w:rsidR="007B05C4" w:rsidRPr="008533E6">
                        <w:rPr>
                          <w:rFonts w:asciiTheme="majorHAnsi" w:hAnsiTheme="majorHAnsi" w:cs="Arial"/>
                          <w:b/>
                          <w:bCs/>
                          <w:color w:val="0D0D0D" w:themeColor="text1" w:themeTint="F2"/>
                          <w:sz w:val="36"/>
                          <w:szCs w:val="22"/>
                          <w:lang w:val="pt-BR"/>
                        </w:rPr>
                        <w:t>/25</w:t>
                      </w:r>
                    </w:p>
                    <w:p w14:paraId="09C54AB3" w14:textId="60111BC3" w:rsidR="007B05C4" w:rsidRPr="008533E6" w:rsidRDefault="005B52B0" w:rsidP="00997BC5">
                      <w:pPr>
                        <w:spacing w:line="276" w:lineRule="auto"/>
                        <w:rPr>
                          <w:rFonts w:asciiTheme="majorHAnsi" w:hAnsiTheme="majorHAnsi" w:cs="Arial"/>
                          <w:b/>
                          <w:color w:val="0D0D0D" w:themeColor="text1" w:themeTint="F2"/>
                          <w:sz w:val="36"/>
                          <w:szCs w:val="22"/>
                          <w:lang w:val="pt-BR"/>
                        </w:rPr>
                      </w:pPr>
                      <w:r w:rsidRPr="008533E6">
                        <w:rPr>
                          <w:rFonts w:asciiTheme="majorHAnsi" w:hAnsiTheme="majorHAnsi" w:cs="Arial"/>
                          <w:b/>
                          <w:color w:val="0D0D0D" w:themeColor="text1" w:themeTint="F2"/>
                          <w:sz w:val="36"/>
                          <w:szCs w:val="22"/>
                          <w:lang w:val="pt-BR"/>
                        </w:rPr>
                        <w:t>PETIÇÃO 2043-21</w:t>
                      </w:r>
                    </w:p>
                    <w:p w14:paraId="70CF6833" w14:textId="23DB9CB9" w:rsidR="00CD046C" w:rsidRPr="008533E6" w:rsidRDefault="005B52B0" w:rsidP="00997BC5">
                      <w:pPr>
                        <w:spacing w:line="276" w:lineRule="auto"/>
                        <w:rPr>
                          <w:rFonts w:asciiTheme="majorHAnsi" w:hAnsiTheme="majorHAnsi" w:cs="Arial"/>
                          <w:color w:val="0D0D0D" w:themeColor="text1" w:themeTint="F2"/>
                          <w:szCs w:val="22"/>
                          <w:lang w:val="pt-BR"/>
                        </w:rPr>
                      </w:pPr>
                      <w:r w:rsidRPr="008533E6">
                        <w:rPr>
                          <w:rFonts w:asciiTheme="majorHAnsi" w:hAnsiTheme="majorHAnsi" w:cs="Arial"/>
                          <w:color w:val="0D0D0D" w:themeColor="text1" w:themeTint="F2"/>
                          <w:szCs w:val="22"/>
                          <w:lang w:val="pt-BR"/>
                        </w:rPr>
                        <w:t xml:space="preserve">RELATÓRIO DE ADMISSIBILIDADE </w:t>
                      </w:r>
                    </w:p>
                    <w:p w14:paraId="5FDD6F0D" w14:textId="77777777" w:rsidR="008F1912" w:rsidRPr="008533E6"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426B9C62" w14:textId="450471F5" w:rsidR="0062426C" w:rsidRPr="00837F3C" w:rsidRDefault="0062426C" w:rsidP="007A5817">
                      <w:pPr>
                        <w:rPr>
                          <w:rFonts w:asciiTheme="majorHAnsi" w:hAnsiTheme="majorHAnsi" w:cs="Arial"/>
                          <w:color w:val="0D0D0D" w:themeColor="text1" w:themeTint="F2"/>
                          <w:szCs w:val="22"/>
                          <w:lang w:val="pt-BR"/>
                        </w:rPr>
                      </w:pPr>
                      <w:r w:rsidRPr="008533E6">
                        <w:rPr>
                          <w:rFonts w:asciiTheme="majorHAnsi" w:hAnsiTheme="majorHAnsi" w:cs="Arial"/>
                          <w:color w:val="0D0D0D" w:themeColor="text1" w:themeTint="F2"/>
                          <w:szCs w:val="22"/>
                          <w:lang w:val="pt-BR"/>
                        </w:rPr>
                        <w:t>ELISON DA SILVA REIS E O</w:t>
                      </w:r>
                      <w:r w:rsidR="001172D6">
                        <w:rPr>
                          <w:rFonts w:asciiTheme="majorHAnsi" w:hAnsiTheme="majorHAnsi" w:cs="Arial"/>
                          <w:color w:val="0D0D0D" w:themeColor="text1" w:themeTint="F2"/>
                          <w:szCs w:val="22"/>
                          <w:lang w:val="pt-BR"/>
                        </w:rPr>
                        <w:t>UTROS</w:t>
                      </w:r>
                    </w:p>
                    <w:p w14:paraId="575DFD52" w14:textId="1440330F" w:rsidR="005B52B0" w:rsidRPr="0062426C" w:rsidRDefault="007D3EFE" w:rsidP="007A5817">
                      <w:pPr>
                        <w:rPr>
                          <w:color w:val="0D0D0D" w:themeColor="text1" w:themeTint="F2"/>
                          <w:lang w:val="pt-BR"/>
                        </w:rPr>
                      </w:pPr>
                      <w:r w:rsidRPr="00837F3C">
                        <w:rPr>
                          <w:rFonts w:asciiTheme="majorHAnsi" w:hAnsiTheme="majorHAnsi" w:cs="Arial"/>
                          <w:color w:val="0D0D0D" w:themeColor="text1" w:themeTint="F2"/>
                          <w:szCs w:val="22"/>
                        </w:rPr>
                        <w:t>BRASIL</w:t>
                      </w:r>
                    </w:p>
                  </w:txbxContent>
                </v:textbox>
              </v:shape>
            </w:pict>
          </mc:Fallback>
        </mc:AlternateContent>
      </w:r>
      <w:r w:rsidR="004E2649" w:rsidRPr="0090270B">
        <w:rPr>
          <w:rFonts w:asciiTheme="majorHAnsi" w:hAnsiTheme="majorHAnsi"/>
          <w:noProof/>
          <w:sz w:val="22"/>
          <w:szCs w:val="22"/>
          <w:lang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9343DCE" w:rsidR="00627C9F" w:rsidRPr="00DB1B44" w:rsidRDefault="00834D49" w:rsidP="007A5817">
                            <w:pPr>
                              <w:spacing w:line="276" w:lineRule="auto"/>
                              <w:jc w:val="right"/>
                              <w:rPr>
                                <w:rFonts w:asciiTheme="minorHAnsi" w:hAnsiTheme="minorHAnsi"/>
                                <w:sz w:val="22"/>
                                <w:lang w:val="pt-BR"/>
                              </w:rPr>
                            </w:pPr>
                            <w:r w:rsidRPr="00DB1B44">
                              <w:rPr>
                                <w:rFonts w:asciiTheme="minorHAnsi" w:hAnsiTheme="minorHAnsi"/>
                                <w:sz w:val="22"/>
                                <w:lang w:val="pt-BR"/>
                              </w:rPr>
                              <w:t>OEA/Ser.L/V/II</w:t>
                            </w:r>
                          </w:p>
                          <w:p w14:paraId="6A41611B" w14:textId="4CF4B600" w:rsidR="00627C9F" w:rsidRPr="00DB1B44" w:rsidRDefault="00627C9F" w:rsidP="007A5817">
                            <w:pPr>
                              <w:spacing w:line="276" w:lineRule="auto"/>
                              <w:jc w:val="right"/>
                              <w:rPr>
                                <w:rFonts w:asciiTheme="minorHAnsi" w:hAnsiTheme="minorHAnsi"/>
                                <w:sz w:val="22"/>
                                <w:lang w:val="pt-BR"/>
                              </w:rPr>
                            </w:pPr>
                            <w:r w:rsidRPr="00DB1B44">
                              <w:rPr>
                                <w:rFonts w:asciiTheme="minorHAnsi" w:hAnsiTheme="minorHAnsi"/>
                                <w:sz w:val="22"/>
                                <w:lang w:val="pt-BR"/>
                              </w:rPr>
                              <w:t xml:space="preserve">Doc. </w:t>
                            </w:r>
                            <w:r w:rsidR="00654CEE">
                              <w:rPr>
                                <w:rFonts w:asciiTheme="minorHAnsi" w:hAnsiTheme="minorHAnsi"/>
                                <w:sz w:val="22"/>
                                <w:lang w:val="pt-BR"/>
                              </w:rPr>
                              <w:t>70</w:t>
                            </w:r>
                          </w:p>
                          <w:p w14:paraId="69373ED2" w14:textId="551C6069" w:rsidR="00627C9F" w:rsidRPr="00654CEE" w:rsidRDefault="00D83BBB" w:rsidP="007A5817">
                            <w:pPr>
                              <w:spacing w:line="276" w:lineRule="auto"/>
                              <w:jc w:val="right"/>
                              <w:rPr>
                                <w:rFonts w:asciiTheme="minorHAnsi" w:hAnsiTheme="minorHAnsi"/>
                                <w:sz w:val="22"/>
                                <w:lang w:val="pt-BR"/>
                              </w:rPr>
                            </w:pPr>
                            <w:r>
                              <w:rPr>
                                <w:rFonts w:asciiTheme="minorHAnsi" w:hAnsiTheme="minorHAnsi"/>
                                <w:sz w:val="22"/>
                                <w:lang w:val="pt-BR"/>
                              </w:rPr>
                              <w:t>28 abril</w:t>
                            </w:r>
                            <w:r w:rsidR="00627C9F" w:rsidRPr="00654CEE">
                              <w:rPr>
                                <w:rFonts w:asciiTheme="minorHAnsi" w:hAnsiTheme="minorHAnsi"/>
                                <w:sz w:val="22"/>
                                <w:lang w:val="pt-BR"/>
                              </w:rPr>
                              <w:t xml:space="preserve"> 2025</w:t>
                            </w:r>
                          </w:p>
                          <w:p w14:paraId="47C8E0C4" w14:textId="77777777" w:rsidR="00276994" w:rsidRPr="0072489E" w:rsidRDefault="00E0340B" w:rsidP="00276994">
                            <w:pPr>
                              <w:spacing w:line="276" w:lineRule="auto"/>
                              <w:jc w:val="right"/>
                              <w:rPr>
                                <w:rFonts w:asciiTheme="minorHAnsi" w:hAnsiTheme="minorHAnsi"/>
                                <w:sz w:val="22"/>
                                <w:lang w:val="pt-BR"/>
                              </w:rPr>
                            </w:pPr>
                            <w:r w:rsidRPr="00654CEE">
                              <w:rPr>
                                <w:rFonts w:asciiTheme="minorHAnsi" w:hAnsiTheme="minorHAnsi"/>
                                <w:sz w:val="22"/>
                                <w:lang w:val="pt-BR"/>
                              </w:rPr>
                              <w:t xml:space="preserve">Original: </w:t>
                            </w:r>
                            <w:r w:rsidR="00276994" w:rsidRPr="0072489E">
                              <w:rPr>
                                <w:rFonts w:asciiTheme="minorHAnsi" w:hAnsiTheme="minorHAnsi"/>
                                <w:sz w:val="22"/>
                                <w:lang w:val="pt-BR"/>
                              </w:rPr>
                              <w:t>português</w:t>
                            </w:r>
                          </w:p>
                          <w:p w14:paraId="0771DB5B" w14:textId="0063A449" w:rsidR="00627C9F" w:rsidRPr="00654CEE" w:rsidRDefault="00627C9F" w:rsidP="007A5817">
                            <w:pPr>
                              <w:spacing w:line="276" w:lineRule="auto"/>
                              <w:jc w:val="right"/>
                              <w:rPr>
                                <w:rFonts w:asciiTheme="minorHAnsi" w:hAnsiTheme="minorHAnsi"/>
                                <w:sz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9343DCE" w:rsidR="00627C9F" w:rsidRPr="00DB1B44" w:rsidRDefault="00834D49" w:rsidP="007A5817">
                      <w:pPr>
                        <w:spacing w:line="276" w:lineRule="auto"/>
                        <w:jc w:val="right"/>
                        <w:rPr>
                          <w:rFonts w:asciiTheme="minorHAnsi" w:hAnsiTheme="minorHAnsi"/>
                          <w:sz w:val="22"/>
                          <w:lang w:val="pt-BR"/>
                        </w:rPr>
                      </w:pPr>
                      <w:r w:rsidRPr="00DB1B44">
                        <w:rPr>
                          <w:rFonts w:asciiTheme="minorHAnsi" w:hAnsiTheme="minorHAnsi"/>
                          <w:sz w:val="22"/>
                          <w:lang w:val="pt-BR"/>
                        </w:rPr>
                        <w:t>OEA/Ser.L/V/II</w:t>
                      </w:r>
                    </w:p>
                    <w:p w14:paraId="6A41611B" w14:textId="4CF4B600" w:rsidR="00627C9F" w:rsidRPr="00DB1B44" w:rsidRDefault="00627C9F" w:rsidP="007A5817">
                      <w:pPr>
                        <w:spacing w:line="276" w:lineRule="auto"/>
                        <w:jc w:val="right"/>
                        <w:rPr>
                          <w:rFonts w:asciiTheme="minorHAnsi" w:hAnsiTheme="minorHAnsi"/>
                          <w:sz w:val="22"/>
                          <w:lang w:val="pt-BR"/>
                        </w:rPr>
                      </w:pPr>
                      <w:r w:rsidRPr="00DB1B44">
                        <w:rPr>
                          <w:rFonts w:asciiTheme="minorHAnsi" w:hAnsiTheme="minorHAnsi"/>
                          <w:sz w:val="22"/>
                          <w:lang w:val="pt-BR"/>
                        </w:rPr>
                        <w:t xml:space="preserve">Doc. </w:t>
                      </w:r>
                      <w:r w:rsidR="00654CEE">
                        <w:rPr>
                          <w:rFonts w:asciiTheme="minorHAnsi" w:hAnsiTheme="minorHAnsi"/>
                          <w:sz w:val="22"/>
                          <w:lang w:val="pt-BR"/>
                        </w:rPr>
                        <w:t>70</w:t>
                      </w:r>
                    </w:p>
                    <w:p w14:paraId="69373ED2" w14:textId="551C6069" w:rsidR="00627C9F" w:rsidRPr="00654CEE" w:rsidRDefault="00D83BBB" w:rsidP="007A5817">
                      <w:pPr>
                        <w:spacing w:line="276" w:lineRule="auto"/>
                        <w:jc w:val="right"/>
                        <w:rPr>
                          <w:rFonts w:asciiTheme="minorHAnsi" w:hAnsiTheme="minorHAnsi"/>
                          <w:sz w:val="22"/>
                          <w:lang w:val="pt-BR"/>
                        </w:rPr>
                      </w:pPr>
                      <w:r>
                        <w:rPr>
                          <w:rFonts w:asciiTheme="minorHAnsi" w:hAnsiTheme="minorHAnsi"/>
                          <w:sz w:val="22"/>
                          <w:lang w:val="pt-BR"/>
                        </w:rPr>
                        <w:t>28 abril</w:t>
                      </w:r>
                      <w:r w:rsidR="00627C9F" w:rsidRPr="00654CEE">
                        <w:rPr>
                          <w:rFonts w:asciiTheme="minorHAnsi" w:hAnsiTheme="minorHAnsi"/>
                          <w:sz w:val="22"/>
                          <w:lang w:val="pt-BR"/>
                        </w:rPr>
                        <w:t xml:space="preserve"> 2025</w:t>
                      </w:r>
                    </w:p>
                    <w:p w14:paraId="47C8E0C4" w14:textId="77777777" w:rsidR="00276994" w:rsidRPr="0072489E" w:rsidRDefault="00E0340B" w:rsidP="00276994">
                      <w:pPr>
                        <w:spacing w:line="276" w:lineRule="auto"/>
                        <w:jc w:val="right"/>
                        <w:rPr>
                          <w:rFonts w:asciiTheme="minorHAnsi" w:hAnsiTheme="minorHAnsi"/>
                          <w:sz w:val="22"/>
                          <w:lang w:val="pt-BR"/>
                        </w:rPr>
                      </w:pPr>
                      <w:r w:rsidRPr="00654CEE">
                        <w:rPr>
                          <w:rFonts w:asciiTheme="minorHAnsi" w:hAnsiTheme="minorHAnsi"/>
                          <w:sz w:val="22"/>
                          <w:lang w:val="pt-BR"/>
                        </w:rPr>
                        <w:t xml:space="preserve">Original: </w:t>
                      </w:r>
                      <w:r w:rsidR="00276994" w:rsidRPr="0072489E">
                        <w:rPr>
                          <w:rFonts w:asciiTheme="minorHAnsi" w:hAnsiTheme="minorHAnsi"/>
                          <w:sz w:val="22"/>
                          <w:lang w:val="pt-BR"/>
                        </w:rPr>
                        <w:t>português</w:t>
                      </w:r>
                    </w:p>
                    <w:p w14:paraId="0771DB5B" w14:textId="0063A449" w:rsidR="00627C9F" w:rsidRPr="00654CEE" w:rsidRDefault="00627C9F" w:rsidP="007A5817">
                      <w:pPr>
                        <w:spacing w:line="276" w:lineRule="auto"/>
                        <w:jc w:val="right"/>
                        <w:rPr>
                          <w:rFonts w:asciiTheme="minorHAnsi" w:hAnsiTheme="minorHAnsi"/>
                          <w:sz w:val="22"/>
                          <w:lang w:val="pt-BR"/>
                        </w:rPr>
                      </w:pP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79ED3DB" w:rsidR="00DD3D86" w:rsidRPr="008533E6" w:rsidRDefault="00DD3D86" w:rsidP="00247403">
                            <w:pPr>
                              <w:tabs>
                                <w:tab w:val="center" w:pos="5400"/>
                              </w:tabs>
                              <w:suppressAutoHyphens/>
                              <w:spacing w:before="60"/>
                              <w:rPr>
                                <w:rFonts w:asciiTheme="majorHAnsi" w:hAnsiTheme="majorHAnsi"/>
                                <w:color w:val="0D0D0D" w:themeColor="text1" w:themeTint="F2"/>
                                <w:sz w:val="18"/>
                                <w:szCs w:val="22"/>
                                <w:lang w:val="pt-BR"/>
                              </w:rPr>
                            </w:pPr>
                            <w:r w:rsidRPr="008533E6">
                              <w:rPr>
                                <w:rFonts w:asciiTheme="majorHAnsi" w:hAnsiTheme="majorHAnsi"/>
                                <w:color w:val="0D0D0D" w:themeColor="text1" w:themeTint="F2"/>
                                <w:sz w:val="18"/>
                                <w:szCs w:val="22"/>
                                <w:lang w:val="pt-BR"/>
                              </w:rPr>
                              <w:t xml:space="preserve">Aprovado eletronicamente pela Comissão em </w:t>
                            </w:r>
                            <w:r w:rsidR="00D83BBB">
                              <w:rPr>
                                <w:rFonts w:asciiTheme="majorHAnsi" w:hAnsiTheme="majorHAnsi"/>
                                <w:color w:val="0D0D0D" w:themeColor="text1" w:themeTint="F2"/>
                                <w:sz w:val="18"/>
                                <w:szCs w:val="22"/>
                                <w:lang w:val="pt-BR"/>
                              </w:rPr>
                              <w:t>28</w:t>
                            </w:r>
                            <w:r w:rsidRPr="008533E6">
                              <w:rPr>
                                <w:rFonts w:asciiTheme="majorHAnsi" w:hAnsiTheme="majorHAnsi"/>
                                <w:color w:val="0D0D0D" w:themeColor="text1" w:themeTint="F2"/>
                                <w:sz w:val="18"/>
                                <w:szCs w:val="22"/>
                                <w:lang w:val="pt-BR"/>
                              </w:rPr>
                              <w:t xml:space="preserve"> de </w:t>
                            </w:r>
                            <w:r w:rsidR="00D83BBB">
                              <w:rPr>
                                <w:rFonts w:asciiTheme="majorHAnsi" w:hAnsiTheme="majorHAnsi"/>
                                <w:color w:val="0D0D0D" w:themeColor="text1" w:themeTint="F2"/>
                                <w:sz w:val="18"/>
                                <w:szCs w:val="22"/>
                                <w:lang w:val="pt-BR"/>
                              </w:rPr>
                              <w:t>abril de</w:t>
                            </w:r>
                            <w:r w:rsidRPr="008533E6">
                              <w:rPr>
                                <w:rFonts w:asciiTheme="majorHAnsi" w:hAnsiTheme="majorHAnsi"/>
                                <w:color w:val="0D0D0D" w:themeColor="text1" w:themeTint="F2"/>
                                <w:sz w:val="18"/>
                                <w:szCs w:val="22"/>
                                <w:lang w:val="pt-BR"/>
                              </w:rPr>
                              <w:t xml:space="preserve"> 2025</w:t>
                            </w:r>
                            <w:r w:rsidR="00D83BBB">
                              <w:rPr>
                                <w:rFonts w:asciiTheme="majorHAnsi" w:hAnsiTheme="majorHAnsi"/>
                                <w:color w:val="0D0D0D" w:themeColor="text1" w:themeTint="F2"/>
                                <w:sz w:val="18"/>
                                <w:szCs w:val="22"/>
                                <w:lang w:val="pt-BR"/>
                              </w:rPr>
                              <w:t>.</w:t>
                            </w:r>
                          </w:p>
                          <w:p w14:paraId="4D148488" w14:textId="4D1B33CB" w:rsidR="005B52B0" w:rsidRPr="008533E6" w:rsidRDefault="00D83BBB" w:rsidP="0059191A">
                            <w:pPr>
                              <w:tabs>
                                <w:tab w:val="center" w:pos="5400"/>
                              </w:tabs>
                              <w:suppressAutoHyphens/>
                              <w:spacing w:before="60"/>
                              <w:rPr>
                                <w:rFonts w:ascii="Calibri" w:hAnsi="Calibri"/>
                                <w:color w:val="FFFFFF" w:themeColor="background1"/>
                                <w:spacing w:val="-2"/>
                                <w:sz w:val="16"/>
                                <w:lang w:val="pt-BR"/>
                              </w:rPr>
                            </w:pPr>
                            <w:r>
                              <w:rPr>
                                <w:rFonts w:ascii="Calibri" w:hAnsi="Calibri"/>
                                <w:color w:val="FFFFFF" w:themeColor="background1"/>
                                <w:spacing w:val="-2"/>
                                <w:sz w:val="16"/>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279ED3DB" w:rsidR="00DD3D86" w:rsidRPr="008533E6" w:rsidRDefault="00DD3D86" w:rsidP="00247403">
                      <w:pPr>
                        <w:tabs>
                          <w:tab w:val="center" w:pos="5400"/>
                        </w:tabs>
                        <w:suppressAutoHyphens/>
                        <w:spacing w:before="60"/>
                        <w:rPr>
                          <w:rFonts w:asciiTheme="majorHAnsi" w:hAnsiTheme="majorHAnsi"/>
                          <w:color w:val="0D0D0D" w:themeColor="text1" w:themeTint="F2"/>
                          <w:sz w:val="18"/>
                          <w:szCs w:val="22"/>
                          <w:lang w:val="pt-BR"/>
                        </w:rPr>
                      </w:pPr>
                      <w:r w:rsidRPr="008533E6">
                        <w:rPr>
                          <w:rFonts w:asciiTheme="majorHAnsi" w:hAnsiTheme="majorHAnsi"/>
                          <w:color w:val="0D0D0D" w:themeColor="text1" w:themeTint="F2"/>
                          <w:sz w:val="18"/>
                          <w:szCs w:val="22"/>
                          <w:lang w:val="pt-BR"/>
                        </w:rPr>
                        <w:t xml:space="preserve">Aprovado eletronicamente pela Comissão em </w:t>
                      </w:r>
                      <w:r w:rsidR="00D83BBB">
                        <w:rPr>
                          <w:rFonts w:asciiTheme="majorHAnsi" w:hAnsiTheme="majorHAnsi"/>
                          <w:color w:val="0D0D0D" w:themeColor="text1" w:themeTint="F2"/>
                          <w:sz w:val="18"/>
                          <w:szCs w:val="22"/>
                          <w:lang w:val="pt-BR"/>
                        </w:rPr>
                        <w:t>28</w:t>
                      </w:r>
                      <w:r w:rsidRPr="008533E6">
                        <w:rPr>
                          <w:rFonts w:asciiTheme="majorHAnsi" w:hAnsiTheme="majorHAnsi"/>
                          <w:color w:val="0D0D0D" w:themeColor="text1" w:themeTint="F2"/>
                          <w:sz w:val="18"/>
                          <w:szCs w:val="22"/>
                          <w:lang w:val="pt-BR"/>
                        </w:rPr>
                        <w:t xml:space="preserve"> de </w:t>
                      </w:r>
                      <w:r w:rsidR="00D83BBB">
                        <w:rPr>
                          <w:rFonts w:asciiTheme="majorHAnsi" w:hAnsiTheme="majorHAnsi"/>
                          <w:color w:val="0D0D0D" w:themeColor="text1" w:themeTint="F2"/>
                          <w:sz w:val="18"/>
                          <w:szCs w:val="22"/>
                          <w:lang w:val="pt-BR"/>
                        </w:rPr>
                        <w:t>abril de</w:t>
                      </w:r>
                      <w:r w:rsidRPr="008533E6">
                        <w:rPr>
                          <w:rFonts w:asciiTheme="majorHAnsi" w:hAnsiTheme="majorHAnsi"/>
                          <w:color w:val="0D0D0D" w:themeColor="text1" w:themeTint="F2"/>
                          <w:sz w:val="18"/>
                          <w:szCs w:val="22"/>
                          <w:lang w:val="pt-BR"/>
                        </w:rPr>
                        <w:t xml:space="preserve"> 2025</w:t>
                      </w:r>
                      <w:r w:rsidR="00D83BBB">
                        <w:rPr>
                          <w:rFonts w:asciiTheme="majorHAnsi" w:hAnsiTheme="majorHAnsi"/>
                          <w:color w:val="0D0D0D" w:themeColor="text1" w:themeTint="F2"/>
                          <w:sz w:val="18"/>
                          <w:szCs w:val="22"/>
                          <w:lang w:val="pt-BR"/>
                        </w:rPr>
                        <w:t>.</w:t>
                      </w:r>
                    </w:p>
                    <w:p w14:paraId="4D148488" w14:textId="4D1B33CB" w:rsidR="005B52B0" w:rsidRPr="008533E6" w:rsidRDefault="00D83BBB" w:rsidP="0059191A">
                      <w:pPr>
                        <w:tabs>
                          <w:tab w:val="center" w:pos="5400"/>
                        </w:tabs>
                        <w:suppressAutoHyphens/>
                        <w:spacing w:before="60"/>
                        <w:rPr>
                          <w:rFonts w:ascii="Calibri" w:hAnsi="Calibri"/>
                          <w:color w:val="FFFFFF" w:themeColor="background1"/>
                          <w:spacing w:val="-2"/>
                          <w:sz w:val="16"/>
                          <w:lang w:val="pt-BR"/>
                        </w:rPr>
                      </w:pPr>
                      <w:r>
                        <w:rPr>
                          <w:rFonts w:ascii="Calibri" w:hAnsi="Calibri"/>
                          <w:color w:val="FFFFFF" w:themeColor="background1"/>
                          <w:spacing w:val="-2"/>
                          <w:sz w:val="16"/>
                          <w:lang w:val="pt-BR"/>
                        </w:rPr>
                        <w:t>.</w:t>
                      </w: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B4486" w14:textId="77777777" w:rsidR="001172D6" w:rsidRDefault="00113F73" w:rsidP="00113F73">
                            <w:pPr>
                              <w:spacing w:line="276" w:lineRule="auto"/>
                              <w:rPr>
                                <w:rFonts w:asciiTheme="majorHAnsi" w:hAnsiTheme="majorHAnsi"/>
                                <w:color w:val="595959" w:themeColor="text1" w:themeTint="A6"/>
                                <w:sz w:val="18"/>
                                <w:szCs w:val="18"/>
                                <w:lang w:val="pt-BR"/>
                              </w:rPr>
                            </w:pPr>
                            <w:r w:rsidRPr="008533E6">
                              <w:rPr>
                                <w:rFonts w:asciiTheme="majorHAnsi" w:hAnsiTheme="majorHAnsi"/>
                                <w:b/>
                                <w:color w:val="595959" w:themeColor="text1" w:themeTint="A6"/>
                                <w:sz w:val="18"/>
                                <w:szCs w:val="18"/>
                                <w:lang w:val="pt-BR"/>
                              </w:rPr>
                              <w:t>Cit</w:t>
                            </w:r>
                            <w:r w:rsidR="0072594E">
                              <w:rPr>
                                <w:rFonts w:asciiTheme="majorHAnsi" w:hAnsiTheme="majorHAnsi"/>
                                <w:b/>
                                <w:color w:val="595959" w:themeColor="text1" w:themeTint="A6"/>
                                <w:sz w:val="18"/>
                                <w:szCs w:val="18"/>
                                <w:lang w:val="pt-BR"/>
                              </w:rPr>
                              <w:t>ar como</w:t>
                            </w:r>
                            <w:r w:rsidRPr="008533E6">
                              <w:rPr>
                                <w:rFonts w:asciiTheme="majorHAnsi" w:hAnsiTheme="majorHAnsi"/>
                                <w:b/>
                                <w:color w:val="595959" w:themeColor="text1" w:themeTint="A6"/>
                                <w:sz w:val="18"/>
                                <w:szCs w:val="18"/>
                                <w:lang w:val="pt-BR"/>
                              </w:rPr>
                              <w:t>:</w:t>
                            </w:r>
                            <w:r w:rsidRPr="008533E6">
                              <w:rPr>
                                <w:rFonts w:asciiTheme="majorHAnsi" w:hAnsiTheme="majorHAnsi"/>
                                <w:color w:val="595959" w:themeColor="text1" w:themeTint="A6"/>
                                <w:sz w:val="18"/>
                                <w:szCs w:val="18"/>
                                <w:lang w:val="pt-BR"/>
                              </w:rPr>
                              <w:t xml:space="preserve"> CIDH, Relatório No. </w:t>
                            </w:r>
                            <w:r w:rsidR="00975AE0">
                              <w:rPr>
                                <w:rFonts w:asciiTheme="majorHAnsi" w:hAnsiTheme="majorHAnsi"/>
                                <w:color w:val="595959" w:themeColor="text1" w:themeTint="A6"/>
                                <w:sz w:val="18"/>
                                <w:szCs w:val="18"/>
                                <w:lang w:val="pt-BR"/>
                              </w:rPr>
                              <w:t>67</w:t>
                            </w:r>
                            <w:r w:rsidRPr="008533E6">
                              <w:rPr>
                                <w:rFonts w:asciiTheme="majorHAnsi" w:hAnsiTheme="majorHAnsi"/>
                                <w:color w:val="595959" w:themeColor="text1" w:themeTint="A6"/>
                                <w:sz w:val="18"/>
                                <w:szCs w:val="18"/>
                                <w:lang w:val="pt-BR"/>
                              </w:rPr>
                              <w:t>/</w:t>
                            </w:r>
                            <w:r w:rsidR="00975AE0">
                              <w:rPr>
                                <w:rFonts w:asciiTheme="majorHAnsi" w:hAnsiTheme="majorHAnsi"/>
                                <w:color w:val="595959" w:themeColor="text1" w:themeTint="A6"/>
                                <w:sz w:val="18"/>
                                <w:szCs w:val="18"/>
                                <w:lang w:val="pt-BR"/>
                              </w:rPr>
                              <w:t>25</w:t>
                            </w:r>
                            <w:r w:rsidRPr="008533E6">
                              <w:rPr>
                                <w:rFonts w:asciiTheme="majorHAnsi" w:hAnsiTheme="majorHAnsi"/>
                                <w:color w:val="595959" w:themeColor="text1" w:themeTint="A6"/>
                                <w:sz w:val="18"/>
                                <w:szCs w:val="18"/>
                                <w:lang w:val="pt-BR"/>
                              </w:rPr>
                              <w:t xml:space="preserve">. Petição 2043-21. Admissibilidade. </w:t>
                            </w:r>
                          </w:p>
                          <w:p w14:paraId="0D1B22CF" w14:textId="56949740" w:rsidR="00113F73" w:rsidRPr="00307E86" w:rsidRDefault="00113F73" w:rsidP="00113F73">
                            <w:pPr>
                              <w:spacing w:line="276" w:lineRule="auto"/>
                              <w:rPr>
                                <w:rFonts w:asciiTheme="majorHAnsi" w:hAnsiTheme="majorHAnsi"/>
                                <w:color w:val="595959" w:themeColor="text1" w:themeTint="A6"/>
                                <w:sz w:val="18"/>
                                <w:szCs w:val="18"/>
                                <w:lang w:val="pt-BR"/>
                              </w:rPr>
                            </w:pPr>
                            <w:r w:rsidRPr="008533E6">
                              <w:rPr>
                                <w:rFonts w:asciiTheme="majorHAnsi" w:hAnsiTheme="majorHAnsi"/>
                                <w:color w:val="595959" w:themeColor="text1" w:themeTint="A6"/>
                                <w:sz w:val="18"/>
                                <w:szCs w:val="18"/>
                                <w:lang w:val="pt-BR"/>
                              </w:rPr>
                              <w:t xml:space="preserve">Elison da Silva Reis e outros. </w:t>
                            </w:r>
                            <w:r w:rsidRPr="00307E86">
                              <w:rPr>
                                <w:rFonts w:asciiTheme="majorHAnsi" w:hAnsiTheme="majorHAnsi"/>
                                <w:color w:val="595959" w:themeColor="text1" w:themeTint="A6"/>
                                <w:sz w:val="18"/>
                                <w:szCs w:val="18"/>
                                <w:lang w:val="pt-BR"/>
                              </w:rPr>
                              <w:t xml:space="preserve">Brasil. </w:t>
                            </w:r>
                            <w:r w:rsidR="006F1686">
                              <w:rPr>
                                <w:rFonts w:asciiTheme="majorHAnsi" w:hAnsiTheme="majorHAnsi"/>
                                <w:color w:val="595959" w:themeColor="text1" w:themeTint="A6"/>
                                <w:sz w:val="18"/>
                                <w:szCs w:val="18"/>
                                <w:lang w:val="pt-BR"/>
                              </w:rPr>
                              <w:t>28 de abril de 2025</w:t>
                            </w:r>
                            <w:r w:rsidRPr="00307E86">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D7B4486" w14:textId="77777777" w:rsidR="001172D6" w:rsidRDefault="00113F73" w:rsidP="00113F73">
                      <w:pPr>
                        <w:spacing w:line="276" w:lineRule="auto"/>
                        <w:rPr>
                          <w:rFonts w:asciiTheme="majorHAnsi" w:hAnsiTheme="majorHAnsi"/>
                          <w:color w:val="595959" w:themeColor="text1" w:themeTint="A6"/>
                          <w:sz w:val="18"/>
                          <w:szCs w:val="18"/>
                          <w:lang w:val="pt-BR"/>
                        </w:rPr>
                      </w:pPr>
                      <w:r w:rsidRPr="008533E6">
                        <w:rPr>
                          <w:rFonts w:asciiTheme="majorHAnsi" w:hAnsiTheme="majorHAnsi"/>
                          <w:b/>
                          <w:color w:val="595959" w:themeColor="text1" w:themeTint="A6"/>
                          <w:sz w:val="18"/>
                          <w:szCs w:val="18"/>
                          <w:lang w:val="pt-BR"/>
                        </w:rPr>
                        <w:t>Cit</w:t>
                      </w:r>
                      <w:r w:rsidR="0072594E">
                        <w:rPr>
                          <w:rFonts w:asciiTheme="majorHAnsi" w:hAnsiTheme="majorHAnsi"/>
                          <w:b/>
                          <w:color w:val="595959" w:themeColor="text1" w:themeTint="A6"/>
                          <w:sz w:val="18"/>
                          <w:szCs w:val="18"/>
                          <w:lang w:val="pt-BR"/>
                        </w:rPr>
                        <w:t>ar como</w:t>
                      </w:r>
                      <w:r w:rsidRPr="008533E6">
                        <w:rPr>
                          <w:rFonts w:asciiTheme="majorHAnsi" w:hAnsiTheme="majorHAnsi"/>
                          <w:b/>
                          <w:color w:val="595959" w:themeColor="text1" w:themeTint="A6"/>
                          <w:sz w:val="18"/>
                          <w:szCs w:val="18"/>
                          <w:lang w:val="pt-BR"/>
                        </w:rPr>
                        <w:t>:</w:t>
                      </w:r>
                      <w:r w:rsidRPr="008533E6">
                        <w:rPr>
                          <w:rFonts w:asciiTheme="majorHAnsi" w:hAnsiTheme="majorHAnsi"/>
                          <w:color w:val="595959" w:themeColor="text1" w:themeTint="A6"/>
                          <w:sz w:val="18"/>
                          <w:szCs w:val="18"/>
                          <w:lang w:val="pt-BR"/>
                        </w:rPr>
                        <w:t xml:space="preserve"> CIDH, Relatório No. </w:t>
                      </w:r>
                      <w:r w:rsidR="00975AE0">
                        <w:rPr>
                          <w:rFonts w:asciiTheme="majorHAnsi" w:hAnsiTheme="majorHAnsi"/>
                          <w:color w:val="595959" w:themeColor="text1" w:themeTint="A6"/>
                          <w:sz w:val="18"/>
                          <w:szCs w:val="18"/>
                          <w:lang w:val="pt-BR"/>
                        </w:rPr>
                        <w:t>67</w:t>
                      </w:r>
                      <w:r w:rsidRPr="008533E6">
                        <w:rPr>
                          <w:rFonts w:asciiTheme="majorHAnsi" w:hAnsiTheme="majorHAnsi"/>
                          <w:color w:val="595959" w:themeColor="text1" w:themeTint="A6"/>
                          <w:sz w:val="18"/>
                          <w:szCs w:val="18"/>
                          <w:lang w:val="pt-BR"/>
                        </w:rPr>
                        <w:t>/</w:t>
                      </w:r>
                      <w:r w:rsidR="00975AE0">
                        <w:rPr>
                          <w:rFonts w:asciiTheme="majorHAnsi" w:hAnsiTheme="majorHAnsi"/>
                          <w:color w:val="595959" w:themeColor="text1" w:themeTint="A6"/>
                          <w:sz w:val="18"/>
                          <w:szCs w:val="18"/>
                          <w:lang w:val="pt-BR"/>
                        </w:rPr>
                        <w:t>25</w:t>
                      </w:r>
                      <w:r w:rsidRPr="008533E6">
                        <w:rPr>
                          <w:rFonts w:asciiTheme="majorHAnsi" w:hAnsiTheme="majorHAnsi"/>
                          <w:color w:val="595959" w:themeColor="text1" w:themeTint="A6"/>
                          <w:sz w:val="18"/>
                          <w:szCs w:val="18"/>
                          <w:lang w:val="pt-BR"/>
                        </w:rPr>
                        <w:t xml:space="preserve">. Petição 2043-21. Admissibilidade. </w:t>
                      </w:r>
                    </w:p>
                    <w:p w14:paraId="0D1B22CF" w14:textId="56949740" w:rsidR="00113F73" w:rsidRPr="00307E86" w:rsidRDefault="00113F73" w:rsidP="00113F73">
                      <w:pPr>
                        <w:spacing w:line="276" w:lineRule="auto"/>
                        <w:rPr>
                          <w:rFonts w:asciiTheme="majorHAnsi" w:hAnsiTheme="majorHAnsi"/>
                          <w:color w:val="595959" w:themeColor="text1" w:themeTint="A6"/>
                          <w:sz w:val="18"/>
                          <w:szCs w:val="18"/>
                          <w:lang w:val="pt-BR"/>
                        </w:rPr>
                      </w:pPr>
                      <w:r w:rsidRPr="008533E6">
                        <w:rPr>
                          <w:rFonts w:asciiTheme="majorHAnsi" w:hAnsiTheme="majorHAnsi"/>
                          <w:color w:val="595959" w:themeColor="text1" w:themeTint="A6"/>
                          <w:sz w:val="18"/>
                          <w:szCs w:val="18"/>
                          <w:lang w:val="pt-BR"/>
                        </w:rPr>
                        <w:t xml:space="preserve">Elison da Silva Reis e outros. </w:t>
                      </w:r>
                      <w:r w:rsidRPr="00307E86">
                        <w:rPr>
                          <w:rFonts w:asciiTheme="majorHAnsi" w:hAnsiTheme="majorHAnsi"/>
                          <w:color w:val="595959" w:themeColor="text1" w:themeTint="A6"/>
                          <w:sz w:val="18"/>
                          <w:szCs w:val="18"/>
                          <w:lang w:val="pt-BR"/>
                        </w:rPr>
                        <w:t xml:space="preserve">Brasil. </w:t>
                      </w:r>
                      <w:r w:rsidR="006F1686">
                        <w:rPr>
                          <w:rFonts w:asciiTheme="majorHAnsi" w:hAnsiTheme="majorHAnsi"/>
                          <w:color w:val="595959" w:themeColor="text1" w:themeTint="A6"/>
                          <w:sz w:val="18"/>
                          <w:szCs w:val="18"/>
                          <w:lang w:val="pt-BR"/>
                        </w:rPr>
                        <w:t>28 de abril de 2025</w:t>
                      </w:r>
                      <w:r w:rsidRPr="00307E86">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0C7E3263" w:rsidR="0090270B" w:rsidRDefault="0090270B" w:rsidP="005516A1">
      <w:pPr>
        <w:tabs>
          <w:tab w:val="center" w:pos="5400"/>
        </w:tabs>
        <w:suppressAutoHyphens/>
        <w:jc w:val="center"/>
        <w:rPr>
          <w:rFonts w:asciiTheme="majorHAnsi" w:hAnsiTheme="majorHAnsi"/>
          <w:b/>
          <w:sz w:val="20"/>
          <w:lang w:val="es-ES_tradnl"/>
        </w:rPr>
      </w:pPr>
    </w:p>
    <w:p w14:paraId="2FE1B253" w14:textId="605FB337" w:rsidR="0070697F" w:rsidRDefault="00307E86"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lang w:eastAsia="es-419"/>
        </w:rPr>
        <mc:AlternateContent>
          <mc:Choice Requires="wps">
            <w:drawing>
              <wp:anchor distT="0" distB="0" distL="114300" distR="114300" simplePos="0" relativeHeight="251658247" behindDoc="0" locked="0" layoutInCell="1" allowOverlap="1" wp14:anchorId="02EDA5EE" wp14:editId="4A7C6F04">
                <wp:simplePos x="0" y="0"/>
                <wp:positionH relativeFrom="column">
                  <wp:posOffset>-271780</wp:posOffset>
                </wp:positionH>
                <wp:positionV relativeFrom="paragraph">
                  <wp:posOffset>699607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DB1B44" w:rsidRDefault="00D306D1" w:rsidP="00D306D1">
                            <w:pPr>
                              <w:jc w:val="center"/>
                              <w:rPr>
                                <w:rFonts w:asciiTheme="minorHAnsi" w:hAnsiTheme="minorHAnsi"/>
                                <w:b/>
                              </w:rPr>
                            </w:pPr>
                            <w:r w:rsidRPr="00DB1B44">
                              <w:rPr>
                                <w:rFonts w:asciiTheme="minorHAnsi" w:hAnsiTheme="minorHAnsi"/>
                                <w:b/>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55.1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" filled="f" stroked="f" strokeweight=".5pt">
                <v:textbox>
                  <w:txbxContent>
                    <w:p w14:paraId="6EA0DBC3" w14:textId="77777777" w:rsidR="00D306D1" w:rsidRPr="00DB1B44" w:rsidRDefault="00D306D1" w:rsidP="00D306D1">
                      <w:pPr>
                        <w:jc w:val="center"/>
                        <w:rPr>
                          <w:rFonts w:asciiTheme="minorHAnsi" w:hAnsiTheme="minorHAnsi"/>
                          <w:b/>
                        </w:rPr>
                      </w:pPr>
                      <w:r w:rsidRPr="00DB1B44">
                        <w:rPr>
                          <w:rFonts w:asciiTheme="minorHAnsi" w:hAnsiTheme="minorHAnsi"/>
                          <w:b/>
                        </w:rPr>
                        <w:t>www.cidh.org</w:t>
                      </w:r>
                    </w:p>
                  </w:txbxContent>
                </v:textbox>
              </v:shape>
            </w:pict>
          </mc:Fallback>
        </mc:AlternateContent>
      </w:r>
      <w:r>
        <w:rPr>
          <w:rFonts w:asciiTheme="majorHAnsi" w:hAnsiTheme="majorHAnsi"/>
          <w:noProof/>
          <w:sz w:val="18"/>
          <w:szCs w:val="22"/>
          <w:lang w:eastAsia="es-419"/>
        </w:rPr>
        <mc:AlternateContent>
          <mc:Choice Requires="wps">
            <w:drawing>
              <wp:anchor distT="0" distB="0" distL="114300" distR="114300" simplePos="0" relativeHeight="251658246" behindDoc="0" locked="0" layoutInCell="1" allowOverlap="1" wp14:anchorId="50472543" wp14:editId="536E62AC">
                <wp:simplePos x="0" y="0"/>
                <wp:positionH relativeFrom="column">
                  <wp:posOffset>1292697</wp:posOffset>
                </wp:positionH>
                <wp:positionV relativeFrom="paragraph">
                  <wp:posOffset>490220</wp:posOffset>
                </wp:positionV>
                <wp:extent cx="4096385" cy="669957"/>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699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8B70101" w:rsidR="00D72DC6" w:rsidRPr="00D72DC6" w:rsidRDefault="00307E86" w:rsidP="00F02AD1">
                            <w:pPr>
                              <w:rPr>
                                <w:color w:val="FFFFFF" w:themeColor="background1"/>
                                <w14:textFill>
                                  <w14:noFill/>
                                </w14:textFill>
                              </w:rPr>
                            </w:pPr>
                            <w:r>
                              <w:rPr>
                                <w:noProof/>
                              </w:rPr>
                              <w:drawing>
                                <wp:inline distT="0" distB="0" distL="0" distR="0" wp14:anchorId="7FAE6F1B" wp14:editId="61E966A7">
                                  <wp:extent cx="1907036" cy="521787"/>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40035" cy="530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1.8pt;margin-top:38.6pt;width:322.55pt;height:5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" fillcolor="white [3201]" stroked="f" strokeweight=".5pt">
                <v:textbox>
                  <w:txbxContent>
                    <w:p w14:paraId="2A1ECD3C" w14:textId="58B70101" w:rsidR="00D72DC6" w:rsidRPr="00D72DC6" w:rsidRDefault="00307E86" w:rsidP="00F02AD1">
                      <w:pPr>
                        <w:rPr>
                          <w:color w:val="FFFFFF" w:themeColor="background1"/>
                          <w14:textFill>
                            <w14:noFill/>
                          </w14:textFill>
                        </w:rPr>
                      </w:pPr>
                      <w:r>
                        <w:rPr>
                          <w:noProof/>
                        </w:rPr>
                        <w:drawing>
                          <wp:inline distT="0" distB="0" distL="0" distR="0" wp14:anchorId="7FAE6F1B" wp14:editId="61E966A7">
                            <wp:extent cx="1907036" cy="521787"/>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40035" cy="530816"/>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rPr>
        <w:tab/>
      </w:r>
    </w:p>
    <w:p w14:paraId="5E6A1231" w14:textId="77777777" w:rsidR="003738C0" w:rsidRDefault="003738C0" w:rsidP="004A6A54">
      <w:pPr>
        <w:spacing w:after="240"/>
        <w:ind w:firstLine="720"/>
        <w:jc w:val="both"/>
        <w:rPr>
          <w:rFonts w:asciiTheme="majorHAnsi" w:hAnsiTheme="majorHAnsi"/>
          <w:b/>
          <w:bCs/>
          <w:sz w:val="20"/>
          <w:szCs w:val="20"/>
        </w:rPr>
      </w:pPr>
    </w:p>
    <w:p w14:paraId="376DDC8B" w14:textId="6FE9262A" w:rsidR="003239B8" w:rsidRPr="000419AD" w:rsidRDefault="00E57FE0" w:rsidP="004A6A54">
      <w:pPr>
        <w:spacing w:after="240"/>
        <w:ind w:firstLine="720"/>
        <w:jc w:val="both"/>
        <w:rPr>
          <w:rFonts w:asciiTheme="majorHAnsi" w:hAnsiTheme="majorHAnsi"/>
          <w:b/>
          <w:bCs/>
          <w:sz w:val="20"/>
          <w:szCs w:val="20"/>
          <w:lang w:val="es-ES"/>
        </w:rPr>
      </w:pPr>
      <w:r>
        <w:rPr>
          <w:rFonts w:asciiTheme="majorHAnsi" w:hAnsiTheme="majorHAnsi"/>
          <w:b/>
          <w:bCs/>
          <w:sz w:val="20"/>
          <w:szCs w:val="20"/>
        </w:rPr>
        <w:t>I</w:t>
      </w:r>
      <w:r w:rsidR="003239B8" w:rsidRPr="000419AD">
        <w:rPr>
          <w:rFonts w:asciiTheme="majorHAnsi" w:hAnsiTheme="majorHAnsi"/>
          <w:b/>
          <w:bCs/>
          <w:sz w:val="20"/>
          <w:szCs w:val="20"/>
        </w:rPr>
        <w:t>.</w:t>
      </w:r>
      <w:r w:rsidR="003239B8" w:rsidRPr="000419AD">
        <w:rPr>
          <w:rFonts w:asciiTheme="majorHAnsi" w:hAnsiTheme="majorHAnsi"/>
          <w:b/>
          <w:bCs/>
          <w:sz w:val="20"/>
          <w:szCs w:val="20"/>
        </w:rPr>
        <w:tab/>
        <w:t xml:space="preserve">DETALHES DA PETIÇÃO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8143A" w14:paraId="5A79D1F7" w14:textId="77777777" w:rsidTr="002A21BE">
        <w:tc>
          <w:tcPr>
            <w:tcW w:w="3600" w:type="dxa"/>
            <w:tcBorders>
              <w:top w:val="single" w:sz="4" w:space="0" w:color="auto"/>
              <w:bottom w:val="single" w:sz="6" w:space="0" w:color="auto"/>
            </w:tcBorders>
            <w:shd w:val="clear" w:color="auto" w:fill="FFC000"/>
            <w:vAlign w:val="center"/>
          </w:tcPr>
          <w:p w14:paraId="0CB2A43B" w14:textId="6E45B71B" w:rsidR="003239B8" w:rsidRPr="002A21BE" w:rsidRDefault="00316FCA" w:rsidP="008D2290">
            <w:pPr>
              <w:jc w:val="center"/>
              <w:rPr>
                <w:rFonts w:ascii="Cambria" w:hAnsi="Cambria"/>
                <w:b/>
                <w:bCs/>
                <w:sz w:val="20"/>
                <w:szCs w:val="20"/>
              </w:rPr>
            </w:pPr>
            <w:r w:rsidRPr="002A21BE">
              <w:rPr>
                <w:rFonts w:ascii="Cambria" w:hAnsi="Cambria"/>
                <w:b/>
                <w:bCs/>
                <w:sz w:val="20"/>
                <w:szCs w:val="20"/>
                <w:lang w:val="pt-BR"/>
              </w:rPr>
              <w:t>Parte peticionária:</w:t>
            </w:r>
          </w:p>
        </w:tc>
        <w:tc>
          <w:tcPr>
            <w:tcW w:w="5760" w:type="dxa"/>
            <w:vAlign w:val="center"/>
          </w:tcPr>
          <w:p w14:paraId="3C5315D8" w14:textId="78C6BE8D" w:rsidR="003239B8" w:rsidRPr="008533E6" w:rsidRDefault="00EF5917" w:rsidP="00D13530">
            <w:pPr>
              <w:jc w:val="both"/>
              <w:rPr>
                <w:rFonts w:ascii="Cambria" w:hAnsi="Cambria"/>
                <w:bCs/>
                <w:sz w:val="20"/>
                <w:szCs w:val="20"/>
                <w:lang w:val="pt-BR"/>
              </w:rPr>
            </w:pPr>
            <w:r w:rsidRPr="008533E6">
              <w:rPr>
                <w:rFonts w:ascii="Cambria" w:hAnsi="Cambria"/>
                <w:bCs/>
                <w:sz w:val="20"/>
                <w:szCs w:val="20"/>
                <w:lang w:val="pt-BR"/>
              </w:rPr>
              <w:t xml:space="preserve">Defensoria Pública do Estado de </w:t>
            </w:r>
            <w:r w:rsidR="00BD3F20" w:rsidRPr="008533E6">
              <w:rPr>
                <w:rFonts w:ascii="Cambria" w:hAnsi="Cambria"/>
                <w:sz w:val="20"/>
                <w:szCs w:val="20"/>
                <w:lang w:val="pt-BR"/>
              </w:rPr>
              <w:t xml:space="preserve">São Paulo </w:t>
            </w:r>
          </w:p>
        </w:tc>
      </w:tr>
      <w:tr w:rsidR="003239B8" w:rsidRPr="00C8143A" w14:paraId="593A7E45" w14:textId="77777777" w:rsidTr="002A21BE">
        <w:tc>
          <w:tcPr>
            <w:tcW w:w="3600" w:type="dxa"/>
            <w:tcBorders>
              <w:top w:val="single" w:sz="6" w:space="0" w:color="auto"/>
              <w:bottom w:val="single" w:sz="6" w:space="0" w:color="auto"/>
            </w:tcBorders>
            <w:shd w:val="clear" w:color="auto" w:fill="FFC000"/>
            <w:vAlign w:val="center"/>
          </w:tcPr>
          <w:p w14:paraId="0E78CA0C" w14:textId="69D86E5C" w:rsidR="003239B8" w:rsidRPr="002A21BE" w:rsidRDefault="00515835" w:rsidP="008D2290">
            <w:pPr>
              <w:jc w:val="center"/>
              <w:rPr>
                <w:rFonts w:ascii="Cambria" w:hAnsi="Cambria"/>
                <w:b/>
                <w:bCs/>
                <w:sz w:val="20"/>
                <w:szCs w:val="20"/>
              </w:rPr>
            </w:pPr>
            <w:sdt>
              <w:sdtPr>
                <w:rPr>
                  <w:rFonts w:ascii="Cambria" w:hAnsi="Cambria"/>
                  <w:b/>
                  <w:bCs/>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1826" w:rsidRPr="002A21BE">
                  <w:rPr>
                    <w:rFonts w:ascii="Cambria" w:hAnsi="Cambria"/>
                    <w:b/>
                    <w:bCs/>
                    <w:sz w:val="20"/>
                    <w:szCs w:val="20"/>
                  </w:rPr>
                  <w:t xml:space="preserve">   Supostas vítimas </w:t>
                </w:r>
              </w:sdtContent>
            </w:sdt>
            <w:r w:rsidR="003239B8" w:rsidRPr="002A21BE">
              <w:rPr>
                <w:rFonts w:ascii="Cambria" w:hAnsi="Cambria"/>
                <w:b/>
                <w:bCs/>
                <w:sz w:val="20"/>
                <w:szCs w:val="20"/>
              </w:rPr>
              <w:t>:</w:t>
            </w:r>
          </w:p>
        </w:tc>
        <w:tc>
          <w:tcPr>
            <w:tcW w:w="5760" w:type="dxa"/>
            <w:vAlign w:val="center"/>
          </w:tcPr>
          <w:p w14:paraId="4AEBF59E" w14:textId="6D55448F" w:rsidR="003239B8" w:rsidRPr="00B11729" w:rsidRDefault="00B11729" w:rsidP="008D2290">
            <w:pPr>
              <w:jc w:val="both"/>
              <w:rPr>
                <w:rFonts w:ascii="Cambria" w:hAnsi="Cambria"/>
                <w:bCs/>
                <w:sz w:val="20"/>
                <w:szCs w:val="20"/>
                <w:lang w:val="pt-BR"/>
              </w:rPr>
            </w:pPr>
            <w:r w:rsidRPr="008533E6">
              <w:rPr>
                <w:rFonts w:ascii="Cambria" w:hAnsi="Cambria"/>
                <w:bCs/>
                <w:sz w:val="20"/>
                <w:szCs w:val="20"/>
                <w:lang w:val="pt-BR"/>
              </w:rPr>
              <w:t>Elison da Silva Reis, Jhonas da Silva, Luan Miguel da Silva, Paulo Alves da Silva e suas famílias</w:t>
            </w:r>
          </w:p>
        </w:tc>
      </w:tr>
      <w:tr w:rsidR="002F5226" w:rsidRPr="00C073A0" w14:paraId="3E62E1D3" w14:textId="77777777" w:rsidTr="002A21BE">
        <w:tc>
          <w:tcPr>
            <w:tcW w:w="3600" w:type="dxa"/>
            <w:tcBorders>
              <w:top w:val="single" w:sz="6" w:space="0" w:color="auto"/>
              <w:bottom w:val="single" w:sz="6" w:space="0" w:color="auto"/>
            </w:tcBorders>
            <w:shd w:val="clear" w:color="auto" w:fill="FFC000"/>
            <w:vAlign w:val="center"/>
          </w:tcPr>
          <w:p w14:paraId="340B0F09" w14:textId="174C7FFB" w:rsidR="002F5226" w:rsidRPr="002A21BE" w:rsidRDefault="002F5226" w:rsidP="002F5226">
            <w:pPr>
              <w:jc w:val="center"/>
              <w:rPr>
                <w:rFonts w:ascii="Cambria" w:hAnsi="Cambria"/>
                <w:b/>
                <w:bCs/>
                <w:sz w:val="20"/>
                <w:szCs w:val="20"/>
              </w:rPr>
            </w:pPr>
            <w:r w:rsidRPr="002A21BE">
              <w:rPr>
                <w:rFonts w:ascii="Cambria" w:hAnsi="Cambria"/>
                <w:b/>
                <w:bCs/>
                <w:sz w:val="20"/>
                <w:szCs w:val="20"/>
                <w:lang w:val="pt-BR"/>
              </w:rPr>
              <w:t>Estado denunciado:</w:t>
            </w:r>
          </w:p>
        </w:tc>
        <w:tc>
          <w:tcPr>
            <w:tcW w:w="5760" w:type="dxa"/>
            <w:vAlign w:val="center"/>
          </w:tcPr>
          <w:p w14:paraId="274C8A50" w14:textId="42D7C51B" w:rsidR="002F5226" w:rsidRPr="00C073A0" w:rsidRDefault="002F5226" w:rsidP="002F5226">
            <w:pPr>
              <w:jc w:val="both"/>
              <w:rPr>
                <w:rFonts w:ascii="Cambria" w:hAnsi="Cambria"/>
                <w:bCs/>
                <w:sz w:val="20"/>
                <w:szCs w:val="20"/>
                <w:lang w:val="es-PE"/>
              </w:rPr>
            </w:pPr>
            <w:r w:rsidRPr="009D1F69">
              <w:rPr>
                <w:rFonts w:ascii="Cambria" w:hAnsi="Cambria"/>
                <w:bCs/>
                <w:sz w:val="20"/>
                <w:szCs w:val="20"/>
              </w:rPr>
              <w:t>Brasil</w:t>
            </w:r>
          </w:p>
        </w:tc>
      </w:tr>
      <w:tr w:rsidR="00223A29" w:rsidRPr="00C8143A" w14:paraId="632511BC" w14:textId="77777777" w:rsidTr="002A21BE">
        <w:tc>
          <w:tcPr>
            <w:tcW w:w="3600" w:type="dxa"/>
            <w:tcBorders>
              <w:top w:val="single" w:sz="6" w:space="0" w:color="auto"/>
              <w:bottom w:val="single" w:sz="6" w:space="0" w:color="auto"/>
            </w:tcBorders>
            <w:shd w:val="clear" w:color="auto" w:fill="FFC000"/>
            <w:vAlign w:val="center"/>
          </w:tcPr>
          <w:p w14:paraId="727E2F6B" w14:textId="60AEE329" w:rsidR="00223A29" w:rsidRPr="002A21BE" w:rsidRDefault="001B3A00" w:rsidP="00E4118C">
            <w:pPr>
              <w:jc w:val="center"/>
              <w:rPr>
                <w:rFonts w:ascii="Cambria" w:hAnsi="Cambria"/>
                <w:b/>
                <w:bCs/>
                <w:sz w:val="20"/>
                <w:szCs w:val="20"/>
              </w:rPr>
            </w:pPr>
            <w:r w:rsidRPr="002A21BE">
              <w:rPr>
                <w:rFonts w:ascii="Cambria" w:hAnsi="Cambria"/>
                <w:b/>
                <w:bCs/>
                <w:sz w:val="20"/>
                <w:szCs w:val="20"/>
              </w:rPr>
              <w:t>Direitos invocados:</w:t>
            </w:r>
          </w:p>
        </w:tc>
        <w:tc>
          <w:tcPr>
            <w:tcW w:w="5760" w:type="dxa"/>
            <w:vAlign w:val="center"/>
          </w:tcPr>
          <w:p w14:paraId="6DEE1EEB" w14:textId="0C0DD495" w:rsidR="00223A29" w:rsidRPr="008533E6" w:rsidRDefault="00C073A0" w:rsidP="008D2290">
            <w:pPr>
              <w:jc w:val="both"/>
              <w:rPr>
                <w:rFonts w:ascii="Cambria" w:hAnsi="Cambria"/>
                <w:bCs/>
                <w:sz w:val="20"/>
                <w:szCs w:val="20"/>
                <w:lang w:val="pt-BR"/>
              </w:rPr>
            </w:pPr>
            <w:r w:rsidRPr="008533E6">
              <w:rPr>
                <w:rFonts w:ascii="Cambria" w:eastAsia="Cambria" w:hAnsi="Cambria" w:cs="Cambria"/>
                <w:sz w:val="20"/>
                <w:szCs w:val="20"/>
                <w:lang w:val="pt-BR"/>
              </w:rPr>
              <w:t>Artigos 4 (vida), 5 (tratamento pessoal), 7 (liberdade pessoal), 8 (garantias judiciais), 11 (proteção da honra e da dignidade) e 25 (proteção judicial) da Convenção Americana sobre Direitos Humanos</w:t>
            </w:r>
            <w:r w:rsidR="00033641" w:rsidRPr="009D1F69">
              <w:rPr>
                <w:rFonts w:ascii="Cambria" w:eastAsia="Cambria" w:hAnsi="Cambria" w:cs="Cambria"/>
                <w:sz w:val="20"/>
                <w:szCs w:val="20"/>
                <w:vertAlign w:val="superscript"/>
              </w:rPr>
              <w:footnoteReference w:id="2"/>
            </w:r>
            <w:r w:rsidR="00033641" w:rsidRPr="008533E6">
              <w:rPr>
                <w:rFonts w:ascii="Cambria" w:eastAsia="Cambria" w:hAnsi="Cambria" w:cs="Cambria"/>
                <w:sz w:val="20"/>
                <w:szCs w:val="20"/>
                <w:lang w:val="pt-BR"/>
              </w:rPr>
              <w:t>; e os artigos 1, 6 e 8 da Convenção Interamericana para Prevenir e Punir a Tortura</w:t>
            </w:r>
          </w:p>
        </w:tc>
      </w:tr>
    </w:tbl>
    <w:p w14:paraId="20263696" w14:textId="77777777" w:rsidR="003239B8" w:rsidRPr="008533E6" w:rsidRDefault="003239B8" w:rsidP="003239B8">
      <w:pPr>
        <w:spacing w:before="240" w:after="240"/>
        <w:ind w:firstLine="720"/>
        <w:jc w:val="both"/>
        <w:rPr>
          <w:rFonts w:asciiTheme="majorHAnsi" w:hAnsiTheme="majorHAnsi"/>
          <w:b/>
          <w:bCs/>
          <w:sz w:val="20"/>
          <w:szCs w:val="20"/>
          <w:lang w:val="pt-BR"/>
        </w:rPr>
      </w:pPr>
      <w:r w:rsidRPr="008533E6">
        <w:rPr>
          <w:rFonts w:asciiTheme="majorHAnsi" w:hAnsiTheme="majorHAnsi"/>
          <w:b/>
          <w:bCs/>
          <w:sz w:val="20"/>
          <w:szCs w:val="20"/>
          <w:lang w:val="pt-BR"/>
        </w:rPr>
        <w:t>II.</w:t>
      </w:r>
      <w:r w:rsidRPr="008533E6">
        <w:rPr>
          <w:rFonts w:asciiTheme="majorHAnsi" w:hAnsiTheme="majorHAnsi"/>
          <w:b/>
          <w:bCs/>
          <w:sz w:val="20"/>
          <w:szCs w:val="20"/>
          <w:lang w:val="pt-BR"/>
        </w:rPr>
        <w:tab/>
        <w:t>TRÂMITES PERANTE 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2A21BE">
        <w:tc>
          <w:tcPr>
            <w:tcW w:w="3600" w:type="dxa"/>
            <w:tcBorders>
              <w:top w:val="single" w:sz="6" w:space="0" w:color="auto"/>
              <w:bottom w:val="single" w:sz="6" w:space="0" w:color="auto"/>
            </w:tcBorders>
            <w:shd w:val="clear" w:color="auto" w:fill="FFC000"/>
            <w:vAlign w:val="center"/>
          </w:tcPr>
          <w:p w14:paraId="7508D16F" w14:textId="653461D7" w:rsidR="004C2312" w:rsidRPr="002A21BE" w:rsidRDefault="004A6A54" w:rsidP="004A6A54">
            <w:pPr>
              <w:jc w:val="center"/>
              <w:rPr>
                <w:rFonts w:ascii="Cambria" w:hAnsi="Cambria"/>
                <w:b/>
                <w:bCs/>
                <w:sz w:val="20"/>
                <w:szCs w:val="20"/>
                <w:lang w:val="es-ES"/>
              </w:rPr>
            </w:pPr>
            <w:r w:rsidRPr="002A21BE">
              <w:rPr>
                <w:rFonts w:ascii="Cambria" w:hAnsi="Cambria"/>
                <w:b/>
                <w:bCs/>
                <w:sz w:val="20"/>
                <w:szCs w:val="20"/>
              </w:rPr>
              <w:t>Apresentação da petição:</w:t>
            </w:r>
          </w:p>
        </w:tc>
        <w:tc>
          <w:tcPr>
            <w:tcW w:w="5760" w:type="dxa"/>
            <w:vAlign w:val="center"/>
          </w:tcPr>
          <w:p w14:paraId="6E579153" w14:textId="51366869" w:rsidR="004C2312" w:rsidRPr="003239B8" w:rsidRDefault="00753A90" w:rsidP="002625EA">
            <w:pPr>
              <w:jc w:val="both"/>
              <w:rPr>
                <w:rFonts w:ascii="Cambria" w:hAnsi="Cambria"/>
                <w:bCs/>
                <w:sz w:val="20"/>
                <w:szCs w:val="20"/>
                <w:lang w:val="es-ES"/>
              </w:rPr>
            </w:pPr>
            <w:r>
              <w:rPr>
                <w:rFonts w:ascii="Cambria" w:hAnsi="Cambria"/>
                <w:bCs/>
                <w:sz w:val="20"/>
                <w:szCs w:val="20"/>
              </w:rPr>
              <w:t>18 de novembro de 2021</w:t>
            </w:r>
          </w:p>
        </w:tc>
      </w:tr>
      <w:tr w:rsidR="00131425" w:rsidRPr="007D3EFE" w14:paraId="337129E8" w14:textId="77777777" w:rsidTr="002A21BE">
        <w:tc>
          <w:tcPr>
            <w:tcW w:w="3600" w:type="dxa"/>
            <w:tcBorders>
              <w:top w:val="single" w:sz="6" w:space="0" w:color="auto"/>
              <w:bottom w:val="single" w:sz="6" w:space="0" w:color="auto"/>
            </w:tcBorders>
            <w:shd w:val="clear" w:color="auto" w:fill="FFC000"/>
            <w:vAlign w:val="center"/>
          </w:tcPr>
          <w:p w14:paraId="3D52E482" w14:textId="0FA8B3B3" w:rsidR="00131425" w:rsidRPr="002A21BE" w:rsidRDefault="00131425" w:rsidP="004A6A54">
            <w:pPr>
              <w:jc w:val="center"/>
              <w:rPr>
                <w:rFonts w:ascii="Cambria" w:hAnsi="Cambria"/>
                <w:b/>
                <w:bCs/>
                <w:sz w:val="20"/>
                <w:szCs w:val="20"/>
                <w:lang w:val="pt-BR"/>
              </w:rPr>
            </w:pPr>
            <w:r w:rsidRPr="002A21BE">
              <w:rPr>
                <w:rFonts w:ascii="Cambria" w:hAnsi="Cambria"/>
                <w:b/>
                <w:bCs/>
                <w:sz w:val="20"/>
                <w:szCs w:val="20"/>
                <w:lang w:val="pt-BR"/>
              </w:rPr>
              <w:t>Informações adicionais recebidas durante a fase de estudo:</w:t>
            </w:r>
          </w:p>
        </w:tc>
        <w:tc>
          <w:tcPr>
            <w:tcW w:w="5760" w:type="dxa"/>
            <w:vAlign w:val="center"/>
          </w:tcPr>
          <w:p w14:paraId="30151270" w14:textId="51151682" w:rsidR="00131425" w:rsidRPr="003239B8" w:rsidRDefault="00CF5F8D" w:rsidP="002625EA">
            <w:pPr>
              <w:jc w:val="both"/>
              <w:rPr>
                <w:rFonts w:ascii="Cambria" w:hAnsi="Cambria"/>
                <w:bCs/>
                <w:sz w:val="20"/>
                <w:szCs w:val="20"/>
                <w:lang w:val="es-ES"/>
              </w:rPr>
            </w:pPr>
            <w:r>
              <w:rPr>
                <w:rFonts w:ascii="Cambria" w:hAnsi="Cambria"/>
                <w:bCs/>
                <w:sz w:val="20"/>
                <w:szCs w:val="20"/>
              </w:rPr>
              <w:t>3 de março de 2022</w:t>
            </w:r>
          </w:p>
        </w:tc>
      </w:tr>
      <w:tr w:rsidR="004C2312" w:rsidRPr="007D3EFE" w14:paraId="1BDCD5C6" w14:textId="77777777" w:rsidTr="002A21BE">
        <w:tc>
          <w:tcPr>
            <w:tcW w:w="3600" w:type="dxa"/>
            <w:tcBorders>
              <w:top w:val="single" w:sz="6" w:space="0" w:color="auto"/>
              <w:bottom w:val="single" w:sz="6" w:space="0" w:color="auto"/>
            </w:tcBorders>
            <w:shd w:val="clear" w:color="auto" w:fill="FFC000"/>
            <w:vAlign w:val="center"/>
          </w:tcPr>
          <w:p w14:paraId="7A18664F" w14:textId="73FE510C" w:rsidR="004C2312" w:rsidRPr="002A21BE" w:rsidRDefault="004A6A54" w:rsidP="004A6A54">
            <w:pPr>
              <w:jc w:val="center"/>
              <w:rPr>
                <w:rFonts w:ascii="Cambria" w:hAnsi="Cambria"/>
                <w:b/>
                <w:bCs/>
                <w:sz w:val="20"/>
                <w:szCs w:val="20"/>
                <w:lang w:val="pt-BR"/>
              </w:rPr>
            </w:pPr>
            <w:r w:rsidRPr="002A21BE">
              <w:rPr>
                <w:rFonts w:ascii="Cambria" w:hAnsi="Cambria"/>
                <w:b/>
                <w:sz w:val="20"/>
                <w:szCs w:val="20"/>
                <w:lang w:val="pt-BR"/>
              </w:rPr>
              <w:t>Notificação da petição ao Estado:</w:t>
            </w:r>
          </w:p>
        </w:tc>
        <w:tc>
          <w:tcPr>
            <w:tcW w:w="5760" w:type="dxa"/>
            <w:vAlign w:val="center"/>
          </w:tcPr>
          <w:p w14:paraId="1519DA6A" w14:textId="1B34EC52" w:rsidR="004C2312" w:rsidRPr="003239B8" w:rsidRDefault="00CF5F8D" w:rsidP="008D2290">
            <w:pPr>
              <w:jc w:val="both"/>
              <w:rPr>
                <w:rFonts w:ascii="Cambria" w:hAnsi="Cambria"/>
                <w:bCs/>
                <w:sz w:val="20"/>
                <w:szCs w:val="20"/>
                <w:lang w:val="es-ES"/>
              </w:rPr>
            </w:pPr>
            <w:r>
              <w:rPr>
                <w:rFonts w:ascii="Cambria" w:hAnsi="Cambria"/>
                <w:bCs/>
                <w:sz w:val="20"/>
                <w:szCs w:val="20"/>
              </w:rPr>
              <w:t>17 de agosto de 2023</w:t>
            </w:r>
          </w:p>
        </w:tc>
      </w:tr>
      <w:tr w:rsidR="004C2312" w:rsidRPr="004A6A54" w14:paraId="6147A8D5" w14:textId="77777777" w:rsidTr="002A21BE">
        <w:tc>
          <w:tcPr>
            <w:tcW w:w="3600" w:type="dxa"/>
            <w:tcBorders>
              <w:top w:val="single" w:sz="6" w:space="0" w:color="auto"/>
              <w:bottom w:val="single" w:sz="6" w:space="0" w:color="auto"/>
            </w:tcBorders>
            <w:shd w:val="clear" w:color="auto" w:fill="FFC000"/>
            <w:vAlign w:val="center"/>
          </w:tcPr>
          <w:p w14:paraId="0201C86D" w14:textId="4A5EC6F9" w:rsidR="004C2312" w:rsidRPr="002A21BE" w:rsidRDefault="004A6A54" w:rsidP="004A6A54">
            <w:pPr>
              <w:jc w:val="center"/>
              <w:rPr>
                <w:rFonts w:ascii="Cambria" w:hAnsi="Cambria"/>
                <w:b/>
                <w:bCs/>
                <w:sz w:val="20"/>
                <w:szCs w:val="20"/>
                <w:lang w:val="pt-BR"/>
              </w:rPr>
            </w:pPr>
            <w:r w:rsidRPr="002A21BE">
              <w:rPr>
                <w:rFonts w:ascii="Cambria" w:hAnsi="Cambria"/>
                <w:b/>
                <w:sz w:val="20"/>
                <w:szCs w:val="20"/>
                <w:lang w:val="pt-BR"/>
              </w:rPr>
              <w:t>A primeira resposta do estado:</w:t>
            </w:r>
          </w:p>
        </w:tc>
        <w:tc>
          <w:tcPr>
            <w:tcW w:w="5760" w:type="dxa"/>
            <w:vAlign w:val="center"/>
          </w:tcPr>
          <w:p w14:paraId="1972B99E" w14:textId="3D455AB8" w:rsidR="004C2312" w:rsidRPr="003239B8" w:rsidRDefault="00CF5F8D" w:rsidP="008D2290">
            <w:pPr>
              <w:jc w:val="both"/>
              <w:rPr>
                <w:rFonts w:ascii="Cambria" w:hAnsi="Cambria"/>
                <w:bCs/>
                <w:sz w:val="20"/>
                <w:szCs w:val="20"/>
                <w:lang w:val="es-ES"/>
              </w:rPr>
            </w:pPr>
            <w:r>
              <w:rPr>
                <w:rFonts w:ascii="Cambria" w:hAnsi="Cambria"/>
                <w:bCs/>
                <w:sz w:val="20"/>
                <w:szCs w:val="20"/>
              </w:rPr>
              <w:t>17 de novembro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rPr>
        <w:t xml:space="preserve">III. </w:t>
      </w:r>
      <w:r w:rsidRPr="003239B8">
        <w:rPr>
          <w:rFonts w:asciiTheme="majorHAnsi" w:hAnsiTheme="majorHAnsi"/>
          <w:b/>
          <w:bCs/>
          <w:sz w:val="20"/>
          <w:szCs w:val="20"/>
        </w:rPr>
        <w:tab/>
        <w:t xml:space="preserve">COMPETÊNCIA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59"/>
        <w:gridCol w:w="5778"/>
      </w:tblGrid>
      <w:tr w:rsidR="003239B8" w:rsidRPr="00540F17" w14:paraId="072532AD" w14:textId="77777777" w:rsidTr="002A21BE">
        <w:trPr>
          <w:cantSplit/>
        </w:trPr>
        <w:tc>
          <w:tcPr>
            <w:tcW w:w="3559" w:type="dxa"/>
            <w:tcBorders>
              <w:top w:val="single" w:sz="4" w:space="0" w:color="auto"/>
              <w:bottom w:val="single" w:sz="6" w:space="0" w:color="auto"/>
            </w:tcBorders>
            <w:shd w:val="clear" w:color="auto" w:fill="FFC000"/>
            <w:vAlign w:val="center"/>
          </w:tcPr>
          <w:p w14:paraId="5C2E4B34" w14:textId="77777777" w:rsidR="003239B8" w:rsidRPr="002A21BE" w:rsidRDefault="003239B8" w:rsidP="008D2290">
            <w:pPr>
              <w:jc w:val="center"/>
              <w:rPr>
                <w:rFonts w:ascii="Cambria" w:hAnsi="Cambria"/>
                <w:b/>
                <w:bCs/>
                <w:i/>
                <w:sz w:val="20"/>
                <w:szCs w:val="20"/>
              </w:rPr>
            </w:pPr>
            <w:r w:rsidRPr="002A21BE">
              <w:rPr>
                <w:rFonts w:ascii="Cambria" w:hAnsi="Cambria"/>
                <w:b/>
                <w:bCs/>
                <w:sz w:val="20"/>
                <w:szCs w:val="20"/>
              </w:rPr>
              <w:t>Competencia</w:t>
            </w:r>
            <w:r w:rsidRPr="002A21BE">
              <w:rPr>
                <w:rFonts w:ascii="Cambria" w:hAnsi="Cambria"/>
                <w:b/>
                <w:bCs/>
                <w:i/>
                <w:sz w:val="20"/>
                <w:szCs w:val="20"/>
              </w:rPr>
              <w:t xml:space="preserve"> Ratione personae:</w:t>
            </w:r>
          </w:p>
        </w:tc>
        <w:tc>
          <w:tcPr>
            <w:tcW w:w="5778" w:type="dxa"/>
            <w:vAlign w:val="center"/>
          </w:tcPr>
          <w:p w14:paraId="7707F3E9" w14:textId="209CE8D6" w:rsidR="003239B8" w:rsidRPr="00B3745F" w:rsidRDefault="00B11256" w:rsidP="008D2290">
            <w:pPr>
              <w:rPr>
                <w:rFonts w:ascii="Cambria" w:hAnsi="Cambria"/>
                <w:bCs/>
                <w:sz w:val="20"/>
                <w:szCs w:val="20"/>
              </w:rPr>
            </w:pPr>
            <w:r>
              <w:rPr>
                <w:rFonts w:ascii="Cambria" w:hAnsi="Cambria"/>
                <w:bCs/>
                <w:sz w:val="20"/>
                <w:szCs w:val="20"/>
              </w:rPr>
              <w:t>Sim</w:t>
            </w:r>
          </w:p>
        </w:tc>
      </w:tr>
      <w:tr w:rsidR="003239B8" w:rsidRPr="00540F17" w14:paraId="4B8802DA" w14:textId="77777777" w:rsidTr="002A21BE">
        <w:trPr>
          <w:cantSplit/>
        </w:trPr>
        <w:tc>
          <w:tcPr>
            <w:tcW w:w="3559" w:type="dxa"/>
            <w:tcBorders>
              <w:top w:val="single" w:sz="6" w:space="0" w:color="auto"/>
              <w:bottom w:val="single" w:sz="6" w:space="0" w:color="auto"/>
            </w:tcBorders>
            <w:shd w:val="clear" w:color="auto" w:fill="FFC000"/>
            <w:vAlign w:val="center"/>
          </w:tcPr>
          <w:p w14:paraId="3915C23B" w14:textId="77777777" w:rsidR="003239B8" w:rsidRPr="002A21BE" w:rsidRDefault="003239B8" w:rsidP="008D2290">
            <w:pPr>
              <w:jc w:val="center"/>
              <w:rPr>
                <w:rFonts w:ascii="Cambria" w:hAnsi="Cambria"/>
                <w:b/>
                <w:bCs/>
                <w:sz w:val="20"/>
                <w:szCs w:val="20"/>
              </w:rPr>
            </w:pPr>
            <w:r w:rsidRPr="002A21BE">
              <w:rPr>
                <w:rFonts w:ascii="Cambria" w:hAnsi="Cambria"/>
                <w:b/>
                <w:bCs/>
                <w:sz w:val="20"/>
                <w:szCs w:val="20"/>
              </w:rPr>
              <w:t>Competencia</w:t>
            </w:r>
            <w:r w:rsidRPr="002A21BE">
              <w:rPr>
                <w:rFonts w:ascii="Cambria" w:hAnsi="Cambria"/>
                <w:b/>
                <w:bCs/>
                <w:i/>
                <w:sz w:val="20"/>
                <w:szCs w:val="20"/>
              </w:rPr>
              <w:t xml:space="preserve"> Ratione loci</w:t>
            </w:r>
            <w:r w:rsidRPr="002A21BE">
              <w:rPr>
                <w:rFonts w:ascii="Cambria" w:hAnsi="Cambria"/>
                <w:b/>
                <w:bCs/>
                <w:sz w:val="20"/>
                <w:szCs w:val="20"/>
              </w:rPr>
              <w:t>:</w:t>
            </w:r>
          </w:p>
        </w:tc>
        <w:tc>
          <w:tcPr>
            <w:tcW w:w="5778" w:type="dxa"/>
            <w:vAlign w:val="center"/>
          </w:tcPr>
          <w:p w14:paraId="12C931CB" w14:textId="2EA89A1F" w:rsidR="003239B8" w:rsidRPr="00B3745F" w:rsidRDefault="00B11256" w:rsidP="008D2290">
            <w:pPr>
              <w:rPr>
                <w:rFonts w:ascii="Cambria" w:hAnsi="Cambria"/>
                <w:bCs/>
                <w:sz w:val="20"/>
                <w:szCs w:val="20"/>
              </w:rPr>
            </w:pPr>
            <w:r>
              <w:rPr>
                <w:rFonts w:ascii="Cambria" w:hAnsi="Cambria"/>
                <w:bCs/>
                <w:sz w:val="20"/>
                <w:szCs w:val="20"/>
              </w:rPr>
              <w:t>Sim</w:t>
            </w:r>
          </w:p>
        </w:tc>
      </w:tr>
      <w:tr w:rsidR="003239B8" w:rsidRPr="00540F17" w14:paraId="4362FDF3" w14:textId="77777777" w:rsidTr="002A21BE">
        <w:trPr>
          <w:cantSplit/>
        </w:trPr>
        <w:tc>
          <w:tcPr>
            <w:tcW w:w="3559" w:type="dxa"/>
            <w:tcBorders>
              <w:top w:val="single" w:sz="6" w:space="0" w:color="auto"/>
              <w:bottom w:val="single" w:sz="6" w:space="0" w:color="auto"/>
            </w:tcBorders>
            <w:shd w:val="clear" w:color="auto" w:fill="FFC000"/>
            <w:vAlign w:val="center"/>
          </w:tcPr>
          <w:p w14:paraId="3BE23153" w14:textId="77777777" w:rsidR="003239B8" w:rsidRPr="002A21BE" w:rsidRDefault="003239B8" w:rsidP="008D2290">
            <w:pPr>
              <w:jc w:val="center"/>
              <w:rPr>
                <w:rFonts w:ascii="Cambria" w:hAnsi="Cambria"/>
                <w:b/>
                <w:bCs/>
                <w:sz w:val="20"/>
                <w:szCs w:val="20"/>
              </w:rPr>
            </w:pPr>
            <w:r w:rsidRPr="002A21BE">
              <w:rPr>
                <w:rFonts w:ascii="Cambria" w:hAnsi="Cambria"/>
                <w:b/>
                <w:bCs/>
                <w:sz w:val="20"/>
                <w:szCs w:val="20"/>
              </w:rPr>
              <w:t>Competência</w:t>
            </w:r>
            <w:r w:rsidRPr="002A21BE">
              <w:rPr>
                <w:rFonts w:ascii="Cambria" w:hAnsi="Cambria"/>
                <w:b/>
                <w:bCs/>
                <w:i/>
                <w:sz w:val="20"/>
                <w:szCs w:val="20"/>
              </w:rPr>
              <w:t xml:space="preserve"> ratione temporis</w:t>
            </w:r>
            <w:r w:rsidRPr="002A21BE">
              <w:rPr>
                <w:rFonts w:ascii="Cambria" w:hAnsi="Cambria"/>
                <w:b/>
                <w:bCs/>
                <w:sz w:val="20"/>
                <w:szCs w:val="20"/>
              </w:rPr>
              <w:t>:</w:t>
            </w:r>
          </w:p>
        </w:tc>
        <w:tc>
          <w:tcPr>
            <w:tcW w:w="5778" w:type="dxa"/>
            <w:vAlign w:val="center"/>
          </w:tcPr>
          <w:p w14:paraId="6F8B059B" w14:textId="0BA660A1" w:rsidR="003239B8" w:rsidRPr="00B3745F" w:rsidRDefault="00B11256" w:rsidP="008D2290">
            <w:pPr>
              <w:rPr>
                <w:rFonts w:ascii="Cambria" w:hAnsi="Cambria"/>
                <w:bCs/>
                <w:sz w:val="20"/>
                <w:szCs w:val="20"/>
              </w:rPr>
            </w:pPr>
            <w:r>
              <w:rPr>
                <w:rFonts w:ascii="Cambria" w:hAnsi="Cambria"/>
                <w:bCs/>
                <w:sz w:val="20"/>
                <w:szCs w:val="20"/>
              </w:rPr>
              <w:t>Sim</w:t>
            </w:r>
          </w:p>
        </w:tc>
      </w:tr>
      <w:tr w:rsidR="003239B8" w:rsidRPr="00C8143A" w14:paraId="30ABEC3E" w14:textId="77777777" w:rsidTr="002A21BE">
        <w:trPr>
          <w:cantSplit/>
        </w:trPr>
        <w:tc>
          <w:tcPr>
            <w:tcW w:w="3559" w:type="dxa"/>
            <w:tcBorders>
              <w:top w:val="single" w:sz="6" w:space="0" w:color="auto"/>
              <w:bottom w:val="single" w:sz="6" w:space="0" w:color="auto"/>
            </w:tcBorders>
            <w:shd w:val="clear" w:color="auto" w:fill="FFC000"/>
            <w:vAlign w:val="center"/>
          </w:tcPr>
          <w:p w14:paraId="47B529D2" w14:textId="77777777" w:rsidR="003239B8" w:rsidRPr="002A21BE" w:rsidRDefault="003239B8" w:rsidP="008D2290">
            <w:pPr>
              <w:jc w:val="center"/>
              <w:rPr>
                <w:rFonts w:ascii="Cambria" w:hAnsi="Cambria"/>
                <w:b/>
                <w:bCs/>
                <w:sz w:val="20"/>
                <w:szCs w:val="20"/>
              </w:rPr>
            </w:pPr>
            <w:r w:rsidRPr="002A21BE">
              <w:rPr>
                <w:rFonts w:ascii="Cambria" w:hAnsi="Cambria"/>
                <w:b/>
                <w:bCs/>
                <w:sz w:val="20"/>
                <w:szCs w:val="20"/>
              </w:rPr>
              <w:t>Competência</w:t>
            </w:r>
            <w:r w:rsidRPr="002A21BE">
              <w:rPr>
                <w:rFonts w:ascii="Cambria" w:hAnsi="Cambria"/>
                <w:b/>
                <w:bCs/>
                <w:i/>
                <w:sz w:val="20"/>
                <w:szCs w:val="20"/>
              </w:rPr>
              <w:t xml:space="preserve"> ratione materiae</w:t>
            </w:r>
            <w:r w:rsidRPr="002A21BE">
              <w:rPr>
                <w:rFonts w:ascii="Cambria" w:hAnsi="Cambria"/>
                <w:b/>
                <w:bCs/>
                <w:sz w:val="20"/>
                <w:szCs w:val="20"/>
              </w:rPr>
              <w:t>:</w:t>
            </w:r>
          </w:p>
        </w:tc>
        <w:tc>
          <w:tcPr>
            <w:tcW w:w="5778" w:type="dxa"/>
            <w:vAlign w:val="center"/>
          </w:tcPr>
          <w:p w14:paraId="0C122F44" w14:textId="64247AF8" w:rsidR="003239B8" w:rsidRPr="008533E6" w:rsidRDefault="00B11256" w:rsidP="008D2290">
            <w:pPr>
              <w:jc w:val="both"/>
              <w:rPr>
                <w:rFonts w:ascii="Cambria" w:hAnsi="Cambria"/>
                <w:bCs/>
                <w:sz w:val="20"/>
                <w:szCs w:val="20"/>
                <w:lang w:val="pt-BR"/>
              </w:rPr>
            </w:pPr>
            <w:r w:rsidRPr="008533E6">
              <w:rPr>
                <w:rFonts w:ascii="Cambria" w:hAnsi="Cambria"/>
                <w:bCs/>
                <w:sz w:val="20"/>
                <w:szCs w:val="20"/>
                <w:lang w:val="pt-BR"/>
              </w:rPr>
              <w:t>Sim, Convenção Americana e Convenção Interamericana para Prevenir e Punir a Tortura (depositadas em 25 de setembro de 1992 e 20 de julho de 1989, respectivamente)</w:t>
            </w:r>
          </w:p>
        </w:tc>
      </w:tr>
    </w:tbl>
    <w:p w14:paraId="4E92C444" w14:textId="140CB1E7" w:rsidR="003239B8" w:rsidRPr="008533E6" w:rsidRDefault="003239B8" w:rsidP="003239B8">
      <w:pPr>
        <w:spacing w:before="240" w:after="240"/>
        <w:ind w:firstLine="720"/>
        <w:jc w:val="both"/>
        <w:rPr>
          <w:rFonts w:asciiTheme="majorHAnsi" w:hAnsiTheme="majorHAnsi"/>
          <w:b/>
          <w:bCs/>
          <w:sz w:val="20"/>
          <w:szCs w:val="20"/>
          <w:lang w:val="pt-BR"/>
        </w:rPr>
      </w:pPr>
      <w:r w:rsidRPr="008533E6">
        <w:rPr>
          <w:rFonts w:asciiTheme="majorHAnsi" w:hAnsiTheme="majorHAnsi"/>
          <w:b/>
          <w:bCs/>
          <w:sz w:val="20"/>
          <w:szCs w:val="20"/>
          <w:lang w:val="pt-BR"/>
        </w:rPr>
        <w:t xml:space="preserve">IV. </w:t>
      </w:r>
      <w:r w:rsidRPr="008533E6">
        <w:rPr>
          <w:rFonts w:asciiTheme="majorHAnsi" w:hAnsiTheme="majorHAnsi"/>
          <w:b/>
          <w:bCs/>
          <w:sz w:val="20"/>
          <w:szCs w:val="20"/>
          <w:lang w:val="pt-BR"/>
        </w:rPr>
        <w:tab/>
      </w:r>
      <w:r w:rsidR="00EE00E9" w:rsidRPr="008533E6">
        <w:rPr>
          <w:rFonts w:asciiTheme="majorHAnsi" w:hAnsiTheme="majorHAnsi"/>
          <w:b/>
          <w:bCs/>
          <w:sz w:val="20"/>
          <w:szCs w:val="20"/>
          <w:lang w:val="pt-BR"/>
        </w:rPr>
        <w:t xml:space="preserve">DUPLICAÇÃO DE PROCEDIMENTOS E COISA JULGADA INTERNACIONAL, CARACTERIZAÇÃO, </w:t>
      </w:r>
      <w:r w:rsidRPr="008533E6">
        <w:rPr>
          <w:rFonts w:asciiTheme="majorHAnsi" w:hAnsiTheme="majorHAnsi"/>
          <w:b/>
          <w:sz w:val="20"/>
          <w:szCs w:val="20"/>
          <w:lang w:val="pt-BR"/>
        </w:rPr>
        <w:t>ESGOTAMENTO DOS RECURSOS INTERNOS E PRAZO PARA APRESENTAÇÃO</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3"/>
        <w:gridCol w:w="5774"/>
      </w:tblGrid>
      <w:tr w:rsidR="00EE00E9" w:rsidRPr="00865B1B" w14:paraId="1231C988" w14:textId="77777777" w:rsidTr="002A21BE">
        <w:trPr>
          <w:cantSplit/>
        </w:trPr>
        <w:tc>
          <w:tcPr>
            <w:tcW w:w="3563" w:type="dxa"/>
            <w:tcBorders>
              <w:top w:val="single" w:sz="4" w:space="0" w:color="auto"/>
              <w:bottom w:val="single" w:sz="6" w:space="0" w:color="auto"/>
            </w:tcBorders>
            <w:shd w:val="clear" w:color="auto" w:fill="FFC000"/>
            <w:vAlign w:val="center"/>
          </w:tcPr>
          <w:p w14:paraId="6F8031F4" w14:textId="77777777" w:rsidR="00EE00E9" w:rsidRPr="002A21BE" w:rsidRDefault="00EE00E9" w:rsidP="008D2290">
            <w:pPr>
              <w:jc w:val="center"/>
              <w:rPr>
                <w:rFonts w:ascii="Cambria" w:hAnsi="Cambria"/>
                <w:b/>
                <w:bCs/>
                <w:sz w:val="20"/>
                <w:szCs w:val="20"/>
                <w:lang w:val="pt-BR"/>
              </w:rPr>
            </w:pPr>
            <w:r w:rsidRPr="002A21BE">
              <w:rPr>
                <w:rFonts w:ascii="Cambria" w:hAnsi="Cambria"/>
                <w:b/>
                <w:bCs/>
                <w:sz w:val="20"/>
                <w:szCs w:val="20"/>
                <w:lang w:val="pt-BR"/>
              </w:rPr>
              <w:t>Duplicação de procedimentos e coisa julgada internacional:</w:t>
            </w:r>
          </w:p>
        </w:tc>
        <w:tc>
          <w:tcPr>
            <w:tcW w:w="5774" w:type="dxa"/>
            <w:vAlign w:val="center"/>
          </w:tcPr>
          <w:p w14:paraId="240941E6" w14:textId="45FB9163" w:rsidR="00EE00E9" w:rsidRPr="00DC24E3" w:rsidRDefault="00832535" w:rsidP="008D2290">
            <w:pPr>
              <w:jc w:val="both"/>
              <w:rPr>
                <w:rFonts w:ascii="Cambria" w:hAnsi="Cambria"/>
                <w:bCs/>
                <w:sz w:val="20"/>
                <w:szCs w:val="20"/>
                <w:lang w:val="es-ES"/>
              </w:rPr>
            </w:pPr>
            <w:r>
              <w:rPr>
                <w:rFonts w:ascii="Cambria" w:hAnsi="Cambria"/>
                <w:bCs/>
                <w:sz w:val="20"/>
                <w:szCs w:val="20"/>
              </w:rPr>
              <w:t>Não</w:t>
            </w:r>
          </w:p>
        </w:tc>
      </w:tr>
      <w:tr w:rsidR="003239B8" w:rsidRPr="00C8143A" w14:paraId="15FAA7D1" w14:textId="77777777" w:rsidTr="002A21BE">
        <w:trPr>
          <w:cantSplit/>
        </w:trPr>
        <w:tc>
          <w:tcPr>
            <w:tcW w:w="3563" w:type="dxa"/>
            <w:tcBorders>
              <w:top w:val="single" w:sz="4" w:space="0" w:color="auto"/>
              <w:bottom w:val="single" w:sz="6" w:space="0" w:color="auto"/>
            </w:tcBorders>
            <w:shd w:val="clear" w:color="auto" w:fill="FFC000"/>
            <w:vAlign w:val="center"/>
          </w:tcPr>
          <w:p w14:paraId="1B0D29FF" w14:textId="77777777" w:rsidR="003239B8" w:rsidRPr="002A21BE" w:rsidRDefault="003239B8" w:rsidP="008D2290">
            <w:pPr>
              <w:jc w:val="center"/>
              <w:rPr>
                <w:rFonts w:ascii="Cambria" w:hAnsi="Cambria"/>
                <w:b/>
                <w:bCs/>
                <w:i/>
                <w:sz w:val="20"/>
                <w:szCs w:val="20"/>
              </w:rPr>
            </w:pPr>
            <w:r w:rsidRPr="002A21BE">
              <w:rPr>
                <w:rFonts w:ascii="Cambria" w:hAnsi="Cambria"/>
                <w:b/>
                <w:bCs/>
                <w:sz w:val="20"/>
                <w:szCs w:val="20"/>
              </w:rPr>
              <w:t>Direitos declarados admissíveis</w:t>
            </w:r>
            <w:r w:rsidRPr="002A21BE">
              <w:rPr>
                <w:rFonts w:ascii="Cambria" w:hAnsi="Cambria"/>
                <w:b/>
                <w:bCs/>
                <w:i/>
                <w:sz w:val="20"/>
                <w:szCs w:val="20"/>
              </w:rPr>
              <w:t>:</w:t>
            </w:r>
          </w:p>
        </w:tc>
        <w:tc>
          <w:tcPr>
            <w:tcW w:w="5774" w:type="dxa"/>
            <w:vAlign w:val="center"/>
          </w:tcPr>
          <w:p w14:paraId="6310C8F7" w14:textId="46A2DF75" w:rsidR="003239B8" w:rsidRPr="008533E6" w:rsidRDefault="00E41061" w:rsidP="008D2290">
            <w:pPr>
              <w:jc w:val="both"/>
              <w:rPr>
                <w:rFonts w:ascii="Cambria" w:hAnsi="Cambria"/>
                <w:bCs/>
                <w:sz w:val="20"/>
                <w:szCs w:val="20"/>
                <w:lang w:val="pt-BR"/>
              </w:rPr>
            </w:pPr>
            <w:r w:rsidRPr="008533E6">
              <w:rPr>
                <w:rFonts w:ascii="Cambria" w:eastAsia="Cambria" w:hAnsi="Cambria" w:cs="Cambria"/>
                <w:sz w:val="20"/>
                <w:szCs w:val="20"/>
                <w:lang w:val="pt-BR"/>
              </w:rPr>
              <w:t>artigos 4 (vida), 5 (integridade pessoal), 8 (garantias judiciais), 19 (direitos da criança) e 25 (proteção judicial) da Convenção Americana; e os artigos 1, 6 e 8 da Convenção Interamericana para Prevenir e Punir a Tortura</w:t>
            </w:r>
          </w:p>
        </w:tc>
      </w:tr>
      <w:tr w:rsidR="003239B8" w:rsidRPr="00C8143A" w14:paraId="4EFD141E" w14:textId="77777777" w:rsidTr="002A21BE">
        <w:trPr>
          <w:cantSplit/>
        </w:trPr>
        <w:tc>
          <w:tcPr>
            <w:tcW w:w="3563" w:type="dxa"/>
            <w:tcBorders>
              <w:top w:val="single" w:sz="6" w:space="0" w:color="auto"/>
              <w:bottom w:val="single" w:sz="6" w:space="0" w:color="auto"/>
            </w:tcBorders>
            <w:shd w:val="clear" w:color="auto" w:fill="FFC000"/>
            <w:vAlign w:val="center"/>
          </w:tcPr>
          <w:p w14:paraId="4C04A89C" w14:textId="77777777" w:rsidR="003239B8" w:rsidRPr="002A21BE" w:rsidRDefault="003239B8" w:rsidP="008D2290">
            <w:pPr>
              <w:jc w:val="center"/>
              <w:rPr>
                <w:rFonts w:ascii="Cambria" w:hAnsi="Cambria"/>
                <w:b/>
                <w:bCs/>
                <w:sz w:val="20"/>
                <w:szCs w:val="20"/>
                <w:lang w:val="pt-BR"/>
              </w:rPr>
            </w:pPr>
            <w:r w:rsidRPr="002A21BE">
              <w:rPr>
                <w:rFonts w:ascii="Cambria" w:hAnsi="Cambria"/>
                <w:b/>
                <w:bCs/>
                <w:sz w:val="20"/>
                <w:szCs w:val="20"/>
                <w:lang w:val="pt-BR"/>
              </w:rPr>
              <w:t>Esgotamento dos recursos internos ou admissibilidade de uma exceção:</w:t>
            </w:r>
          </w:p>
        </w:tc>
        <w:tc>
          <w:tcPr>
            <w:tcW w:w="5774" w:type="dxa"/>
            <w:vAlign w:val="center"/>
          </w:tcPr>
          <w:p w14:paraId="69C53E8A" w14:textId="6372B45C" w:rsidR="003239B8" w:rsidRPr="008533E6" w:rsidRDefault="00832535" w:rsidP="008D2290">
            <w:pPr>
              <w:rPr>
                <w:rFonts w:ascii="Cambria" w:hAnsi="Cambria"/>
                <w:bCs/>
                <w:sz w:val="20"/>
                <w:szCs w:val="20"/>
                <w:lang w:val="pt-BR"/>
              </w:rPr>
            </w:pPr>
            <w:r w:rsidRPr="008533E6">
              <w:rPr>
                <w:rFonts w:ascii="Cambria" w:hAnsi="Cambria"/>
                <w:bCs/>
                <w:sz w:val="20"/>
                <w:szCs w:val="20"/>
                <w:lang w:val="pt-BR"/>
              </w:rPr>
              <w:t>Sim, nos termos da Secção VII</w:t>
            </w:r>
          </w:p>
        </w:tc>
      </w:tr>
      <w:tr w:rsidR="003239B8" w:rsidRPr="00C8143A" w14:paraId="52B5BA17" w14:textId="77777777" w:rsidTr="002A21BE">
        <w:trPr>
          <w:cantSplit/>
        </w:trPr>
        <w:tc>
          <w:tcPr>
            <w:tcW w:w="3563" w:type="dxa"/>
            <w:tcBorders>
              <w:top w:val="single" w:sz="6" w:space="0" w:color="auto"/>
              <w:bottom w:val="single" w:sz="6" w:space="0" w:color="auto"/>
            </w:tcBorders>
            <w:shd w:val="clear" w:color="auto" w:fill="FFC000"/>
            <w:vAlign w:val="center"/>
          </w:tcPr>
          <w:p w14:paraId="5DF99086" w14:textId="77777777" w:rsidR="003239B8" w:rsidRPr="002A21BE" w:rsidRDefault="003239B8" w:rsidP="008D2290">
            <w:pPr>
              <w:jc w:val="center"/>
              <w:rPr>
                <w:rFonts w:ascii="Cambria" w:hAnsi="Cambria"/>
                <w:b/>
                <w:bCs/>
                <w:sz w:val="20"/>
                <w:szCs w:val="20"/>
              </w:rPr>
            </w:pPr>
            <w:r w:rsidRPr="002A21BE">
              <w:rPr>
                <w:rFonts w:ascii="Cambria" w:hAnsi="Cambria"/>
                <w:b/>
                <w:bCs/>
                <w:sz w:val="20"/>
                <w:szCs w:val="20"/>
              </w:rPr>
              <w:t>Submissão dentro do prazo:</w:t>
            </w:r>
          </w:p>
        </w:tc>
        <w:tc>
          <w:tcPr>
            <w:tcW w:w="5774" w:type="dxa"/>
            <w:vAlign w:val="center"/>
          </w:tcPr>
          <w:p w14:paraId="4A2A4569" w14:textId="46234996" w:rsidR="003239B8" w:rsidRPr="008533E6" w:rsidRDefault="00832535" w:rsidP="008D2290">
            <w:pPr>
              <w:rPr>
                <w:rFonts w:ascii="Cambria" w:hAnsi="Cambria"/>
                <w:bCs/>
                <w:sz w:val="20"/>
                <w:szCs w:val="20"/>
                <w:lang w:val="pt-BR"/>
              </w:rPr>
            </w:pPr>
            <w:r w:rsidRPr="008533E6">
              <w:rPr>
                <w:rFonts w:ascii="Cambria" w:hAnsi="Cambria"/>
                <w:bCs/>
                <w:sz w:val="20"/>
                <w:szCs w:val="20"/>
                <w:lang w:val="pt-BR"/>
              </w:rPr>
              <w:t>Sim, nos termos da Secção VII</w:t>
            </w:r>
          </w:p>
        </w:tc>
      </w:tr>
    </w:tbl>
    <w:p w14:paraId="74AF60C4" w14:textId="77777777" w:rsidR="0037320E" w:rsidRPr="008533E6" w:rsidRDefault="0037320E" w:rsidP="0037320E">
      <w:pPr>
        <w:spacing w:before="240" w:after="240"/>
        <w:ind w:firstLine="720"/>
        <w:jc w:val="both"/>
        <w:rPr>
          <w:rFonts w:asciiTheme="majorHAnsi" w:hAnsiTheme="majorHAnsi"/>
          <w:b/>
          <w:sz w:val="20"/>
          <w:szCs w:val="20"/>
          <w:lang w:val="pt-BR"/>
        </w:rPr>
      </w:pPr>
    </w:p>
    <w:p w14:paraId="79DCF9BB" w14:textId="77777777" w:rsidR="0037320E" w:rsidRPr="008533E6" w:rsidRDefault="0037320E" w:rsidP="0037320E">
      <w:pPr>
        <w:spacing w:before="240" w:after="240"/>
        <w:ind w:firstLine="720"/>
        <w:jc w:val="both"/>
        <w:rPr>
          <w:rFonts w:asciiTheme="majorHAnsi" w:hAnsiTheme="majorHAnsi"/>
          <w:b/>
          <w:sz w:val="20"/>
          <w:szCs w:val="20"/>
          <w:lang w:val="pt-BR"/>
        </w:rPr>
      </w:pPr>
    </w:p>
    <w:p w14:paraId="28BBE4D7" w14:textId="77777777" w:rsidR="0037320E" w:rsidRPr="008533E6" w:rsidRDefault="0037320E" w:rsidP="0037320E">
      <w:pPr>
        <w:spacing w:before="240" w:after="240"/>
        <w:ind w:firstLine="720"/>
        <w:jc w:val="both"/>
        <w:rPr>
          <w:rFonts w:asciiTheme="majorHAnsi" w:hAnsiTheme="majorHAnsi"/>
          <w:b/>
          <w:sz w:val="20"/>
          <w:szCs w:val="20"/>
          <w:lang w:val="pt-BR"/>
        </w:rPr>
      </w:pPr>
    </w:p>
    <w:p w14:paraId="18E6423B" w14:textId="4B46DC94" w:rsidR="003239B8" w:rsidRPr="008533E6" w:rsidRDefault="00223A29" w:rsidP="0037320E">
      <w:pPr>
        <w:spacing w:before="240" w:after="240"/>
        <w:ind w:firstLine="720"/>
        <w:jc w:val="both"/>
        <w:rPr>
          <w:rFonts w:asciiTheme="majorHAnsi" w:hAnsiTheme="majorHAnsi"/>
          <w:b/>
          <w:sz w:val="20"/>
          <w:szCs w:val="20"/>
          <w:lang w:val="pt-BR"/>
        </w:rPr>
      </w:pPr>
      <w:r w:rsidRPr="008533E6">
        <w:rPr>
          <w:rFonts w:asciiTheme="majorHAnsi" w:hAnsiTheme="majorHAnsi"/>
          <w:b/>
          <w:sz w:val="20"/>
          <w:szCs w:val="20"/>
          <w:lang w:val="pt-BR"/>
        </w:rPr>
        <w:lastRenderedPageBreak/>
        <w:t xml:space="preserve">V. </w:t>
      </w:r>
      <w:r w:rsidRPr="008533E6">
        <w:rPr>
          <w:rFonts w:asciiTheme="majorHAnsi" w:hAnsiTheme="majorHAnsi"/>
          <w:b/>
          <w:sz w:val="20"/>
          <w:szCs w:val="20"/>
          <w:lang w:val="pt-BR"/>
        </w:rPr>
        <w:tab/>
      </w:r>
      <w:r w:rsidR="00867314" w:rsidRPr="008533E6">
        <w:rPr>
          <w:rFonts w:asciiTheme="majorHAnsi" w:hAnsiTheme="majorHAnsi"/>
          <w:b/>
          <w:sz w:val="20"/>
          <w:szCs w:val="20"/>
          <w:lang w:val="pt-BR"/>
        </w:rPr>
        <w:t>POSIÇÃO DAS PARTES</w:t>
      </w:r>
    </w:p>
    <w:p w14:paraId="16FB6418" w14:textId="4C1AFBA7" w:rsidR="0083100C" w:rsidRPr="008533E6" w:rsidRDefault="00201212" w:rsidP="0037320E">
      <w:pPr>
        <w:spacing w:before="240" w:after="240"/>
        <w:ind w:firstLine="720"/>
        <w:jc w:val="both"/>
        <w:rPr>
          <w:rFonts w:asciiTheme="majorHAnsi" w:hAnsiTheme="majorHAnsi"/>
          <w:b/>
          <w:sz w:val="20"/>
          <w:szCs w:val="20"/>
          <w:lang w:val="pt-BR"/>
        </w:rPr>
      </w:pPr>
      <w:r w:rsidRPr="008533E6">
        <w:rPr>
          <w:rFonts w:asciiTheme="majorHAnsi" w:hAnsiTheme="majorHAnsi"/>
          <w:b/>
          <w:sz w:val="20"/>
          <w:szCs w:val="20"/>
          <w:lang w:val="pt-BR"/>
        </w:rPr>
        <w:t>O peticionário</w:t>
      </w:r>
    </w:p>
    <w:p w14:paraId="7867D4C5" w14:textId="5B1B5060" w:rsidR="00AE4F09" w:rsidRPr="008533E6" w:rsidRDefault="009F19EE"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 xml:space="preserve">O peticionário alega que agentes da Polícia Militar do Estado de São Paulo executaram extrajudicialmente quatro jovens identificados como Paulo Alves da Silva, Luan Miguel da Silva, Jhonas da Silva e Elison da Silva Reis (doravante também as supostas vítimas); e sustenta que, até à data, os factos permanecem impunes. </w:t>
      </w:r>
    </w:p>
    <w:p w14:paraId="4AAAECD4" w14:textId="6002E3A9" w:rsidR="00AE4F09" w:rsidRPr="008533E6" w:rsidRDefault="00AE4F09" w:rsidP="003732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pt-BR"/>
        </w:rPr>
      </w:pPr>
      <w:r w:rsidRPr="008533E6">
        <w:rPr>
          <w:rFonts w:ascii="Cambria" w:hAnsi="Cambria"/>
          <w:i/>
          <w:iCs/>
          <w:sz w:val="20"/>
          <w:szCs w:val="20"/>
          <w:lang w:val="pt-BR"/>
        </w:rPr>
        <w:t>Sobre a morte das supostas vítimas</w:t>
      </w:r>
    </w:p>
    <w:p w14:paraId="2611FC83" w14:textId="07B395B9" w:rsidR="00B10145" w:rsidRDefault="00201212"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8533E6">
        <w:rPr>
          <w:rFonts w:ascii="Cambria" w:hAnsi="Cambria"/>
          <w:sz w:val="20"/>
          <w:szCs w:val="20"/>
          <w:lang w:val="pt-BR"/>
        </w:rPr>
        <w:t xml:space="preserve">O peticionário alega que em 6 de setembro de 2014, esses quatro jovens foram interceptados por policiais militares quando saíam de uma festa na favela de São Remo. De acordo com a versão oficial, a polícia iniciou uma perseguição contra o veículo em que as supostas vítimas viajavam, sob a presunção de que ele havia sido usado em roubos anteriores. Após dez quilômetros de perseguição, os policiais alegaram que os ocupantes do carro abriram fogo contra eles, o que os levou a responder em suposto exercício de legítima defesa. </w:t>
      </w:r>
      <w:r>
        <w:rPr>
          <w:rFonts w:ascii="Cambria" w:hAnsi="Cambria"/>
          <w:sz w:val="20"/>
          <w:szCs w:val="20"/>
        </w:rPr>
        <w:t>Como resultado, os quatro jovens morreram dentro do veículo.</w:t>
      </w:r>
    </w:p>
    <w:p w14:paraId="77076329" w14:textId="5BB40BFA" w:rsidR="009F19EE" w:rsidRPr="008533E6" w:rsidRDefault="00B31011"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O peticionário questiona esta versão e sustenta que ela contém inconsistências e omissões deliberadas. Argumenta que os jovens não representavam uma ameaça e que foram executados extrajudicialmente. Ele fornece evidências de especialistas que mostrariam que os tiros vieram apenas dos policiais e que as vítimas não dispararam tiros em sua defesa. Destaca que os laudos médicos revelam que os corpos tiveram múltiplos impactos de balas em áreas vitais, o que sugere uma ação premeditada e desproporcional.</w:t>
      </w:r>
    </w:p>
    <w:p w14:paraId="389EB614" w14:textId="1DE860CB" w:rsidR="00CF674D" w:rsidRPr="00CF674D" w:rsidRDefault="00CF674D" w:rsidP="003732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i/>
          <w:iCs/>
          <w:sz w:val="20"/>
          <w:szCs w:val="20"/>
          <w:lang w:val="es-PE"/>
        </w:rPr>
      </w:pPr>
      <w:r w:rsidRPr="00376F38">
        <w:rPr>
          <w:rFonts w:ascii="Cambria" w:hAnsi="Cambria"/>
          <w:i/>
          <w:iCs/>
          <w:sz w:val="20"/>
          <w:szCs w:val="20"/>
        </w:rPr>
        <w:t>Sobre a transferência dos corpos</w:t>
      </w:r>
    </w:p>
    <w:p w14:paraId="38A43C54" w14:textId="5523CE13" w:rsidR="00CF674D" w:rsidRPr="008533E6" w:rsidRDefault="00376F38"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O peticionário alega que os corpos das supostas vítimas foram transferidos em veículos oficiais para hospitais, apesar de os agentes do Corpo de Bombeiros terem constatado que os jovens não apresentavam mais sinais vitais no local dos fatos. Ele sustenta que esta ação não teve como objetivo prestar assistência, mas sim encobrir a execução e dificultar a coleta de provas na cena do crime. Explica que a transferência dos corpos impediu a determinação precisa da posição das vítimas no momento da sua morte e afetou a recolha de provas forenses indispensáveis para o esclarecimento dos factos.</w:t>
      </w:r>
    </w:p>
    <w:p w14:paraId="17FF8E38" w14:textId="4AEB913D" w:rsidR="00CF674D" w:rsidRPr="008533E6" w:rsidRDefault="00CF674D" w:rsidP="0037320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i/>
          <w:iCs/>
          <w:sz w:val="20"/>
          <w:szCs w:val="20"/>
          <w:lang w:val="pt-BR"/>
        </w:rPr>
      </w:pPr>
      <w:r w:rsidRPr="008533E6">
        <w:rPr>
          <w:i/>
          <w:iCs/>
          <w:color w:val="auto"/>
          <w:sz w:val="20"/>
          <w:szCs w:val="20"/>
          <w:lang w:val="pt-BR"/>
        </w:rPr>
        <w:t xml:space="preserve">A </w:t>
      </w:r>
      <w:r w:rsidRPr="008533E6">
        <w:rPr>
          <w:i/>
          <w:iCs/>
          <w:sz w:val="20"/>
          <w:szCs w:val="20"/>
          <w:lang w:val="pt-BR"/>
        </w:rPr>
        <w:t xml:space="preserve">investigação criminal e as alegadas incoerências </w:t>
      </w:r>
    </w:p>
    <w:p w14:paraId="78411D30" w14:textId="773D6CDE" w:rsidR="00CF674D" w:rsidRPr="008533E6" w:rsidRDefault="009F19EE"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O peticionário indica que em 7 de setembro de 2014, um dia após os fatos, a Delegacia de Polícia de Cotia registrou o Boletim de Ocorrência Nº 5547/2014 com base nas declarações dos agentes envolvidos, nas quais se afirmava que as supostas vítimas haviam resistido à ação policial. Indica que, em 9 de setembro de 2014, a 2ª Delegacia de Polícia de Cotia solicitou a instauração de inquérito contra os agentes Guilherme Alves Ferreira, Ilton Almeida Filho, Alex Roberto Padovani, Eugênio Luiz Viveiros Carvalho e Fabio Gustavo Ferreira pelos homicídios.</w:t>
      </w:r>
    </w:p>
    <w:p w14:paraId="05D3B8CF" w14:textId="4DE45399" w:rsidR="00CF674D" w:rsidRPr="008533E6" w:rsidRDefault="00104043"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Durante esse procedimento, foram realizados exames balísticos e necroscópicos que produziram resultados contraditórios com a versão oficial. Foi confirmado que os tiros foram disparados exclusivamente por policiais e que não houve troca de tiros por parte das vítimas. Os laudos periciais concluíram que os corpos tiveram múltiplos impactos no tórax e na cabeça, em posições que não sugerem legítima defesa. O peticionário alega que, apesar dessas descobertas, as provas foram minimizadas no curso da investigação.</w:t>
      </w:r>
    </w:p>
    <w:p w14:paraId="55CEDC53" w14:textId="6100B822" w:rsidR="00F650DB" w:rsidRPr="00F650DB" w:rsidRDefault="00F650DB" w:rsidP="003732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es-AR"/>
        </w:rPr>
      </w:pPr>
      <w:r>
        <w:rPr>
          <w:rFonts w:ascii="Cambria" w:hAnsi="Cambria"/>
          <w:i/>
          <w:iCs/>
          <w:sz w:val="20"/>
          <w:szCs w:val="20"/>
        </w:rPr>
        <w:t>Decisão de arquivamento</w:t>
      </w:r>
    </w:p>
    <w:p w14:paraId="7B16CB9D" w14:textId="6C6A301A" w:rsidR="00CF674D" w:rsidRPr="008533E6" w:rsidRDefault="004454BF"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 xml:space="preserve">O peticionário alega que em 13 de março de 2020, quase seis anos após os fatos, o Ministério Público do Estado de São Paulo solicitou o arquivamento do caso, argumentando que os policiais agiram em </w:t>
      </w:r>
      <w:r w:rsidRPr="008533E6">
        <w:rPr>
          <w:rFonts w:ascii="Cambria" w:hAnsi="Cambria"/>
          <w:sz w:val="20"/>
          <w:szCs w:val="20"/>
          <w:lang w:val="pt-BR"/>
        </w:rPr>
        <w:lastRenderedPageBreak/>
        <w:t xml:space="preserve">legítima defesa. Ele ressalta que essa decisão foi baseada na versão dos próprios agentes e na presunção de que os jovens teriam atirado primeiro, apesar da falta de evidências balísticas para sustentá-la. Indica que em 27 de julho de 2020, o Tribunal Criminal de Cotia aprovou este pedido. </w:t>
      </w:r>
    </w:p>
    <w:p w14:paraId="2F382696" w14:textId="1A7F472A" w:rsidR="00FB40FE" w:rsidRPr="008533E6" w:rsidRDefault="00645DAA"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 xml:space="preserve">Diante dessa resolução, em 26 de outubro de 2020, a Defensoria Pública de São Paulo protocolou pedido de arquivamento, apontando que a investigação havia sido insuficiente e parcial, omitindo indícios importantes que apontavam para uma execução extrajudicial. Em resposta, em 1º de dezembro de 2020, o tribunal encaminhou o caso ao Gabinete do Procurador-Geral para revisão. No entanto, em 15 de fevereiro de 2021, a Procuradoria-Geral da República confirmou o arquivamento definitivo do caso, recusando-se a apresentar denúncia contra os agentes envolvidos.  Em 18 de maio de 2021, o Tribunal Criminal de Cotia aprovou esta determinação. </w:t>
      </w:r>
    </w:p>
    <w:p w14:paraId="0B133152" w14:textId="1FD9C670" w:rsidR="0086284C" w:rsidRPr="008533E6" w:rsidRDefault="00FB40FE"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 xml:space="preserve">O peticionário afirma que a legislação brasileira não prevê nenhum recurso judicial para impugnar esta decisão. Da mesma forma, que o caso está arquivado e que nenhuma ação criminal foi tomada contra os responsáveis. </w:t>
      </w:r>
    </w:p>
    <w:p w14:paraId="255BF120" w14:textId="341D8511" w:rsidR="00B66C7F" w:rsidRPr="008533E6" w:rsidRDefault="005C7CF4"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Embora também tenha sido instaurado um procedimento administrativo perante a Corregedoria da Polícia Militar, essa via também não teria sido efetiva, uma vez que esse procedimento foi concluído com o arquivamento do caso em 10 de setembro de 2020, sem que fossem aplicadas sanções disciplinares aos agentes envolvidos. Por esta razão, sustenta que, dada a impossibilidade de obter justiça no âmbito interno, foram esgotados os recursos nacionais, o que justifica a intervenção do sistema interamericano.</w:t>
      </w:r>
    </w:p>
    <w:p w14:paraId="7D304C7C" w14:textId="6FD04E62" w:rsidR="00B66C7F" w:rsidRPr="008533E6" w:rsidRDefault="00B66C7F" w:rsidP="003732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pt-BR"/>
        </w:rPr>
      </w:pPr>
      <w:r w:rsidRPr="008533E6">
        <w:rPr>
          <w:rFonts w:ascii="Cambria" w:hAnsi="Cambria"/>
          <w:i/>
          <w:iCs/>
          <w:sz w:val="20"/>
          <w:szCs w:val="20"/>
          <w:lang w:val="pt-BR"/>
        </w:rPr>
        <w:t>Contexto da violência policial no Brasil</w:t>
      </w:r>
    </w:p>
    <w:p w14:paraId="40F3299B" w14:textId="57953FCA" w:rsidR="00B66C7F" w:rsidRPr="008533E6" w:rsidRDefault="00B66C7F"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O peticionário alega que os fatos denunciados fazem parte de um padrão sistemático de violência policial no Brasil, caracterizado pelo uso desproporcional da força, execuções extrajudiciais e impunidade generalizada. Aponta que a Polícia Militar tem sido responsável por um alto índice de mortes em operações, particularmente em comunidades vulneráveis e racializadas. Segundo dados oficiais, no ano anterior aos acontecimentos, mais de 2.000 pessoas foram mortas em intervenções policiais no país, com um padrão recorrente de justificação baseada em alegadas "</w:t>
      </w:r>
      <w:r w:rsidRPr="008533E6">
        <w:rPr>
          <w:rFonts w:ascii="Cambria" w:hAnsi="Cambria"/>
          <w:i/>
          <w:iCs/>
          <w:sz w:val="20"/>
          <w:szCs w:val="20"/>
          <w:lang w:val="pt-BR"/>
        </w:rPr>
        <w:t>resistências seguidas de morte</w:t>
      </w:r>
      <w:r w:rsidRPr="008533E6">
        <w:rPr>
          <w:rFonts w:ascii="Cambria" w:hAnsi="Cambria"/>
          <w:sz w:val="20"/>
          <w:szCs w:val="20"/>
          <w:lang w:val="pt-BR"/>
        </w:rPr>
        <w:t>".</w:t>
      </w:r>
    </w:p>
    <w:p w14:paraId="4B900330" w14:textId="77777777" w:rsidR="00B66C7F" w:rsidRPr="008533E6" w:rsidRDefault="00B66C7F"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O peticionário explica que a violência policial no Brasil afeta desproporcionalmente os jovens afro-brasileiros de origem pobre. Ressalta que as políticas de segurança pública têm sido marcadas pela militarização da polícia e pela falta de mecanismos efetivos de controle. Argumenta que o Ministério Público e o Poder Judiciário têm demonstrado uma postura de tolerância em relação aos abusos policiais, caracterizada pela inércia na fiscalização e pela falta de investigações efetivas.</w:t>
      </w:r>
    </w:p>
    <w:p w14:paraId="11F19D68" w14:textId="43EF281D" w:rsidR="00B66C7F" w:rsidRPr="008533E6" w:rsidRDefault="00B66C7F"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O peticionário sustenta que este contexto é relevante para o caso, uma vez que explica a falta de uma resposta adequada do Estado após a execução dos quatro jovens. Denuncia que a investigação deficiente, a impunidade dos agentes envolvidos e o arquivamento do caso respondem a um padrão estrutural de violações de direitos humanos no Brasil.</w:t>
      </w:r>
    </w:p>
    <w:p w14:paraId="4796FB8F" w14:textId="28EEFA60" w:rsidR="00CF674D" w:rsidRPr="00CF674D" w:rsidRDefault="00CF674D" w:rsidP="0037320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i/>
          <w:iCs/>
          <w:sz w:val="20"/>
          <w:szCs w:val="20"/>
          <w:lang w:val="es-AR"/>
        </w:rPr>
      </w:pPr>
      <w:r w:rsidRPr="00CF674D">
        <w:rPr>
          <w:i/>
          <w:iCs/>
          <w:sz w:val="20"/>
          <w:szCs w:val="20"/>
        </w:rPr>
        <w:t>Argumentos finais</w:t>
      </w:r>
    </w:p>
    <w:p w14:paraId="7EC819DD" w14:textId="5EF8B0C5" w:rsidR="002A2BC6" w:rsidRPr="008533E6" w:rsidRDefault="009F19EE"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 xml:space="preserve">Diante do exposto, o peticionário solicita à Comissão que declare a responsabilidade do Estado brasileiro pela execução extrajudicial das vítimas e pela denegação de justiça a seus familiares, razão pela qual fica claro que não cumpriu com os artigos 4, 8 e 25 da Convenção. Argumenta também que os direitos à liberdade pessoal e à vida privada foram afetados, devido à falta de elementos objetivos que justificassem a perseguição sofrida pelas supostas vítimas, bem como a posterior interceptação. </w:t>
      </w:r>
    </w:p>
    <w:p w14:paraId="141877C5" w14:textId="0E7A241D" w:rsidR="00CF674D" w:rsidRPr="008533E6" w:rsidRDefault="004D3428"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 xml:space="preserve"> Por fim, considera que, além de violar os direitos contemplados na Convenção Americana, o Brasil também é responsável pelo descumprimento da Convenção Interamericana para Prevenir e Punir a Tortura, uma vez que os corpos dos jovens apresentavam sinais claros de tortura, uma vez que tinham um cordão de balas no pescoço, um dedo cortado, um dente arrancado, entre outros.</w:t>
      </w:r>
    </w:p>
    <w:p w14:paraId="54878D86" w14:textId="430A98A1" w:rsidR="00A11E44" w:rsidRDefault="0032063A" w:rsidP="003732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AR"/>
        </w:rPr>
      </w:pPr>
      <w:r>
        <w:rPr>
          <w:rFonts w:ascii="Cambria" w:hAnsi="Cambria"/>
          <w:b/>
          <w:bCs/>
          <w:sz w:val="20"/>
          <w:szCs w:val="20"/>
        </w:rPr>
        <w:lastRenderedPageBreak/>
        <w:t xml:space="preserve">O Estado brasileiro </w:t>
      </w:r>
    </w:p>
    <w:p w14:paraId="76C7274B" w14:textId="3081D522" w:rsidR="0053736E" w:rsidRPr="008533E6" w:rsidRDefault="004C4CA1"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 xml:space="preserve">Por sua vez, o Brasil responde que a CIDH carece de competência </w:t>
      </w:r>
      <w:r w:rsidR="0053736E" w:rsidRPr="008533E6">
        <w:rPr>
          <w:rFonts w:ascii="Cambria" w:hAnsi="Cambria"/>
          <w:i/>
          <w:iCs/>
          <w:sz w:val="20"/>
          <w:szCs w:val="20"/>
          <w:lang w:val="pt-BR"/>
        </w:rPr>
        <w:t>ratione materiae</w:t>
      </w:r>
      <w:r w:rsidR="0053736E" w:rsidRPr="008533E6">
        <w:rPr>
          <w:rFonts w:ascii="Cambria" w:hAnsi="Cambria"/>
          <w:sz w:val="20"/>
          <w:szCs w:val="20"/>
          <w:lang w:val="pt-BR"/>
        </w:rPr>
        <w:t xml:space="preserve"> para analisar supostas violações da Convenção Interamericana para Prevenir e Punir a Tortura. Explica que, diferentemente de outros tratados interamericanos, este requer um ato expresso dos Estados para aceitar a jurisdição contenciosa dos órgãos do Sistema Interamericano de Direitos Humanos. Indica que o Brasil não concedeu tal aceitação, portanto a CIDH não tem o poder de ouvir possíveis violações deste instrumento.</w:t>
      </w:r>
    </w:p>
    <w:p w14:paraId="55CA44EA" w14:textId="2CEE5C05" w:rsidR="0053736E" w:rsidRPr="008533E6" w:rsidRDefault="0053736E"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Também alega que os peticionários não esgotaram todos os recursos internos antes de recorrer à CIDH. Alega que não há provas de que tenham impugnado o encerramento do processo disciplinar perante a Inspetoria da Polícia Militar ou que tenham interposto uma ação de indenização na jurisdição civil, o que lhes teria permitido obter uma indenização pecuniária. Argumenta que a falta de interposição desses recursos demonstra que os peticionários não buscaram justiça no sistema brasileiro antes de recorrer à CIDH e, portanto, solicita à Comissão que declare inadmissível o presente caso por não cumprir com o requisito estabelecido no artigo 46(1)(a) da Convenção.</w:t>
      </w:r>
    </w:p>
    <w:p w14:paraId="6A373D42" w14:textId="48075770" w:rsidR="00EF3FEA" w:rsidRPr="008533E6" w:rsidRDefault="001D6A3A"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 xml:space="preserve">Por fim, afirma que, embora a investigação tenha determinado a autoria dos tiros e a materialidade das mortes, que a polícia agiu sob uma causa de justificativa legal, de modo que o Ministério Público de São Paulo decidiu arquivar o caso. Assim, o Estado considera que cumpriu seu dever de investigar os fatos ao abrir vários órgãos de investigação. Detalha que foram realizados os seguintes procedimentos: inquérito policial nº 0009650-18.2014.8.26.0152, que concluiu no arquivamento do caso em 15 de fevereiro de 2021; inquérito policial militar nº 33 BPMM-036060/14, encerrado após concluir que os agentes agiram de acordo com as normas vigentes; e o procedimento interno CORREGPM nº 466/135/2014, protocolado pela Corregedoria da Polícia Militar em 10 de setembro de 2020. Na visão do Brasil, esses procedimentos foram suficientes para esclarecer os fatos e garantir o acesso à justiça. Argumenta que o arquivamento do caso não implica impunidade, mas sim o reconhecimento de que os agentes agiram no cumprimento de seu dever, razão pela qual não é apropriado que a Comissão processe na etapa de mérito. </w:t>
      </w:r>
    </w:p>
    <w:p w14:paraId="303AB5B8" w14:textId="179737E1" w:rsidR="001A10ED" w:rsidRPr="008533E6" w:rsidRDefault="001C02DE" w:rsidP="0037320E">
      <w:pPr>
        <w:spacing w:before="240" w:after="240"/>
        <w:ind w:firstLine="720"/>
        <w:jc w:val="both"/>
        <w:rPr>
          <w:rFonts w:asciiTheme="majorHAnsi" w:eastAsia="Cambria" w:hAnsiTheme="majorHAnsi" w:cs="Cambria"/>
          <w:b/>
          <w:bCs/>
          <w:i/>
          <w:iCs/>
          <w:color w:val="000000"/>
          <w:sz w:val="20"/>
          <w:szCs w:val="20"/>
          <w:u w:color="000000"/>
          <w:lang w:val="pt-BR" w:eastAsia="es-ES"/>
        </w:rPr>
      </w:pPr>
      <w:r>
        <w:rPr>
          <w:rFonts w:asciiTheme="majorHAnsi" w:eastAsia="Cambria" w:hAnsiTheme="majorHAnsi" w:cs="Cambria"/>
          <w:b/>
          <w:bCs/>
          <w:color w:val="000000"/>
          <w:sz w:val="20"/>
          <w:szCs w:val="20"/>
          <w:u w:color="000000"/>
          <w:lang w:val="pt-BR" w:eastAsia="es-ES"/>
        </w:rPr>
        <w:t>VI</w:t>
      </w:r>
      <w:r w:rsidR="003239B8" w:rsidRPr="008533E6">
        <w:rPr>
          <w:rFonts w:asciiTheme="majorHAnsi" w:eastAsia="Cambria" w:hAnsiTheme="majorHAnsi" w:cs="Cambria"/>
          <w:b/>
          <w:bCs/>
          <w:color w:val="000000"/>
          <w:sz w:val="20"/>
          <w:szCs w:val="20"/>
          <w:u w:color="000000"/>
          <w:lang w:val="pt-BR" w:eastAsia="es-ES"/>
        </w:rPr>
        <w:t>.</w:t>
      </w:r>
      <w:r>
        <w:rPr>
          <w:rFonts w:asciiTheme="majorHAnsi" w:eastAsia="Cambria" w:hAnsiTheme="majorHAnsi" w:cs="Cambria"/>
          <w:b/>
          <w:bCs/>
          <w:color w:val="000000"/>
          <w:sz w:val="20"/>
          <w:szCs w:val="20"/>
          <w:u w:color="000000"/>
          <w:lang w:val="pt-BR" w:eastAsia="es-ES"/>
        </w:rPr>
        <w:tab/>
      </w:r>
      <w:r w:rsidR="001A10ED" w:rsidRPr="008533E6">
        <w:rPr>
          <w:rFonts w:asciiTheme="majorHAnsi" w:eastAsia="Cambria" w:hAnsiTheme="majorHAnsi" w:cs="Cambria"/>
          <w:b/>
          <w:bCs/>
          <w:sz w:val="20"/>
          <w:szCs w:val="20"/>
          <w:u w:color="000000"/>
          <w:lang w:val="pt-BR" w:eastAsia="es-ES"/>
        </w:rPr>
        <w:t xml:space="preserve">ANÁLISE DO </w:t>
      </w:r>
      <w:r w:rsidR="001A10ED" w:rsidRPr="008533E6">
        <w:rPr>
          <w:rFonts w:asciiTheme="majorHAnsi" w:eastAsia="Cambria" w:hAnsiTheme="majorHAnsi" w:cs="Cambria"/>
          <w:b/>
          <w:bCs/>
          <w:color w:val="000000"/>
          <w:sz w:val="20"/>
          <w:szCs w:val="20"/>
          <w:u w:color="000000"/>
          <w:lang w:val="pt-BR" w:eastAsia="es-ES"/>
        </w:rPr>
        <w:t xml:space="preserve">COMPETÊNCIA </w:t>
      </w:r>
      <w:r w:rsidR="001A10ED" w:rsidRPr="008533E6">
        <w:rPr>
          <w:rFonts w:asciiTheme="majorHAnsi" w:eastAsia="Cambria" w:hAnsiTheme="majorHAnsi" w:cs="Cambria"/>
          <w:b/>
          <w:bCs/>
          <w:i/>
          <w:iCs/>
          <w:color w:val="000000"/>
          <w:sz w:val="20"/>
          <w:szCs w:val="20"/>
          <w:u w:color="000000"/>
          <w:lang w:val="pt-BR" w:eastAsia="es-ES"/>
        </w:rPr>
        <w:t>RATIONE MATERIAE</w:t>
      </w:r>
    </w:p>
    <w:p w14:paraId="10215216" w14:textId="4DBC82A8" w:rsidR="0031005F" w:rsidRPr="008533E6" w:rsidRDefault="008C555F"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Theme="majorHAnsi" w:eastAsia="Cambria" w:hAnsiTheme="majorHAnsi" w:cs="Cambria"/>
          <w:color w:val="000000"/>
          <w:sz w:val="20"/>
          <w:szCs w:val="20"/>
          <w:u w:color="000000"/>
          <w:lang w:val="pt-BR" w:eastAsia="es-ES"/>
        </w:rPr>
        <w:t>O Estado alega que a CIDH carece de competência material para analisar, no âmbito de seu sistema de petições e casos, supostas</w:t>
      </w:r>
      <w:r w:rsidRPr="008533E6">
        <w:rPr>
          <w:rFonts w:ascii="Cambria" w:hAnsi="Cambria"/>
          <w:sz w:val="20"/>
          <w:szCs w:val="20"/>
          <w:lang w:val="pt-BR"/>
        </w:rPr>
        <w:t xml:space="preserve"> violações da Convenção Interamericana para Prevenir e Punir a Tortura, uma vez que não adotou um ato expresso para aceitar a jurisdição contenciosa desse órgão sobre este instrumento. No entanto, essa questão já foi resolvida pela Corte Interamericana em seu julgamento no caso </w:t>
      </w:r>
      <w:r w:rsidR="00D9108B" w:rsidRPr="008533E6">
        <w:rPr>
          <w:rFonts w:ascii="Cambria" w:hAnsi="Cambria"/>
          <w:i/>
          <w:iCs/>
          <w:sz w:val="20"/>
          <w:szCs w:val="20"/>
          <w:lang w:val="pt-BR"/>
        </w:rPr>
        <w:t>Favela Nova Brasília v. Brasil</w:t>
      </w:r>
      <w:r w:rsidR="00D9108B" w:rsidRPr="008533E6">
        <w:rPr>
          <w:rFonts w:ascii="Cambria" w:hAnsi="Cambria"/>
          <w:sz w:val="20"/>
          <w:szCs w:val="20"/>
          <w:lang w:val="pt-BR"/>
        </w:rPr>
        <w:t xml:space="preserve">, nos seguintes termos: </w:t>
      </w:r>
    </w:p>
    <w:p w14:paraId="0DB14D0C" w14:textId="28E788A3" w:rsidR="00DE7494" w:rsidRPr="008533E6" w:rsidRDefault="00131105" w:rsidP="003732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18"/>
          <w:szCs w:val="18"/>
          <w:lang w:val="pt-BR"/>
        </w:rPr>
      </w:pPr>
      <w:r w:rsidRPr="008533E6">
        <w:rPr>
          <w:rFonts w:ascii="Cambria" w:hAnsi="Cambria"/>
          <w:sz w:val="18"/>
          <w:szCs w:val="18"/>
          <w:lang w:val="pt-BR"/>
        </w:rPr>
        <w:t xml:space="preserve">[...] em resposta ao argumento de alguns Estados de que cada tratado interamericano requer uma declaração específica de jurisdição concedida à Corte, esta Corte determinou que pode exercer sua jurisdição contenciosa com relação a instrumentos interamericanos diferentes da Convenção Americana, quando estes estabelecem um sistema de petições sujeitas a supervisão internacional em nível regional. […]. Embora o artigo 8 da Convenção contra a Tortura não mencione explicitamente a Corte Interamericana, esta Corte referiu-se à sua própria competência para interpretar e aplicar essa Convenção, com base em um meio complementar de interpretação, como o trabalho preparatório, tendo em vista a possível ambigüidade da disposição. Assim, em sua Sentença no </w:t>
      </w:r>
      <w:r w:rsidR="00DE7494" w:rsidRPr="008533E6">
        <w:rPr>
          <w:rFonts w:ascii="Cambria" w:hAnsi="Cambria"/>
          <w:i/>
          <w:iCs/>
          <w:sz w:val="18"/>
          <w:szCs w:val="18"/>
          <w:lang w:val="pt-BR"/>
        </w:rPr>
        <w:t>Caso Villagrán Morales e outros contra Guatemala</w:t>
      </w:r>
      <w:r w:rsidR="00DE7494" w:rsidRPr="008533E6">
        <w:rPr>
          <w:rFonts w:ascii="Cambria" w:hAnsi="Cambria"/>
          <w:sz w:val="18"/>
          <w:szCs w:val="18"/>
          <w:lang w:val="pt-BR"/>
        </w:rPr>
        <w:t>, a Corte referiu-se à razão histórica desse artigo, ou seja, que no momento da elaboração da Convenção contra a Tortura ainda existiam alguns países membros da Organização dos Estados Americanos que não eram partes da Convenção Americana.  e indicou que com uma cláusula de jurisdição geral, que não fazia referência expressa e exclusiva à Corte Interamericana, abria-se a possibilidade para o maior número de Estados ratificar ou aderir à Convenção contra a Tortura. Ao adotar a Convenção, considerou-se importante atribuir a competência para aplicar a Convenção contra a Tortura a um órgão internacional, seja uma comissão, comitê ou tribunal existente ou um que possa ser estabelecido no futuro. Nesse sentido, a Comissão e, consequentemente, a Corte, têm competência para analisar e declarar violações da referida Convenção</w:t>
      </w:r>
      <w:r w:rsidR="004D35B2">
        <w:rPr>
          <w:rStyle w:val="FootnoteReference"/>
          <w:rFonts w:ascii="Cambria" w:hAnsi="Cambria"/>
          <w:sz w:val="18"/>
          <w:szCs w:val="18"/>
        </w:rPr>
        <w:footnoteReference w:id="4"/>
      </w:r>
      <w:r w:rsidR="00DE7494" w:rsidRPr="008533E6">
        <w:rPr>
          <w:rFonts w:ascii="Cambria" w:hAnsi="Cambria"/>
          <w:sz w:val="18"/>
          <w:szCs w:val="18"/>
          <w:lang w:val="pt-BR"/>
        </w:rPr>
        <w:t>.</w:t>
      </w:r>
    </w:p>
    <w:p w14:paraId="64E4AF11" w14:textId="48036B27" w:rsidR="008C555F" w:rsidRPr="008533E6" w:rsidRDefault="00B45392"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lastRenderedPageBreak/>
        <w:t xml:space="preserve">Consequentemente, a Comissão tem competência material para analisar o suposto impacto sobre esse tratado. </w:t>
      </w:r>
    </w:p>
    <w:p w14:paraId="6F4D4171" w14:textId="52B1C50E" w:rsidR="003239B8" w:rsidRPr="008533E6" w:rsidRDefault="001A10ED" w:rsidP="0037320E">
      <w:pPr>
        <w:spacing w:before="240" w:after="240"/>
        <w:ind w:firstLine="720"/>
        <w:jc w:val="both"/>
        <w:rPr>
          <w:rFonts w:ascii="Cambria" w:hAnsi="Cambria"/>
          <w:sz w:val="20"/>
          <w:szCs w:val="20"/>
          <w:lang w:val="pt-BR"/>
        </w:rPr>
      </w:pPr>
      <w:r w:rsidRPr="008533E6">
        <w:rPr>
          <w:rFonts w:asciiTheme="majorHAnsi" w:hAnsiTheme="majorHAnsi"/>
          <w:b/>
          <w:bCs/>
          <w:sz w:val="20"/>
          <w:szCs w:val="20"/>
          <w:lang w:val="pt-BR"/>
        </w:rPr>
        <w:t xml:space="preserve">VII. </w:t>
      </w:r>
      <w:r w:rsidR="009A7B1E" w:rsidRPr="008533E6">
        <w:rPr>
          <w:rFonts w:asciiTheme="majorHAnsi" w:hAnsiTheme="majorHAnsi"/>
          <w:b/>
          <w:bCs/>
          <w:sz w:val="20"/>
          <w:szCs w:val="20"/>
          <w:lang w:val="pt-BR"/>
        </w:rPr>
        <w:tab/>
      </w:r>
      <w:r w:rsidR="004A6A54" w:rsidRPr="008533E6">
        <w:rPr>
          <w:rFonts w:asciiTheme="majorHAnsi" w:hAnsiTheme="majorHAnsi"/>
          <w:b/>
          <w:bCs/>
          <w:sz w:val="20"/>
          <w:szCs w:val="20"/>
          <w:lang w:val="pt-BR"/>
        </w:rPr>
        <w:t xml:space="preserve">ANÁLISE DE </w:t>
      </w:r>
      <w:r w:rsidR="00C21FEF" w:rsidRPr="008533E6">
        <w:rPr>
          <w:rFonts w:asciiTheme="majorHAnsi" w:hAnsiTheme="majorHAnsi"/>
          <w:b/>
          <w:sz w:val="20"/>
          <w:szCs w:val="20"/>
          <w:lang w:val="pt-BR"/>
        </w:rPr>
        <w:t xml:space="preserve">ESGOTAMENTO DOS RECURSOS INTERNOS E PRAZO PARA APRESENTAÇÃO </w:t>
      </w:r>
    </w:p>
    <w:p w14:paraId="28718D5D" w14:textId="00BF6EC6" w:rsidR="00FC76C9" w:rsidRPr="008533E6" w:rsidRDefault="009B2315"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Theme="majorHAnsi" w:hAnsiTheme="majorHAnsi"/>
          <w:sz w:val="20"/>
          <w:szCs w:val="20"/>
          <w:lang w:val="pt-BR"/>
        </w:rPr>
        <w:t xml:space="preserve">A Comissão observa que a principal denúncia do peticionário se concentra em impugnar o arquivamento da investigação contra os policiais que supostamente executaram extrajudicialmente as supostas vítimas. Por sua vez, o Brasil </w:t>
      </w:r>
      <w:r w:rsidR="002616E1" w:rsidRPr="008533E6">
        <w:rPr>
          <w:rFonts w:ascii="Cambria" w:hAnsi="Cambria"/>
          <w:sz w:val="20"/>
          <w:szCs w:val="20"/>
          <w:lang w:val="pt-BR"/>
        </w:rPr>
        <w:t>responde que a regra do prévio esgotamento dos recursos internos não foi cumprida, uma vez que não há provas de que a representação das supostas vítimas tenha contestado o arquivamento do processo disciplinar perante a Corregedoria da Polícia Militar ou que tenham ajuizado uma ação de indenização na jurisdição civil.  o que lhes permitiria obter reparação econômica. Ele também sustenta que eles não usaram uma ação constitucional de amparo ou revisão perante os tribunais superiores para questionar a decisão do Ministério Público de arquivar o caso.</w:t>
      </w:r>
    </w:p>
    <w:p w14:paraId="64B1D515" w14:textId="1DD4B175" w:rsidR="00FC76C9" w:rsidRPr="008533E6" w:rsidRDefault="00FC76C9"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8533E6">
        <w:rPr>
          <w:rFonts w:asciiTheme="majorHAnsi" w:hAnsiTheme="majorHAnsi"/>
          <w:sz w:val="20"/>
          <w:szCs w:val="20"/>
          <w:lang w:val="pt-BR"/>
        </w:rPr>
        <w:t>A este respeito, a CIDH recorda que, em casos de supostas violações graves de direitos humanos que constituam crimes passíveis de processo ex officio, os recursos internos que devem ser levados em conta para fins de admissibilidade de uma petição são os do processo penal, uma vez que é a forma adequada para esclarecer os fatos e estabelecer as sanções penais correspondentes.  além de possibilitar outras formas de reparação de natureza pecuniária</w:t>
      </w:r>
      <w:r w:rsidRPr="00FC76C9">
        <w:rPr>
          <w:rFonts w:asciiTheme="majorHAnsi" w:hAnsiTheme="majorHAnsi"/>
          <w:sz w:val="20"/>
          <w:szCs w:val="20"/>
          <w:vertAlign w:val="superscript"/>
        </w:rPr>
        <w:footnoteReference w:id="5"/>
      </w:r>
      <w:r w:rsidRPr="008533E6">
        <w:rPr>
          <w:rFonts w:asciiTheme="majorHAnsi" w:hAnsiTheme="majorHAnsi"/>
          <w:sz w:val="20"/>
          <w:szCs w:val="20"/>
          <w:lang w:val="pt-BR"/>
        </w:rPr>
        <w:t xml:space="preserve">. </w:t>
      </w:r>
    </w:p>
    <w:p w14:paraId="744807ED" w14:textId="14F01D49" w:rsidR="007C14D0" w:rsidRPr="008533E6" w:rsidRDefault="00157006"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pt-BR"/>
        </w:rPr>
      </w:pPr>
      <w:r w:rsidRPr="008533E6">
        <w:rPr>
          <w:rFonts w:asciiTheme="majorHAnsi" w:hAnsiTheme="majorHAnsi"/>
          <w:color w:val="000000" w:themeColor="text1"/>
          <w:sz w:val="20"/>
          <w:szCs w:val="20"/>
          <w:lang w:val="pt-BR"/>
        </w:rPr>
        <w:t>A Comissão</w:t>
      </w:r>
      <w:r w:rsidR="00FC76C9" w:rsidRPr="008533E6">
        <w:rPr>
          <w:rFonts w:asciiTheme="majorHAnsi" w:hAnsiTheme="majorHAnsi"/>
          <w:sz w:val="20"/>
          <w:szCs w:val="20"/>
          <w:lang w:val="pt-BR"/>
        </w:rPr>
        <w:t xml:space="preserve"> também assinalou que a jurisdição disciplinar não é um meio suficiente para julgar, punir e reparar as consequências das violações de direitos humanos. Da mesma forma, a Corte Interamericana de Direitos Humanos concluiu que a investigação na jurisdição disciplinar tende a proteger a função administrativa e a correção e controle de funcionários públicos, de modo que pode complementar, mas não substituir totalmente, a função da jurisdição penal em casos de graves violações de direitos humanos</w:t>
      </w:r>
      <w:r w:rsidR="009E3D30" w:rsidRPr="009E3D30">
        <w:rPr>
          <w:rFonts w:asciiTheme="majorHAnsi" w:hAnsiTheme="majorHAnsi"/>
          <w:sz w:val="20"/>
          <w:szCs w:val="20"/>
          <w:vertAlign w:val="superscript"/>
        </w:rPr>
        <w:footnoteReference w:id="6"/>
      </w:r>
      <w:r w:rsidR="009E3D30" w:rsidRPr="008533E6">
        <w:rPr>
          <w:rFonts w:asciiTheme="majorHAnsi" w:hAnsiTheme="majorHAnsi"/>
          <w:sz w:val="20"/>
          <w:szCs w:val="20"/>
          <w:lang w:val="pt-BR"/>
        </w:rPr>
        <w:t>.</w:t>
      </w:r>
    </w:p>
    <w:p w14:paraId="42C75DB3" w14:textId="4D78097B" w:rsidR="003512DF" w:rsidRPr="008533E6" w:rsidRDefault="003512DF"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pt-BR"/>
        </w:rPr>
      </w:pPr>
      <w:r w:rsidRPr="008533E6">
        <w:rPr>
          <w:rFonts w:asciiTheme="majorHAnsi" w:hAnsiTheme="majorHAnsi"/>
          <w:color w:val="000000" w:themeColor="text1"/>
          <w:sz w:val="20"/>
          <w:szCs w:val="20"/>
          <w:lang w:val="pt-BR"/>
        </w:rPr>
        <w:t>Em virtude do exposto, a Comissão observa que, embora tenha sido iniciada uma investigação penal para identificar e punir os responsáveis pela morte das supostas vítimas, em 13 de março de 2020, o Ministério Público do Estado de São Paulo solicitou o arquivamento do caso e, em 27 de julho de 2020, a Vara Criminal de Cotia aprovou essa solicitação. Embora a Defensoria Pública tenha apresentado um pedido de desarquivamento, em 18 de maio de 2021, o Tribunal Criminal de Cotia aprovou a decisão da Procuradoria-Geral de confirmar o arquivamento do caso.</w:t>
      </w:r>
    </w:p>
    <w:p w14:paraId="703F3EE0" w14:textId="5B1075BC" w:rsidR="00E336D2" w:rsidRPr="008533E6" w:rsidRDefault="00B34D85"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pt-BR"/>
        </w:rPr>
      </w:pPr>
      <w:r w:rsidRPr="008533E6">
        <w:rPr>
          <w:rFonts w:asciiTheme="majorHAnsi" w:hAnsiTheme="majorHAnsi"/>
          <w:color w:val="000000" w:themeColor="text1"/>
          <w:sz w:val="20"/>
          <w:szCs w:val="20"/>
          <w:lang w:val="pt-BR"/>
        </w:rPr>
        <w:t>Na opinião da Comissão, a informação apresentada demonstra que o peticionário utilizou o canal adequado para sua denúncia e esgotou os recursos disponíveis no âmbito da investigação penal. Por conseguinte, não foi necessário recorrer a mecanismos adicionais. Diante do exposto, a Comissão conclui que a presente denúncia cumpre com o requisito estabelecido no artigo 46(1)(a) da Convenção. Além disso, dado que o Juizado Penal de Cotia emitiu a decisão definitiva sobre o assunto em 18 de maio de 2021 e que a petição foi apresentada em 18 de novembro de 2021, também cumpre o requisito de tempo estabelecido no artigo 46(1)(b) da Convenção.</w:t>
      </w:r>
    </w:p>
    <w:p w14:paraId="4FFBE378" w14:textId="2F4242FA" w:rsidR="003239B8" w:rsidRPr="008533E6" w:rsidRDefault="003239B8" w:rsidP="0037320E">
      <w:pPr>
        <w:pStyle w:val="ListParagraph"/>
        <w:spacing w:before="240" w:after="240"/>
        <w:jc w:val="both"/>
        <w:rPr>
          <w:rFonts w:asciiTheme="majorHAnsi" w:hAnsiTheme="majorHAnsi"/>
          <w:b/>
          <w:sz w:val="20"/>
          <w:szCs w:val="20"/>
          <w:lang w:val="pt-BR"/>
        </w:rPr>
      </w:pPr>
      <w:r w:rsidRPr="008533E6">
        <w:rPr>
          <w:rFonts w:asciiTheme="majorHAnsi" w:hAnsiTheme="majorHAnsi"/>
          <w:b/>
          <w:bCs/>
          <w:sz w:val="20"/>
          <w:szCs w:val="20"/>
          <w:lang w:val="pt-BR"/>
        </w:rPr>
        <w:t>VIII.</w:t>
      </w:r>
      <w:r w:rsidRPr="008533E6">
        <w:rPr>
          <w:rFonts w:asciiTheme="majorHAnsi" w:hAnsiTheme="majorHAnsi"/>
          <w:b/>
          <w:bCs/>
          <w:sz w:val="20"/>
          <w:szCs w:val="20"/>
          <w:lang w:val="pt-BR"/>
        </w:rPr>
        <w:tab/>
      </w:r>
      <w:r w:rsidR="004A6A54" w:rsidRPr="008533E6">
        <w:rPr>
          <w:rFonts w:asciiTheme="majorHAnsi" w:hAnsiTheme="majorHAnsi"/>
          <w:b/>
          <w:bCs/>
          <w:sz w:val="20"/>
          <w:szCs w:val="20"/>
          <w:lang w:val="pt-BR"/>
        </w:rPr>
        <w:t>ANÁLISE DE CARACTERIZAÇÃO DOS FATOS ALEGADOS</w:t>
      </w:r>
    </w:p>
    <w:p w14:paraId="5E2F96B0" w14:textId="77777777" w:rsidR="00BB38AF" w:rsidRPr="008533E6" w:rsidRDefault="00776039"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Theme="majorHAnsi" w:hAnsiTheme="majorHAnsi"/>
          <w:sz w:val="20"/>
          <w:szCs w:val="20"/>
          <w:lang w:val="pt-BR"/>
        </w:rPr>
        <w:t xml:space="preserve">Em primeiro lugar, a Comissão reitera que o critério de avaliação da fase de admissibilidade difere daquele utilizado para decidir sobre o mérito de uma petição; nesta etapa, a CIDH deve realizar uma  avaliação </w:t>
      </w:r>
      <w:r w:rsidRPr="008533E6">
        <w:rPr>
          <w:rFonts w:asciiTheme="majorHAnsi" w:hAnsiTheme="majorHAnsi"/>
          <w:i/>
          <w:iCs/>
          <w:sz w:val="20"/>
          <w:szCs w:val="20"/>
          <w:lang w:val="pt-BR"/>
        </w:rPr>
        <w:t>prima facie</w:t>
      </w:r>
      <w:r w:rsidRPr="008533E6">
        <w:rPr>
          <w:rFonts w:asciiTheme="majorHAnsi" w:hAnsiTheme="majorHAnsi"/>
          <w:sz w:val="20"/>
          <w:szCs w:val="20"/>
          <w:lang w:val="pt-BR"/>
        </w:rPr>
        <w:t xml:space="preserve">  para determinar se a petição fundamenta uma possível ou potencial violação de um direito garantido pela Convenção.  mas não para estabelecer a existência de uma violação de direitos. Esta determinação sobre a caracterização das violações da Convenção Americana constitui uma análise primária, que não implica prejulgar o mérito do caso. Para fins de admissibilidade, a Comissão deve decidir se os fatos alegados podem caracterizar uma violação de direitos, conforme estipulado no artigo 47(b) da Convenção </w:t>
      </w:r>
      <w:r w:rsidRPr="008533E6">
        <w:rPr>
          <w:rFonts w:asciiTheme="majorHAnsi" w:hAnsiTheme="majorHAnsi"/>
          <w:sz w:val="20"/>
          <w:szCs w:val="20"/>
          <w:lang w:val="pt-BR"/>
        </w:rPr>
        <w:lastRenderedPageBreak/>
        <w:t>Americana, ou se a petição é "manifestamente infundada" ou "manifestamente improcedente", de acordo com o artigo 47(c) da Convenção Americana.</w:t>
      </w:r>
    </w:p>
    <w:p w14:paraId="5B07F450" w14:textId="44B5CC78" w:rsidR="00BB38AF" w:rsidRPr="008533E6" w:rsidRDefault="00BB38AF"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O objetivo principal desta petição é determinar a possível responsabilidade do Estado pela execução extrajudicial das supostas vítimas por meio do uso ilegal e desproporcional de força letal, bem como pela impunidade dos fatos. Assim, após examinar os elementos de fato e de direito apresentados pelas partes, a Comissão considera que as alegações do peticionário não são manifestamente infundadas e requerem um estudo de mérito, uma vez que os fatos alegados, se comprovados, poderiam constituir uma violação dos direitos protegidos nos artigos 4 (direito à vida).  5 (direito à integridade pessoal), 8 (garantias judiciais) e 25 (proteção judicial) da Convenção Americana sobre Direitos Humanos, em detrimento das supostas vítimas e seus familiares. Além disso, dado que pelo menos Jhonas da Silva e Elison da Silva Reis tinham 17 e 16 anos de idade na época dos fatos, a CIDH também analisará o possível impacto no artigo 19 (direitos da criança) da Convenção. Por fim, uma vez que há indícios de que as supostas vítimas possam ter sido submetidas a atos de tortura devido aos ferimentos em seus corpos, também será analisado o suposto descumprimento dos artigos 1, 6 e 8 da Convenção Interamericana para Prevenir e Punir a Tortura.</w:t>
      </w:r>
    </w:p>
    <w:p w14:paraId="08CBB10A" w14:textId="77777777" w:rsidR="00BB38AF" w:rsidRPr="008533E6" w:rsidRDefault="00BB38AF" w:rsidP="00373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Cambria" w:hAnsi="Cambria"/>
          <w:sz w:val="20"/>
          <w:szCs w:val="20"/>
          <w:lang w:val="pt-BR"/>
        </w:rPr>
        <w:t>Finalmente, com relação às supostas violações dos artigos 7 (direito à liberdade pessoal) e 11 (proteção da honra e da dignidade) da Convenção, a Comissão não identifica elementos que permitam demonstrar, mesmo prima facie, que possam ter sido afetados</w:t>
      </w:r>
    </w:p>
    <w:p w14:paraId="29BB41F5" w14:textId="09538941" w:rsidR="003239B8" w:rsidRPr="00BB38AF" w:rsidRDefault="00832535" w:rsidP="003732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
        </w:rPr>
      </w:pPr>
      <w:r w:rsidRPr="00BB38AF">
        <w:rPr>
          <w:rFonts w:asciiTheme="majorHAnsi" w:hAnsiTheme="majorHAnsi"/>
          <w:b/>
          <w:bCs/>
          <w:sz w:val="20"/>
          <w:szCs w:val="20"/>
        </w:rPr>
        <w:t xml:space="preserve">IX. </w:t>
      </w:r>
      <w:r w:rsidR="003239B8" w:rsidRPr="00BB38AF">
        <w:rPr>
          <w:rFonts w:asciiTheme="majorHAnsi" w:hAnsiTheme="majorHAnsi"/>
          <w:b/>
          <w:bCs/>
          <w:sz w:val="20"/>
          <w:szCs w:val="20"/>
        </w:rPr>
        <w:tab/>
        <w:t>DECISÃO</w:t>
      </w:r>
    </w:p>
    <w:p w14:paraId="0FDE1D10" w14:textId="2C19D41E" w:rsidR="003239B8" w:rsidRPr="008533E6" w:rsidRDefault="003239B8" w:rsidP="0037320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533E6">
        <w:rPr>
          <w:rFonts w:asciiTheme="majorHAnsi" w:hAnsiTheme="majorHAnsi"/>
          <w:sz w:val="20"/>
          <w:szCs w:val="20"/>
          <w:lang w:val="pt-BR"/>
        </w:rPr>
        <w:t xml:space="preserve">Declarar admissível a presente petição em relação aos artigos 4, 5, 8, 19 e 25 da Convenção Americana; e as disposições 1, 6 e 8 da Convenção Interamericana para Prevenir e Punir a Tortura; </w:t>
      </w:r>
    </w:p>
    <w:p w14:paraId="41AA5BF6" w14:textId="159409D7" w:rsidR="000419AD" w:rsidRPr="008533E6" w:rsidRDefault="000419AD" w:rsidP="0037320E">
      <w:pPr>
        <w:pStyle w:val="ListParagraph"/>
        <w:numPr>
          <w:ilvl w:val="0"/>
          <w:numId w:val="109"/>
        </w:numPr>
        <w:spacing w:before="240" w:after="240"/>
        <w:rPr>
          <w:rFonts w:eastAsia="Arial Unicode MS" w:cs="Times New Roman"/>
          <w:color w:val="auto"/>
          <w:sz w:val="20"/>
          <w:szCs w:val="20"/>
          <w:lang w:val="pt-BR" w:eastAsia="en-US"/>
        </w:rPr>
      </w:pPr>
      <w:r w:rsidRPr="008533E6">
        <w:rPr>
          <w:rFonts w:eastAsia="Arial Unicode MS" w:cs="Times New Roman"/>
          <w:color w:val="auto"/>
          <w:sz w:val="20"/>
          <w:szCs w:val="20"/>
          <w:lang w:val="pt-BR" w:eastAsia="en-US"/>
        </w:rPr>
        <w:t xml:space="preserve">Declarar a presente petição inadmissível em relação aos artigos 7 e 11; </w:t>
      </w:r>
    </w:p>
    <w:p w14:paraId="12A7002C" w14:textId="77777777" w:rsidR="004A6A54" w:rsidRPr="008533E6" w:rsidRDefault="004A6A54" w:rsidP="0037320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8533E6">
        <w:rPr>
          <w:rFonts w:asciiTheme="majorHAnsi" w:hAnsiTheme="majorHAnsi"/>
          <w:sz w:val="20"/>
          <w:szCs w:val="20"/>
          <w:lang w:val="pt-BR"/>
        </w:rPr>
        <w:t>Notificar as partes desta decisão; continuar com a análise do mérito da questão; e publicar esta decisão e incluí-la em seu Relatório Anual à Assembléia Geral da Organização dos Estados Americanos.</w:t>
      </w:r>
    </w:p>
    <w:p w14:paraId="7CD4DFBD" w14:textId="5CC29088" w:rsidR="003239B8" w:rsidRPr="00C8143A" w:rsidRDefault="009345D4" w:rsidP="00C8143A">
      <w:pPr>
        <w:ind w:firstLine="720"/>
        <w:jc w:val="both"/>
        <w:rPr>
          <w:rFonts w:ascii="Cambria" w:hAnsi="Cambria"/>
          <w:sz w:val="20"/>
          <w:lang w:val="pt-BR"/>
        </w:rPr>
      </w:pPr>
      <w:bookmarkStart w:id="2" w:name="_Hlk89363282"/>
      <w:r>
        <w:rPr>
          <w:rFonts w:ascii="Cambria" w:hAnsi="Cambria"/>
          <w:sz w:val="20"/>
          <w:lang w:val="pt-BR"/>
        </w:rPr>
        <w:t>Aprovado pela Comissão Interameri</w:t>
      </w:r>
      <w:r w:rsidRPr="00FC1D37">
        <w:rPr>
          <w:rFonts w:ascii="Cambria" w:hAnsi="Cambria"/>
          <w:sz w:val="20"/>
          <w:lang w:val="pt-BR"/>
        </w:rPr>
        <w:t xml:space="preserve">cana de Direitos Humanos aos 28 dias do mês de abril de 2025. (Assinado): </w:t>
      </w:r>
      <w:r w:rsidRPr="00FC1D37">
        <w:rPr>
          <w:rStyle w:val="normaltextrun"/>
          <w:rFonts w:ascii="Cambria" w:hAnsi="Cambria" w:cs="Segoe UI"/>
          <w:sz w:val="20"/>
          <w:szCs w:val="20"/>
          <w:lang w:val="pt-BR"/>
        </w:rPr>
        <w:t>José Luis Caballero Ochoa</w:t>
      </w:r>
      <w:r w:rsidRPr="00FC1D37">
        <w:rPr>
          <w:rFonts w:ascii="Cambria" w:hAnsi="Cambria"/>
          <w:sz w:val="20"/>
          <w:lang w:val="pt-BR"/>
        </w:rPr>
        <w:t xml:space="preserve">, Presidenta; Arif Bulkan, Segundo Vicepresidente; </w:t>
      </w:r>
      <w:r w:rsidRPr="00FC1D37">
        <w:rPr>
          <w:rStyle w:val="normaltextrun"/>
          <w:rFonts w:ascii="Cambria" w:hAnsi="Cambria" w:cs="Segoe UI"/>
          <w:sz w:val="20"/>
          <w:szCs w:val="20"/>
          <w:lang w:val="pt-BR"/>
        </w:rPr>
        <w:t>Roberta Clarke, Carlos Bernal Pulido e Gloria Monique de Mees</w:t>
      </w:r>
      <w:r w:rsidRPr="00FC1D37">
        <w:rPr>
          <w:rFonts w:ascii="Cambria" w:hAnsi="Cambria"/>
          <w:sz w:val="20"/>
          <w:lang w:val="pt-BR"/>
        </w:rPr>
        <w:t>, membros da Comissão</w:t>
      </w:r>
      <w:bookmarkEnd w:id="2"/>
      <w:r w:rsidR="00C8143A">
        <w:rPr>
          <w:rFonts w:ascii="Cambria" w:hAnsi="Cambria"/>
          <w:sz w:val="20"/>
          <w:lang w:val="pt-BR"/>
        </w:rPr>
        <w:t>.</w:t>
      </w:r>
    </w:p>
    <w:p w14:paraId="0D98495A" w14:textId="77777777" w:rsidR="008D768D" w:rsidRPr="008533E6" w:rsidRDefault="008D768D" w:rsidP="0037320E">
      <w:pPr>
        <w:tabs>
          <w:tab w:val="center" w:pos="5400"/>
        </w:tabs>
        <w:suppressAutoHyphens/>
        <w:spacing w:before="240" w:after="240" w:line="276" w:lineRule="auto"/>
        <w:rPr>
          <w:rFonts w:asciiTheme="majorHAnsi" w:hAnsiTheme="majorHAnsi"/>
          <w:sz w:val="20"/>
          <w:szCs w:val="20"/>
          <w:lang w:val="pt-BR"/>
        </w:rPr>
      </w:pPr>
    </w:p>
    <w:p w14:paraId="2642C68E" w14:textId="77777777" w:rsidR="008D768D" w:rsidRPr="008533E6" w:rsidRDefault="008D768D" w:rsidP="0037320E">
      <w:pPr>
        <w:tabs>
          <w:tab w:val="center" w:pos="5400"/>
        </w:tabs>
        <w:suppressAutoHyphens/>
        <w:spacing w:before="240" w:after="240" w:line="276" w:lineRule="auto"/>
        <w:rPr>
          <w:rFonts w:asciiTheme="majorHAnsi" w:hAnsiTheme="majorHAnsi"/>
          <w:sz w:val="20"/>
          <w:szCs w:val="20"/>
          <w:lang w:val="pt-BR"/>
        </w:rPr>
      </w:pPr>
    </w:p>
    <w:p w14:paraId="6AC80CA6" w14:textId="1048A403" w:rsidR="00722C9F" w:rsidRPr="008533E6" w:rsidRDefault="00722C9F" w:rsidP="0037320E">
      <w:pPr>
        <w:spacing w:before="240" w:after="240"/>
        <w:rPr>
          <w:rFonts w:ascii="Cambria" w:hAnsi="Cambria" w:cs="Calibri"/>
          <w:sz w:val="20"/>
          <w:szCs w:val="20"/>
          <w:lang w:val="pt-BR"/>
        </w:rPr>
      </w:pPr>
    </w:p>
    <w:sectPr w:rsidR="00722C9F" w:rsidRPr="008533E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C911" w14:textId="77777777" w:rsidR="005D1B97" w:rsidRDefault="005D1B97">
      <w:r>
        <w:separator/>
      </w:r>
    </w:p>
  </w:endnote>
  <w:endnote w:type="continuationSeparator" w:id="0">
    <w:p w14:paraId="013D3FC8" w14:textId="77777777" w:rsidR="005D1B97" w:rsidRDefault="005D1B97">
      <w:r>
        <w:continuationSeparator/>
      </w:r>
    </w:p>
  </w:endnote>
  <w:endnote w:type="continuationNotice" w:id="1">
    <w:p w14:paraId="02F882E8" w14:textId="77777777" w:rsidR="005D1B97" w:rsidRDefault="005D1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8B76" w14:textId="77777777" w:rsidR="005D1B97" w:rsidRPr="000F35ED" w:rsidRDefault="005D1B9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525F49" w14:textId="77777777" w:rsidR="005D1B97" w:rsidRPr="000F35ED" w:rsidRDefault="005D1B97" w:rsidP="000F35ED">
      <w:pPr>
        <w:rPr>
          <w:rFonts w:asciiTheme="majorHAnsi" w:hAnsiTheme="majorHAnsi"/>
          <w:sz w:val="16"/>
          <w:szCs w:val="16"/>
        </w:rPr>
      </w:pPr>
      <w:r w:rsidRPr="000F35ED">
        <w:rPr>
          <w:rFonts w:asciiTheme="majorHAnsi" w:hAnsiTheme="majorHAnsi"/>
          <w:sz w:val="16"/>
          <w:szCs w:val="16"/>
        </w:rPr>
        <w:separator/>
      </w:r>
    </w:p>
    <w:p w14:paraId="0E1E6185" w14:textId="77777777" w:rsidR="005D1B97" w:rsidRPr="000F35ED" w:rsidRDefault="005D1B97" w:rsidP="000F35ED">
      <w:pPr>
        <w:pStyle w:val="Footer"/>
        <w:rPr>
          <w:rFonts w:asciiTheme="majorHAnsi" w:hAnsiTheme="majorHAnsi"/>
          <w:sz w:val="16"/>
          <w:szCs w:val="16"/>
        </w:rPr>
      </w:pPr>
      <w:r>
        <w:rPr>
          <w:rFonts w:asciiTheme="majorHAnsi" w:hAnsiTheme="majorHAnsi"/>
          <w:sz w:val="16"/>
          <w:szCs w:val="16"/>
        </w:rPr>
        <w:t>[… continuação]</w:t>
      </w:r>
    </w:p>
  </w:footnote>
  <w:footnote w:type="continuationNotice" w:id="1">
    <w:p w14:paraId="2E5D7AB3" w14:textId="77777777" w:rsidR="005D1B97" w:rsidRPr="000F35ED" w:rsidRDefault="005D1B97" w:rsidP="000F35ED">
      <w:pPr>
        <w:jc w:val="right"/>
        <w:rPr>
          <w:rFonts w:asciiTheme="majorHAnsi" w:hAnsiTheme="majorHAnsi"/>
          <w:sz w:val="16"/>
          <w:szCs w:val="16"/>
          <w:lang w:val="es-ES"/>
        </w:rPr>
      </w:pPr>
      <w:r>
        <w:rPr>
          <w:rFonts w:asciiTheme="majorHAnsi" w:hAnsiTheme="majorHAnsi"/>
          <w:sz w:val="16"/>
          <w:szCs w:val="16"/>
        </w:rPr>
        <w:t>[continua...]</w:t>
      </w:r>
    </w:p>
  </w:footnote>
  <w:footnote w:id="2">
    <w:p w14:paraId="4F62356C" w14:textId="77777777" w:rsidR="00033641" w:rsidRPr="008533E6" w:rsidRDefault="00033641" w:rsidP="00033641">
      <w:pPr>
        <w:ind w:firstLine="720"/>
        <w:jc w:val="both"/>
        <w:rPr>
          <w:rFonts w:asciiTheme="majorHAnsi" w:eastAsia="Cambria" w:hAnsiTheme="majorHAnsi" w:cs="Cambria"/>
          <w:color w:val="000000"/>
          <w:sz w:val="16"/>
          <w:szCs w:val="16"/>
          <w:lang w:val="pt-BR"/>
        </w:rPr>
      </w:pPr>
      <w:r w:rsidRPr="00263374">
        <w:rPr>
          <w:rStyle w:val="FootnoteReference"/>
          <w:rFonts w:asciiTheme="majorHAnsi" w:hAnsiTheme="majorHAnsi"/>
          <w:sz w:val="16"/>
          <w:szCs w:val="16"/>
        </w:rPr>
        <w:footnoteRef/>
      </w:r>
      <w:r w:rsidRPr="008533E6">
        <w:rPr>
          <w:rFonts w:asciiTheme="majorHAnsi" w:eastAsia="Cambria" w:hAnsiTheme="majorHAnsi" w:cs="Cambria"/>
          <w:color w:val="000000"/>
          <w:sz w:val="16"/>
          <w:szCs w:val="16"/>
          <w:vertAlign w:val="superscript"/>
          <w:lang w:val="pt-BR"/>
        </w:rPr>
        <w:t xml:space="preserve"> </w:t>
      </w:r>
      <w:r w:rsidRPr="008533E6">
        <w:rPr>
          <w:rFonts w:asciiTheme="majorHAnsi" w:eastAsia="Cambria" w:hAnsiTheme="majorHAnsi" w:cs="Cambria"/>
          <w:color w:val="000000"/>
          <w:sz w:val="16"/>
          <w:szCs w:val="16"/>
          <w:lang w:val="pt-BR"/>
        </w:rPr>
        <w:t xml:space="preserve">Doravante, "a Convenção Americana" ou "a Convenção". </w:t>
      </w:r>
      <w:r w:rsidRPr="008533E6">
        <w:rPr>
          <w:rFonts w:asciiTheme="majorHAnsi" w:eastAsia="Cambria" w:hAnsiTheme="majorHAnsi" w:cs="Cambria"/>
          <w:color w:val="000000"/>
          <w:sz w:val="16"/>
          <w:szCs w:val="16"/>
          <w:lang w:val="pt-BR"/>
        </w:rPr>
        <w:tab/>
      </w:r>
    </w:p>
  </w:footnote>
  <w:footnote w:id="3">
    <w:p w14:paraId="79F07139" w14:textId="77777777" w:rsidR="008E3BFE" w:rsidRPr="008533E6" w:rsidRDefault="008E3BFE" w:rsidP="000337EF">
      <w:pPr>
        <w:pStyle w:val="FootnoteText"/>
        <w:spacing w:after="120"/>
        <w:ind w:firstLine="720"/>
        <w:jc w:val="both"/>
        <w:rPr>
          <w:rFonts w:ascii="Cambria" w:hAnsi="Cambria"/>
          <w:sz w:val="16"/>
          <w:szCs w:val="16"/>
          <w:lang w:val="pt-BR"/>
        </w:rPr>
      </w:pPr>
      <w:r w:rsidRPr="00537490">
        <w:rPr>
          <w:rStyle w:val="FootnoteReference"/>
          <w:rFonts w:ascii="Cambria" w:hAnsi="Cambria"/>
          <w:sz w:val="16"/>
          <w:szCs w:val="16"/>
        </w:rPr>
        <w:footnoteRef/>
      </w:r>
      <w:r w:rsidRPr="008533E6">
        <w:rPr>
          <w:rFonts w:ascii="Cambria" w:hAnsi="Cambria"/>
          <w:sz w:val="16"/>
          <w:szCs w:val="16"/>
          <w:lang w:val="pt-BR"/>
        </w:rPr>
        <w:t xml:space="preserve"> As observações de cada parte foram devidamente encaminhadas à parte contrária.</w:t>
      </w:r>
    </w:p>
  </w:footnote>
  <w:footnote w:id="4">
    <w:p w14:paraId="5571AA55" w14:textId="5FC69498" w:rsidR="004D35B2" w:rsidRPr="008533E6" w:rsidRDefault="004D35B2" w:rsidP="00231DA4">
      <w:pPr>
        <w:pStyle w:val="FootnoteText"/>
        <w:ind w:firstLine="720"/>
        <w:rPr>
          <w:rFonts w:asciiTheme="majorHAnsi" w:hAnsiTheme="majorHAnsi"/>
          <w:sz w:val="16"/>
          <w:szCs w:val="16"/>
          <w:lang w:val="pt-BR"/>
        </w:rPr>
      </w:pPr>
      <w:r w:rsidRPr="00231DA4">
        <w:rPr>
          <w:rStyle w:val="FootnoteReference"/>
          <w:rFonts w:asciiTheme="majorHAnsi" w:hAnsiTheme="majorHAnsi"/>
          <w:sz w:val="16"/>
          <w:szCs w:val="16"/>
        </w:rPr>
        <w:footnoteRef/>
      </w:r>
      <w:r w:rsidRPr="008533E6">
        <w:rPr>
          <w:rFonts w:asciiTheme="majorHAnsi" w:hAnsiTheme="majorHAnsi"/>
          <w:sz w:val="16"/>
          <w:szCs w:val="16"/>
          <w:lang w:val="pt-BR"/>
        </w:rPr>
        <w:t xml:space="preserve"> Corte Interamericana de Direitos Humanos, Caso Favela Nova Brasília vs. Brasil, Exceções Preliminares, Mérito, Reparações e Custas, Sentença de 16 de fevereiro de 2017, Série C Nº 333, parágrafos 64 e 65.</w:t>
      </w:r>
    </w:p>
  </w:footnote>
  <w:footnote w:id="5">
    <w:p w14:paraId="613C08C2" w14:textId="3CA660E9" w:rsidR="00FC76C9" w:rsidRPr="008533E6" w:rsidRDefault="00FC76C9" w:rsidP="00611873">
      <w:pPr>
        <w:pStyle w:val="FootnoteText"/>
        <w:ind w:firstLine="720"/>
        <w:jc w:val="both"/>
        <w:rPr>
          <w:rFonts w:ascii="Cambria" w:hAnsi="Cambria"/>
          <w:sz w:val="16"/>
          <w:szCs w:val="16"/>
          <w:lang w:val="pt-BR"/>
        </w:rPr>
      </w:pPr>
      <w:r w:rsidRPr="00611873">
        <w:rPr>
          <w:rStyle w:val="FootnoteReference"/>
          <w:rFonts w:ascii="Cambria" w:hAnsi="Cambria"/>
          <w:sz w:val="16"/>
          <w:szCs w:val="16"/>
        </w:rPr>
        <w:footnoteRef/>
      </w:r>
      <w:r w:rsidRPr="008533E6">
        <w:rPr>
          <w:rFonts w:ascii="Cambria" w:hAnsi="Cambria"/>
          <w:sz w:val="16"/>
          <w:szCs w:val="16"/>
          <w:lang w:val="pt-BR"/>
        </w:rPr>
        <w:t xml:space="preserve"> CIDH, Relatório Nº 131/21, Petição 784-10, Admissibilidade, Wilson Mario Taborda Cardona e Família, Colômbia, 13 de maio de 2021, parágrafo 12.</w:t>
      </w:r>
    </w:p>
  </w:footnote>
  <w:footnote w:id="6">
    <w:p w14:paraId="4CC1373C" w14:textId="3D23C04C" w:rsidR="009E3D30" w:rsidRPr="00865B1B" w:rsidRDefault="009E3D30" w:rsidP="00865B1B">
      <w:pPr>
        <w:pStyle w:val="FootnoteText"/>
        <w:ind w:firstLine="720"/>
        <w:jc w:val="both"/>
        <w:rPr>
          <w:rFonts w:asciiTheme="majorHAnsi" w:hAnsiTheme="majorHAnsi"/>
          <w:sz w:val="16"/>
          <w:szCs w:val="16"/>
          <w:lang w:val="es-ES_tradnl"/>
        </w:rPr>
      </w:pPr>
      <w:r w:rsidRPr="00865B1B">
        <w:rPr>
          <w:rStyle w:val="FootnoteReference"/>
          <w:rFonts w:asciiTheme="majorHAnsi" w:hAnsiTheme="majorHAnsi"/>
          <w:sz w:val="16"/>
          <w:szCs w:val="16"/>
        </w:rPr>
        <w:footnoteRef/>
      </w:r>
      <w:r w:rsidRPr="008533E6">
        <w:rPr>
          <w:rFonts w:asciiTheme="majorHAnsi" w:hAnsiTheme="majorHAnsi"/>
          <w:sz w:val="16"/>
          <w:szCs w:val="16"/>
          <w:lang w:val="pt-BR"/>
        </w:rPr>
        <w:t xml:space="preserve"> CIDH, Relatório Nº 86/13, Casos 12.595, 12.596 e 12.621, Mérito. </w:t>
      </w:r>
      <w:r w:rsidRPr="00865B1B">
        <w:rPr>
          <w:rFonts w:asciiTheme="majorHAnsi" w:hAnsiTheme="majorHAnsi"/>
          <w:sz w:val="16"/>
          <w:szCs w:val="16"/>
        </w:rPr>
        <w:t xml:space="preserve">Ana Teresa Yarce et al. (Comuna 13), Colômbia. 4 de novembro de 2013. n.os 299 e 300.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246D6A6F" w:rsidR="00A50FCF" w:rsidRDefault="00A05FD2" w:rsidP="00A50FCF">
    <w:pPr>
      <w:pStyle w:val="Header"/>
      <w:tabs>
        <w:tab w:val="clear" w:pos="4320"/>
        <w:tab w:val="clear" w:pos="8640"/>
      </w:tabs>
      <w:jc w:val="center"/>
      <w:rPr>
        <w:sz w:val="22"/>
        <w:szCs w:val="22"/>
      </w:rPr>
    </w:pPr>
    <w:r>
      <w:rPr>
        <w:noProof/>
        <w:sz w:val="22"/>
        <w:szCs w:val="22"/>
      </w:rPr>
      <w:drawing>
        <wp:inline distT="0" distB="0" distL="0" distR="0" wp14:anchorId="1498F374" wp14:editId="4AC0556C">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51583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D2C91A4"/>
    <w:lvl w:ilvl="0" w:tplc="CA361172">
      <w:start w:val="1"/>
      <w:numFmt w:val="decimal"/>
      <w:lvlText w:val="%1."/>
      <w:lvlJc w:val="left"/>
      <w:pPr>
        <w:tabs>
          <w:tab w:val="num" w:pos="720"/>
        </w:tabs>
        <w:ind w:left="0" w:firstLine="720"/>
      </w:pPr>
      <w:rPr>
        <w:rFonts w:hint="default"/>
        <w:b w:val="0"/>
        <w:bCs w:val="0"/>
        <w:color w:val="auto"/>
        <w:lang w:val="es-P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FD1CC364"/>
    <w:lvl w:ilvl="0" w:tplc="7F880E58">
      <w:start w:val="1"/>
      <w:numFmt w:val="decimal"/>
      <w:pStyle w:val="parrafos"/>
      <w:lvlText w:val="%1."/>
      <w:lvlJc w:val="left"/>
      <w:pPr>
        <w:ind w:left="9360" w:hanging="360"/>
      </w:pPr>
      <w:rPr>
        <w:rFonts w:asciiTheme="majorHAnsi" w:hAnsiTheme="majorHAnsi" w:hint="default"/>
        <w:b w:val="0"/>
        <w:bCs/>
        <w:i w:val="0"/>
        <w:iCs w:val="0"/>
        <w:color w:val="auto"/>
        <w:sz w:val="20"/>
        <w:szCs w:val="20"/>
        <w:lang w:val="es-VE"/>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7"/>
  </w:num>
  <w:num w:numId="97" w16cid:durableId="2089502159">
    <w:abstractNumId w:val="54"/>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4063787">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641"/>
    <w:rsid w:val="000337EF"/>
    <w:rsid w:val="00037B54"/>
    <w:rsid w:val="00040C3A"/>
    <w:rsid w:val="000419AD"/>
    <w:rsid w:val="00043039"/>
    <w:rsid w:val="000433C9"/>
    <w:rsid w:val="00046E33"/>
    <w:rsid w:val="00070329"/>
    <w:rsid w:val="000716C5"/>
    <w:rsid w:val="00074F0C"/>
    <w:rsid w:val="00075E23"/>
    <w:rsid w:val="00085C8F"/>
    <w:rsid w:val="0009344A"/>
    <w:rsid w:val="000969D0"/>
    <w:rsid w:val="0009761B"/>
    <w:rsid w:val="000A0198"/>
    <w:rsid w:val="000A1974"/>
    <w:rsid w:val="000A392E"/>
    <w:rsid w:val="000A575F"/>
    <w:rsid w:val="000A5A3E"/>
    <w:rsid w:val="000A6AFF"/>
    <w:rsid w:val="000B062C"/>
    <w:rsid w:val="000D05CB"/>
    <w:rsid w:val="000D10DB"/>
    <w:rsid w:val="000D28B6"/>
    <w:rsid w:val="000E5EB5"/>
    <w:rsid w:val="000F35ED"/>
    <w:rsid w:val="00100D4A"/>
    <w:rsid w:val="00104043"/>
    <w:rsid w:val="00107131"/>
    <w:rsid w:val="0010736F"/>
    <w:rsid w:val="00113F73"/>
    <w:rsid w:val="001172D6"/>
    <w:rsid w:val="00117BFC"/>
    <w:rsid w:val="00121CC2"/>
    <w:rsid w:val="00131105"/>
    <w:rsid w:val="00131425"/>
    <w:rsid w:val="00133EE5"/>
    <w:rsid w:val="00142C3E"/>
    <w:rsid w:val="0015263E"/>
    <w:rsid w:val="00153171"/>
    <w:rsid w:val="00154FCF"/>
    <w:rsid w:val="00157006"/>
    <w:rsid w:val="0015792A"/>
    <w:rsid w:val="00167A34"/>
    <w:rsid w:val="0019566B"/>
    <w:rsid w:val="001A10ED"/>
    <w:rsid w:val="001A7870"/>
    <w:rsid w:val="001B19D7"/>
    <w:rsid w:val="001B3A00"/>
    <w:rsid w:val="001C02DE"/>
    <w:rsid w:val="001C1B41"/>
    <w:rsid w:val="001D65EF"/>
    <w:rsid w:val="001D6A3A"/>
    <w:rsid w:val="001D7945"/>
    <w:rsid w:val="001E16F6"/>
    <w:rsid w:val="001E473E"/>
    <w:rsid w:val="001E49E7"/>
    <w:rsid w:val="001E4A50"/>
    <w:rsid w:val="001F7201"/>
    <w:rsid w:val="00201212"/>
    <w:rsid w:val="00210E19"/>
    <w:rsid w:val="0021403A"/>
    <w:rsid w:val="0022060A"/>
    <w:rsid w:val="00223A29"/>
    <w:rsid w:val="002250A3"/>
    <w:rsid w:val="00231DA4"/>
    <w:rsid w:val="00235217"/>
    <w:rsid w:val="002374D4"/>
    <w:rsid w:val="002454FE"/>
    <w:rsid w:val="002469D2"/>
    <w:rsid w:val="00246D1F"/>
    <w:rsid w:val="00247403"/>
    <w:rsid w:val="00247542"/>
    <w:rsid w:val="00253E47"/>
    <w:rsid w:val="00257132"/>
    <w:rsid w:val="0026020D"/>
    <w:rsid w:val="002608A3"/>
    <w:rsid w:val="002616E1"/>
    <w:rsid w:val="00266290"/>
    <w:rsid w:val="00266B61"/>
    <w:rsid w:val="0026712A"/>
    <w:rsid w:val="002704DB"/>
    <w:rsid w:val="00276994"/>
    <w:rsid w:val="002803D1"/>
    <w:rsid w:val="002813C3"/>
    <w:rsid w:val="00286BA0"/>
    <w:rsid w:val="00287D3E"/>
    <w:rsid w:val="002929FD"/>
    <w:rsid w:val="002A0AAE"/>
    <w:rsid w:val="002A21BE"/>
    <w:rsid w:val="002A2BC6"/>
    <w:rsid w:val="002A5820"/>
    <w:rsid w:val="002B08C8"/>
    <w:rsid w:val="002B0E69"/>
    <w:rsid w:val="002B4B34"/>
    <w:rsid w:val="002D2B26"/>
    <w:rsid w:val="002D7EA2"/>
    <w:rsid w:val="002E187C"/>
    <w:rsid w:val="002F5226"/>
    <w:rsid w:val="0030035A"/>
    <w:rsid w:val="00302733"/>
    <w:rsid w:val="00303A70"/>
    <w:rsid w:val="00307E86"/>
    <w:rsid w:val="0031005F"/>
    <w:rsid w:val="00311BCC"/>
    <w:rsid w:val="00314078"/>
    <w:rsid w:val="0031535D"/>
    <w:rsid w:val="00316FCA"/>
    <w:rsid w:val="0032063A"/>
    <w:rsid w:val="003239B8"/>
    <w:rsid w:val="00327A08"/>
    <w:rsid w:val="0033169F"/>
    <w:rsid w:val="00344977"/>
    <w:rsid w:val="00346C95"/>
    <w:rsid w:val="003512DF"/>
    <w:rsid w:val="00356185"/>
    <w:rsid w:val="00360380"/>
    <w:rsid w:val="0037320E"/>
    <w:rsid w:val="003738C0"/>
    <w:rsid w:val="00374247"/>
    <w:rsid w:val="0037519E"/>
    <w:rsid w:val="00376F38"/>
    <w:rsid w:val="00386CF0"/>
    <w:rsid w:val="00386D66"/>
    <w:rsid w:val="003B1B44"/>
    <w:rsid w:val="003B70FB"/>
    <w:rsid w:val="003C2239"/>
    <w:rsid w:val="003C3463"/>
    <w:rsid w:val="003C676B"/>
    <w:rsid w:val="003D3BC2"/>
    <w:rsid w:val="003E6CA1"/>
    <w:rsid w:val="00404D7C"/>
    <w:rsid w:val="00405F9C"/>
    <w:rsid w:val="004065A8"/>
    <w:rsid w:val="004165C2"/>
    <w:rsid w:val="004225AC"/>
    <w:rsid w:val="00423E89"/>
    <w:rsid w:val="00436B39"/>
    <w:rsid w:val="004373E0"/>
    <w:rsid w:val="00441524"/>
    <w:rsid w:val="00441E0D"/>
    <w:rsid w:val="00441ECB"/>
    <w:rsid w:val="00445193"/>
    <w:rsid w:val="004454BF"/>
    <w:rsid w:val="00462C1B"/>
    <w:rsid w:val="00467B7E"/>
    <w:rsid w:val="00473BB4"/>
    <w:rsid w:val="00477592"/>
    <w:rsid w:val="00486F1C"/>
    <w:rsid w:val="0049419D"/>
    <w:rsid w:val="004A4908"/>
    <w:rsid w:val="004A6A54"/>
    <w:rsid w:val="004C20D2"/>
    <w:rsid w:val="004C2312"/>
    <w:rsid w:val="004C3BCD"/>
    <w:rsid w:val="004C4B62"/>
    <w:rsid w:val="004C4CA1"/>
    <w:rsid w:val="004C54C9"/>
    <w:rsid w:val="004D3428"/>
    <w:rsid w:val="004D35B2"/>
    <w:rsid w:val="004D4ABA"/>
    <w:rsid w:val="004D6025"/>
    <w:rsid w:val="004D6BFD"/>
    <w:rsid w:val="004E08C0"/>
    <w:rsid w:val="004E2649"/>
    <w:rsid w:val="004F626F"/>
    <w:rsid w:val="00501399"/>
    <w:rsid w:val="00501D7E"/>
    <w:rsid w:val="0050349A"/>
    <w:rsid w:val="0050633D"/>
    <w:rsid w:val="00507BC4"/>
    <w:rsid w:val="005128E4"/>
    <w:rsid w:val="005133DB"/>
    <w:rsid w:val="00514504"/>
    <w:rsid w:val="00515835"/>
    <w:rsid w:val="0052527A"/>
    <w:rsid w:val="00525560"/>
    <w:rsid w:val="00534171"/>
    <w:rsid w:val="0053736E"/>
    <w:rsid w:val="00544C49"/>
    <w:rsid w:val="005516A1"/>
    <w:rsid w:val="005556C8"/>
    <w:rsid w:val="005559EF"/>
    <w:rsid w:val="005564B7"/>
    <w:rsid w:val="00563557"/>
    <w:rsid w:val="00571564"/>
    <w:rsid w:val="0057402A"/>
    <w:rsid w:val="005771D0"/>
    <w:rsid w:val="0059191A"/>
    <w:rsid w:val="005921FF"/>
    <w:rsid w:val="005A24ED"/>
    <w:rsid w:val="005A254F"/>
    <w:rsid w:val="005A6D0E"/>
    <w:rsid w:val="005B2146"/>
    <w:rsid w:val="005B52B0"/>
    <w:rsid w:val="005B6806"/>
    <w:rsid w:val="005C4225"/>
    <w:rsid w:val="005C7CF4"/>
    <w:rsid w:val="005D1B97"/>
    <w:rsid w:val="005D38F9"/>
    <w:rsid w:val="005F0DAD"/>
    <w:rsid w:val="005F0F33"/>
    <w:rsid w:val="005F72B8"/>
    <w:rsid w:val="00600DEB"/>
    <w:rsid w:val="00611873"/>
    <w:rsid w:val="00622CC8"/>
    <w:rsid w:val="0062426C"/>
    <w:rsid w:val="00627C9F"/>
    <w:rsid w:val="006311E9"/>
    <w:rsid w:val="00632354"/>
    <w:rsid w:val="00635188"/>
    <w:rsid w:val="00635421"/>
    <w:rsid w:val="00642810"/>
    <w:rsid w:val="00643E68"/>
    <w:rsid w:val="00644FE9"/>
    <w:rsid w:val="00645DAA"/>
    <w:rsid w:val="00652333"/>
    <w:rsid w:val="00654CEE"/>
    <w:rsid w:val="0068009E"/>
    <w:rsid w:val="00692219"/>
    <w:rsid w:val="006A05B8"/>
    <w:rsid w:val="006A17D2"/>
    <w:rsid w:val="006A3B6A"/>
    <w:rsid w:val="006A73E6"/>
    <w:rsid w:val="006B2D5C"/>
    <w:rsid w:val="006C4EB1"/>
    <w:rsid w:val="006C79F1"/>
    <w:rsid w:val="006D5B19"/>
    <w:rsid w:val="006E0166"/>
    <w:rsid w:val="006E2FFB"/>
    <w:rsid w:val="006E4ADB"/>
    <w:rsid w:val="006E7B34"/>
    <w:rsid w:val="006F102A"/>
    <w:rsid w:val="006F1686"/>
    <w:rsid w:val="006F478D"/>
    <w:rsid w:val="0070299B"/>
    <w:rsid w:val="00704BCD"/>
    <w:rsid w:val="0070697F"/>
    <w:rsid w:val="0071039A"/>
    <w:rsid w:val="0072199C"/>
    <w:rsid w:val="00722B7C"/>
    <w:rsid w:val="00722C9F"/>
    <w:rsid w:val="00724A58"/>
    <w:rsid w:val="007253B8"/>
    <w:rsid w:val="0072594E"/>
    <w:rsid w:val="0073741F"/>
    <w:rsid w:val="007423CA"/>
    <w:rsid w:val="007510DF"/>
    <w:rsid w:val="00753A90"/>
    <w:rsid w:val="00754338"/>
    <w:rsid w:val="0076643F"/>
    <w:rsid w:val="00767CBE"/>
    <w:rsid w:val="0077028B"/>
    <w:rsid w:val="00776039"/>
    <w:rsid w:val="00777F63"/>
    <w:rsid w:val="00790207"/>
    <w:rsid w:val="007A5817"/>
    <w:rsid w:val="007A635B"/>
    <w:rsid w:val="007B05C4"/>
    <w:rsid w:val="007B60E9"/>
    <w:rsid w:val="007B6CC3"/>
    <w:rsid w:val="007B76D3"/>
    <w:rsid w:val="007C14D0"/>
    <w:rsid w:val="007C3334"/>
    <w:rsid w:val="007C7E8C"/>
    <w:rsid w:val="007D0E51"/>
    <w:rsid w:val="007D2B98"/>
    <w:rsid w:val="007D3EFE"/>
    <w:rsid w:val="007D5541"/>
    <w:rsid w:val="007E21BC"/>
    <w:rsid w:val="007E49DE"/>
    <w:rsid w:val="007E6F03"/>
    <w:rsid w:val="007E7C82"/>
    <w:rsid w:val="007F2AA1"/>
    <w:rsid w:val="007F588D"/>
    <w:rsid w:val="00803F1C"/>
    <w:rsid w:val="0080600E"/>
    <w:rsid w:val="00814688"/>
    <w:rsid w:val="00817612"/>
    <w:rsid w:val="00817880"/>
    <w:rsid w:val="0083100C"/>
    <w:rsid w:val="00832535"/>
    <w:rsid w:val="008338A4"/>
    <w:rsid w:val="00834D49"/>
    <w:rsid w:val="00837C45"/>
    <w:rsid w:val="00837F3C"/>
    <w:rsid w:val="00844730"/>
    <w:rsid w:val="008457C2"/>
    <w:rsid w:val="00846C22"/>
    <w:rsid w:val="008477C7"/>
    <w:rsid w:val="008533E6"/>
    <w:rsid w:val="00857A82"/>
    <w:rsid w:val="0086284C"/>
    <w:rsid w:val="00865B1B"/>
    <w:rsid w:val="00867314"/>
    <w:rsid w:val="00870B9F"/>
    <w:rsid w:val="00873836"/>
    <w:rsid w:val="008749B2"/>
    <w:rsid w:val="00881DFB"/>
    <w:rsid w:val="00885737"/>
    <w:rsid w:val="00890650"/>
    <w:rsid w:val="00897E12"/>
    <w:rsid w:val="008A7E0F"/>
    <w:rsid w:val="008B0FB4"/>
    <w:rsid w:val="008B12F5"/>
    <w:rsid w:val="008B24CC"/>
    <w:rsid w:val="008C555F"/>
    <w:rsid w:val="008C5E2D"/>
    <w:rsid w:val="008D7558"/>
    <w:rsid w:val="008D768D"/>
    <w:rsid w:val="008E3759"/>
    <w:rsid w:val="008E3BFE"/>
    <w:rsid w:val="008F0800"/>
    <w:rsid w:val="008F1912"/>
    <w:rsid w:val="008F6841"/>
    <w:rsid w:val="009007AF"/>
    <w:rsid w:val="0090270B"/>
    <w:rsid w:val="009041DC"/>
    <w:rsid w:val="0091021B"/>
    <w:rsid w:val="00917B5A"/>
    <w:rsid w:val="00920A58"/>
    <w:rsid w:val="00920A8C"/>
    <w:rsid w:val="009345D4"/>
    <w:rsid w:val="00934A2C"/>
    <w:rsid w:val="00955CCE"/>
    <w:rsid w:val="00957B85"/>
    <w:rsid w:val="0096151A"/>
    <w:rsid w:val="0096706E"/>
    <w:rsid w:val="00974491"/>
    <w:rsid w:val="00975AE0"/>
    <w:rsid w:val="00975C4E"/>
    <w:rsid w:val="00981FBA"/>
    <w:rsid w:val="009923DF"/>
    <w:rsid w:val="00997BC5"/>
    <w:rsid w:val="009A0959"/>
    <w:rsid w:val="009A4F41"/>
    <w:rsid w:val="009A5249"/>
    <w:rsid w:val="009A7735"/>
    <w:rsid w:val="009A7B1E"/>
    <w:rsid w:val="009B2315"/>
    <w:rsid w:val="009B381B"/>
    <w:rsid w:val="009C18DE"/>
    <w:rsid w:val="009D1753"/>
    <w:rsid w:val="009D7611"/>
    <w:rsid w:val="009E0B61"/>
    <w:rsid w:val="009E3D30"/>
    <w:rsid w:val="009E53DE"/>
    <w:rsid w:val="009E7BAE"/>
    <w:rsid w:val="009F19EE"/>
    <w:rsid w:val="00A0456E"/>
    <w:rsid w:val="00A05FD2"/>
    <w:rsid w:val="00A066C6"/>
    <w:rsid w:val="00A11212"/>
    <w:rsid w:val="00A11E44"/>
    <w:rsid w:val="00A23907"/>
    <w:rsid w:val="00A30100"/>
    <w:rsid w:val="00A328B3"/>
    <w:rsid w:val="00A43EC2"/>
    <w:rsid w:val="00A44791"/>
    <w:rsid w:val="00A50D76"/>
    <w:rsid w:val="00A50FCF"/>
    <w:rsid w:val="00A528D1"/>
    <w:rsid w:val="00A610CD"/>
    <w:rsid w:val="00A71826"/>
    <w:rsid w:val="00A75610"/>
    <w:rsid w:val="00A758AA"/>
    <w:rsid w:val="00A77F21"/>
    <w:rsid w:val="00A8250F"/>
    <w:rsid w:val="00A846C8"/>
    <w:rsid w:val="00AA09A2"/>
    <w:rsid w:val="00AA52AC"/>
    <w:rsid w:val="00AA7996"/>
    <w:rsid w:val="00AC19CB"/>
    <w:rsid w:val="00AD7CA5"/>
    <w:rsid w:val="00AE4F09"/>
    <w:rsid w:val="00AE5488"/>
    <w:rsid w:val="00AE584C"/>
    <w:rsid w:val="00AE5935"/>
    <w:rsid w:val="00AE6F91"/>
    <w:rsid w:val="00AF5571"/>
    <w:rsid w:val="00B06BBE"/>
    <w:rsid w:val="00B07341"/>
    <w:rsid w:val="00B10145"/>
    <w:rsid w:val="00B10A16"/>
    <w:rsid w:val="00B11256"/>
    <w:rsid w:val="00B11729"/>
    <w:rsid w:val="00B11747"/>
    <w:rsid w:val="00B25D34"/>
    <w:rsid w:val="00B30539"/>
    <w:rsid w:val="00B31011"/>
    <w:rsid w:val="00B314DB"/>
    <w:rsid w:val="00B33DB4"/>
    <w:rsid w:val="00B34D85"/>
    <w:rsid w:val="00B361F2"/>
    <w:rsid w:val="00B3718B"/>
    <w:rsid w:val="00B3745F"/>
    <w:rsid w:val="00B45392"/>
    <w:rsid w:val="00B4632A"/>
    <w:rsid w:val="00B530F1"/>
    <w:rsid w:val="00B66756"/>
    <w:rsid w:val="00B66C7F"/>
    <w:rsid w:val="00B925CD"/>
    <w:rsid w:val="00B95335"/>
    <w:rsid w:val="00BA276C"/>
    <w:rsid w:val="00BA5D1F"/>
    <w:rsid w:val="00BB306F"/>
    <w:rsid w:val="00BB38AF"/>
    <w:rsid w:val="00BB3DE1"/>
    <w:rsid w:val="00BB55C0"/>
    <w:rsid w:val="00BD3F20"/>
    <w:rsid w:val="00BD4B89"/>
    <w:rsid w:val="00BD5922"/>
    <w:rsid w:val="00BF02CB"/>
    <w:rsid w:val="00BF26A6"/>
    <w:rsid w:val="00BF32F0"/>
    <w:rsid w:val="00BF6FD8"/>
    <w:rsid w:val="00C03680"/>
    <w:rsid w:val="00C054DF"/>
    <w:rsid w:val="00C073A0"/>
    <w:rsid w:val="00C21762"/>
    <w:rsid w:val="00C21FEF"/>
    <w:rsid w:val="00C23BA4"/>
    <w:rsid w:val="00C24543"/>
    <w:rsid w:val="00C256A2"/>
    <w:rsid w:val="00C25ADB"/>
    <w:rsid w:val="00C30F7C"/>
    <w:rsid w:val="00C36F4D"/>
    <w:rsid w:val="00C4313D"/>
    <w:rsid w:val="00C45400"/>
    <w:rsid w:val="00C478EB"/>
    <w:rsid w:val="00C51515"/>
    <w:rsid w:val="00C5660B"/>
    <w:rsid w:val="00C62798"/>
    <w:rsid w:val="00C66B72"/>
    <w:rsid w:val="00C741C1"/>
    <w:rsid w:val="00C77863"/>
    <w:rsid w:val="00C80141"/>
    <w:rsid w:val="00C804A0"/>
    <w:rsid w:val="00C8143A"/>
    <w:rsid w:val="00C87AC4"/>
    <w:rsid w:val="00C9567A"/>
    <w:rsid w:val="00CB212D"/>
    <w:rsid w:val="00CB2660"/>
    <w:rsid w:val="00CB717C"/>
    <w:rsid w:val="00CC2E73"/>
    <w:rsid w:val="00CC442D"/>
    <w:rsid w:val="00CC5E90"/>
    <w:rsid w:val="00CC7FC8"/>
    <w:rsid w:val="00CD046C"/>
    <w:rsid w:val="00CE076C"/>
    <w:rsid w:val="00CE13B3"/>
    <w:rsid w:val="00CE5199"/>
    <w:rsid w:val="00CE66D5"/>
    <w:rsid w:val="00CF5F8D"/>
    <w:rsid w:val="00CF637A"/>
    <w:rsid w:val="00CF674D"/>
    <w:rsid w:val="00D003EC"/>
    <w:rsid w:val="00D04817"/>
    <w:rsid w:val="00D059DE"/>
    <w:rsid w:val="00D05ABD"/>
    <w:rsid w:val="00D13530"/>
    <w:rsid w:val="00D13FCE"/>
    <w:rsid w:val="00D27821"/>
    <w:rsid w:val="00D306D1"/>
    <w:rsid w:val="00D30800"/>
    <w:rsid w:val="00D332BB"/>
    <w:rsid w:val="00D34786"/>
    <w:rsid w:val="00D347C7"/>
    <w:rsid w:val="00D37BFC"/>
    <w:rsid w:val="00D42509"/>
    <w:rsid w:val="00D46DDB"/>
    <w:rsid w:val="00D47A8E"/>
    <w:rsid w:val="00D52D14"/>
    <w:rsid w:val="00D57406"/>
    <w:rsid w:val="00D61141"/>
    <w:rsid w:val="00D66B8B"/>
    <w:rsid w:val="00D712D3"/>
    <w:rsid w:val="00D71422"/>
    <w:rsid w:val="00D72DC6"/>
    <w:rsid w:val="00D74C0A"/>
    <w:rsid w:val="00D7558D"/>
    <w:rsid w:val="00D81D92"/>
    <w:rsid w:val="00D81FA0"/>
    <w:rsid w:val="00D839AA"/>
    <w:rsid w:val="00D83BBB"/>
    <w:rsid w:val="00D876F9"/>
    <w:rsid w:val="00D9108B"/>
    <w:rsid w:val="00DA7B5F"/>
    <w:rsid w:val="00DB1B44"/>
    <w:rsid w:val="00DC11E7"/>
    <w:rsid w:val="00DC24E3"/>
    <w:rsid w:val="00DC7023"/>
    <w:rsid w:val="00DC769A"/>
    <w:rsid w:val="00DD3D86"/>
    <w:rsid w:val="00DD4AD2"/>
    <w:rsid w:val="00DE7494"/>
    <w:rsid w:val="00DF1EC4"/>
    <w:rsid w:val="00E02A77"/>
    <w:rsid w:val="00E0340B"/>
    <w:rsid w:val="00E04A90"/>
    <w:rsid w:val="00E0551F"/>
    <w:rsid w:val="00E219C7"/>
    <w:rsid w:val="00E241C7"/>
    <w:rsid w:val="00E3253E"/>
    <w:rsid w:val="00E336D2"/>
    <w:rsid w:val="00E41061"/>
    <w:rsid w:val="00E4118C"/>
    <w:rsid w:val="00E43157"/>
    <w:rsid w:val="00E461CE"/>
    <w:rsid w:val="00E4782D"/>
    <w:rsid w:val="00E54D28"/>
    <w:rsid w:val="00E573E4"/>
    <w:rsid w:val="00E57FE0"/>
    <w:rsid w:val="00E64C3D"/>
    <w:rsid w:val="00E667CC"/>
    <w:rsid w:val="00E67C67"/>
    <w:rsid w:val="00E720CA"/>
    <w:rsid w:val="00E8194F"/>
    <w:rsid w:val="00E82DDC"/>
    <w:rsid w:val="00E84EB5"/>
    <w:rsid w:val="00E85662"/>
    <w:rsid w:val="00E8789F"/>
    <w:rsid w:val="00E87BEF"/>
    <w:rsid w:val="00E95CDD"/>
    <w:rsid w:val="00E97B71"/>
    <w:rsid w:val="00EA3D34"/>
    <w:rsid w:val="00EB1774"/>
    <w:rsid w:val="00EB197F"/>
    <w:rsid w:val="00EB242F"/>
    <w:rsid w:val="00EB454D"/>
    <w:rsid w:val="00EC620E"/>
    <w:rsid w:val="00EC760F"/>
    <w:rsid w:val="00ED549D"/>
    <w:rsid w:val="00ED76BE"/>
    <w:rsid w:val="00EE00E9"/>
    <w:rsid w:val="00EF105E"/>
    <w:rsid w:val="00EF1AAA"/>
    <w:rsid w:val="00EF3FEA"/>
    <w:rsid w:val="00EF5917"/>
    <w:rsid w:val="00EF619B"/>
    <w:rsid w:val="00EF76F5"/>
    <w:rsid w:val="00F00B55"/>
    <w:rsid w:val="00F026AE"/>
    <w:rsid w:val="00F02AD1"/>
    <w:rsid w:val="00F05C34"/>
    <w:rsid w:val="00F12ABF"/>
    <w:rsid w:val="00F15D7A"/>
    <w:rsid w:val="00F1670A"/>
    <w:rsid w:val="00F23352"/>
    <w:rsid w:val="00F253CC"/>
    <w:rsid w:val="00F34E98"/>
    <w:rsid w:val="00F37106"/>
    <w:rsid w:val="00F44E25"/>
    <w:rsid w:val="00F519CF"/>
    <w:rsid w:val="00F56BA5"/>
    <w:rsid w:val="00F57687"/>
    <w:rsid w:val="00F60E22"/>
    <w:rsid w:val="00F650DB"/>
    <w:rsid w:val="00F67E0D"/>
    <w:rsid w:val="00F701BB"/>
    <w:rsid w:val="00F81395"/>
    <w:rsid w:val="00F81BB8"/>
    <w:rsid w:val="00F90C64"/>
    <w:rsid w:val="00F917D1"/>
    <w:rsid w:val="00F9653B"/>
    <w:rsid w:val="00FB40FE"/>
    <w:rsid w:val="00FB62CF"/>
    <w:rsid w:val="00FB6AD4"/>
    <w:rsid w:val="00FC76C9"/>
    <w:rsid w:val="00FD3C3B"/>
    <w:rsid w:val="00FD658A"/>
    <w:rsid w:val="00FE07DD"/>
    <w:rsid w:val="00FE6B45"/>
    <w:rsid w:val="00FE7B5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C073A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9E3D3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link w:val="parrafosChar"/>
    <w:qFormat/>
    <w:rsid w:val="00FC76C9"/>
    <w:pPr>
      <w:numPr>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qFormat/>
    <w:rsid w:val="00FC76C9"/>
    <w:rPr>
      <w:rFonts w:asciiTheme="majorHAnsi" w:hAnsiTheme="majorHAnsi"/>
      <w:color w:val="000000" w:themeColor="text1"/>
      <w:lang w:val="es-VE" w:eastAsia="en-US"/>
    </w:rPr>
  </w:style>
  <w:style w:type="paragraph" w:styleId="Revision">
    <w:name w:val="Revision"/>
    <w:hidden/>
    <w:uiPriority w:val="99"/>
    <w:semiHidden/>
    <w:rsid w:val="00A77F2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3C3463"/>
    <w:rPr>
      <w:sz w:val="16"/>
      <w:szCs w:val="16"/>
    </w:rPr>
  </w:style>
  <w:style w:type="paragraph" w:styleId="CommentText">
    <w:name w:val="annotation text"/>
    <w:basedOn w:val="Normal"/>
    <w:link w:val="CommentTextChar"/>
    <w:uiPriority w:val="99"/>
    <w:unhideWhenUsed/>
    <w:rsid w:val="003C3463"/>
    <w:rPr>
      <w:sz w:val="20"/>
      <w:szCs w:val="20"/>
    </w:rPr>
  </w:style>
  <w:style w:type="character" w:customStyle="1" w:styleId="CommentTextChar">
    <w:name w:val="Comment Text Char"/>
    <w:basedOn w:val="DefaultParagraphFont"/>
    <w:link w:val="CommentText"/>
    <w:uiPriority w:val="99"/>
    <w:rsid w:val="003C3463"/>
    <w:rPr>
      <w:lang w:val="en-US" w:eastAsia="en-US"/>
    </w:rPr>
  </w:style>
  <w:style w:type="paragraph" w:styleId="CommentSubject">
    <w:name w:val="annotation subject"/>
    <w:basedOn w:val="CommentText"/>
    <w:next w:val="CommentText"/>
    <w:link w:val="CommentSubjectChar"/>
    <w:uiPriority w:val="99"/>
    <w:semiHidden/>
    <w:unhideWhenUsed/>
    <w:rsid w:val="003C3463"/>
    <w:rPr>
      <w:b/>
      <w:bCs/>
    </w:rPr>
  </w:style>
  <w:style w:type="character" w:customStyle="1" w:styleId="CommentSubjectChar">
    <w:name w:val="Comment Subject Char"/>
    <w:basedOn w:val="CommentTextChar"/>
    <w:link w:val="CommentSubject"/>
    <w:uiPriority w:val="99"/>
    <w:semiHidden/>
    <w:rsid w:val="003C3463"/>
    <w:rPr>
      <w:b/>
      <w:bCs/>
      <w:lang w:val="en-US" w:eastAsia="en-US"/>
    </w:rPr>
  </w:style>
  <w:style w:type="character" w:styleId="PlaceholderText">
    <w:name w:val="Placeholder Text"/>
    <w:basedOn w:val="DefaultParagraphFont"/>
    <w:uiPriority w:val="99"/>
    <w:semiHidden/>
    <w:rsid w:val="008533E6"/>
    <w:rPr>
      <w:color w:val="666666"/>
    </w:rPr>
  </w:style>
  <w:style w:type="character" w:customStyle="1" w:styleId="normaltextrun">
    <w:name w:val="normaltextrun"/>
    <w:basedOn w:val="DefaultParagraphFont"/>
    <w:rsid w:val="0093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050">
      <w:bodyDiv w:val="1"/>
      <w:marLeft w:val="0"/>
      <w:marRight w:val="0"/>
      <w:marTop w:val="0"/>
      <w:marBottom w:val="0"/>
      <w:divBdr>
        <w:top w:val="none" w:sz="0" w:space="0" w:color="auto"/>
        <w:left w:val="none" w:sz="0" w:space="0" w:color="auto"/>
        <w:bottom w:val="none" w:sz="0" w:space="0" w:color="auto"/>
        <w:right w:val="none" w:sz="0" w:space="0" w:color="auto"/>
      </w:divBdr>
    </w:div>
    <w:div w:id="300766453">
      <w:bodyDiv w:val="1"/>
      <w:marLeft w:val="0"/>
      <w:marRight w:val="0"/>
      <w:marTop w:val="0"/>
      <w:marBottom w:val="0"/>
      <w:divBdr>
        <w:top w:val="none" w:sz="0" w:space="0" w:color="auto"/>
        <w:left w:val="none" w:sz="0" w:space="0" w:color="auto"/>
        <w:bottom w:val="none" w:sz="0" w:space="0" w:color="auto"/>
        <w:right w:val="none" w:sz="0" w:space="0" w:color="auto"/>
      </w:divBdr>
    </w:div>
    <w:div w:id="391926220">
      <w:bodyDiv w:val="1"/>
      <w:marLeft w:val="0"/>
      <w:marRight w:val="0"/>
      <w:marTop w:val="0"/>
      <w:marBottom w:val="0"/>
      <w:divBdr>
        <w:top w:val="none" w:sz="0" w:space="0" w:color="auto"/>
        <w:left w:val="none" w:sz="0" w:space="0" w:color="auto"/>
        <w:bottom w:val="none" w:sz="0" w:space="0" w:color="auto"/>
        <w:right w:val="none" w:sz="0" w:space="0" w:color="auto"/>
      </w:divBdr>
    </w:div>
    <w:div w:id="530384915">
      <w:bodyDiv w:val="1"/>
      <w:marLeft w:val="0"/>
      <w:marRight w:val="0"/>
      <w:marTop w:val="0"/>
      <w:marBottom w:val="0"/>
      <w:divBdr>
        <w:top w:val="none" w:sz="0" w:space="0" w:color="auto"/>
        <w:left w:val="none" w:sz="0" w:space="0" w:color="auto"/>
        <w:bottom w:val="none" w:sz="0" w:space="0" w:color="auto"/>
        <w:right w:val="none" w:sz="0" w:space="0" w:color="auto"/>
      </w:divBdr>
    </w:div>
    <w:div w:id="75301434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7354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761B"/>
    <w:rsid w:val="000A6AFF"/>
    <w:rsid w:val="00136030"/>
    <w:rsid w:val="001B68CE"/>
    <w:rsid w:val="00200821"/>
    <w:rsid w:val="00201CE6"/>
    <w:rsid w:val="0025245B"/>
    <w:rsid w:val="0028765C"/>
    <w:rsid w:val="002929FD"/>
    <w:rsid w:val="002A3923"/>
    <w:rsid w:val="00394049"/>
    <w:rsid w:val="003E4EFC"/>
    <w:rsid w:val="004B5BBB"/>
    <w:rsid w:val="004C3BCD"/>
    <w:rsid w:val="004F2DF8"/>
    <w:rsid w:val="00501D7E"/>
    <w:rsid w:val="00534DD6"/>
    <w:rsid w:val="005F5DD7"/>
    <w:rsid w:val="006F24A1"/>
    <w:rsid w:val="007510DF"/>
    <w:rsid w:val="00754338"/>
    <w:rsid w:val="00787C63"/>
    <w:rsid w:val="00790B61"/>
    <w:rsid w:val="007D0E51"/>
    <w:rsid w:val="00806580"/>
    <w:rsid w:val="00870B9F"/>
    <w:rsid w:val="0091021B"/>
    <w:rsid w:val="009923DF"/>
    <w:rsid w:val="009A261B"/>
    <w:rsid w:val="009C3CB6"/>
    <w:rsid w:val="00A4418E"/>
    <w:rsid w:val="00A45C83"/>
    <w:rsid w:val="00AA2E17"/>
    <w:rsid w:val="00AC15A4"/>
    <w:rsid w:val="00AD7CA5"/>
    <w:rsid w:val="00B0336C"/>
    <w:rsid w:val="00B06BBE"/>
    <w:rsid w:val="00B30277"/>
    <w:rsid w:val="00B558B3"/>
    <w:rsid w:val="00B95D90"/>
    <w:rsid w:val="00CA041B"/>
    <w:rsid w:val="00D003EC"/>
    <w:rsid w:val="00D04817"/>
    <w:rsid w:val="00D241E9"/>
    <w:rsid w:val="00D61141"/>
    <w:rsid w:val="00D74C0A"/>
    <w:rsid w:val="00D7750D"/>
    <w:rsid w:val="00DD75F5"/>
    <w:rsid w:val="00E762C5"/>
    <w:rsid w:val="00F00D2F"/>
    <w:rsid w:val="00F128DF"/>
    <w:rsid w:val="00F15B3A"/>
    <w:rsid w:val="00FE7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5F5"/>
    <w:rPr>
      <w:color w:val="666666"/>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4C60D-66B4-4E06-A12D-2A298540F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3.xml><?xml version="1.0" encoding="utf-8"?>
<ds:datastoreItem xmlns:ds="http://schemas.openxmlformats.org/officeDocument/2006/customXml" ds:itemID="{5DA60356-48C3-480D-B43D-8A7572808729}">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D1760EE5-B384-41EB-B5C2-70A272A5D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2984</Words>
  <Characters>17009</Characters>
  <Application>Microsoft Office Word</Application>
  <DocSecurity>0</DocSecurity>
  <Lines>141</Lines>
  <Paragraphs>39</Paragraphs>
  <ScaleCrop>false</ScaleCrop>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2025-06-17T13:17:00Z</dcterms:created>
  <dcterms:modified xsi:type="dcterms:W3CDTF">2025-06-17T13:17:00Z</dcterms:modified>
</cp:coreProperties>
</file>