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C31CE3" w:rsidRDefault="00D306D1" w:rsidP="00627C9F">
      <w:pPr>
        <w:jc w:val="both"/>
        <w:rPr>
          <w:rFonts w:asciiTheme="majorHAnsi" w:hAnsiTheme="majorHAnsi" w:cs="Univers"/>
          <w:b/>
          <w:bCs/>
          <w:color w:val="000000" w:themeColor="text1"/>
          <w:sz w:val="22"/>
          <w:szCs w:val="22"/>
          <w:lang w:val="pt-BR"/>
        </w:rPr>
      </w:pPr>
      <w:r w:rsidRPr="00C31CE3">
        <w:rPr>
          <w:rFonts w:asciiTheme="majorHAnsi" w:hAnsiTheme="majorHAnsi"/>
          <w:noProof/>
          <w:color w:val="000000" w:themeColor="text1"/>
          <w:sz w:val="22"/>
          <w:szCs w:val="22"/>
          <w:lang w:val="pt-BR"/>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198197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bgAIAAGAFAAAOAAAAZHJzL2Uyb0RvYy54bWysVE1v2zAMvQ/YfxB0X+2kSbsGdYogRYYB&#10;RVusHXpWZCk2IIsapXzt14+SP9J1xQ7DLrYkPj6ST6Subw6NYTuFvgZb8NFZzpmyEsrabgr+/Xn1&#10;6TNnPghbCgNWFfyoPL+Zf/xwvXczNYYKTKmQEYn1s70reBWCm2WZl5VqhD8DpywZNWAjAm1xk5Uo&#10;9sTemGyc5xfZHrB0CFJ5T6e3rZHPE7/WSoYHrb0KzBSccgvpi+m7jt9sfi1mGxSuqmWXhviHLBpR&#10;Wwo6UN2KINgW6z+omloieNDhTEKTgda1VKkGqmaUv6nmqRJOpVpIHO8Gmfz/o5X3uyf3iCTD3vmZ&#10;p2Ws4qCxiX/Kjx2SWMdBLHUITNLhaDo5z6ekqSTbVX51cX45jXJmJ3eHPnxR0LC4KDjSbSSRxO7O&#10;hxbaQ2I0D6YuV7UxaYOb9dIg2wm6udVqmefpsoj9N5ixEWwhurWM8SQ7FZNW4WhUxBn7TWlWl5T+&#10;OGWS+kwNcYSUyoZRa6pEqdrwUwo+RI+dGT1SpYkwMmuKP3B3BD2yJem52yw7fHRVqU0H5/xvibXO&#10;g0eKDDYMzk1tAd8jMFRVF7nF9yK10kSV1lAeH5EhtEPinVzVdG93wodHgTQVdNc06eGBPtrAvuDQ&#10;rTirAH++dx7x1Kxk5WxPU1Zw/2MrUHFmvlpq46vRZBLHMm0m08sxbfC1Zf3aYrfNEqgdRvSmOJmW&#10;ER9Mv9QIzQs9CIsYlUzCSopdcBmw3yxDO/30pEi1WCQYjaIT4c4+ORnJo6qxL58PLwJd17yB+v4e&#10;+okUszc93GKjp4XFNoCuU4OfdO30pjFOjdM9OfGdeL1PqNPDOP8FAAD//wMAUEsDBBQABgAIAAAA&#10;IQDoGhhK4AAAAAwBAAAPAAAAZHJzL2Rvd25yZXYueG1sTI/NTsMwEITvSLyDtUjcWie1mkKIU1UV&#10;PXEiBdqjG5skqn8i203C27M5wW12ZzT7bbGdjCaD8qFzlkO6TIAoWzvZ2YbDx/GweAISorBSaGcV&#10;hx8VYFve3xUil26072qoYkOwxIZccGhj7HNKQ90qI8LS9cqi9+28ERFH31DpxYjlRtNVkmTUiM7i&#10;hVb0at+q+lrdDAeqP/3bcGLXc5qwQ/o6Vmb3tef88WHavQCJaop/YZjxER1KZLq4m5WBaA6LbL3G&#10;6CyeV0DmxGaDmwsKljEGtCzo/yfKXwAAAP//AwBQSwECLQAUAAYACAAAACEAtoM4kv4AAADhAQAA&#10;EwAAAAAAAAAAAAAAAAAAAAAAW0NvbnRlbnRfVHlwZXNdLnhtbFBLAQItABQABgAIAAAAIQA4/SH/&#10;1gAAAJQBAAALAAAAAAAAAAAAAAAAAC8BAABfcmVscy8ucmVsc1BLAQItABQABgAIAAAAIQD+iHkb&#10;gAIAAGAFAAAOAAAAAAAAAAAAAAAAAC4CAABkcnMvZTJvRG9jLnhtbFBLAQItABQABgAIAAAAIQDo&#10;GhhK4AAAAAwBAAAPAAAAAAAAAAAAAAAAANoEAABkcnMvZG93bnJldi54bWxQSwUGAAAAAAQABADz&#10;AAAA5wUAAAAA&#10;" fillcolor="#ffc000" stroked="f" strokeweight="2pt"/>
            </w:pict>
          </mc:Fallback>
        </mc:AlternateContent>
      </w:r>
      <w:r w:rsidR="003E6CA1" w:rsidRPr="00C31CE3">
        <w:rPr>
          <w:rFonts w:asciiTheme="majorHAnsi" w:hAnsiTheme="majorHAnsi"/>
          <w:noProof/>
          <w:color w:val="000000" w:themeColor="text1"/>
          <w:sz w:val="22"/>
          <w:szCs w:val="22"/>
          <w:lang w:val="pt-BR"/>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C31CE3" w:rsidRDefault="00040C3A" w:rsidP="00040C3A">
      <w:pPr>
        <w:tabs>
          <w:tab w:val="center" w:pos="5400"/>
        </w:tabs>
        <w:suppressAutoHyphens/>
        <w:jc w:val="both"/>
        <w:rPr>
          <w:rFonts w:asciiTheme="majorHAnsi" w:hAnsiTheme="majorHAnsi"/>
          <w:color w:val="000000" w:themeColor="text1"/>
          <w:sz w:val="22"/>
          <w:szCs w:val="22"/>
          <w:lang w:val="pt-BR"/>
        </w:rPr>
      </w:pPr>
    </w:p>
    <w:p w14:paraId="5A87E141" w14:textId="77777777" w:rsidR="00040C3A" w:rsidRPr="00C31CE3" w:rsidRDefault="00040C3A" w:rsidP="00040C3A">
      <w:pPr>
        <w:tabs>
          <w:tab w:val="center" w:pos="5400"/>
        </w:tabs>
        <w:suppressAutoHyphens/>
        <w:jc w:val="both"/>
        <w:rPr>
          <w:rFonts w:asciiTheme="majorHAnsi" w:hAnsiTheme="majorHAnsi"/>
          <w:color w:val="000000" w:themeColor="text1"/>
          <w:sz w:val="22"/>
          <w:szCs w:val="22"/>
          <w:lang w:val="pt-BR"/>
        </w:rPr>
      </w:pPr>
    </w:p>
    <w:p w14:paraId="29D95BCC" w14:textId="77777777" w:rsidR="005128E4" w:rsidRPr="00C31CE3" w:rsidRDefault="005128E4" w:rsidP="00040C3A">
      <w:pPr>
        <w:tabs>
          <w:tab w:val="center" w:pos="5400"/>
        </w:tabs>
        <w:suppressAutoHyphens/>
        <w:rPr>
          <w:rFonts w:asciiTheme="majorHAnsi" w:hAnsiTheme="majorHAnsi"/>
          <w:color w:val="000000" w:themeColor="text1"/>
          <w:sz w:val="22"/>
          <w:szCs w:val="22"/>
          <w:lang w:val="pt-BR"/>
        </w:rPr>
      </w:pPr>
    </w:p>
    <w:p w14:paraId="12A36B24" w14:textId="77777777" w:rsidR="005128E4" w:rsidRPr="00C31CE3" w:rsidRDefault="005128E4" w:rsidP="00040C3A">
      <w:pPr>
        <w:tabs>
          <w:tab w:val="center" w:pos="5400"/>
        </w:tabs>
        <w:suppressAutoHyphens/>
        <w:rPr>
          <w:rFonts w:asciiTheme="majorHAnsi" w:hAnsiTheme="majorHAnsi"/>
          <w:color w:val="000000" w:themeColor="text1"/>
          <w:sz w:val="22"/>
          <w:szCs w:val="22"/>
          <w:lang w:val="pt-BR"/>
        </w:rPr>
      </w:pPr>
    </w:p>
    <w:p w14:paraId="2252093D" w14:textId="77777777" w:rsidR="005128E4" w:rsidRPr="00C31CE3" w:rsidRDefault="005128E4" w:rsidP="00040C3A">
      <w:pPr>
        <w:tabs>
          <w:tab w:val="center" w:pos="5400"/>
        </w:tabs>
        <w:suppressAutoHyphens/>
        <w:rPr>
          <w:rFonts w:asciiTheme="majorHAnsi" w:hAnsiTheme="majorHAnsi"/>
          <w:color w:val="000000" w:themeColor="text1"/>
          <w:sz w:val="22"/>
          <w:szCs w:val="22"/>
          <w:lang w:val="pt-BR"/>
        </w:rPr>
      </w:pPr>
    </w:p>
    <w:p w14:paraId="403935BD" w14:textId="77777777" w:rsidR="00040C3A" w:rsidRPr="00C31CE3" w:rsidRDefault="00040C3A" w:rsidP="005128E4">
      <w:pPr>
        <w:tabs>
          <w:tab w:val="center" w:pos="5400"/>
        </w:tabs>
        <w:suppressAutoHyphens/>
        <w:jc w:val="center"/>
        <w:rPr>
          <w:rFonts w:asciiTheme="majorHAnsi" w:hAnsiTheme="majorHAnsi"/>
          <w:color w:val="000000" w:themeColor="text1"/>
          <w:sz w:val="22"/>
          <w:szCs w:val="22"/>
          <w:lang w:val="pt-BR"/>
        </w:rPr>
      </w:pPr>
    </w:p>
    <w:p w14:paraId="6DCF5F8F" w14:textId="77777777" w:rsidR="00040C3A" w:rsidRPr="00C31CE3" w:rsidRDefault="00040C3A" w:rsidP="005128E4">
      <w:pPr>
        <w:tabs>
          <w:tab w:val="center" w:pos="5400"/>
        </w:tabs>
        <w:suppressAutoHyphens/>
        <w:jc w:val="center"/>
        <w:rPr>
          <w:rFonts w:asciiTheme="majorHAnsi" w:hAnsiTheme="majorHAnsi"/>
          <w:color w:val="000000" w:themeColor="text1"/>
          <w:sz w:val="22"/>
          <w:szCs w:val="22"/>
          <w:lang w:val="pt-BR"/>
        </w:rPr>
      </w:pPr>
    </w:p>
    <w:p w14:paraId="4791F13A" w14:textId="48690D23" w:rsidR="005B52B0" w:rsidRPr="00C31CE3" w:rsidRDefault="005B52B0" w:rsidP="005128E4">
      <w:pPr>
        <w:tabs>
          <w:tab w:val="center" w:pos="5400"/>
        </w:tabs>
        <w:suppressAutoHyphens/>
        <w:jc w:val="center"/>
        <w:rPr>
          <w:rFonts w:asciiTheme="majorHAnsi" w:hAnsiTheme="majorHAnsi"/>
          <w:color w:val="000000" w:themeColor="text1"/>
          <w:sz w:val="22"/>
          <w:szCs w:val="22"/>
          <w:lang w:val="pt-BR"/>
        </w:rPr>
      </w:pPr>
    </w:p>
    <w:p w14:paraId="44E016B6" w14:textId="60779C9D" w:rsidR="005B52B0" w:rsidRPr="00C31CE3" w:rsidRDefault="005B52B0" w:rsidP="005128E4">
      <w:pPr>
        <w:tabs>
          <w:tab w:val="center" w:pos="5400"/>
        </w:tabs>
        <w:suppressAutoHyphens/>
        <w:jc w:val="center"/>
        <w:rPr>
          <w:rFonts w:asciiTheme="majorHAnsi" w:hAnsiTheme="majorHAnsi"/>
          <w:color w:val="000000" w:themeColor="text1"/>
          <w:sz w:val="22"/>
          <w:szCs w:val="22"/>
          <w:lang w:val="pt-BR"/>
        </w:rPr>
      </w:pPr>
    </w:p>
    <w:p w14:paraId="63D41962" w14:textId="6975E101" w:rsidR="005B52B0" w:rsidRPr="00C31CE3" w:rsidRDefault="005B52B0" w:rsidP="005128E4">
      <w:pPr>
        <w:tabs>
          <w:tab w:val="center" w:pos="5400"/>
        </w:tabs>
        <w:suppressAutoHyphens/>
        <w:jc w:val="center"/>
        <w:rPr>
          <w:rFonts w:asciiTheme="majorHAnsi" w:hAnsiTheme="majorHAnsi"/>
          <w:color w:val="000000" w:themeColor="text1"/>
          <w:sz w:val="22"/>
          <w:szCs w:val="22"/>
          <w:lang w:val="pt-BR"/>
        </w:rPr>
      </w:pPr>
    </w:p>
    <w:p w14:paraId="5ADEB990" w14:textId="19680D61" w:rsidR="00040C3A" w:rsidRPr="00C31CE3" w:rsidRDefault="00040C3A" w:rsidP="00040C3A">
      <w:pPr>
        <w:tabs>
          <w:tab w:val="center" w:pos="5400"/>
        </w:tabs>
        <w:suppressAutoHyphens/>
        <w:jc w:val="center"/>
        <w:rPr>
          <w:rFonts w:asciiTheme="majorHAnsi" w:hAnsiTheme="majorHAnsi"/>
          <w:color w:val="000000" w:themeColor="text1"/>
          <w:sz w:val="22"/>
          <w:szCs w:val="22"/>
          <w:lang w:val="pt-BR"/>
        </w:rPr>
      </w:pPr>
    </w:p>
    <w:p w14:paraId="2D81B7E8" w14:textId="2CD17D4E" w:rsidR="00040C3A" w:rsidRPr="00C31CE3" w:rsidRDefault="00040C3A" w:rsidP="00040C3A">
      <w:pPr>
        <w:tabs>
          <w:tab w:val="center" w:pos="5400"/>
        </w:tabs>
        <w:suppressAutoHyphens/>
        <w:jc w:val="center"/>
        <w:rPr>
          <w:rFonts w:asciiTheme="majorHAnsi" w:hAnsiTheme="majorHAnsi"/>
          <w:color w:val="000000" w:themeColor="text1"/>
          <w:sz w:val="22"/>
          <w:szCs w:val="22"/>
          <w:lang w:val="pt-BR"/>
        </w:rPr>
      </w:pPr>
    </w:p>
    <w:p w14:paraId="64791D04" w14:textId="03ACD9CC" w:rsidR="00040C3A" w:rsidRPr="00C31CE3" w:rsidRDefault="005E7ECE" w:rsidP="00040C3A">
      <w:pPr>
        <w:tabs>
          <w:tab w:val="center" w:pos="5400"/>
        </w:tabs>
        <w:suppressAutoHyphens/>
        <w:jc w:val="center"/>
        <w:rPr>
          <w:rFonts w:asciiTheme="majorHAnsi" w:hAnsiTheme="majorHAnsi"/>
          <w:color w:val="000000" w:themeColor="text1"/>
          <w:sz w:val="22"/>
          <w:szCs w:val="22"/>
          <w:lang w:val="pt-BR"/>
        </w:rPr>
      </w:pPr>
      <w:r w:rsidRPr="00C31CE3">
        <w:rPr>
          <w:rFonts w:asciiTheme="majorHAnsi" w:hAnsiTheme="majorHAnsi"/>
          <w:noProof/>
          <w:sz w:val="22"/>
          <w:szCs w:val="22"/>
          <w:lang w:val="pt-BR"/>
        </w:rPr>
        <mc:AlternateContent>
          <mc:Choice Requires="wps">
            <w:drawing>
              <wp:anchor distT="0" distB="0" distL="114300" distR="114300" simplePos="0" relativeHeight="251684864" behindDoc="0" locked="0" layoutInCell="1" allowOverlap="1" wp14:anchorId="192C1318" wp14:editId="1F27DCC6">
                <wp:simplePos x="0" y="0"/>
                <wp:positionH relativeFrom="column">
                  <wp:posOffset>1280160</wp:posOffset>
                </wp:positionH>
                <wp:positionV relativeFrom="paragraph">
                  <wp:posOffset>110684</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143B35" w14:textId="7DCF8483" w:rsidR="005E7ECE" w:rsidRPr="003436C3" w:rsidRDefault="005E7ECE" w:rsidP="005E7ECE">
                            <w:pPr>
                              <w:spacing w:line="276" w:lineRule="auto"/>
                              <w:rPr>
                                <w:rFonts w:asciiTheme="majorHAnsi" w:hAnsiTheme="majorHAnsi" w:cs="Arial"/>
                                <w:b/>
                                <w:bCs/>
                                <w:color w:val="0D0D0D" w:themeColor="text1" w:themeTint="F2"/>
                                <w:sz w:val="36"/>
                                <w:szCs w:val="22"/>
                                <w:lang w:val="pt-BR"/>
                              </w:rPr>
                            </w:pPr>
                            <w:r w:rsidRPr="003436C3">
                              <w:rPr>
                                <w:rFonts w:asciiTheme="majorHAnsi" w:hAnsiTheme="majorHAnsi" w:cs="Arial"/>
                                <w:b/>
                                <w:bCs/>
                                <w:color w:val="0D0D0D" w:themeColor="text1" w:themeTint="F2"/>
                                <w:sz w:val="36"/>
                                <w:szCs w:val="22"/>
                                <w:lang w:val="pt-BR"/>
                              </w:rPr>
                              <w:t xml:space="preserve">RELATÓRIO </w:t>
                            </w:r>
                            <w:r w:rsidRPr="003436C3">
                              <w:rPr>
                                <w:rFonts w:asciiTheme="majorHAnsi" w:hAnsiTheme="majorHAnsi" w:cs="Arial"/>
                                <w:b/>
                                <w:bCs/>
                                <w:color w:val="0D0D0D" w:themeColor="text1" w:themeTint="F2"/>
                                <w:sz w:val="36"/>
                                <w:szCs w:val="40"/>
                                <w:lang w:val="pt-BR"/>
                              </w:rPr>
                              <w:t>No.</w:t>
                            </w:r>
                            <w:r w:rsidRPr="003436C3">
                              <w:rPr>
                                <w:rFonts w:asciiTheme="majorHAnsi" w:hAnsiTheme="majorHAnsi" w:cs="Arial"/>
                                <w:b/>
                                <w:bCs/>
                                <w:color w:val="0D0D0D" w:themeColor="text1" w:themeTint="F2"/>
                                <w:sz w:val="36"/>
                                <w:szCs w:val="22"/>
                                <w:lang w:val="pt-BR"/>
                              </w:rPr>
                              <w:t xml:space="preserve"> </w:t>
                            </w:r>
                            <w:r w:rsidR="00907BEE">
                              <w:rPr>
                                <w:rFonts w:asciiTheme="majorHAnsi" w:hAnsiTheme="majorHAnsi" w:cs="Arial"/>
                                <w:b/>
                                <w:bCs/>
                                <w:color w:val="0D0D0D" w:themeColor="text1" w:themeTint="F2"/>
                                <w:sz w:val="36"/>
                                <w:szCs w:val="22"/>
                                <w:lang w:val="pt-BR"/>
                              </w:rPr>
                              <w:t>8</w:t>
                            </w:r>
                            <w:r w:rsidRPr="003436C3">
                              <w:rPr>
                                <w:rFonts w:asciiTheme="majorHAnsi" w:hAnsiTheme="majorHAnsi" w:cs="Arial"/>
                                <w:b/>
                                <w:bCs/>
                                <w:color w:val="0D0D0D" w:themeColor="text1" w:themeTint="F2"/>
                                <w:sz w:val="36"/>
                                <w:szCs w:val="22"/>
                                <w:lang w:val="pt-BR"/>
                              </w:rPr>
                              <w:t>/2</w:t>
                            </w:r>
                            <w:r w:rsidR="002F71F6">
                              <w:rPr>
                                <w:rFonts w:asciiTheme="majorHAnsi" w:hAnsiTheme="majorHAnsi" w:cs="Arial"/>
                                <w:b/>
                                <w:bCs/>
                                <w:color w:val="0D0D0D" w:themeColor="text1" w:themeTint="F2"/>
                                <w:sz w:val="36"/>
                                <w:szCs w:val="22"/>
                                <w:lang w:val="pt-BR"/>
                              </w:rPr>
                              <w:t>5</w:t>
                            </w:r>
                          </w:p>
                          <w:p w14:paraId="543048DA" w14:textId="23567DBF" w:rsidR="005E7ECE" w:rsidRPr="005E7ECE" w:rsidRDefault="005E7ECE" w:rsidP="005E7ECE">
                            <w:pPr>
                              <w:spacing w:line="276" w:lineRule="auto"/>
                              <w:rPr>
                                <w:rFonts w:asciiTheme="majorHAnsi" w:hAnsiTheme="majorHAnsi" w:cs="Arial"/>
                                <w:b/>
                                <w:color w:val="0D0D0D" w:themeColor="text1" w:themeTint="F2"/>
                                <w:sz w:val="36"/>
                                <w:szCs w:val="22"/>
                                <w:lang w:val="pt-BR"/>
                              </w:rPr>
                            </w:pPr>
                            <w:r w:rsidRPr="005E7ECE">
                              <w:rPr>
                                <w:rFonts w:asciiTheme="majorHAnsi" w:hAnsiTheme="majorHAnsi" w:cs="Arial"/>
                                <w:b/>
                                <w:color w:val="0D0D0D" w:themeColor="text1" w:themeTint="F2"/>
                                <w:sz w:val="36"/>
                                <w:szCs w:val="22"/>
                                <w:lang w:val="pt-BR"/>
                              </w:rPr>
                              <w:t xml:space="preserve">PETIÇÃO </w:t>
                            </w:r>
                            <w:r w:rsidR="00C31CE3">
                              <w:rPr>
                                <w:rFonts w:asciiTheme="majorHAnsi" w:hAnsiTheme="majorHAnsi" w:cs="Arial"/>
                                <w:b/>
                                <w:color w:val="0D0D0D" w:themeColor="text1" w:themeTint="F2"/>
                                <w:sz w:val="36"/>
                                <w:szCs w:val="22"/>
                                <w:lang w:val="pt-BR"/>
                              </w:rPr>
                              <w:t>2247</w:t>
                            </w:r>
                            <w:r w:rsidRPr="005E7ECE">
                              <w:rPr>
                                <w:rFonts w:asciiTheme="majorHAnsi" w:hAnsiTheme="majorHAnsi" w:cs="Arial"/>
                                <w:b/>
                                <w:color w:val="0D0D0D" w:themeColor="text1" w:themeTint="F2"/>
                                <w:sz w:val="36"/>
                                <w:szCs w:val="22"/>
                                <w:lang w:val="pt-BR"/>
                              </w:rPr>
                              <w:t>-</w:t>
                            </w:r>
                            <w:r w:rsidR="00C31CE3">
                              <w:rPr>
                                <w:rFonts w:asciiTheme="majorHAnsi" w:hAnsiTheme="majorHAnsi" w:cs="Arial"/>
                                <w:b/>
                                <w:color w:val="0D0D0D" w:themeColor="text1" w:themeTint="F2"/>
                                <w:sz w:val="36"/>
                                <w:szCs w:val="22"/>
                                <w:lang w:val="pt-BR"/>
                              </w:rPr>
                              <w:t>21</w:t>
                            </w:r>
                          </w:p>
                          <w:p w14:paraId="5B67C2E9" w14:textId="5113295F" w:rsidR="005E7ECE" w:rsidRPr="005E7ECE" w:rsidRDefault="005E7ECE" w:rsidP="005E7ECE">
                            <w:pPr>
                              <w:spacing w:line="276" w:lineRule="auto"/>
                              <w:rPr>
                                <w:rFonts w:asciiTheme="majorHAnsi" w:hAnsiTheme="majorHAnsi" w:cs="Arial"/>
                                <w:color w:val="0D0D0D" w:themeColor="text1" w:themeTint="F2"/>
                                <w:szCs w:val="22"/>
                                <w:lang w:val="pt-BR"/>
                              </w:rPr>
                            </w:pPr>
                            <w:r w:rsidRPr="005E7ECE">
                              <w:rPr>
                                <w:rFonts w:asciiTheme="majorHAnsi" w:hAnsiTheme="majorHAnsi" w:cs="Arial"/>
                                <w:color w:val="0D0D0D" w:themeColor="text1" w:themeTint="F2"/>
                                <w:szCs w:val="22"/>
                                <w:lang w:val="pt-BR"/>
                              </w:rPr>
                              <w:t>RELATÓRIO DE ADMISSIBILIDADE</w:t>
                            </w:r>
                          </w:p>
                          <w:p w14:paraId="36AD5E2E" w14:textId="77777777" w:rsidR="005E7ECE" w:rsidRPr="005E7ECE" w:rsidRDefault="005E7ECE" w:rsidP="005E7ECE">
                            <w:pPr>
                              <w:spacing w:line="276" w:lineRule="auto"/>
                              <w:rPr>
                                <w:rFonts w:asciiTheme="majorHAnsi" w:hAnsiTheme="majorHAnsi" w:cs="Arial"/>
                                <w:color w:val="0D0D0D" w:themeColor="text1" w:themeTint="F2"/>
                                <w:szCs w:val="22"/>
                                <w:lang w:val="pt-BR"/>
                              </w:rPr>
                            </w:pPr>
                            <w:bookmarkStart w:id="0" w:name="_ftnref1"/>
                          </w:p>
                          <w:bookmarkEnd w:id="0"/>
                          <w:p w14:paraId="3402D604" w14:textId="504F753E" w:rsidR="005E7ECE" w:rsidRPr="005E7ECE" w:rsidRDefault="00C31CE3" w:rsidP="005E7ECE">
                            <w:pPr>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RUBENS VALENTE SOARES</w:t>
                            </w:r>
                          </w:p>
                          <w:p w14:paraId="6BD91FFB" w14:textId="1298D963" w:rsidR="005E7ECE" w:rsidRPr="005E7ECE" w:rsidRDefault="005E7ECE" w:rsidP="005E7ECE">
                            <w:pPr>
                              <w:rPr>
                                <w:color w:val="0D0D0D" w:themeColor="text1" w:themeTint="F2"/>
                                <w:lang w:val="pt-BR"/>
                              </w:rPr>
                            </w:pPr>
                            <w:r w:rsidRPr="005E7ECE">
                              <w:rPr>
                                <w:rFonts w:asciiTheme="majorHAnsi" w:hAnsiTheme="majorHAnsi" w:cs="Arial"/>
                                <w:color w:val="0D0D0D" w:themeColor="text1" w:themeTint="F2"/>
                                <w:szCs w:val="22"/>
                                <w:lang w:val="pt-BR"/>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C1318" id="Text Box 5" o:spid="_x0000_s1027" type="#_x0000_t202" style="position:absolute;left:0;text-align:left;margin-left:100.8pt;margin-top:8.7pt;width:349.7pt;height:17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Pq2esnhAAAACgEAAA8AAABkcnMv&#10;ZG93bnJldi54bWxMj8FOwzAQRO9I/IO1SNyonQChTeNUVaQKCcGhpRduTuwmUe11iN028PUsJziu&#10;5mn2TbGanGVnM4beo4RkJoAZbLzusZWwf9/czYGFqFAr69FI+DIBVuX1VaFy7S+4NeddbBmVYMiV&#10;hC7GIec8NJ1xKsz8YJCygx+dinSOLdejulC5szwVIuNO9UgfOjWYqjPNcXdyEl6qzZva1qmbf9vq&#10;+fWwHj73H49S3t5M6yWwaKb4B8OvPqlDSU61P6EOzEpIRZIRSsHTAzACFiKhcbWE+0wsgJcF/z+h&#10;/AEAAP//AwBQSwECLQAUAAYACAAAACEAtoM4kv4AAADhAQAAEwAAAAAAAAAAAAAAAAAAAAAAW0Nv&#10;bnRlbnRfVHlwZXNdLnhtbFBLAQItABQABgAIAAAAIQA4/SH/1gAAAJQBAAALAAAAAAAAAAAAAAAA&#10;AC8BAABfcmVscy8ucmVsc1BLAQItABQABgAIAAAAIQC824VCagIAAEUFAAAOAAAAAAAAAAAAAAAA&#10;AC4CAABkcnMvZTJvRG9jLnhtbFBLAQItABQABgAIAAAAIQD6tnrJ4QAAAAoBAAAPAAAAAAAAAAAA&#10;AAAAAMQEAABkcnMvZG93bnJldi54bWxQSwUGAAAAAAQABADzAAAA0gUAAAAA&#10;" filled="f" stroked="f" strokeweight=".5pt">
                <v:textbox>
                  <w:txbxContent>
                    <w:p w14:paraId="65143B35" w14:textId="7DCF8483" w:rsidR="005E7ECE" w:rsidRPr="003436C3" w:rsidRDefault="005E7ECE" w:rsidP="005E7ECE">
                      <w:pPr>
                        <w:spacing w:line="276" w:lineRule="auto"/>
                        <w:rPr>
                          <w:rFonts w:asciiTheme="majorHAnsi" w:hAnsiTheme="majorHAnsi" w:cs="Arial"/>
                          <w:b/>
                          <w:bCs/>
                          <w:color w:val="0D0D0D" w:themeColor="text1" w:themeTint="F2"/>
                          <w:sz w:val="36"/>
                          <w:szCs w:val="22"/>
                          <w:lang w:val="pt-BR"/>
                        </w:rPr>
                      </w:pPr>
                      <w:r w:rsidRPr="003436C3">
                        <w:rPr>
                          <w:rFonts w:asciiTheme="majorHAnsi" w:hAnsiTheme="majorHAnsi" w:cs="Arial"/>
                          <w:b/>
                          <w:bCs/>
                          <w:color w:val="0D0D0D" w:themeColor="text1" w:themeTint="F2"/>
                          <w:sz w:val="36"/>
                          <w:szCs w:val="22"/>
                          <w:lang w:val="pt-BR"/>
                        </w:rPr>
                        <w:t xml:space="preserve">RELATÓRIO </w:t>
                      </w:r>
                      <w:r w:rsidRPr="003436C3">
                        <w:rPr>
                          <w:rFonts w:asciiTheme="majorHAnsi" w:hAnsiTheme="majorHAnsi" w:cs="Arial"/>
                          <w:b/>
                          <w:bCs/>
                          <w:color w:val="0D0D0D" w:themeColor="text1" w:themeTint="F2"/>
                          <w:sz w:val="36"/>
                          <w:szCs w:val="40"/>
                          <w:lang w:val="pt-BR"/>
                        </w:rPr>
                        <w:t>No.</w:t>
                      </w:r>
                      <w:r w:rsidRPr="003436C3">
                        <w:rPr>
                          <w:rFonts w:asciiTheme="majorHAnsi" w:hAnsiTheme="majorHAnsi" w:cs="Arial"/>
                          <w:b/>
                          <w:bCs/>
                          <w:color w:val="0D0D0D" w:themeColor="text1" w:themeTint="F2"/>
                          <w:sz w:val="36"/>
                          <w:szCs w:val="22"/>
                          <w:lang w:val="pt-BR"/>
                        </w:rPr>
                        <w:t xml:space="preserve"> </w:t>
                      </w:r>
                      <w:r w:rsidR="00907BEE">
                        <w:rPr>
                          <w:rFonts w:asciiTheme="majorHAnsi" w:hAnsiTheme="majorHAnsi" w:cs="Arial"/>
                          <w:b/>
                          <w:bCs/>
                          <w:color w:val="0D0D0D" w:themeColor="text1" w:themeTint="F2"/>
                          <w:sz w:val="36"/>
                          <w:szCs w:val="22"/>
                          <w:lang w:val="pt-BR"/>
                        </w:rPr>
                        <w:t>8</w:t>
                      </w:r>
                      <w:r w:rsidRPr="003436C3">
                        <w:rPr>
                          <w:rFonts w:asciiTheme="majorHAnsi" w:hAnsiTheme="majorHAnsi" w:cs="Arial"/>
                          <w:b/>
                          <w:bCs/>
                          <w:color w:val="0D0D0D" w:themeColor="text1" w:themeTint="F2"/>
                          <w:sz w:val="36"/>
                          <w:szCs w:val="22"/>
                          <w:lang w:val="pt-BR"/>
                        </w:rPr>
                        <w:t>/2</w:t>
                      </w:r>
                      <w:r w:rsidR="002F71F6">
                        <w:rPr>
                          <w:rFonts w:asciiTheme="majorHAnsi" w:hAnsiTheme="majorHAnsi" w:cs="Arial"/>
                          <w:b/>
                          <w:bCs/>
                          <w:color w:val="0D0D0D" w:themeColor="text1" w:themeTint="F2"/>
                          <w:sz w:val="36"/>
                          <w:szCs w:val="22"/>
                          <w:lang w:val="pt-BR"/>
                        </w:rPr>
                        <w:t>5</w:t>
                      </w:r>
                    </w:p>
                    <w:p w14:paraId="543048DA" w14:textId="23567DBF" w:rsidR="005E7ECE" w:rsidRPr="005E7ECE" w:rsidRDefault="005E7ECE" w:rsidP="005E7ECE">
                      <w:pPr>
                        <w:spacing w:line="276" w:lineRule="auto"/>
                        <w:rPr>
                          <w:rFonts w:asciiTheme="majorHAnsi" w:hAnsiTheme="majorHAnsi" w:cs="Arial"/>
                          <w:b/>
                          <w:color w:val="0D0D0D" w:themeColor="text1" w:themeTint="F2"/>
                          <w:sz w:val="36"/>
                          <w:szCs w:val="22"/>
                          <w:lang w:val="pt-BR"/>
                        </w:rPr>
                      </w:pPr>
                      <w:r w:rsidRPr="005E7ECE">
                        <w:rPr>
                          <w:rFonts w:asciiTheme="majorHAnsi" w:hAnsiTheme="majorHAnsi" w:cs="Arial"/>
                          <w:b/>
                          <w:color w:val="0D0D0D" w:themeColor="text1" w:themeTint="F2"/>
                          <w:sz w:val="36"/>
                          <w:szCs w:val="22"/>
                          <w:lang w:val="pt-BR"/>
                        </w:rPr>
                        <w:t xml:space="preserve">PETIÇÃO </w:t>
                      </w:r>
                      <w:r w:rsidR="00C31CE3">
                        <w:rPr>
                          <w:rFonts w:asciiTheme="majorHAnsi" w:hAnsiTheme="majorHAnsi" w:cs="Arial"/>
                          <w:b/>
                          <w:color w:val="0D0D0D" w:themeColor="text1" w:themeTint="F2"/>
                          <w:sz w:val="36"/>
                          <w:szCs w:val="22"/>
                          <w:lang w:val="pt-BR"/>
                        </w:rPr>
                        <w:t>2247</w:t>
                      </w:r>
                      <w:r w:rsidRPr="005E7ECE">
                        <w:rPr>
                          <w:rFonts w:asciiTheme="majorHAnsi" w:hAnsiTheme="majorHAnsi" w:cs="Arial"/>
                          <w:b/>
                          <w:color w:val="0D0D0D" w:themeColor="text1" w:themeTint="F2"/>
                          <w:sz w:val="36"/>
                          <w:szCs w:val="22"/>
                          <w:lang w:val="pt-BR"/>
                        </w:rPr>
                        <w:t>-</w:t>
                      </w:r>
                      <w:r w:rsidR="00C31CE3">
                        <w:rPr>
                          <w:rFonts w:asciiTheme="majorHAnsi" w:hAnsiTheme="majorHAnsi" w:cs="Arial"/>
                          <w:b/>
                          <w:color w:val="0D0D0D" w:themeColor="text1" w:themeTint="F2"/>
                          <w:sz w:val="36"/>
                          <w:szCs w:val="22"/>
                          <w:lang w:val="pt-BR"/>
                        </w:rPr>
                        <w:t>21</w:t>
                      </w:r>
                    </w:p>
                    <w:p w14:paraId="5B67C2E9" w14:textId="5113295F" w:rsidR="005E7ECE" w:rsidRPr="005E7ECE" w:rsidRDefault="005E7ECE" w:rsidP="005E7ECE">
                      <w:pPr>
                        <w:spacing w:line="276" w:lineRule="auto"/>
                        <w:rPr>
                          <w:rFonts w:asciiTheme="majorHAnsi" w:hAnsiTheme="majorHAnsi" w:cs="Arial"/>
                          <w:color w:val="0D0D0D" w:themeColor="text1" w:themeTint="F2"/>
                          <w:szCs w:val="22"/>
                          <w:lang w:val="pt-BR"/>
                        </w:rPr>
                      </w:pPr>
                      <w:r w:rsidRPr="005E7ECE">
                        <w:rPr>
                          <w:rFonts w:asciiTheme="majorHAnsi" w:hAnsiTheme="majorHAnsi" w:cs="Arial"/>
                          <w:color w:val="0D0D0D" w:themeColor="text1" w:themeTint="F2"/>
                          <w:szCs w:val="22"/>
                          <w:lang w:val="pt-BR"/>
                        </w:rPr>
                        <w:t>RELATÓRIO DE ADMISSIBILIDADE</w:t>
                      </w:r>
                    </w:p>
                    <w:p w14:paraId="36AD5E2E" w14:textId="77777777" w:rsidR="005E7ECE" w:rsidRPr="005E7ECE" w:rsidRDefault="005E7ECE" w:rsidP="005E7ECE">
                      <w:pPr>
                        <w:spacing w:line="276" w:lineRule="auto"/>
                        <w:rPr>
                          <w:rFonts w:asciiTheme="majorHAnsi" w:hAnsiTheme="majorHAnsi" w:cs="Arial"/>
                          <w:color w:val="0D0D0D" w:themeColor="text1" w:themeTint="F2"/>
                          <w:szCs w:val="22"/>
                          <w:lang w:val="pt-BR"/>
                        </w:rPr>
                      </w:pPr>
                      <w:bookmarkStart w:id="1" w:name="_ftnref1"/>
                    </w:p>
                    <w:bookmarkEnd w:id="1"/>
                    <w:p w14:paraId="3402D604" w14:textId="504F753E" w:rsidR="005E7ECE" w:rsidRPr="005E7ECE" w:rsidRDefault="00C31CE3" w:rsidP="005E7ECE">
                      <w:pPr>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RUBENS VALENTE SOARES</w:t>
                      </w:r>
                    </w:p>
                    <w:p w14:paraId="6BD91FFB" w14:textId="1298D963" w:rsidR="005E7ECE" w:rsidRPr="005E7ECE" w:rsidRDefault="005E7ECE" w:rsidP="005E7ECE">
                      <w:pPr>
                        <w:rPr>
                          <w:color w:val="0D0D0D" w:themeColor="text1" w:themeTint="F2"/>
                          <w:lang w:val="pt-BR"/>
                        </w:rPr>
                      </w:pPr>
                      <w:r w:rsidRPr="005E7ECE">
                        <w:rPr>
                          <w:rFonts w:asciiTheme="majorHAnsi" w:hAnsiTheme="majorHAnsi" w:cs="Arial"/>
                          <w:color w:val="0D0D0D" w:themeColor="text1" w:themeTint="F2"/>
                          <w:szCs w:val="22"/>
                          <w:lang w:val="pt-BR"/>
                        </w:rPr>
                        <w:t>BRASIL</w:t>
                      </w:r>
                    </w:p>
                  </w:txbxContent>
                </v:textbox>
              </v:shape>
            </w:pict>
          </mc:Fallback>
        </mc:AlternateContent>
      </w:r>
      <w:r w:rsidR="004E2649" w:rsidRPr="00C31CE3">
        <w:rPr>
          <w:rFonts w:asciiTheme="majorHAnsi" w:hAnsiTheme="majorHAnsi"/>
          <w:noProof/>
          <w:color w:val="000000" w:themeColor="text1"/>
          <w:sz w:val="22"/>
          <w:szCs w:val="22"/>
          <w:lang w:val="pt-BR"/>
        </w:rPr>
        <mc:AlternateContent>
          <mc:Choice Requires="wps">
            <w:drawing>
              <wp:anchor distT="0" distB="0" distL="114300" distR="114300" simplePos="0" relativeHeight="251671552" behindDoc="0" locked="0" layoutInCell="1" allowOverlap="1" wp14:anchorId="73BE5919" wp14:editId="4DDE529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1A60887"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09F82D5C"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907BEE">
                              <w:rPr>
                                <w:rFonts w:asciiTheme="minorHAnsi" w:hAnsiTheme="minorHAnsi"/>
                                <w:sz w:val="22"/>
                                <w:lang w:val="pt-BR"/>
                              </w:rPr>
                              <w:t>10</w:t>
                            </w:r>
                          </w:p>
                          <w:p w14:paraId="69373ED2" w14:textId="4B3822E9" w:rsidR="00627C9F" w:rsidRPr="0072489E" w:rsidRDefault="00907BEE" w:rsidP="007A5817">
                            <w:pPr>
                              <w:spacing w:line="276" w:lineRule="auto"/>
                              <w:jc w:val="right"/>
                              <w:rPr>
                                <w:rFonts w:asciiTheme="minorHAnsi" w:hAnsiTheme="minorHAnsi"/>
                                <w:sz w:val="22"/>
                                <w:lang w:val="pt-BR"/>
                              </w:rPr>
                            </w:pPr>
                            <w:r>
                              <w:rPr>
                                <w:rFonts w:asciiTheme="minorHAnsi" w:hAnsiTheme="minorHAnsi"/>
                                <w:sz w:val="22"/>
                                <w:lang w:val="pt-BR"/>
                              </w:rPr>
                              <w:t>10 mar</w:t>
                            </w:r>
                            <w:r w:rsidRPr="00AE5F29">
                              <w:rPr>
                                <w:rFonts w:asciiTheme="minorHAnsi" w:hAnsiTheme="minorHAnsi"/>
                                <w:sz w:val="22"/>
                                <w:lang w:val="pt-BR"/>
                              </w:rPr>
                              <w:t>ço</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7A0DBD">
                              <w:rPr>
                                <w:rFonts w:asciiTheme="minorHAnsi" w:hAnsiTheme="minorHAnsi"/>
                                <w:sz w:val="22"/>
                                <w:lang w:val="pt-BR"/>
                              </w:rPr>
                              <w:t>5</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1A60887"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09F82D5C"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907BEE">
                        <w:rPr>
                          <w:rFonts w:asciiTheme="minorHAnsi" w:hAnsiTheme="minorHAnsi"/>
                          <w:sz w:val="22"/>
                          <w:lang w:val="pt-BR"/>
                        </w:rPr>
                        <w:t>10</w:t>
                      </w:r>
                    </w:p>
                    <w:p w14:paraId="69373ED2" w14:textId="4B3822E9" w:rsidR="00627C9F" w:rsidRPr="0072489E" w:rsidRDefault="00907BEE" w:rsidP="007A5817">
                      <w:pPr>
                        <w:spacing w:line="276" w:lineRule="auto"/>
                        <w:jc w:val="right"/>
                        <w:rPr>
                          <w:rFonts w:asciiTheme="minorHAnsi" w:hAnsiTheme="minorHAnsi"/>
                          <w:sz w:val="22"/>
                          <w:lang w:val="pt-BR"/>
                        </w:rPr>
                      </w:pPr>
                      <w:r>
                        <w:rPr>
                          <w:rFonts w:asciiTheme="minorHAnsi" w:hAnsiTheme="minorHAnsi"/>
                          <w:sz w:val="22"/>
                          <w:lang w:val="pt-BR"/>
                        </w:rPr>
                        <w:t>10 mar</w:t>
                      </w:r>
                      <w:r w:rsidRPr="00AE5F29">
                        <w:rPr>
                          <w:rFonts w:asciiTheme="minorHAnsi" w:hAnsiTheme="minorHAnsi"/>
                          <w:sz w:val="22"/>
                          <w:lang w:val="pt-BR"/>
                        </w:rPr>
                        <w:t>ço</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7A0DBD">
                        <w:rPr>
                          <w:rFonts w:asciiTheme="minorHAnsi" w:hAnsiTheme="minorHAnsi"/>
                          <w:sz w:val="22"/>
                          <w:lang w:val="pt-BR"/>
                        </w:rPr>
                        <w:t>5</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v:textbox>
              </v:shape>
            </w:pict>
          </mc:Fallback>
        </mc:AlternateContent>
      </w:r>
    </w:p>
    <w:p w14:paraId="155B0536" w14:textId="0E3E6654" w:rsidR="00040C3A" w:rsidRPr="00C31CE3" w:rsidRDefault="00040C3A" w:rsidP="00040C3A">
      <w:pPr>
        <w:tabs>
          <w:tab w:val="center" w:pos="5400"/>
        </w:tabs>
        <w:suppressAutoHyphens/>
        <w:jc w:val="center"/>
        <w:rPr>
          <w:rFonts w:asciiTheme="majorHAnsi" w:hAnsiTheme="majorHAnsi"/>
          <w:color w:val="000000" w:themeColor="text1"/>
          <w:sz w:val="22"/>
          <w:szCs w:val="22"/>
          <w:lang w:val="pt-BR"/>
        </w:rPr>
      </w:pPr>
    </w:p>
    <w:p w14:paraId="5FE3AB87" w14:textId="5426DAC2" w:rsidR="00040C3A" w:rsidRPr="00C31CE3" w:rsidRDefault="00040C3A" w:rsidP="00040C3A">
      <w:pPr>
        <w:tabs>
          <w:tab w:val="center" w:pos="5400"/>
        </w:tabs>
        <w:suppressAutoHyphens/>
        <w:jc w:val="center"/>
        <w:rPr>
          <w:rFonts w:asciiTheme="majorHAnsi" w:hAnsiTheme="majorHAnsi"/>
          <w:color w:val="000000" w:themeColor="text1"/>
          <w:sz w:val="22"/>
          <w:szCs w:val="22"/>
          <w:lang w:val="pt-BR"/>
        </w:rPr>
      </w:pPr>
    </w:p>
    <w:p w14:paraId="3C383BC0" w14:textId="77777777" w:rsidR="00040C3A" w:rsidRPr="00C31CE3" w:rsidRDefault="00040C3A" w:rsidP="00040C3A">
      <w:pPr>
        <w:tabs>
          <w:tab w:val="center" w:pos="5400"/>
        </w:tabs>
        <w:suppressAutoHyphens/>
        <w:jc w:val="center"/>
        <w:rPr>
          <w:rFonts w:asciiTheme="majorHAnsi" w:hAnsiTheme="majorHAnsi" w:cs="Arial"/>
          <w:color w:val="000000" w:themeColor="text1"/>
          <w:sz w:val="22"/>
          <w:szCs w:val="22"/>
          <w:lang w:val="pt-BR"/>
        </w:rPr>
      </w:pPr>
    </w:p>
    <w:p w14:paraId="54590931" w14:textId="77777777" w:rsidR="00040C3A" w:rsidRPr="00C31CE3" w:rsidRDefault="00040C3A" w:rsidP="00040C3A">
      <w:pPr>
        <w:tabs>
          <w:tab w:val="center" w:pos="5400"/>
        </w:tabs>
        <w:suppressAutoHyphens/>
        <w:jc w:val="center"/>
        <w:rPr>
          <w:rFonts w:asciiTheme="majorHAnsi" w:hAnsiTheme="majorHAnsi"/>
          <w:color w:val="000000" w:themeColor="text1"/>
          <w:sz w:val="22"/>
          <w:szCs w:val="22"/>
          <w:lang w:val="pt-BR"/>
        </w:rPr>
      </w:pPr>
    </w:p>
    <w:p w14:paraId="76C291D6" w14:textId="77777777" w:rsidR="00040C3A" w:rsidRPr="00C31CE3" w:rsidRDefault="00040C3A" w:rsidP="00040C3A">
      <w:pPr>
        <w:tabs>
          <w:tab w:val="center" w:pos="5400"/>
        </w:tabs>
        <w:suppressAutoHyphens/>
        <w:jc w:val="center"/>
        <w:rPr>
          <w:rFonts w:asciiTheme="majorHAnsi" w:hAnsiTheme="majorHAnsi"/>
          <w:color w:val="000000" w:themeColor="text1"/>
          <w:sz w:val="22"/>
          <w:szCs w:val="22"/>
          <w:lang w:val="pt-BR"/>
        </w:rPr>
      </w:pPr>
    </w:p>
    <w:p w14:paraId="2161B44F" w14:textId="77777777" w:rsidR="00040C3A" w:rsidRPr="00C31CE3" w:rsidRDefault="00040C3A" w:rsidP="00040C3A">
      <w:pPr>
        <w:tabs>
          <w:tab w:val="center" w:pos="5400"/>
        </w:tabs>
        <w:suppressAutoHyphens/>
        <w:jc w:val="center"/>
        <w:rPr>
          <w:rFonts w:asciiTheme="majorHAnsi" w:hAnsiTheme="majorHAnsi"/>
          <w:color w:val="000000" w:themeColor="text1"/>
          <w:sz w:val="22"/>
          <w:szCs w:val="22"/>
          <w:lang w:val="pt-BR"/>
        </w:rPr>
      </w:pPr>
    </w:p>
    <w:p w14:paraId="3C4EEE07" w14:textId="77777777" w:rsidR="00040C3A" w:rsidRPr="00C31CE3" w:rsidRDefault="00040C3A" w:rsidP="00040C3A">
      <w:pPr>
        <w:tabs>
          <w:tab w:val="center" w:pos="5400"/>
        </w:tabs>
        <w:suppressAutoHyphens/>
        <w:jc w:val="center"/>
        <w:rPr>
          <w:rFonts w:asciiTheme="majorHAnsi" w:hAnsiTheme="majorHAnsi"/>
          <w:color w:val="000000" w:themeColor="text1"/>
          <w:sz w:val="22"/>
          <w:szCs w:val="22"/>
          <w:lang w:val="pt-BR"/>
        </w:rPr>
      </w:pPr>
    </w:p>
    <w:p w14:paraId="3B0E4647" w14:textId="77777777" w:rsidR="005128E4" w:rsidRPr="00C31CE3" w:rsidRDefault="005128E4" w:rsidP="00040C3A">
      <w:pPr>
        <w:tabs>
          <w:tab w:val="center" w:pos="5400"/>
        </w:tabs>
        <w:suppressAutoHyphens/>
        <w:jc w:val="center"/>
        <w:rPr>
          <w:rFonts w:asciiTheme="majorHAnsi" w:hAnsiTheme="majorHAnsi"/>
          <w:color w:val="000000" w:themeColor="text1"/>
          <w:sz w:val="22"/>
          <w:szCs w:val="22"/>
          <w:lang w:val="pt-BR"/>
        </w:rPr>
      </w:pPr>
    </w:p>
    <w:p w14:paraId="2DAAF36D" w14:textId="77777777" w:rsidR="00040C3A" w:rsidRPr="00C31CE3" w:rsidRDefault="00040C3A" w:rsidP="00040C3A">
      <w:pPr>
        <w:tabs>
          <w:tab w:val="center" w:pos="5400"/>
        </w:tabs>
        <w:suppressAutoHyphens/>
        <w:jc w:val="center"/>
        <w:rPr>
          <w:rFonts w:asciiTheme="majorHAnsi" w:hAnsiTheme="majorHAnsi"/>
          <w:color w:val="000000" w:themeColor="text1"/>
          <w:sz w:val="22"/>
          <w:szCs w:val="22"/>
          <w:lang w:val="pt-BR"/>
        </w:rPr>
      </w:pPr>
    </w:p>
    <w:p w14:paraId="12496A14" w14:textId="77777777" w:rsidR="005128E4" w:rsidRPr="00C31CE3" w:rsidRDefault="005128E4" w:rsidP="00040C3A">
      <w:pPr>
        <w:tabs>
          <w:tab w:val="center" w:pos="5400"/>
        </w:tabs>
        <w:suppressAutoHyphens/>
        <w:jc w:val="center"/>
        <w:rPr>
          <w:rFonts w:asciiTheme="majorHAnsi" w:hAnsiTheme="majorHAnsi"/>
          <w:color w:val="000000" w:themeColor="text1"/>
          <w:sz w:val="22"/>
          <w:szCs w:val="22"/>
          <w:lang w:val="pt-BR"/>
        </w:rPr>
      </w:pPr>
    </w:p>
    <w:p w14:paraId="25772DB3" w14:textId="77777777" w:rsidR="005128E4" w:rsidRPr="00C31CE3" w:rsidRDefault="005128E4" w:rsidP="00040C3A">
      <w:pPr>
        <w:tabs>
          <w:tab w:val="center" w:pos="5400"/>
        </w:tabs>
        <w:suppressAutoHyphens/>
        <w:jc w:val="center"/>
        <w:rPr>
          <w:rFonts w:asciiTheme="majorHAnsi" w:hAnsiTheme="majorHAnsi"/>
          <w:color w:val="000000" w:themeColor="text1"/>
          <w:sz w:val="22"/>
          <w:szCs w:val="22"/>
          <w:lang w:val="pt-BR"/>
        </w:rPr>
      </w:pPr>
    </w:p>
    <w:p w14:paraId="6820FADA" w14:textId="77777777" w:rsidR="005128E4" w:rsidRPr="00C31CE3" w:rsidRDefault="005128E4" w:rsidP="00040C3A">
      <w:pPr>
        <w:tabs>
          <w:tab w:val="center" w:pos="5400"/>
        </w:tabs>
        <w:suppressAutoHyphens/>
        <w:jc w:val="center"/>
        <w:rPr>
          <w:rFonts w:asciiTheme="majorHAnsi" w:hAnsiTheme="majorHAnsi"/>
          <w:color w:val="000000" w:themeColor="text1"/>
          <w:sz w:val="22"/>
          <w:szCs w:val="22"/>
          <w:lang w:val="pt-BR"/>
        </w:rPr>
      </w:pPr>
    </w:p>
    <w:p w14:paraId="54445A55" w14:textId="77777777" w:rsidR="00040C3A" w:rsidRPr="00C31CE3" w:rsidRDefault="00040C3A" w:rsidP="00040C3A">
      <w:pPr>
        <w:tabs>
          <w:tab w:val="center" w:pos="5400"/>
        </w:tabs>
        <w:suppressAutoHyphens/>
        <w:jc w:val="center"/>
        <w:rPr>
          <w:rFonts w:asciiTheme="majorHAnsi" w:hAnsiTheme="majorHAnsi"/>
          <w:color w:val="000000" w:themeColor="text1"/>
          <w:sz w:val="22"/>
          <w:szCs w:val="22"/>
          <w:lang w:val="pt-BR"/>
        </w:rPr>
      </w:pPr>
    </w:p>
    <w:p w14:paraId="5D4A4040" w14:textId="77777777" w:rsidR="00040C3A" w:rsidRPr="00C31CE3" w:rsidRDefault="00040C3A" w:rsidP="00040C3A">
      <w:pPr>
        <w:tabs>
          <w:tab w:val="center" w:pos="5400"/>
        </w:tabs>
        <w:suppressAutoHyphens/>
        <w:jc w:val="center"/>
        <w:rPr>
          <w:rFonts w:asciiTheme="majorHAnsi" w:hAnsiTheme="majorHAnsi"/>
          <w:color w:val="000000" w:themeColor="text1"/>
          <w:sz w:val="22"/>
          <w:szCs w:val="22"/>
          <w:lang w:val="pt-BR"/>
        </w:rPr>
      </w:pPr>
    </w:p>
    <w:p w14:paraId="048FBB22" w14:textId="77777777" w:rsidR="00A50FCF" w:rsidRPr="00C31CE3" w:rsidRDefault="00A50FCF" w:rsidP="00040C3A">
      <w:pPr>
        <w:tabs>
          <w:tab w:val="center" w:pos="5400"/>
        </w:tabs>
        <w:suppressAutoHyphens/>
        <w:jc w:val="center"/>
        <w:rPr>
          <w:rFonts w:asciiTheme="majorHAnsi" w:hAnsiTheme="majorHAnsi"/>
          <w:color w:val="000000" w:themeColor="text1"/>
          <w:sz w:val="18"/>
          <w:szCs w:val="22"/>
          <w:lang w:val="pt-BR"/>
        </w:rPr>
      </w:pPr>
    </w:p>
    <w:p w14:paraId="190ABFB3" w14:textId="77777777" w:rsidR="00A50FCF" w:rsidRPr="00C31CE3" w:rsidRDefault="00A50FCF" w:rsidP="00040C3A">
      <w:pPr>
        <w:tabs>
          <w:tab w:val="center" w:pos="5400"/>
        </w:tabs>
        <w:suppressAutoHyphens/>
        <w:jc w:val="center"/>
        <w:rPr>
          <w:rFonts w:asciiTheme="majorHAnsi" w:hAnsiTheme="majorHAnsi"/>
          <w:color w:val="000000" w:themeColor="text1"/>
          <w:sz w:val="18"/>
          <w:szCs w:val="22"/>
          <w:lang w:val="pt-BR"/>
        </w:rPr>
      </w:pPr>
    </w:p>
    <w:p w14:paraId="4C690048" w14:textId="77777777" w:rsidR="00A50FCF" w:rsidRPr="00C31CE3" w:rsidRDefault="00A50FCF" w:rsidP="00040C3A">
      <w:pPr>
        <w:tabs>
          <w:tab w:val="center" w:pos="5400"/>
        </w:tabs>
        <w:suppressAutoHyphens/>
        <w:jc w:val="center"/>
        <w:rPr>
          <w:rFonts w:asciiTheme="majorHAnsi" w:hAnsiTheme="majorHAnsi"/>
          <w:color w:val="000000" w:themeColor="text1"/>
          <w:sz w:val="18"/>
          <w:szCs w:val="22"/>
          <w:lang w:val="pt-BR"/>
        </w:rPr>
      </w:pPr>
    </w:p>
    <w:p w14:paraId="733CA438" w14:textId="77777777" w:rsidR="00A50FCF" w:rsidRPr="00C31CE3" w:rsidRDefault="00A50FCF" w:rsidP="00040C3A">
      <w:pPr>
        <w:tabs>
          <w:tab w:val="center" w:pos="5400"/>
        </w:tabs>
        <w:suppressAutoHyphens/>
        <w:jc w:val="center"/>
        <w:rPr>
          <w:rFonts w:asciiTheme="majorHAnsi" w:hAnsiTheme="majorHAnsi"/>
          <w:color w:val="000000" w:themeColor="text1"/>
          <w:sz w:val="18"/>
          <w:szCs w:val="22"/>
          <w:lang w:val="pt-BR"/>
        </w:rPr>
      </w:pPr>
    </w:p>
    <w:p w14:paraId="7874DEEB" w14:textId="77777777" w:rsidR="00A50FCF" w:rsidRPr="00C31CE3" w:rsidRDefault="00A50FCF" w:rsidP="00040C3A">
      <w:pPr>
        <w:tabs>
          <w:tab w:val="center" w:pos="5400"/>
        </w:tabs>
        <w:suppressAutoHyphens/>
        <w:jc w:val="center"/>
        <w:rPr>
          <w:rFonts w:asciiTheme="majorHAnsi" w:hAnsiTheme="majorHAnsi"/>
          <w:color w:val="000000" w:themeColor="text1"/>
          <w:sz w:val="18"/>
          <w:szCs w:val="22"/>
          <w:lang w:val="pt-BR"/>
        </w:rPr>
      </w:pPr>
    </w:p>
    <w:p w14:paraId="3698D0D6" w14:textId="77777777" w:rsidR="00A50FCF" w:rsidRPr="00C31CE3" w:rsidRDefault="00A50FCF" w:rsidP="00040C3A">
      <w:pPr>
        <w:tabs>
          <w:tab w:val="center" w:pos="5400"/>
        </w:tabs>
        <w:suppressAutoHyphens/>
        <w:jc w:val="center"/>
        <w:rPr>
          <w:rFonts w:asciiTheme="majorHAnsi" w:hAnsiTheme="majorHAnsi"/>
          <w:color w:val="000000" w:themeColor="text1"/>
          <w:sz w:val="18"/>
          <w:szCs w:val="22"/>
          <w:lang w:val="pt-BR"/>
        </w:rPr>
      </w:pPr>
    </w:p>
    <w:p w14:paraId="1F907823" w14:textId="77777777" w:rsidR="00A50FCF" w:rsidRPr="00C31CE3" w:rsidRDefault="00A50FCF" w:rsidP="00040C3A">
      <w:pPr>
        <w:tabs>
          <w:tab w:val="center" w:pos="5400"/>
        </w:tabs>
        <w:suppressAutoHyphens/>
        <w:jc w:val="center"/>
        <w:rPr>
          <w:rFonts w:asciiTheme="majorHAnsi" w:hAnsiTheme="majorHAnsi"/>
          <w:color w:val="000000" w:themeColor="text1"/>
          <w:sz w:val="18"/>
          <w:szCs w:val="22"/>
          <w:lang w:val="pt-BR"/>
        </w:rPr>
      </w:pPr>
    </w:p>
    <w:p w14:paraId="045D9AC1" w14:textId="77777777" w:rsidR="00A50FCF" w:rsidRPr="00C31CE3" w:rsidRDefault="00A50FCF" w:rsidP="00040C3A">
      <w:pPr>
        <w:tabs>
          <w:tab w:val="center" w:pos="5400"/>
        </w:tabs>
        <w:suppressAutoHyphens/>
        <w:jc w:val="center"/>
        <w:rPr>
          <w:rFonts w:asciiTheme="majorHAnsi" w:hAnsiTheme="majorHAnsi"/>
          <w:color w:val="000000" w:themeColor="text1"/>
          <w:sz w:val="18"/>
          <w:szCs w:val="22"/>
          <w:lang w:val="pt-BR"/>
        </w:rPr>
      </w:pPr>
    </w:p>
    <w:p w14:paraId="16068EE5" w14:textId="77777777" w:rsidR="00A50FCF" w:rsidRPr="00C31CE3" w:rsidRDefault="00A50FCF" w:rsidP="00040C3A">
      <w:pPr>
        <w:tabs>
          <w:tab w:val="center" w:pos="5400"/>
        </w:tabs>
        <w:suppressAutoHyphens/>
        <w:jc w:val="center"/>
        <w:rPr>
          <w:rFonts w:asciiTheme="majorHAnsi" w:hAnsiTheme="majorHAnsi"/>
          <w:color w:val="000000" w:themeColor="text1"/>
          <w:sz w:val="18"/>
          <w:szCs w:val="22"/>
          <w:lang w:val="pt-BR"/>
        </w:rPr>
      </w:pPr>
    </w:p>
    <w:p w14:paraId="14A4A430" w14:textId="77777777" w:rsidR="00A50FCF" w:rsidRPr="00C31CE3" w:rsidRDefault="00A50FCF" w:rsidP="00040C3A">
      <w:pPr>
        <w:tabs>
          <w:tab w:val="center" w:pos="5400"/>
        </w:tabs>
        <w:suppressAutoHyphens/>
        <w:jc w:val="center"/>
        <w:rPr>
          <w:rFonts w:asciiTheme="majorHAnsi" w:hAnsiTheme="majorHAnsi"/>
          <w:color w:val="000000" w:themeColor="text1"/>
          <w:sz w:val="18"/>
          <w:szCs w:val="22"/>
          <w:lang w:val="pt-BR"/>
        </w:rPr>
      </w:pPr>
    </w:p>
    <w:p w14:paraId="0B3B735F" w14:textId="77777777" w:rsidR="00A50FCF" w:rsidRPr="00C31CE3" w:rsidRDefault="00A50FCF" w:rsidP="00040C3A">
      <w:pPr>
        <w:tabs>
          <w:tab w:val="center" w:pos="5400"/>
        </w:tabs>
        <w:suppressAutoHyphens/>
        <w:jc w:val="center"/>
        <w:rPr>
          <w:rFonts w:asciiTheme="majorHAnsi" w:hAnsiTheme="majorHAnsi"/>
          <w:color w:val="000000" w:themeColor="text1"/>
          <w:sz w:val="18"/>
          <w:szCs w:val="22"/>
          <w:lang w:val="pt-BR"/>
        </w:rPr>
      </w:pPr>
    </w:p>
    <w:p w14:paraId="02C5C441" w14:textId="77777777" w:rsidR="00A50FCF" w:rsidRPr="00C31CE3" w:rsidRDefault="00A50FCF" w:rsidP="00040C3A">
      <w:pPr>
        <w:tabs>
          <w:tab w:val="center" w:pos="5400"/>
        </w:tabs>
        <w:suppressAutoHyphens/>
        <w:jc w:val="center"/>
        <w:rPr>
          <w:rFonts w:asciiTheme="majorHAnsi" w:hAnsiTheme="majorHAnsi"/>
          <w:color w:val="000000" w:themeColor="text1"/>
          <w:sz w:val="18"/>
          <w:szCs w:val="22"/>
          <w:lang w:val="pt-BR"/>
        </w:rPr>
      </w:pPr>
    </w:p>
    <w:p w14:paraId="7806A2B0" w14:textId="77777777" w:rsidR="00A50FCF" w:rsidRPr="00C31CE3" w:rsidRDefault="00A50FCF" w:rsidP="00040C3A">
      <w:pPr>
        <w:tabs>
          <w:tab w:val="center" w:pos="5400"/>
        </w:tabs>
        <w:suppressAutoHyphens/>
        <w:jc w:val="center"/>
        <w:rPr>
          <w:rFonts w:asciiTheme="majorHAnsi" w:hAnsiTheme="majorHAnsi"/>
          <w:color w:val="000000" w:themeColor="text1"/>
          <w:sz w:val="18"/>
          <w:szCs w:val="22"/>
          <w:lang w:val="pt-BR"/>
        </w:rPr>
      </w:pPr>
    </w:p>
    <w:p w14:paraId="319C392B" w14:textId="77777777" w:rsidR="00A50FCF" w:rsidRPr="00C31CE3" w:rsidRDefault="00A50FCF" w:rsidP="00040C3A">
      <w:pPr>
        <w:tabs>
          <w:tab w:val="center" w:pos="5400"/>
        </w:tabs>
        <w:suppressAutoHyphens/>
        <w:jc w:val="center"/>
        <w:rPr>
          <w:rFonts w:asciiTheme="majorHAnsi" w:hAnsiTheme="majorHAnsi"/>
          <w:color w:val="000000" w:themeColor="text1"/>
          <w:sz w:val="18"/>
          <w:szCs w:val="22"/>
          <w:lang w:val="pt-BR"/>
        </w:rPr>
      </w:pPr>
    </w:p>
    <w:p w14:paraId="514A0182" w14:textId="77777777" w:rsidR="00A50FCF" w:rsidRPr="00C31CE3" w:rsidRDefault="0090270B" w:rsidP="00040C3A">
      <w:pPr>
        <w:tabs>
          <w:tab w:val="center" w:pos="5400"/>
        </w:tabs>
        <w:suppressAutoHyphens/>
        <w:jc w:val="center"/>
        <w:rPr>
          <w:rFonts w:asciiTheme="majorHAnsi" w:hAnsiTheme="majorHAnsi"/>
          <w:color w:val="000000" w:themeColor="text1"/>
          <w:sz w:val="18"/>
          <w:szCs w:val="22"/>
          <w:lang w:val="pt-BR"/>
        </w:rPr>
      </w:pPr>
      <w:r w:rsidRPr="00C31CE3">
        <w:rPr>
          <w:rFonts w:asciiTheme="majorHAnsi" w:hAnsiTheme="majorHAnsi"/>
          <w:noProof/>
          <w:color w:val="000000" w:themeColor="text1"/>
          <w:sz w:val="22"/>
          <w:szCs w:val="22"/>
          <w:lang w:val="pt-BR"/>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1761F07"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7A0DBD">
                              <w:rPr>
                                <w:rFonts w:asciiTheme="majorHAnsi" w:hAnsiTheme="majorHAnsi"/>
                                <w:color w:val="0D0D0D" w:themeColor="text1" w:themeTint="F2"/>
                                <w:sz w:val="18"/>
                                <w:szCs w:val="22"/>
                                <w:lang w:val="pt-BR"/>
                              </w:rPr>
                              <w:t>10</w:t>
                            </w:r>
                            <w:r w:rsidR="00DD3D86" w:rsidRPr="0038709A">
                              <w:rPr>
                                <w:rFonts w:asciiTheme="majorHAnsi" w:hAnsiTheme="majorHAnsi"/>
                                <w:color w:val="0D0D0D" w:themeColor="text1" w:themeTint="F2"/>
                                <w:sz w:val="18"/>
                                <w:szCs w:val="22"/>
                                <w:lang w:val="pt-BR"/>
                              </w:rPr>
                              <w:t xml:space="preserve"> de </w:t>
                            </w:r>
                            <w:r w:rsidR="007A0DBD">
                              <w:rPr>
                                <w:rFonts w:asciiTheme="majorHAnsi" w:hAnsiTheme="majorHAnsi"/>
                                <w:color w:val="0D0D0D" w:themeColor="text1" w:themeTint="F2"/>
                                <w:sz w:val="18"/>
                                <w:szCs w:val="22"/>
                                <w:lang w:val="pt-BR"/>
                              </w:rPr>
                              <w:t>março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7A0DBD">
                              <w:rPr>
                                <w:rFonts w:asciiTheme="majorHAnsi" w:hAnsiTheme="majorHAnsi"/>
                                <w:color w:val="0D0D0D" w:themeColor="text1" w:themeTint="F2"/>
                                <w:sz w:val="18"/>
                                <w:szCs w:val="22"/>
                                <w:lang w:val="pt-BR"/>
                              </w:rPr>
                              <w:t>5.</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51761F07"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7A0DBD">
                        <w:rPr>
                          <w:rFonts w:asciiTheme="majorHAnsi" w:hAnsiTheme="majorHAnsi"/>
                          <w:color w:val="0D0D0D" w:themeColor="text1" w:themeTint="F2"/>
                          <w:sz w:val="18"/>
                          <w:szCs w:val="22"/>
                          <w:lang w:val="pt-BR"/>
                        </w:rPr>
                        <w:t>10</w:t>
                      </w:r>
                      <w:r w:rsidR="00DD3D86" w:rsidRPr="0038709A">
                        <w:rPr>
                          <w:rFonts w:asciiTheme="majorHAnsi" w:hAnsiTheme="majorHAnsi"/>
                          <w:color w:val="0D0D0D" w:themeColor="text1" w:themeTint="F2"/>
                          <w:sz w:val="18"/>
                          <w:szCs w:val="22"/>
                          <w:lang w:val="pt-BR"/>
                        </w:rPr>
                        <w:t xml:space="preserve"> de </w:t>
                      </w:r>
                      <w:r w:rsidR="007A0DBD">
                        <w:rPr>
                          <w:rFonts w:asciiTheme="majorHAnsi" w:hAnsiTheme="majorHAnsi"/>
                          <w:color w:val="0D0D0D" w:themeColor="text1" w:themeTint="F2"/>
                          <w:sz w:val="18"/>
                          <w:szCs w:val="22"/>
                          <w:lang w:val="pt-BR"/>
                        </w:rPr>
                        <w:t>março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7A0DBD">
                        <w:rPr>
                          <w:rFonts w:asciiTheme="majorHAnsi" w:hAnsiTheme="majorHAnsi"/>
                          <w:color w:val="0D0D0D" w:themeColor="text1" w:themeTint="F2"/>
                          <w:sz w:val="18"/>
                          <w:szCs w:val="22"/>
                          <w:lang w:val="pt-BR"/>
                        </w:rPr>
                        <w:t>5.</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C31CE3" w:rsidRDefault="00A50FCF" w:rsidP="00040C3A">
      <w:pPr>
        <w:tabs>
          <w:tab w:val="center" w:pos="5400"/>
        </w:tabs>
        <w:suppressAutoHyphens/>
        <w:jc w:val="center"/>
        <w:rPr>
          <w:rFonts w:asciiTheme="majorHAnsi" w:hAnsiTheme="majorHAnsi"/>
          <w:color w:val="000000" w:themeColor="text1"/>
          <w:sz w:val="18"/>
          <w:szCs w:val="22"/>
          <w:lang w:val="pt-BR"/>
        </w:rPr>
      </w:pPr>
    </w:p>
    <w:p w14:paraId="7929D1FD" w14:textId="77777777" w:rsidR="00A50FCF" w:rsidRPr="00C31CE3" w:rsidRDefault="00A50FCF" w:rsidP="00040C3A">
      <w:pPr>
        <w:tabs>
          <w:tab w:val="center" w:pos="5400"/>
        </w:tabs>
        <w:suppressAutoHyphens/>
        <w:jc w:val="center"/>
        <w:rPr>
          <w:rFonts w:asciiTheme="majorHAnsi" w:hAnsiTheme="majorHAnsi"/>
          <w:color w:val="000000" w:themeColor="text1"/>
          <w:sz w:val="18"/>
          <w:szCs w:val="22"/>
          <w:lang w:val="pt-BR"/>
        </w:rPr>
      </w:pPr>
    </w:p>
    <w:p w14:paraId="5469D0BE" w14:textId="77777777" w:rsidR="00A50FCF" w:rsidRPr="00C31CE3" w:rsidRDefault="00A50FCF" w:rsidP="00040C3A">
      <w:pPr>
        <w:tabs>
          <w:tab w:val="center" w:pos="5400"/>
        </w:tabs>
        <w:suppressAutoHyphens/>
        <w:jc w:val="center"/>
        <w:rPr>
          <w:rFonts w:asciiTheme="majorHAnsi" w:hAnsiTheme="majorHAnsi"/>
          <w:color w:val="000000" w:themeColor="text1"/>
          <w:sz w:val="18"/>
          <w:szCs w:val="22"/>
          <w:lang w:val="pt-BR"/>
        </w:rPr>
      </w:pPr>
    </w:p>
    <w:p w14:paraId="7A79F059" w14:textId="77777777" w:rsidR="00A50FCF" w:rsidRPr="00C31CE3" w:rsidRDefault="00A50FCF" w:rsidP="00040C3A">
      <w:pPr>
        <w:tabs>
          <w:tab w:val="center" w:pos="5400"/>
        </w:tabs>
        <w:suppressAutoHyphens/>
        <w:jc w:val="center"/>
        <w:rPr>
          <w:rFonts w:asciiTheme="majorHAnsi" w:hAnsiTheme="majorHAnsi"/>
          <w:color w:val="000000" w:themeColor="text1"/>
          <w:sz w:val="18"/>
          <w:szCs w:val="22"/>
          <w:lang w:val="pt-BR"/>
        </w:rPr>
      </w:pPr>
    </w:p>
    <w:p w14:paraId="330672AE" w14:textId="77777777" w:rsidR="00A50FCF" w:rsidRPr="00C31CE3" w:rsidRDefault="0090270B" w:rsidP="00040C3A">
      <w:pPr>
        <w:tabs>
          <w:tab w:val="center" w:pos="5400"/>
        </w:tabs>
        <w:suppressAutoHyphens/>
        <w:jc w:val="center"/>
        <w:rPr>
          <w:rFonts w:asciiTheme="majorHAnsi" w:hAnsiTheme="majorHAnsi"/>
          <w:color w:val="000000" w:themeColor="text1"/>
          <w:sz w:val="18"/>
          <w:szCs w:val="22"/>
          <w:lang w:val="pt-BR"/>
        </w:rPr>
      </w:pPr>
      <w:r w:rsidRPr="00C31CE3">
        <w:rPr>
          <w:rFonts w:asciiTheme="majorHAnsi" w:hAnsiTheme="majorHAnsi"/>
          <w:noProof/>
          <w:color w:val="000000" w:themeColor="text1"/>
          <w:sz w:val="18"/>
          <w:szCs w:val="22"/>
          <w:lang w:val="pt-BR"/>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8C30E04"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7A0DBD">
                              <w:rPr>
                                <w:rFonts w:asciiTheme="majorHAnsi" w:hAnsiTheme="majorHAnsi"/>
                                <w:color w:val="595959" w:themeColor="text1" w:themeTint="A6"/>
                                <w:sz w:val="18"/>
                                <w:szCs w:val="18"/>
                                <w:lang w:val="pt-BR"/>
                              </w:rPr>
                              <w:t>8</w:t>
                            </w:r>
                            <w:r w:rsidR="0038709A" w:rsidRPr="0038709A">
                              <w:rPr>
                                <w:rFonts w:asciiTheme="majorHAnsi" w:hAnsiTheme="majorHAnsi"/>
                                <w:color w:val="595959" w:themeColor="text1" w:themeTint="A6"/>
                                <w:sz w:val="18"/>
                                <w:szCs w:val="18"/>
                                <w:lang w:val="pt-BR"/>
                              </w:rPr>
                              <w:t>/</w:t>
                            </w:r>
                            <w:r w:rsidR="002F71F6">
                              <w:rPr>
                                <w:rFonts w:asciiTheme="majorHAnsi" w:hAnsiTheme="majorHAnsi"/>
                                <w:color w:val="595959" w:themeColor="text1" w:themeTint="A6"/>
                                <w:sz w:val="18"/>
                                <w:szCs w:val="18"/>
                                <w:lang w:val="pt-BR"/>
                              </w:rPr>
                              <w:t>25</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C31CE3">
                              <w:rPr>
                                <w:rFonts w:asciiTheme="majorHAnsi" w:hAnsiTheme="majorHAnsi"/>
                                <w:color w:val="595959" w:themeColor="text1" w:themeTint="A6"/>
                                <w:sz w:val="18"/>
                                <w:szCs w:val="18"/>
                                <w:lang w:val="pt-BR"/>
                              </w:rPr>
                              <w:t>2247</w:t>
                            </w:r>
                            <w:r w:rsidR="00865009">
                              <w:rPr>
                                <w:rFonts w:asciiTheme="majorHAnsi" w:hAnsiTheme="majorHAnsi"/>
                                <w:color w:val="595959" w:themeColor="text1" w:themeTint="A6"/>
                                <w:sz w:val="18"/>
                                <w:szCs w:val="18"/>
                                <w:lang w:val="pt-BR"/>
                              </w:rPr>
                              <w:t>-</w:t>
                            </w:r>
                            <w:r w:rsidR="00C31CE3">
                              <w:rPr>
                                <w:rFonts w:asciiTheme="majorHAnsi" w:hAnsiTheme="majorHAnsi"/>
                                <w:color w:val="595959" w:themeColor="text1" w:themeTint="A6"/>
                                <w:sz w:val="18"/>
                                <w:szCs w:val="18"/>
                                <w:lang w:val="pt-BR"/>
                              </w:rPr>
                              <w:t>21</w:t>
                            </w:r>
                            <w:r w:rsidR="000433C9" w:rsidRPr="0038709A">
                              <w:rPr>
                                <w:rFonts w:asciiTheme="majorHAnsi" w:hAnsiTheme="majorHAnsi"/>
                                <w:color w:val="595959" w:themeColor="text1" w:themeTint="A6"/>
                                <w:sz w:val="18"/>
                                <w:szCs w:val="18"/>
                                <w:lang w:val="pt-BR"/>
                              </w:rPr>
                              <w:t xml:space="preserve">. </w:t>
                            </w:r>
                            <w:r w:rsidR="00C31CE3">
                              <w:rPr>
                                <w:rFonts w:asciiTheme="majorHAnsi" w:hAnsiTheme="majorHAnsi"/>
                                <w:color w:val="595959" w:themeColor="text1" w:themeTint="A6"/>
                                <w:sz w:val="18"/>
                                <w:szCs w:val="18"/>
                                <w:lang w:val="pt-BR"/>
                              </w:rPr>
                              <w:t>Admissibilidade</w:t>
                            </w:r>
                            <w:r w:rsidR="004F1F31">
                              <w:rPr>
                                <w:rFonts w:asciiTheme="majorHAnsi" w:hAnsiTheme="majorHAnsi"/>
                                <w:color w:val="595959" w:themeColor="text1" w:themeTint="A6"/>
                                <w:sz w:val="18"/>
                                <w:szCs w:val="18"/>
                                <w:lang w:val="pt-BR"/>
                              </w:rPr>
                              <w:t xml:space="preserve">. </w:t>
                            </w:r>
                            <w:r w:rsidR="00C31CE3">
                              <w:rPr>
                                <w:rFonts w:asciiTheme="majorHAnsi" w:hAnsiTheme="majorHAnsi"/>
                                <w:color w:val="595959" w:themeColor="text1" w:themeTint="A6"/>
                                <w:sz w:val="18"/>
                                <w:szCs w:val="18"/>
                                <w:lang w:val="pt-BR"/>
                              </w:rPr>
                              <w:t>Rubens Valente Soares</w:t>
                            </w:r>
                            <w:r w:rsidR="004F1F31">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2F71F6">
                              <w:rPr>
                                <w:rFonts w:asciiTheme="majorHAnsi" w:hAnsiTheme="majorHAnsi"/>
                                <w:color w:val="595959" w:themeColor="text1" w:themeTint="A6"/>
                                <w:sz w:val="18"/>
                                <w:szCs w:val="18"/>
                                <w:lang w:val="pt-BR"/>
                              </w:rPr>
                              <w:t>10 de março de 2025</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38C30E04"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7A0DBD">
                        <w:rPr>
                          <w:rFonts w:asciiTheme="majorHAnsi" w:hAnsiTheme="majorHAnsi"/>
                          <w:color w:val="595959" w:themeColor="text1" w:themeTint="A6"/>
                          <w:sz w:val="18"/>
                          <w:szCs w:val="18"/>
                          <w:lang w:val="pt-BR"/>
                        </w:rPr>
                        <w:t>8</w:t>
                      </w:r>
                      <w:r w:rsidR="0038709A" w:rsidRPr="0038709A">
                        <w:rPr>
                          <w:rFonts w:asciiTheme="majorHAnsi" w:hAnsiTheme="majorHAnsi"/>
                          <w:color w:val="595959" w:themeColor="text1" w:themeTint="A6"/>
                          <w:sz w:val="18"/>
                          <w:szCs w:val="18"/>
                          <w:lang w:val="pt-BR"/>
                        </w:rPr>
                        <w:t>/</w:t>
                      </w:r>
                      <w:r w:rsidR="002F71F6">
                        <w:rPr>
                          <w:rFonts w:asciiTheme="majorHAnsi" w:hAnsiTheme="majorHAnsi"/>
                          <w:color w:val="595959" w:themeColor="text1" w:themeTint="A6"/>
                          <w:sz w:val="18"/>
                          <w:szCs w:val="18"/>
                          <w:lang w:val="pt-BR"/>
                        </w:rPr>
                        <w:t>25</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C31CE3">
                        <w:rPr>
                          <w:rFonts w:asciiTheme="majorHAnsi" w:hAnsiTheme="majorHAnsi"/>
                          <w:color w:val="595959" w:themeColor="text1" w:themeTint="A6"/>
                          <w:sz w:val="18"/>
                          <w:szCs w:val="18"/>
                          <w:lang w:val="pt-BR"/>
                        </w:rPr>
                        <w:t>2247</w:t>
                      </w:r>
                      <w:r w:rsidR="00865009">
                        <w:rPr>
                          <w:rFonts w:asciiTheme="majorHAnsi" w:hAnsiTheme="majorHAnsi"/>
                          <w:color w:val="595959" w:themeColor="text1" w:themeTint="A6"/>
                          <w:sz w:val="18"/>
                          <w:szCs w:val="18"/>
                          <w:lang w:val="pt-BR"/>
                        </w:rPr>
                        <w:t>-</w:t>
                      </w:r>
                      <w:r w:rsidR="00C31CE3">
                        <w:rPr>
                          <w:rFonts w:asciiTheme="majorHAnsi" w:hAnsiTheme="majorHAnsi"/>
                          <w:color w:val="595959" w:themeColor="text1" w:themeTint="A6"/>
                          <w:sz w:val="18"/>
                          <w:szCs w:val="18"/>
                          <w:lang w:val="pt-BR"/>
                        </w:rPr>
                        <w:t>21</w:t>
                      </w:r>
                      <w:r w:rsidR="000433C9" w:rsidRPr="0038709A">
                        <w:rPr>
                          <w:rFonts w:asciiTheme="majorHAnsi" w:hAnsiTheme="majorHAnsi"/>
                          <w:color w:val="595959" w:themeColor="text1" w:themeTint="A6"/>
                          <w:sz w:val="18"/>
                          <w:szCs w:val="18"/>
                          <w:lang w:val="pt-BR"/>
                        </w:rPr>
                        <w:t xml:space="preserve">. </w:t>
                      </w:r>
                      <w:r w:rsidR="00C31CE3">
                        <w:rPr>
                          <w:rFonts w:asciiTheme="majorHAnsi" w:hAnsiTheme="majorHAnsi"/>
                          <w:color w:val="595959" w:themeColor="text1" w:themeTint="A6"/>
                          <w:sz w:val="18"/>
                          <w:szCs w:val="18"/>
                          <w:lang w:val="pt-BR"/>
                        </w:rPr>
                        <w:t>Admissibilidade</w:t>
                      </w:r>
                      <w:r w:rsidR="004F1F31">
                        <w:rPr>
                          <w:rFonts w:asciiTheme="majorHAnsi" w:hAnsiTheme="majorHAnsi"/>
                          <w:color w:val="595959" w:themeColor="text1" w:themeTint="A6"/>
                          <w:sz w:val="18"/>
                          <w:szCs w:val="18"/>
                          <w:lang w:val="pt-BR"/>
                        </w:rPr>
                        <w:t xml:space="preserve">. </w:t>
                      </w:r>
                      <w:r w:rsidR="00C31CE3">
                        <w:rPr>
                          <w:rFonts w:asciiTheme="majorHAnsi" w:hAnsiTheme="majorHAnsi"/>
                          <w:color w:val="595959" w:themeColor="text1" w:themeTint="A6"/>
                          <w:sz w:val="18"/>
                          <w:szCs w:val="18"/>
                          <w:lang w:val="pt-BR"/>
                        </w:rPr>
                        <w:t>Rubens Valente Soares</w:t>
                      </w:r>
                      <w:r w:rsidR="004F1F31">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2F71F6">
                        <w:rPr>
                          <w:rFonts w:asciiTheme="majorHAnsi" w:hAnsiTheme="majorHAnsi"/>
                          <w:color w:val="595959" w:themeColor="text1" w:themeTint="A6"/>
                          <w:sz w:val="18"/>
                          <w:szCs w:val="18"/>
                          <w:lang w:val="pt-BR"/>
                        </w:rPr>
                        <w:t>10 de março de 2025</w:t>
                      </w:r>
                      <w:r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C31CE3" w:rsidRDefault="00A50FCF" w:rsidP="00040C3A">
      <w:pPr>
        <w:tabs>
          <w:tab w:val="center" w:pos="5400"/>
        </w:tabs>
        <w:suppressAutoHyphens/>
        <w:jc w:val="center"/>
        <w:rPr>
          <w:rFonts w:asciiTheme="majorHAnsi" w:hAnsiTheme="majorHAnsi"/>
          <w:color w:val="000000" w:themeColor="text1"/>
          <w:sz w:val="18"/>
          <w:szCs w:val="22"/>
          <w:lang w:val="pt-BR"/>
        </w:rPr>
      </w:pPr>
    </w:p>
    <w:p w14:paraId="1DA07629" w14:textId="7F0A2A8D" w:rsidR="0090270B" w:rsidRPr="00C31CE3" w:rsidRDefault="00D306D1" w:rsidP="005516A1">
      <w:pPr>
        <w:tabs>
          <w:tab w:val="center" w:pos="5400"/>
        </w:tabs>
        <w:suppressAutoHyphens/>
        <w:jc w:val="center"/>
        <w:rPr>
          <w:rFonts w:asciiTheme="majorHAnsi" w:hAnsiTheme="majorHAnsi"/>
          <w:b/>
          <w:color w:val="000000" w:themeColor="text1"/>
          <w:sz w:val="20"/>
          <w:lang w:val="pt-BR"/>
        </w:rPr>
      </w:pPr>
      <w:r w:rsidRPr="00C31CE3">
        <w:rPr>
          <w:rFonts w:asciiTheme="majorHAnsi" w:hAnsiTheme="majorHAnsi"/>
          <w:noProof/>
          <w:color w:val="000000" w:themeColor="text1"/>
          <w:sz w:val="22"/>
          <w:szCs w:val="22"/>
          <w:lang w:val="pt-BR"/>
        </w:rPr>
        <mc:AlternateContent>
          <mc:Choice Requires="wps">
            <w:drawing>
              <wp:anchor distT="0" distB="0" distL="114300" distR="114300" simplePos="0" relativeHeight="251682816" behindDoc="0" locked="0" layoutInCell="1" allowOverlap="1" wp14:anchorId="02EDA5EE" wp14:editId="6E77CF9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440F527E" w:rsidR="0070697F" w:rsidRPr="00C31CE3" w:rsidRDefault="002F71F6" w:rsidP="005516A1">
      <w:pPr>
        <w:tabs>
          <w:tab w:val="center" w:pos="5400"/>
        </w:tabs>
        <w:suppressAutoHyphens/>
        <w:jc w:val="center"/>
        <w:rPr>
          <w:rFonts w:asciiTheme="majorHAnsi" w:hAnsiTheme="majorHAnsi"/>
          <w:b/>
          <w:color w:val="000000" w:themeColor="text1"/>
          <w:sz w:val="20"/>
          <w:lang w:val="pt-BR"/>
        </w:rPr>
        <w:sectPr w:rsidR="0070697F" w:rsidRPr="00C31CE3" w:rsidSect="002B5D1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C31CE3">
        <w:rPr>
          <w:rFonts w:asciiTheme="majorHAnsi" w:hAnsiTheme="majorHAnsi"/>
          <w:noProof/>
          <w:color w:val="000000" w:themeColor="text1"/>
          <w:sz w:val="18"/>
          <w:szCs w:val="22"/>
          <w:lang w:val="pt-BR"/>
        </w:rPr>
        <mc:AlternateContent>
          <mc:Choice Requires="wps">
            <w:drawing>
              <wp:anchor distT="0" distB="0" distL="114300" distR="114300" simplePos="0" relativeHeight="251680768" behindDoc="0" locked="0" layoutInCell="1" allowOverlap="1" wp14:anchorId="50472543" wp14:editId="01A6DB74">
                <wp:simplePos x="0" y="0"/>
                <wp:positionH relativeFrom="column">
                  <wp:posOffset>1254597</wp:posOffset>
                </wp:positionH>
                <wp:positionV relativeFrom="paragraph">
                  <wp:posOffset>490220</wp:posOffset>
                </wp:positionV>
                <wp:extent cx="4096385" cy="679010"/>
                <wp:effectExtent l="0" t="0" r="0" b="6985"/>
                <wp:wrapNone/>
                <wp:docPr id="9" name="Text Box 9"/>
                <wp:cNvGraphicFramePr/>
                <a:graphic xmlns:a="http://schemas.openxmlformats.org/drawingml/2006/main">
                  <a:graphicData uri="http://schemas.microsoft.com/office/word/2010/wordprocessingShape">
                    <wps:wsp>
                      <wps:cNvSpPr txBox="1"/>
                      <wps:spPr>
                        <a:xfrm>
                          <a:off x="0" y="0"/>
                          <a:ext cx="4096385" cy="679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092B64F">
                                  <wp:extent cx="1906306" cy="52178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39647" cy="5309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98.8pt;margin-top:38.6pt;width:322.55pt;height:5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h7dwIAAGwFAAAOAAAAZHJzL2Uyb0RvYy54bWysVEtPGzEQvlfqf7B8bzaB8IrYoBSUqhIC&#10;VKg4O16bWPV6XHuS3fTXd+zdPEq5UPWyO/a8P38zl1dtbdlahWjAlXw0GHKmnITKuJeSf3+afzrn&#10;LKJwlbDgVMk3KvKr6ccPl42fqCNYgq1UYBTExUnjS75E9JOiiHKpahEH4JUjpYZQC6RjeCmqIBqK&#10;XtviaDg8LRoIlQ8gVYx0e9Mp+TTH11pJvNc6KmS25FQb5m/I30X6FtNLMXkJwi+N7MsQ/1BFLYyj&#10;pLtQNwIFWwXzV6jayAARNA4k1AVobaTKPVA3o+Grbh6XwqvcC4ET/Q6m+P/Cyrv1o38IDNvP0NID&#10;JkAaHyeRLlM/rQ51+lOljPQE4WYHm2qRSbocDy9Oj89POJOkOz27oEZSmGLv7UPELwpqloSSB3qW&#10;jJZY30bsTLcmKVkEa6q5sTYfEhXUtQ1sLegRLeYaKfgfVtaxhpIfnwxzYAfJvYtsXQqjMhn6dPsO&#10;s4Qbq5KNdd+UZqbKjb6RW0ip3C5/tk5WmlK9x7G331f1HueuD/LImcHhzrk2DkLuPk/PHrLqxxYy&#10;3dnT2xz0nURsFy01TghuCbCAakO8CNCNTPRybujxbkXEBxFoRogKNPd4Tx9tgcCHXuJsCeHXW/fJ&#10;nqhLWs4amrmSx58rERRn9qsjUl+MxuM0pPkwPjk7okM41CwONW5VXwMxYkQbxsssJnu0W1EHqJ9p&#10;PcxSVlIJJyl3yXErXmO3CWi9SDWbZSMaSy/w1j16mUInlBM1n9pnEXzPXyTm38F2OsXkFY072+Tp&#10;YLZC0CZzPOHcodrjTyOdp6RfP2lnHJ6z1X5JTn8DAAD//wMAUEsDBBQABgAIAAAAIQDSEDLG4QAA&#10;AAoBAAAPAAAAZHJzL2Rvd25yZXYueG1sTI9NT4NAEIbvJv6HzZh4MXYprQWRpTFGbeLN4ke8bdkR&#10;iOwsYbeA/97xpMc375N3nsm3s+3EiINvHSlYLiIQSJUzLdUKXsqHyxSED5qM7hyhgm/0sC1OT3Kd&#10;GTfRM477UAseIZ9pBU0IfSalrxq02i9cj8TdpxusDhyHWppBTzxuOxlH0UZa3RJfaHSPdw1WX/uj&#10;VfBxUb8/+fnxdVpdrfr73Vgmb6ZU6vxsvr0BEXAOfzD86rM6FOx0cEcyXnScr5MNowqSJAbBQLqO&#10;ExAHbtL1EmSRy/8vFD8AAAD//wMAUEsBAi0AFAAGAAgAAAAhALaDOJL+AAAA4QEAABMAAAAAAAAA&#10;AAAAAAAAAAAAAFtDb250ZW50X1R5cGVzXS54bWxQSwECLQAUAAYACAAAACEAOP0h/9YAAACUAQAA&#10;CwAAAAAAAAAAAAAAAAAvAQAAX3JlbHMvLnJlbHNQSwECLQAUAAYACAAAACEAIxU4e3cCAABsBQAA&#10;DgAAAAAAAAAAAAAAAAAuAgAAZHJzL2Uyb0RvYy54bWxQSwECLQAUAAYACAAAACEA0hAyxuEAAAAK&#10;AQAADwAAAAAAAAAAAAAAAADRBAAAZHJzL2Rvd25yZXYueG1sUEsFBgAAAAAEAAQA8wAAAN8FAAAA&#10;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092B64F">
                            <wp:extent cx="1906306" cy="52178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39647" cy="530913"/>
                                    </a:xfrm>
                                    <a:prstGeom prst="rect">
                                      <a:avLst/>
                                    </a:prstGeom>
                                    <a:noFill/>
                                    <a:ln>
                                      <a:noFill/>
                                    </a:ln>
                                  </pic:spPr>
                                </pic:pic>
                              </a:graphicData>
                            </a:graphic>
                          </wp:inline>
                        </w:drawing>
                      </w:r>
                    </w:p>
                  </w:txbxContent>
                </v:textbox>
              </v:shape>
            </w:pict>
          </mc:Fallback>
        </mc:AlternateContent>
      </w:r>
      <w:r w:rsidR="004A6A54" w:rsidRPr="00C31CE3">
        <w:rPr>
          <w:rFonts w:asciiTheme="majorHAnsi" w:hAnsiTheme="majorHAnsi"/>
          <w:b/>
          <w:color w:val="000000" w:themeColor="text1"/>
          <w:sz w:val="20"/>
          <w:lang w:val="pt-BR"/>
        </w:rPr>
        <w:tab/>
      </w:r>
    </w:p>
    <w:p w14:paraId="376DDC8B" w14:textId="1B8154B1" w:rsidR="003239B8" w:rsidRPr="00C31CE3" w:rsidRDefault="00A37F2E" w:rsidP="004A6A54">
      <w:pPr>
        <w:spacing w:after="240"/>
        <w:ind w:firstLine="720"/>
        <w:jc w:val="both"/>
        <w:rPr>
          <w:rFonts w:asciiTheme="majorHAnsi" w:hAnsiTheme="majorHAnsi"/>
          <w:b/>
          <w:bCs/>
          <w:color w:val="000000" w:themeColor="text1"/>
          <w:sz w:val="20"/>
          <w:szCs w:val="20"/>
          <w:lang w:val="pt-BR"/>
        </w:rPr>
      </w:pPr>
      <w:r w:rsidRPr="00C31CE3">
        <w:rPr>
          <w:rFonts w:asciiTheme="majorHAnsi" w:hAnsiTheme="majorHAnsi"/>
          <w:b/>
          <w:bCs/>
          <w:color w:val="000000" w:themeColor="text1"/>
          <w:sz w:val="20"/>
          <w:szCs w:val="20"/>
          <w:lang w:val="pt-BR"/>
        </w:rPr>
        <w:lastRenderedPageBreak/>
        <w:t>I.</w:t>
      </w:r>
      <w:r w:rsidRPr="00C31CE3">
        <w:rPr>
          <w:rFonts w:asciiTheme="majorHAnsi" w:hAnsiTheme="majorHAnsi"/>
          <w:b/>
          <w:bCs/>
          <w:color w:val="000000" w:themeColor="text1"/>
          <w:sz w:val="20"/>
          <w:szCs w:val="20"/>
          <w:lang w:val="pt-BR"/>
        </w:rPr>
        <w:tab/>
        <w:t>DAD</w:t>
      </w:r>
      <w:r w:rsidR="003239B8" w:rsidRPr="00C31CE3">
        <w:rPr>
          <w:rFonts w:asciiTheme="majorHAnsi" w:hAnsiTheme="majorHAnsi"/>
          <w:b/>
          <w:bCs/>
          <w:color w:val="000000" w:themeColor="text1"/>
          <w:sz w:val="20"/>
          <w:szCs w:val="20"/>
          <w:lang w:val="pt-BR"/>
        </w:rPr>
        <w:t xml:space="preserve">OS </w:t>
      </w:r>
      <w:r w:rsidRPr="00C31CE3">
        <w:rPr>
          <w:rFonts w:asciiTheme="majorHAnsi" w:hAnsiTheme="majorHAnsi"/>
          <w:b/>
          <w:bCs/>
          <w:color w:val="000000" w:themeColor="text1"/>
          <w:sz w:val="20"/>
          <w:szCs w:val="20"/>
          <w:lang w:val="pt-BR"/>
        </w:rPr>
        <w:t>DA PETIÇÃO</w:t>
      </w:r>
      <w:r w:rsidR="003239B8" w:rsidRPr="00C31CE3">
        <w:rPr>
          <w:rFonts w:asciiTheme="majorHAnsi" w:hAnsiTheme="majorHAnsi"/>
          <w:b/>
          <w:bCs/>
          <w:color w:val="000000" w:themeColor="text1"/>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C31CE3" w:rsidRPr="00A268D5" w14:paraId="5A79D1F7" w14:textId="77777777" w:rsidTr="00C31CE3">
        <w:tc>
          <w:tcPr>
            <w:tcW w:w="3600" w:type="dxa"/>
            <w:tcBorders>
              <w:top w:val="single" w:sz="4" w:space="0" w:color="auto"/>
              <w:bottom w:val="single" w:sz="6" w:space="0" w:color="auto"/>
            </w:tcBorders>
            <w:shd w:val="clear" w:color="auto" w:fill="FFC000"/>
            <w:vAlign w:val="center"/>
          </w:tcPr>
          <w:p w14:paraId="0CB2A43B" w14:textId="2CA35E64" w:rsidR="00C31CE3" w:rsidRPr="00C31CE3" w:rsidRDefault="00C31CE3" w:rsidP="00C31CE3">
            <w:pPr>
              <w:jc w:val="center"/>
              <w:rPr>
                <w:rFonts w:ascii="Cambria" w:hAnsi="Cambria"/>
                <w:b/>
                <w:bCs/>
                <w:color w:val="000000" w:themeColor="text1"/>
                <w:sz w:val="20"/>
                <w:szCs w:val="20"/>
                <w:lang w:val="pt-BR"/>
              </w:rPr>
            </w:pPr>
            <w:r w:rsidRPr="00C31CE3">
              <w:rPr>
                <w:rFonts w:ascii="Cambria" w:hAnsi="Cambria"/>
                <w:b/>
                <w:bCs/>
                <w:color w:val="000000" w:themeColor="text1"/>
                <w:sz w:val="20"/>
                <w:szCs w:val="20"/>
                <w:lang w:val="pt-BR"/>
              </w:rPr>
              <w:t>Parte peticionária:</w:t>
            </w:r>
          </w:p>
        </w:tc>
        <w:tc>
          <w:tcPr>
            <w:tcW w:w="5760" w:type="dxa"/>
            <w:vAlign w:val="center"/>
          </w:tcPr>
          <w:p w14:paraId="7C2A0252" w14:textId="7F70841F" w:rsidR="00C31CE3" w:rsidRPr="00C31CE3" w:rsidRDefault="00C31CE3" w:rsidP="00C31CE3">
            <w:pPr>
              <w:jc w:val="both"/>
              <w:rPr>
                <w:rFonts w:ascii="Cambria" w:hAnsi="Cambria"/>
                <w:bCs/>
                <w:color w:val="000000" w:themeColor="text1"/>
                <w:sz w:val="20"/>
                <w:szCs w:val="20"/>
                <w:lang w:val="pt-BR"/>
              </w:rPr>
            </w:pPr>
            <w:r w:rsidRPr="00C31CE3">
              <w:rPr>
                <w:rFonts w:ascii="Cambria" w:hAnsi="Cambria"/>
                <w:bCs/>
                <w:color w:val="000000" w:themeColor="text1"/>
                <w:sz w:val="20"/>
                <w:szCs w:val="20"/>
                <w:lang w:val="pt-BR"/>
              </w:rPr>
              <w:t xml:space="preserve">Associação Brasileira de Jornalismo Investigativo, </w:t>
            </w:r>
            <w:r w:rsidRPr="00C31CE3">
              <w:rPr>
                <w:rFonts w:ascii="Cambria" w:hAnsi="Cambria"/>
                <w:bCs/>
                <w:i/>
                <w:iCs/>
                <w:color w:val="000000" w:themeColor="text1"/>
                <w:sz w:val="20"/>
                <w:szCs w:val="20"/>
                <w:lang w:val="pt-BR"/>
              </w:rPr>
              <w:t>Robert F. Kennedy Human Rights</w:t>
            </w:r>
            <w:r w:rsidRPr="00C31CE3">
              <w:rPr>
                <w:rFonts w:ascii="Cambria" w:hAnsi="Cambria"/>
                <w:bCs/>
                <w:color w:val="000000" w:themeColor="text1"/>
                <w:sz w:val="20"/>
                <w:szCs w:val="20"/>
                <w:lang w:val="pt-BR"/>
              </w:rPr>
              <w:t xml:space="preserve">, </w:t>
            </w:r>
            <w:r w:rsidRPr="00C31CE3">
              <w:rPr>
                <w:rFonts w:ascii="Cambria" w:hAnsi="Cambria"/>
                <w:bCs/>
                <w:i/>
                <w:iCs/>
                <w:color w:val="000000" w:themeColor="text1"/>
                <w:sz w:val="20"/>
                <w:szCs w:val="20"/>
                <w:lang w:val="pt-BR"/>
              </w:rPr>
              <w:t>Media Defence</w:t>
            </w:r>
            <w:r w:rsidRPr="00C31CE3">
              <w:rPr>
                <w:rFonts w:ascii="Cambria" w:hAnsi="Cambria"/>
                <w:bCs/>
                <w:color w:val="000000" w:themeColor="text1"/>
                <w:sz w:val="20"/>
                <w:szCs w:val="20"/>
                <w:lang w:val="pt-BR"/>
              </w:rPr>
              <w:t>, Cesar Klouri</w:t>
            </w:r>
          </w:p>
        </w:tc>
      </w:tr>
      <w:tr w:rsidR="00C31CE3" w:rsidRPr="00C31CE3" w14:paraId="593A7E45" w14:textId="77777777" w:rsidTr="00C31CE3">
        <w:tc>
          <w:tcPr>
            <w:tcW w:w="3600" w:type="dxa"/>
            <w:tcBorders>
              <w:top w:val="single" w:sz="6" w:space="0" w:color="auto"/>
              <w:bottom w:val="single" w:sz="6" w:space="0" w:color="auto"/>
            </w:tcBorders>
            <w:shd w:val="clear" w:color="auto" w:fill="FFC000"/>
            <w:vAlign w:val="center"/>
          </w:tcPr>
          <w:p w14:paraId="0E78CA0C" w14:textId="53268A67" w:rsidR="00C31CE3" w:rsidRPr="00C31CE3" w:rsidRDefault="00C31CE3" w:rsidP="00C31CE3">
            <w:pPr>
              <w:jc w:val="center"/>
              <w:rPr>
                <w:rFonts w:ascii="Cambria" w:hAnsi="Cambria"/>
                <w:b/>
                <w:bCs/>
                <w:color w:val="000000" w:themeColor="text1"/>
                <w:sz w:val="20"/>
                <w:szCs w:val="20"/>
                <w:lang w:val="pt-BR"/>
              </w:rPr>
            </w:pPr>
            <w:r w:rsidRPr="00C31CE3">
              <w:rPr>
                <w:rFonts w:ascii="Cambria" w:hAnsi="Cambria"/>
                <w:b/>
                <w:bCs/>
                <w:color w:val="000000" w:themeColor="text1"/>
                <w:sz w:val="20"/>
                <w:szCs w:val="20"/>
                <w:lang w:val="pt-BR"/>
              </w:rPr>
              <w:t>Possíveis vítimas:</w:t>
            </w:r>
          </w:p>
        </w:tc>
        <w:tc>
          <w:tcPr>
            <w:tcW w:w="5760" w:type="dxa"/>
            <w:vAlign w:val="center"/>
          </w:tcPr>
          <w:p w14:paraId="2FA03320" w14:textId="1A899E90" w:rsidR="00C31CE3" w:rsidRPr="00C31CE3" w:rsidRDefault="00C31CE3" w:rsidP="00C31CE3">
            <w:pPr>
              <w:jc w:val="both"/>
              <w:rPr>
                <w:rFonts w:ascii="Cambria" w:hAnsi="Cambria"/>
                <w:bCs/>
                <w:color w:val="000000" w:themeColor="text1"/>
                <w:sz w:val="20"/>
                <w:szCs w:val="20"/>
                <w:lang w:val="pt-BR"/>
              </w:rPr>
            </w:pPr>
            <w:r w:rsidRPr="00C31CE3">
              <w:rPr>
                <w:rFonts w:ascii="Cambria" w:hAnsi="Cambria"/>
                <w:bCs/>
                <w:color w:val="000000" w:themeColor="text1"/>
                <w:sz w:val="20"/>
                <w:szCs w:val="20"/>
                <w:lang w:val="pt-BR"/>
              </w:rPr>
              <w:t>Rubens Valente Soares</w:t>
            </w:r>
          </w:p>
        </w:tc>
      </w:tr>
      <w:tr w:rsidR="00C31CE3" w:rsidRPr="00C31CE3" w14:paraId="3E62E1D3" w14:textId="77777777" w:rsidTr="00C31CE3">
        <w:tc>
          <w:tcPr>
            <w:tcW w:w="3600" w:type="dxa"/>
            <w:tcBorders>
              <w:top w:val="single" w:sz="6" w:space="0" w:color="auto"/>
              <w:bottom w:val="single" w:sz="6" w:space="0" w:color="auto"/>
            </w:tcBorders>
            <w:shd w:val="clear" w:color="auto" w:fill="FFC000"/>
            <w:vAlign w:val="center"/>
          </w:tcPr>
          <w:p w14:paraId="340B0F09" w14:textId="77777777" w:rsidR="00C31CE3" w:rsidRPr="00C31CE3" w:rsidRDefault="00C31CE3" w:rsidP="00C31CE3">
            <w:pPr>
              <w:jc w:val="center"/>
              <w:rPr>
                <w:rFonts w:ascii="Cambria" w:hAnsi="Cambria"/>
                <w:b/>
                <w:bCs/>
                <w:color w:val="000000" w:themeColor="text1"/>
                <w:sz w:val="20"/>
                <w:szCs w:val="20"/>
                <w:lang w:val="pt-BR"/>
              </w:rPr>
            </w:pPr>
            <w:r w:rsidRPr="00C31CE3">
              <w:rPr>
                <w:rFonts w:ascii="Cambria" w:hAnsi="Cambria"/>
                <w:b/>
                <w:bCs/>
                <w:color w:val="000000" w:themeColor="text1"/>
                <w:sz w:val="20"/>
                <w:szCs w:val="20"/>
                <w:lang w:val="pt-BR"/>
              </w:rPr>
              <w:t>Estado denunciado:</w:t>
            </w:r>
          </w:p>
        </w:tc>
        <w:tc>
          <w:tcPr>
            <w:tcW w:w="5760" w:type="dxa"/>
            <w:vAlign w:val="center"/>
          </w:tcPr>
          <w:p w14:paraId="464C64B6" w14:textId="2C94B32F" w:rsidR="00C31CE3" w:rsidRPr="00C31CE3" w:rsidRDefault="00C31CE3" w:rsidP="00C31CE3">
            <w:pPr>
              <w:jc w:val="both"/>
              <w:rPr>
                <w:rFonts w:ascii="Cambria" w:hAnsi="Cambria"/>
                <w:bCs/>
                <w:color w:val="000000" w:themeColor="text1"/>
                <w:sz w:val="20"/>
                <w:szCs w:val="20"/>
                <w:lang w:val="pt-BR"/>
              </w:rPr>
            </w:pPr>
            <w:r w:rsidRPr="00C31CE3">
              <w:rPr>
                <w:rFonts w:ascii="Cambria" w:hAnsi="Cambria"/>
                <w:bCs/>
                <w:color w:val="000000" w:themeColor="text1"/>
                <w:sz w:val="20"/>
                <w:szCs w:val="20"/>
                <w:lang w:val="pt-BR"/>
              </w:rPr>
              <w:t>Brasil</w:t>
            </w:r>
          </w:p>
        </w:tc>
      </w:tr>
      <w:tr w:rsidR="00C31CE3" w:rsidRPr="00A268D5" w14:paraId="632511BC" w14:textId="77777777" w:rsidTr="00C31CE3">
        <w:tc>
          <w:tcPr>
            <w:tcW w:w="3600" w:type="dxa"/>
            <w:tcBorders>
              <w:top w:val="single" w:sz="6" w:space="0" w:color="auto"/>
              <w:bottom w:val="single" w:sz="6" w:space="0" w:color="auto"/>
            </w:tcBorders>
            <w:shd w:val="clear" w:color="auto" w:fill="FFC000"/>
            <w:vAlign w:val="center"/>
          </w:tcPr>
          <w:p w14:paraId="727E2F6B" w14:textId="2C1BB426" w:rsidR="00C31CE3" w:rsidRPr="00C31CE3" w:rsidRDefault="00C31CE3" w:rsidP="00C31CE3">
            <w:pPr>
              <w:jc w:val="center"/>
              <w:rPr>
                <w:rFonts w:ascii="Cambria" w:hAnsi="Cambria"/>
                <w:b/>
                <w:bCs/>
                <w:color w:val="000000" w:themeColor="text1"/>
                <w:sz w:val="20"/>
                <w:szCs w:val="20"/>
                <w:lang w:val="pt-BR"/>
              </w:rPr>
            </w:pPr>
            <w:r w:rsidRPr="00C31CE3">
              <w:rPr>
                <w:rFonts w:ascii="Cambria" w:hAnsi="Cambria"/>
                <w:b/>
                <w:bCs/>
                <w:color w:val="000000" w:themeColor="text1"/>
                <w:sz w:val="20"/>
                <w:szCs w:val="20"/>
                <w:lang w:val="pt-BR"/>
              </w:rPr>
              <w:t>Direitos alegados:</w:t>
            </w:r>
          </w:p>
        </w:tc>
        <w:tc>
          <w:tcPr>
            <w:tcW w:w="5760" w:type="dxa"/>
            <w:vAlign w:val="center"/>
          </w:tcPr>
          <w:p w14:paraId="2401AF16" w14:textId="0D707F43" w:rsidR="00C31CE3" w:rsidRPr="00C31CE3" w:rsidRDefault="00C31CE3" w:rsidP="00C31CE3">
            <w:pPr>
              <w:jc w:val="both"/>
              <w:rPr>
                <w:rFonts w:ascii="Cambria" w:hAnsi="Cambria"/>
                <w:bCs/>
                <w:sz w:val="20"/>
                <w:szCs w:val="20"/>
                <w:lang w:val="pt-BR"/>
              </w:rPr>
            </w:pPr>
            <w:r w:rsidRPr="00C31CE3">
              <w:rPr>
                <w:rFonts w:ascii="Cambria" w:hAnsi="Cambria"/>
                <w:color w:val="000000" w:themeColor="text1"/>
                <w:sz w:val="20"/>
                <w:szCs w:val="20"/>
                <w:lang w:val="pt-BR"/>
              </w:rPr>
              <w:t>Artigo 8 (garantias judiciais), artigo 11 (honra e dignidade), artigo 13 (liberdade de expressão e pensamento), artigo 21 (propriedade privada) e artigo 25 (proteção judicial) da Convenção Americana sobre Direitos Humanos</w:t>
            </w:r>
            <w:r w:rsidRPr="00C31CE3">
              <w:rPr>
                <w:rStyle w:val="FootnoteReference"/>
                <w:rFonts w:ascii="Cambria" w:hAnsi="Cambria"/>
                <w:color w:val="000000" w:themeColor="text1"/>
                <w:sz w:val="20"/>
                <w:szCs w:val="20"/>
                <w:lang w:val="pt-BR"/>
              </w:rPr>
              <w:footnoteReference w:id="2"/>
            </w:r>
            <w:r w:rsidRPr="00C31CE3">
              <w:rPr>
                <w:rFonts w:ascii="Cambria" w:hAnsi="Cambria"/>
                <w:color w:val="000000" w:themeColor="text1"/>
                <w:sz w:val="20"/>
                <w:szCs w:val="20"/>
                <w:lang w:val="pt-BR"/>
              </w:rPr>
              <w:t xml:space="preserve"> , em relação com o artigo 1.1 (obrigação de respeitar os direitos) e 2 (dever de adotar disposições de direito interno) do mesmo tratado.</w:t>
            </w:r>
          </w:p>
        </w:tc>
      </w:tr>
    </w:tbl>
    <w:p w14:paraId="20263696" w14:textId="2A740D7A" w:rsidR="003239B8" w:rsidRPr="00C31CE3" w:rsidRDefault="00A37F2E" w:rsidP="003239B8">
      <w:pPr>
        <w:spacing w:before="240" w:after="240"/>
        <w:ind w:firstLine="720"/>
        <w:jc w:val="both"/>
        <w:rPr>
          <w:rFonts w:asciiTheme="majorHAnsi" w:hAnsiTheme="majorHAnsi"/>
          <w:b/>
          <w:bCs/>
          <w:color w:val="000000" w:themeColor="text1"/>
          <w:sz w:val="20"/>
          <w:szCs w:val="20"/>
          <w:lang w:val="pt-BR"/>
        </w:rPr>
      </w:pPr>
      <w:r w:rsidRPr="00C31CE3">
        <w:rPr>
          <w:rFonts w:asciiTheme="majorHAnsi" w:hAnsiTheme="majorHAnsi"/>
          <w:b/>
          <w:bCs/>
          <w:color w:val="000000" w:themeColor="text1"/>
          <w:sz w:val="20"/>
          <w:szCs w:val="20"/>
          <w:lang w:val="pt-BR"/>
        </w:rPr>
        <w:t>II.</w:t>
      </w:r>
      <w:r w:rsidRPr="00C31CE3">
        <w:rPr>
          <w:rFonts w:asciiTheme="majorHAnsi" w:hAnsiTheme="majorHAnsi"/>
          <w:b/>
          <w:bCs/>
          <w:color w:val="000000" w:themeColor="text1"/>
          <w:sz w:val="20"/>
          <w:szCs w:val="20"/>
          <w:lang w:val="pt-BR"/>
        </w:rPr>
        <w:tab/>
        <w:t xml:space="preserve">TRÂMITE </w:t>
      </w:r>
      <w:r w:rsidR="003335D7" w:rsidRPr="00C31CE3">
        <w:rPr>
          <w:rFonts w:asciiTheme="majorHAnsi" w:hAnsiTheme="majorHAnsi"/>
          <w:b/>
          <w:bCs/>
          <w:color w:val="000000" w:themeColor="text1"/>
          <w:sz w:val="20"/>
          <w:szCs w:val="20"/>
          <w:lang w:val="pt-BR"/>
        </w:rPr>
        <w:t>PER</w:t>
      </w:r>
      <w:r w:rsidRPr="00C31CE3">
        <w:rPr>
          <w:rFonts w:asciiTheme="majorHAnsi" w:hAnsiTheme="majorHAnsi"/>
          <w:b/>
          <w:bCs/>
          <w:color w:val="000000" w:themeColor="text1"/>
          <w:sz w:val="20"/>
          <w:szCs w:val="20"/>
          <w:lang w:val="pt-BR"/>
        </w:rPr>
        <w:t>ANTE A</w:t>
      </w:r>
      <w:r w:rsidR="003239B8" w:rsidRPr="00C31CE3">
        <w:rPr>
          <w:rFonts w:asciiTheme="majorHAnsi" w:hAnsiTheme="majorHAnsi"/>
          <w:b/>
          <w:bCs/>
          <w:color w:val="000000" w:themeColor="text1"/>
          <w:sz w:val="20"/>
          <w:szCs w:val="20"/>
          <w:lang w:val="pt-BR"/>
        </w:rPr>
        <w:t xml:space="preserve"> CIDH</w:t>
      </w:r>
      <w:r w:rsidR="008E3BFE" w:rsidRPr="00C31CE3">
        <w:rPr>
          <w:rStyle w:val="FootnoteReference"/>
          <w:rFonts w:ascii="Cambria" w:hAnsi="Cambria"/>
          <w:b/>
          <w:color w:val="000000" w:themeColor="text1"/>
          <w:sz w:val="20"/>
          <w:szCs w:val="20"/>
          <w:lang w:val="pt-BR"/>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C31CE3" w:rsidRPr="00C31CE3" w14:paraId="306EFCB0" w14:textId="77777777" w:rsidTr="00C31CE3">
        <w:tc>
          <w:tcPr>
            <w:tcW w:w="3600" w:type="dxa"/>
            <w:tcBorders>
              <w:top w:val="single" w:sz="6" w:space="0" w:color="auto"/>
              <w:bottom w:val="single" w:sz="6" w:space="0" w:color="auto"/>
            </w:tcBorders>
            <w:shd w:val="clear" w:color="auto" w:fill="FFC000"/>
            <w:vAlign w:val="center"/>
          </w:tcPr>
          <w:p w14:paraId="7508D16F" w14:textId="7F75E762" w:rsidR="00C31CE3" w:rsidRPr="00C31CE3" w:rsidRDefault="00C31CE3" w:rsidP="00C31CE3">
            <w:pPr>
              <w:jc w:val="center"/>
              <w:rPr>
                <w:rFonts w:ascii="Cambria" w:hAnsi="Cambria"/>
                <w:b/>
                <w:bCs/>
                <w:color w:val="000000" w:themeColor="text1"/>
                <w:sz w:val="20"/>
                <w:szCs w:val="20"/>
                <w:lang w:val="pt-BR"/>
              </w:rPr>
            </w:pPr>
            <w:r w:rsidRPr="00C31CE3">
              <w:rPr>
                <w:rFonts w:ascii="Cambria" w:hAnsi="Cambria"/>
                <w:b/>
                <w:bCs/>
                <w:color w:val="000000" w:themeColor="text1"/>
                <w:sz w:val="20"/>
                <w:szCs w:val="20"/>
                <w:lang w:val="pt-BR"/>
              </w:rPr>
              <w:t>Apresentação da petição:</w:t>
            </w:r>
          </w:p>
        </w:tc>
        <w:tc>
          <w:tcPr>
            <w:tcW w:w="5760" w:type="dxa"/>
            <w:vAlign w:val="center"/>
          </w:tcPr>
          <w:p w14:paraId="2ED6AC0E" w14:textId="101E3CCA" w:rsidR="00C31CE3" w:rsidRPr="00C31CE3" w:rsidRDefault="00C31CE3" w:rsidP="00C31CE3">
            <w:pPr>
              <w:jc w:val="both"/>
              <w:rPr>
                <w:rFonts w:ascii="Cambria" w:hAnsi="Cambria"/>
                <w:bCs/>
                <w:color w:val="000000" w:themeColor="text1"/>
                <w:sz w:val="20"/>
                <w:szCs w:val="20"/>
                <w:lang w:val="pt-BR"/>
              </w:rPr>
            </w:pPr>
            <w:r w:rsidRPr="00C31CE3">
              <w:rPr>
                <w:rFonts w:ascii="Cambria" w:hAnsi="Cambria"/>
                <w:bCs/>
                <w:color w:val="000000" w:themeColor="text1"/>
                <w:sz w:val="20"/>
                <w:szCs w:val="20"/>
                <w:lang w:val="pt-BR"/>
              </w:rPr>
              <w:t>22 de dezembro de 2021</w:t>
            </w:r>
          </w:p>
        </w:tc>
      </w:tr>
      <w:tr w:rsidR="00C31CE3" w:rsidRPr="00A268D5" w14:paraId="67253830" w14:textId="77777777" w:rsidTr="00C31CE3">
        <w:tc>
          <w:tcPr>
            <w:tcW w:w="3600" w:type="dxa"/>
            <w:tcBorders>
              <w:top w:val="single" w:sz="6" w:space="0" w:color="auto"/>
              <w:bottom w:val="single" w:sz="6" w:space="0" w:color="auto"/>
            </w:tcBorders>
            <w:shd w:val="clear" w:color="auto" w:fill="FFC000"/>
            <w:vAlign w:val="center"/>
          </w:tcPr>
          <w:p w14:paraId="063C5EF4" w14:textId="2375A7C6" w:rsidR="00C31CE3" w:rsidRPr="00C31CE3" w:rsidRDefault="00C31CE3" w:rsidP="00C31CE3">
            <w:pPr>
              <w:jc w:val="center"/>
              <w:rPr>
                <w:rFonts w:ascii="Cambria" w:hAnsi="Cambria"/>
                <w:b/>
                <w:bCs/>
                <w:color w:val="000000" w:themeColor="text1"/>
                <w:sz w:val="20"/>
                <w:szCs w:val="20"/>
                <w:lang w:val="pt-BR"/>
              </w:rPr>
            </w:pPr>
            <w:r w:rsidRPr="00C31CE3">
              <w:rPr>
                <w:rFonts w:ascii="Cambria" w:hAnsi="Cambria"/>
                <w:b/>
                <w:bCs/>
                <w:color w:val="000000" w:themeColor="text1"/>
                <w:sz w:val="20"/>
                <w:szCs w:val="20"/>
                <w:lang w:val="pt-BR"/>
              </w:rPr>
              <w:t>Informação adicional na etapa de estudo inicial:</w:t>
            </w:r>
          </w:p>
        </w:tc>
        <w:tc>
          <w:tcPr>
            <w:tcW w:w="5760" w:type="dxa"/>
            <w:vAlign w:val="center"/>
          </w:tcPr>
          <w:p w14:paraId="3A816068" w14:textId="730EC7A1" w:rsidR="00C31CE3" w:rsidRPr="00C31CE3" w:rsidRDefault="00C31CE3" w:rsidP="00C31CE3">
            <w:pPr>
              <w:jc w:val="both"/>
              <w:rPr>
                <w:rFonts w:ascii="Cambria" w:hAnsi="Cambria"/>
                <w:bCs/>
                <w:color w:val="000000" w:themeColor="text1"/>
                <w:sz w:val="20"/>
                <w:szCs w:val="20"/>
                <w:lang w:val="pt-BR"/>
              </w:rPr>
            </w:pPr>
            <w:r w:rsidRPr="00C31CE3">
              <w:rPr>
                <w:rFonts w:ascii="Cambria" w:hAnsi="Cambria"/>
                <w:bCs/>
                <w:color w:val="000000" w:themeColor="text1"/>
                <w:sz w:val="20"/>
                <w:szCs w:val="20"/>
                <w:lang w:val="pt-BR"/>
              </w:rPr>
              <w:t>25 de janeiro de 2022, 9 de maio de 2022, 14 de julho de 2022</w:t>
            </w:r>
          </w:p>
        </w:tc>
      </w:tr>
      <w:tr w:rsidR="00C31CE3" w:rsidRPr="00C31CE3" w14:paraId="1BDCD5C6" w14:textId="77777777" w:rsidTr="00C31CE3">
        <w:tc>
          <w:tcPr>
            <w:tcW w:w="3600" w:type="dxa"/>
            <w:tcBorders>
              <w:top w:val="single" w:sz="6" w:space="0" w:color="auto"/>
              <w:bottom w:val="single" w:sz="6" w:space="0" w:color="auto"/>
            </w:tcBorders>
            <w:shd w:val="clear" w:color="auto" w:fill="FFC000"/>
            <w:vAlign w:val="center"/>
          </w:tcPr>
          <w:p w14:paraId="7A18664F" w14:textId="3D89493A" w:rsidR="00C31CE3" w:rsidRPr="00C31CE3" w:rsidRDefault="00C31CE3" w:rsidP="00C31CE3">
            <w:pPr>
              <w:jc w:val="center"/>
              <w:rPr>
                <w:rFonts w:ascii="Cambria" w:hAnsi="Cambria"/>
                <w:b/>
                <w:color w:val="000000" w:themeColor="text1"/>
                <w:sz w:val="20"/>
                <w:szCs w:val="20"/>
                <w:lang w:val="pt-BR"/>
              </w:rPr>
            </w:pPr>
            <w:r w:rsidRPr="00C31CE3">
              <w:rPr>
                <w:rFonts w:ascii="Cambria" w:hAnsi="Cambria"/>
                <w:b/>
                <w:color w:val="000000" w:themeColor="text1"/>
                <w:sz w:val="20"/>
                <w:szCs w:val="20"/>
                <w:lang w:val="pt-BR"/>
              </w:rPr>
              <w:t>Notificação da petição ao Estado:</w:t>
            </w:r>
          </w:p>
        </w:tc>
        <w:tc>
          <w:tcPr>
            <w:tcW w:w="5760" w:type="dxa"/>
            <w:vAlign w:val="center"/>
          </w:tcPr>
          <w:p w14:paraId="3EBDEB93" w14:textId="190D58D0" w:rsidR="00C31CE3" w:rsidRPr="00C31CE3" w:rsidRDefault="00C31CE3" w:rsidP="00C31CE3">
            <w:pPr>
              <w:jc w:val="both"/>
              <w:rPr>
                <w:rFonts w:ascii="Cambria" w:hAnsi="Cambria"/>
                <w:bCs/>
                <w:color w:val="000000" w:themeColor="text1"/>
                <w:sz w:val="20"/>
                <w:szCs w:val="20"/>
                <w:lang w:val="pt-BR"/>
              </w:rPr>
            </w:pPr>
            <w:r w:rsidRPr="00C31CE3">
              <w:rPr>
                <w:rFonts w:ascii="Cambria" w:hAnsi="Cambria"/>
                <w:bCs/>
                <w:color w:val="000000" w:themeColor="text1"/>
                <w:sz w:val="20"/>
                <w:szCs w:val="20"/>
                <w:lang w:val="pt-BR"/>
              </w:rPr>
              <w:t>22 de junho de 2023</w:t>
            </w:r>
          </w:p>
        </w:tc>
      </w:tr>
      <w:tr w:rsidR="00C31CE3" w:rsidRPr="00C31CE3" w14:paraId="49521677" w14:textId="77777777" w:rsidTr="00C31CE3">
        <w:tc>
          <w:tcPr>
            <w:tcW w:w="3600" w:type="dxa"/>
            <w:tcBorders>
              <w:top w:val="single" w:sz="6" w:space="0" w:color="auto"/>
              <w:bottom w:val="single" w:sz="6" w:space="0" w:color="auto"/>
            </w:tcBorders>
            <w:shd w:val="clear" w:color="auto" w:fill="FFC000"/>
            <w:vAlign w:val="center"/>
          </w:tcPr>
          <w:p w14:paraId="32667E8F" w14:textId="418614BD" w:rsidR="00C31CE3" w:rsidRPr="00C31CE3" w:rsidRDefault="00C31CE3" w:rsidP="00C31CE3">
            <w:pPr>
              <w:jc w:val="center"/>
              <w:rPr>
                <w:rFonts w:ascii="Cambria" w:hAnsi="Cambria"/>
                <w:b/>
                <w:color w:val="000000" w:themeColor="text1"/>
                <w:sz w:val="20"/>
                <w:szCs w:val="20"/>
                <w:lang w:val="pt-BR"/>
              </w:rPr>
            </w:pPr>
            <w:r w:rsidRPr="00C31CE3">
              <w:rPr>
                <w:rFonts w:ascii="Cambria" w:hAnsi="Cambria"/>
                <w:b/>
                <w:color w:val="000000" w:themeColor="text1"/>
                <w:sz w:val="20"/>
                <w:szCs w:val="20"/>
                <w:lang w:val="pt-BR"/>
              </w:rPr>
              <w:t>Solicitação de prorrogação:</w:t>
            </w:r>
          </w:p>
        </w:tc>
        <w:tc>
          <w:tcPr>
            <w:tcW w:w="5760" w:type="dxa"/>
            <w:vAlign w:val="center"/>
          </w:tcPr>
          <w:p w14:paraId="721DA3B2" w14:textId="3014D7A4" w:rsidR="00C31CE3" w:rsidRPr="00C31CE3" w:rsidRDefault="00C31CE3" w:rsidP="00C31CE3">
            <w:pPr>
              <w:jc w:val="both"/>
              <w:rPr>
                <w:rFonts w:ascii="Cambria" w:hAnsi="Cambria"/>
                <w:bCs/>
                <w:color w:val="000000" w:themeColor="text1"/>
                <w:sz w:val="20"/>
                <w:szCs w:val="20"/>
                <w:lang w:val="pt-BR"/>
              </w:rPr>
            </w:pPr>
            <w:r w:rsidRPr="00C31CE3">
              <w:rPr>
                <w:rFonts w:ascii="Cambria" w:hAnsi="Cambria"/>
                <w:bCs/>
                <w:color w:val="000000" w:themeColor="text1"/>
                <w:sz w:val="20"/>
                <w:szCs w:val="20"/>
                <w:lang w:val="pt-BR"/>
              </w:rPr>
              <w:t>26 de setembro de 2023</w:t>
            </w:r>
          </w:p>
        </w:tc>
      </w:tr>
      <w:tr w:rsidR="00C31CE3" w:rsidRPr="00C31CE3" w14:paraId="6147A8D5" w14:textId="77777777" w:rsidTr="00C31CE3">
        <w:tc>
          <w:tcPr>
            <w:tcW w:w="3600" w:type="dxa"/>
            <w:tcBorders>
              <w:top w:val="single" w:sz="6" w:space="0" w:color="auto"/>
              <w:bottom w:val="single" w:sz="6" w:space="0" w:color="auto"/>
            </w:tcBorders>
            <w:shd w:val="clear" w:color="auto" w:fill="FFC000"/>
            <w:vAlign w:val="center"/>
          </w:tcPr>
          <w:p w14:paraId="0201C86D" w14:textId="569610F0" w:rsidR="00C31CE3" w:rsidRPr="00C31CE3" w:rsidRDefault="00C31CE3" w:rsidP="00C31CE3">
            <w:pPr>
              <w:jc w:val="center"/>
              <w:rPr>
                <w:rFonts w:ascii="Cambria" w:hAnsi="Cambria"/>
                <w:b/>
                <w:bCs/>
                <w:color w:val="000000" w:themeColor="text1"/>
                <w:sz w:val="20"/>
                <w:szCs w:val="20"/>
                <w:lang w:val="pt-BR"/>
              </w:rPr>
            </w:pPr>
            <w:r w:rsidRPr="00C31CE3">
              <w:rPr>
                <w:rFonts w:ascii="Cambria" w:hAnsi="Cambria"/>
                <w:b/>
                <w:color w:val="000000" w:themeColor="text1"/>
                <w:sz w:val="20"/>
                <w:szCs w:val="20"/>
                <w:lang w:val="pt-BR"/>
              </w:rPr>
              <w:t>Primeira resposta do Estado:</w:t>
            </w:r>
          </w:p>
        </w:tc>
        <w:tc>
          <w:tcPr>
            <w:tcW w:w="5760" w:type="dxa"/>
            <w:vAlign w:val="center"/>
          </w:tcPr>
          <w:p w14:paraId="6F3DC11F" w14:textId="72105146" w:rsidR="00C31CE3" w:rsidRPr="00C31CE3" w:rsidRDefault="00C31CE3" w:rsidP="00C31CE3">
            <w:pPr>
              <w:jc w:val="both"/>
              <w:rPr>
                <w:rFonts w:ascii="Cambria" w:hAnsi="Cambria"/>
                <w:bCs/>
                <w:color w:val="000000" w:themeColor="text1"/>
                <w:sz w:val="20"/>
                <w:szCs w:val="20"/>
                <w:lang w:val="pt-BR"/>
              </w:rPr>
            </w:pPr>
            <w:r w:rsidRPr="00C31CE3">
              <w:rPr>
                <w:rFonts w:ascii="Cambria" w:hAnsi="Cambria"/>
                <w:bCs/>
                <w:color w:val="000000" w:themeColor="text1"/>
                <w:sz w:val="20"/>
                <w:szCs w:val="20"/>
                <w:lang w:val="pt-BR"/>
              </w:rPr>
              <w:t>27 de outubro de 2023</w:t>
            </w:r>
            <w:r w:rsidRPr="00C31CE3">
              <w:rPr>
                <w:rStyle w:val="FootnoteReference"/>
                <w:rFonts w:ascii="Cambria" w:hAnsi="Cambria"/>
                <w:bCs/>
                <w:color w:val="000000" w:themeColor="text1"/>
                <w:sz w:val="20"/>
                <w:szCs w:val="20"/>
                <w:lang w:val="pt-BR"/>
              </w:rPr>
              <w:footnoteReference w:id="4"/>
            </w:r>
          </w:p>
        </w:tc>
      </w:tr>
    </w:tbl>
    <w:p w14:paraId="21DAA666" w14:textId="3B44E0DA" w:rsidR="003239B8" w:rsidRPr="00C31CE3" w:rsidRDefault="00D358AF" w:rsidP="003239B8">
      <w:pPr>
        <w:spacing w:before="240" w:after="240"/>
        <w:ind w:firstLine="720"/>
        <w:jc w:val="both"/>
        <w:rPr>
          <w:rFonts w:asciiTheme="majorHAnsi" w:hAnsiTheme="majorHAnsi"/>
          <w:b/>
          <w:bCs/>
          <w:color w:val="000000" w:themeColor="text1"/>
          <w:sz w:val="20"/>
          <w:szCs w:val="20"/>
          <w:lang w:val="pt-BR"/>
        </w:rPr>
      </w:pPr>
      <w:r w:rsidRPr="00C31CE3">
        <w:rPr>
          <w:rFonts w:asciiTheme="majorHAnsi" w:hAnsiTheme="majorHAnsi"/>
          <w:b/>
          <w:bCs/>
          <w:color w:val="000000" w:themeColor="text1"/>
          <w:sz w:val="20"/>
          <w:szCs w:val="20"/>
          <w:lang w:val="pt-BR"/>
        </w:rPr>
        <w:t xml:space="preserve">III. </w:t>
      </w:r>
      <w:r w:rsidRPr="00C31CE3">
        <w:rPr>
          <w:rFonts w:asciiTheme="majorHAnsi" w:hAnsiTheme="majorHAnsi"/>
          <w:b/>
          <w:bCs/>
          <w:color w:val="000000" w:themeColor="text1"/>
          <w:sz w:val="20"/>
          <w:szCs w:val="20"/>
          <w:lang w:val="pt-BR"/>
        </w:rPr>
        <w:tab/>
        <w:t>COMPETÊ</w:t>
      </w:r>
      <w:r w:rsidR="003239B8" w:rsidRPr="00C31CE3">
        <w:rPr>
          <w:rFonts w:asciiTheme="majorHAnsi" w:hAnsiTheme="majorHAnsi"/>
          <w:b/>
          <w:bCs/>
          <w:color w:val="000000" w:themeColor="text1"/>
          <w:sz w:val="20"/>
          <w:szCs w:val="20"/>
          <w:lang w:val="pt-BR"/>
        </w:rPr>
        <w:t>NCIA</w:t>
      </w:r>
      <w:r w:rsidR="00EE00E9" w:rsidRPr="00C31CE3">
        <w:rPr>
          <w:rFonts w:asciiTheme="majorHAnsi" w:hAnsiTheme="majorHAnsi"/>
          <w:b/>
          <w:bCs/>
          <w:color w:val="000000" w:themeColor="text1"/>
          <w:sz w:val="20"/>
          <w:szCs w:val="20"/>
          <w:lang w:val="pt-BR"/>
        </w:rPr>
        <w:t xml:space="preserve"> </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C31CE3" w:rsidRPr="00C31CE3" w14:paraId="072532AD" w14:textId="77777777" w:rsidTr="00C31CE3">
        <w:trPr>
          <w:cantSplit/>
        </w:trPr>
        <w:tc>
          <w:tcPr>
            <w:tcW w:w="3561" w:type="dxa"/>
            <w:tcBorders>
              <w:top w:val="single" w:sz="4" w:space="0" w:color="auto"/>
              <w:bottom w:val="single" w:sz="6" w:space="0" w:color="auto"/>
            </w:tcBorders>
            <w:shd w:val="clear" w:color="auto" w:fill="FFC000"/>
            <w:vAlign w:val="center"/>
          </w:tcPr>
          <w:p w14:paraId="5C2E4B34" w14:textId="4428BC7E" w:rsidR="00C31CE3" w:rsidRPr="00C31CE3" w:rsidRDefault="00C31CE3" w:rsidP="00C31CE3">
            <w:pPr>
              <w:jc w:val="center"/>
              <w:rPr>
                <w:rFonts w:ascii="Cambria" w:hAnsi="Cambria"/>
                <w:b/>
                <w:bCs/>
                <w:i/>
                <w:color w:val="000000" w:themeColor="text1"/>
                <w:sz w:val="20"/>
                <w:szCs w:val="20"/>
                <w:lang w:val="pt-BR"/>
              </w:rPr>
            </w:pPr>
            <w:r w:rsidRPr="00C31CE3">
              <w:rPr>
                <w:rFonts w:ascii="Cambria" w:hAnsi="Cambria"/>
                <w:b/>
                <w:bCs/>
                <w:color w:val="000000" w:themeColor="text1"/>
                <w:sz w:val="20"/>
                <w:szCs w:val="20"/>
                <w:lang w:val="pt-BR"/>
              </w:rPr>
              <w:t>Competência</w:t>
            </w:r>
            <w:r w:rsidRPr="00C31CE3">
              <w:rPr>
                <w:rFonts w:ascii="Cambria" w:hAnsi="Cambria"/>
                <w:b/>
                <w:bCs/>
                <w:i/>
                <w:color w:val="000000" w:themeColor="text1"/>
                <w:sz w:val="20"/>
                <w:szCs w:val="20"/>
                <w:lang w:val="pt-BR"/>
              </w:rPr>
              <w:t xml:space="preserve"> Ratione personae:</w:t>
            </w:r>
          </w:p>
        </w:tc>
        <w:tc>
          <w:tcPr>
            <w:tcW w:w="5681" w:type="dxa"/>
            <w:vAlign w:val="center"/>
          </w:tcPr>
          <w:p w14:paraId="7D38AF97" w14:textId="0BC4A834" w:rsidR="00C31CE3" w:rsidRPr="00C31CE3" w:rsidRDefault="00C31CE3" w:rsidP="00C31CE3">
            <w:pPr>
              <w:rPr>
                <w:rFonts w:ascii="Cambria" w:hAnsi="Cambria"/>
                <w:bCs/>
                <w:color w:val="000000" w:themeColor="text1"/>
                <w:sz w:val="20"/>
                <w:szCs w:val="20"/>
                <w:lang w:val="pt-BR"/>
              </w:rPr>
            </w:pPr>
            <w:r w:rsidRPr="002B4611">
              <w:rPr>
                <w:rFonts w:ascii="Cambria" w:hAnsi="Cambria"/>
                <w:bCs/>
                <w:color w:val="000000" w:themeColor="text1"/>
                <w:sz w:val="20"/>
                <w:szCs w:val="20"/>
              </w:rPr>
              <w:t>Sim.</w:t>
            </w:r>
          </w:p>
        </w:tc>
      </w:tr>
      <w:tr w:rsidR="00C31CE3" w:rsidRPr="00C31CE3" w14:paraId="4B8802DA" w14:textId="77777777" w:rsidTr="00C31CE3">
        <w:trPr>
          <w:cantSplit/>
        </w:trPr>
        <w:tc>
          <w:tcPr>
            <w:tcW w:w="3561" w:type="dxa"/>
            <w:tcBorders>
              <w:top w:val="single" w:sz="6" w:space="0" w:color="auto"/>
              <w:bottom w:val="single" w:sz="6" w:space="0" w:color="auto"/>
            </w:tcBorders>
            <w:shd w:val="clear" w:color="auto" w:fill="FFC000"/>
            <w:vAlign w:val="center"/>
          </w:tcPr>
          <w:p w14:paraId="3915C23B" w14:textId="5BC7D7BF" w:rsidR="00C31CE3" w:rsidRPr="00C31CE3" w:rsidRDefault="00C31CE3" w:rsidP="00C31CE3">
            <w:pPr>
              <w:jc w:val="center"/>
              <w:rPr>
                <w:rFonts w:ascii="Cambria" w:hAnsi="Cambria"/>
                <w:b/>
                <w:bCs/>
                <w:color w:val="000000" w:themeColor="text1"/>
                <w:sz w:val="20"/>
                <w:szCs w:val="20"/>
                <w:lang w:val="pt-BR"/>
              </w:rPr>
            </w:pPr>
            <w:r w:rsidRPr="00C31CE3">
              <w:rPr>
                <w:rFonts w:ascii="Cambria" w:hAnsi="Cambria"/>
                <w:b/>
                <w:bCs/>
                <w:color w:val="000000" w:themeColor="text1"/>
                <w:sz w:val="20"/>
                <w:szCs w:val="20"/>
                <w:lang w:val="pt-BR"/>
              </w:rPr>
              <w:t>Competência</w:t>
            </w:r>
            <w:r w:rsidRPr="00C31CE3">
              <w:rPr>
                <w:rFonts w:ascii="Cambria" w:hAnsi="Cambria"/>
                <w:b/>
                <w:bCs/>
                <w:i/>
                <w:color w:val="000000" w:themeColor="text1"/>
                <w:sz w:val="20"/>
                <w:szCs w:val="20"/>
                <w:lang w:val="pt-BR"/>
              </w:rPr>
              <w:t xml:space="preserve"> Ratione loci</w:t>
            </w:r>
            <w:r w:rsidRPr="00C31CE3">
              <w:rPr>
                <w:rFonts w:ascii="Cambria" w:hAnsi="Cambria"/>
                <w:b/>
                <w:bCs/>
                <w:color w:val="000000" w:themeColor="text1"/>
                <w:sz w:val="20"/>
                <w:szCs w:val="20"/>
                <w:lang w:val="pt-BR"/>
              </w:rPr>
              <w:t>:</w:t>
            </w:r>
          </w:p>
        </w:tc>
        <w:tc>
          <w:tcPr>
            <w:tcW w:w="5681" w:type="dxa"/>
            <w:vAlign w:val="center"/>
          </w:tcPr>
          <w:p w14:paraId="7B9840D5" w14:textId="127587DE" w:rsidR="00C31CE3" w:rsidRPr="00C31CE3" w:rsidRDefault="00C31CE3" w:rsidP="00C31CE3">
            <w:pPr>
              <w:rPr>
                <w:rFonts w:ascii="Cambria" w:hAnsi="Cambria"/>
                <w:bCs/>
                <w:color w:val="000000" w:themeColor="text1"/>
                <w:sz w:val="20"/>
                <w:szCs w:val="20"/>
                <w:lang w:val="pt-BR"/>
              </w:rPr>
            </w:pPr>
            <w:r w:rsidRPr="002B4611">
              <w:rPr>
                <w:rFonts w:ascii="Cambria" w:hAnsi="Cambria"/>
                <w:bCs/>
                <w:color w:val="000000" w:themeColor="text1"/>
                <w:sz w:val="20"/>
                <w:szCs w:val="20"/>
              </w:rPr>
              <w:t>Sim.</w:t>
            </w:r>
          </w:p>
        </w:tc>
      </w:tr>
      <w:tr w:rsidR="00C31CE3" w:rsidRPr="00C31CE3" w14:paraId="4362FDF3" w14:textId="77777777" w:rsidTr="00C31CE3">
        <w:trPr>
          <w:cantSplit/>
        </w:trPr>
        <w:tc>
          <w:tcPr>
            <w:tcW w:w="3561" w:type="dxa"/>
            <w:tcBorders>
              <w:top w:val="single" w:sz="6" w:space="0" w:color="auto"/>
              <w:bottom w:val="single" w:sz="6" w:space="0" w:color="auto"/>
            </w:tcBorders>
            <w:shd w:val="clear" w:color="auto" w:fill="FFC000"/>
            <w:vAlign w:val="center"/>
          </w:tcPr>
          <w:p w14:paraId="3BE23153" w14:textId="0DA4396B" w:rsidR="00C31CE3" w:rsidRPr="00C31CE3" w:rsidRDefault="00C31CE3" w:rsidP="00C31CE3">
            <w:pPr>
              <w:jc w:val="center"/>
              <w:rPr>
                <w:rFonts w:ascii="Cambria" w:hAnsi="Cambria"/>
                <w:b/>
                <w:bCs/>
                <w:color w:val="000000" w:themeColor="text1"/>
                <w:sz w:val="20"/>
                <w:szCs w:val="20"/>
                <w:lang w:val="pt-BR"/>
              </w:rPr>
            </w:pPr>
            <w:r w:rsidRPr="00C31CE3">
              <w:rPr>
                <w:rFonts w:ascii="Cambria" w:hAnsi="Cambria"/>
                <w:b/>
                <w:bCs/>
                <w:color w:val="000000" w:themeColor="text1"/>
                <w:sz w:val="20"/>
                <w:szCs w:val="20"/>
                <w:lang w:val="pt-BR"/>
              </w:rPr>
              <w:t>Competência</w:t>
            </w:r>
            <w:r w:rsidRPr="00C31CE3">
              <w:rPr>
                <w:rFonts w:ascii="Cambria" w:hAnsi="Cambria"/>
                <w:b/>
                <w:bCs/>
                <w:i/>
                <w:color w:val="000000" w:themeColor="text1"/>
                <w:sz w:val="20"/>
                <w:szCs w:val="20"/>
                <w:lang w:val="pt-BR"/>
              </w:rPr>
              <w:t xml:space="preserve"> Ratione temporis</w:t>
            </w:r>
            <w:r w:rsidRPr="00C31CE3">
              <w:rPr>
                <w:rFonts w:ascii="Cambria" w:hAnsi="Cambria"/>
                <w:b/>
                <w:bCs/>
                <w:color w:val="000000" w:themeColor="text1"/>
                <w:sz w:val="20"/>
                <w:szCs w:val="20"/>
                <w:lang w:val="pt-BR"/>
              </w:rPr>
              <w:t>:</w:t>
            </w:r>
          </w:p>
        </w:tc>
        <w:tc>
          <w:tcPr>
            <w:tcW w:w="5681" w:type="dxa"/>
            <w:vAlign w:val="center"/>
          </w:tcPr>
          <w:p w14:paraId="56324676" w14:textId="41EA133C" w:rsidR="00C31CE3" w:rsidRPr="00C31CE3" w:rsidRDefault="00C31CE3" w:rsidP="00C31CE3">
            <w:pPr>
              <w:rPr>
                <w:bCs/>
                <w:color w:val="000000" w:themeColor="text1"/>
                <w:sz w:val="20"/>
                <w:szCs w:val="20"/>
                <w:lang w:val="pt-BR"/>
              </w:rPr>
            </w:pPr>
            <w:r w:rsidRPr="002B4611">
              <w:rPr>
                <w:rFonts w:ascii="Cambria" w:hAnsi="Cambria"/>
                <w:bCs/>
                <w:color w:val="000000" w:themeColor="text1"/>
                <w:sz w:val="20"/>
                <w:szCs w:val="20"/>
              </w:rPr>
              <w:t>Sim.</w:t>
            </w:r>
          </w:p>
        </w:tc>
      </w:tr>
      <w:tr w:rsidR="00C31CE3" w:rsidRPr="00A268D5" w14:paraId="30ABEC3E" w14:textId="77777777" w:rsidTr="00C31CE3">
        <w:trPr>
          <w:cantSplit/>
        </w:trPr>
        <w:tc>
          <w:tcPr>
            <w:tcW w:w="3561" w:type="dxa"/>
            <w:tcBorders>
              <w:top w:val="single" w:sz="6" w:space="0" w:color="auto"/>
              <w:bottom w:val="single" w:sz="6" w:space="0" w:color="auto"/>
            </w:tcBorders>
            <w:shd w:val="clear" w:color="auto" w:fill="FFC000"/>
            <w:vAlign w:val="center"/>
          </w:tcPr>
          <w:p w14:paraId="47B529D2" w14:textId="38F880CA" w:rsidR="00C31CE3" w:rsidRPr="00C31CE3" w:rsidRDefault="00C31CE3" w:rsidP="00C31CE3">
            <w:pPr>
              <w:jc w:val="center"/>
              <w:rPr>
                <w:rFonts w:ascii="Cambria" w:hAnsi="Cambria"/>
                <w:b/>
                <w:bCs/>
                <w:color w:val="000000" w:themeColor="text1"/>
                <w:sz w:val="20"/>
                <w:szCs w:val="20"/>
                <w:lang w:val="pt-BR"/>
              </w:rPr>
            </w:pPr>
            <w:r w:rsidRPr="00C31CE3">
              <w:rPr>
                <w:rFonts w:ascii="Cambria" w:hAnsi="Cambria"/>
                <w:b/>
                <w:bCs/>
                <w:color w:val="000000" w:themeColor="text1"/>
                <w:sz w:val="20"/>
                <w:szCs w:val="20"/>
                <w:lang w:val="pt-BR"/>
              </w:rPr>
              <w:t>Competência</w:t>
            </w:r>
            <w:r w:rsidRPr="00C31CE3">
              <w:rPr>
                <w:rFonts w:ascii="Cambria" w:hAnsi="Cambria"/>
                <w:b/>
                <w:bCs/>
                <w:i/>
                <w:color w:val="000000" w:themeColor="text1"/>
                <w:sz w:val="20"/>
                <w:szCs w:val="20"/>
                <w:lang w:val="pt-BR"/>
              </w:rPr>
              <w:t xml:space="preserve"> Ratione materiae</w:t>
            </w:r>
            <w:r w:rsidRPr="00C31CE3">
              <w:rPr>
                <w:rFonts w:ascii="Cambria" w:hAnsi="Cambria"/>
                <w:b/>
                <w:bCs/>
                <w:color w:val="000000" w:themeColor="text1"/>
                <w:sz w:val="20"/>
                <w:szCs w:val="20"/>
                <w:lang w:val="pt-BR"/>
              </w:rPr>
              <w:t>:</w:t>
            </w:r>
          </w:p>
        </w:tc>
        <w:tc>
          <w:tcPr>
            <w:tcW w:w="5681" w:type="dxa"/>
            <w:vAlign w:val="center"/>
          </w:tcPr>
          <w:p w14:paraId="05620F3A" w14:textId="4BF0B87E" w:rsidR="00C31CE3" w:rsidRPr="00C31CE3" w:rsidRDefault="00C31CE3" w:rsidP="00C31CE3">
            <w:pPr>
              <w:jc w:val="both"/>
              <w:rPr>
                <w:rFonts w:asciiTheme="majorHAnsi" w:hAnsiTheme="majorHAnsi"/>
                <w:bCs/>
                <w:color w:val="000000" w:themeColor="text1"/>
                <w:sz w:val="20"/>
                <w:szCs w:val="20"/>
                <w:lang w:val="pt-BR"/>
              </w:rPr>
            </w:pPr>
            <w:r w:rsidRPr="00C31CE3">
              <w:rPr>
                <w:rFonts w:ascii="Cambria" w:hAnsi="Cambria"/>
                <w:bCs/>
                <w:color w:val="000000" w:themeColor="text1"/>
                <w:sz w:val="20"/>
                <w:szCs w:val="20"/>
                <w:lang w:val="pt-BR"/>
              </w:rPr>
              <w:t>Sim, Convenção Americana (depósito do instrumento de ratificação em 7 de setembro de 1992)</w:t>
            </w:r>
          </w:p>
        </w:tc>
      </w:tr>
    </w:tbl>
    <w:p w14:paraId="4E92C444" w14:textId="3D685744" w:rsidR="003239B8" w:rsidRPr="00C31CE3" w:rsidRDefault="003239B8" w:rsidP="003239B8">
      <w:pPr>
        <w:spacing w:before="240" w:after="240"/>
        <w:ind w:firstLine="720"/>
        <w:jc w:val="both"/>
        <w:rPr>
          <w:rFonts w:asciiTheme="majorHAnsi" w:hAnsiTheme="majorHAnsi"/>
          <w:b/>
          <w:bCs/>
          <w:color w:val="000000" w:themeColor="text1"/>
          <w:sz w:val="20"/>
          <w:szCs w:val="20"/>
          <w:lang w:val="pt-BR"/>
        </w:rPr>
      </w:pPr>
      <w:r w:rsidRPr="00C31CE3">
        <w:rPr>
          <w:rFonts w:asciiTheme="majorHAnsi" w:hAnsiTheme="majorHAnsi"/>
          <w:b/>
          <w:bCs/>
          <w:color w:val="000000" w:themeColor="text1"/>
          <w:sz w:val="20"/>
          <w:szCs w:val="20"/>
          <w:lang w:val="pt-BR"/>
        </w:rPr>
        <w:t xml:space="preserve">IV. </w:t>
      </w:r>
      <w:r w:rsidRPr="00C31CE3">
        <w:rPr>
          <w:rFonts w:asciiTheme="majorHAnsi" w:hAnsiTheme="majorHAnsi"/>
          <w:b/>
          <w:bCs/>
          <w:color w:val="000000" w:themeColor="text1"/>
          <w:sz w:val="20"/>
          <w:szCs w:val="20"/>
          <w:lang w:val="pt-BR"/>
        </w:rPr>
        <w:tab/>
      </w:r>
      <w:r w:rsidR="00D21316" w:rsidRPr="00C31CE3">
        <w:rPr>
          <w:rFonts w:asciiTheme="majorHAnsi" w:hAnsiTheme="majorHAnsi"/>
          <w:b/>
          <w:bCs/>
          <w:color w:val="000000" w:themeColor="text1"/>
          <w:sz w:val="20"/>
          <w:szCs w:val="20"/>
          <w:lang w:val="pt-BR"/>
        </w:rPr>
        <w:t>DUPLICAÇÃO</w:t>
      </w:r>
      <w:r w:rsidR="00EE00E9" w:rsidRPr="00C31CE3">
        <w:rPr>
          <w:rFonts w:asciiTheme="majorHAnsi" w:hAnsiTheme="majorHAnsi"/>
          <w:b/>
          <w:bCs/>
          <w:color w:val="000000" w:themeColor="text1"/>
          <w:sz w:val="20"/>
          <w:szCs w:val="20"/>
          <w:lang w:val="pt-BR"/>
        </w:rPr>
        <w:t xml:space="preserve"> </w:t>
      </w:r>
      <w:r w:rsidR="00D21316" w:rsidRPr="00C31CE3">
        <w:rPr>
          <w:rFonts w:asciiTheme="majorHAnsi" w:hAnsiTheme="majorHAnsi"/>
          <w:b/>
          <w:bCs/>
          <w:color w:val="000000" w:themeColor="text1"/>
          <w:sz w:val="20"/>
          <w:szCs w:val="20"/>
          <w:lang w:val="pt-BR"/>
        </w:rPr>
        <w:t>DE PROCEDIMENTOS E</w:t>
      </w:r>
      <w:r w:rsidR="00EE00E9" w:rsidRPr="00C31CE3">
        <w:rPr>
          <w:rFonts w:asciiTheme="majorHAnsi" w:hAnsiTheme="majorHAnsi"/>
          <w:b/>
          <w:bCs/>
          <w:color w:val="000000" w:themeColor="text1"/>
          <w:sz w:val="20"/>
          <w:szCs w:val="20"/>
          <w:lang w:val="pt-BR"/>
        </w:rPr>
        <w:t xml:space="preserve"> CO</w:t>
      </w:r>
      <w:r w:rsidR="00D21316" w:rsidRPr="00C31CE3">
        <w:rPr>
          <w:rFonts w:asciiTheme="majorHAnsi" w:hAnsiTheme="majorHAnsi"/>
          <w:b/>
          <w:bCs/>
          <w:color w:val="000000" w:themeColor="text1"/>
          <w:sz w:val="20"/>
          <w:szCs w:val="20"/>
          <w:lang w:val="pt-BR"/>
        </w:rPr>
        <w:t>ISA JUL</w:t>
      </w:r>
      <w:r w:rsidR="00EE00E9" w:rsidRPr="00C31CE3">
        <w:rPr>
          <w:rFonts w:asciiTheme="majorHAnsi" w:hAnsiTheme="majorHAnsi"/>
          <w:b/>
          <w:bCs/>
          <w:color w:val="000000" w:themeColor="text1"/>
          <w:sz w:val="20"/>
          <w:szCs w:val="20"/>
          <w:lang w:val="pt-BR"/>
        </w:rPr>
        <w:t>GADA</w:t>
      </w:r>
      <w:r w:rsidR="00EE00E9" w:rsidRPr="00C31CE3">
        <w:rPr>
          <w:rFonts w:asciiTheme="majorHAnsi" w:hAnsiTheme="majorHAnsi"/>
          <w:b/>
          <w:bCs/>
          <w:i/>
          <w:color w:val="000000" w:themeColor="text1"/>
          <w:sz w:val="20"/>
          <w:szCs w:val="20"/>
          <w:lang w:val="pt-BR"/>
        </w:rPr>
        <w:t xml:space="preserve"> </w:t>
      </w:r>
      <w:r w:rsidR="00EE00E9" w:rsidRPr="00C31CE3">
        <w:rPr>
          <w:rFonts w:asciiTheme="majorHAnsi" w:hAnsiTheme="majorHAnsi"/>
          <w:b/>
          <w:bCs/>
          <w:color w:val="000000" w:themeColor="text1"/>
          <w:sz w:val="20"/>
          <w:szCs w:val="20"/>
          <w:lang w:val="pt-BR"/>
        </w:rPr>
        <w:t xml:space="preserve">INTERNACIONAL, </w:t>
      </w:r>
      <w:r w:rsidR="00D21316" w:rsidRPr="00C31CE3">
        <w:rPr>
          <w:rFonts w:asciiTheme="majorHAnsi" w:hAnsiTheme="majorHAnsi"/>
          <w:b/>
          <w:bCs/>
          <w:color w:val="000000" w:themeColor="text1"/>
          <w:sz w:val="20"/>
          <w:szCs w:val="20"/>
          <w:lang w:val="pt-BR"/>
        </w:rPr>
        <w:t>CARACTERIZAÇÃO</w:t>
      </w:r>
      <w:r w:rsidRPr="00C31CE3">
        <w:rPr>
          <w:rFonts w:asciiTheme="majorHAnsi" w:hAnsiTheme="majorHAnsi"/>
          <w:b/>
          <w:bCs/>
          <w:color w:val="000000" w:themeColor="text1"/>
          <w:sz w:val="20"/>
          <w:szCs w:val="20"/>
          <w:lang w:val="pt-BR"/>
        </w:rPr>
        <w:t xml:space="preserve">, </w:t>
      </w:r>
      <w:r w:rsidR="00D21316" w:rsidRPr="00C31CE3">
        <w:rPr>
          <w:rFonts w:asciiTheme="majorHAnsi" w:hAnsiTheme="majorHAnsi"/>
          <w:b/>
          <w:color w:val="000000" w:themeColor="text1"/>
          <w:sz w:val="20"/>
          <w:szCs w:val="20"/>
          <w:lang w:val="pt-BR"/>
        </w:rPr>
        <w:t>ESGOTAM</w:t>
      </w:r>
      <w:r w:rsidRPr="00C31CE3">
        <w:rPr>
          <w:rFonts w:asciiTheme="majorHAnsi" w:hAnsiTheme="majorHAnsi"/>
          <w:b/>
          <w:color w:val="000000" w:themeColor="text1"/>
          <w:sz w:val="20"/>
          <w:szCs w:val="20"/>
          <w:lang w:val="pt-BR"/>
        </w:rPr>
        <w:t>ENTO D</w:t>
      </w:r>
      <w:r w:rsidR="00D21316" w:rsidRPr="00C31CE3">
        <w:rPr>
          <w:rFonts w:asciiTheme="majorHAnsi" w:hAnsiTheme="majorHAnsi"/>
          <w:b/>
          <w:color w:val="000000" w:themeColor="text1"/>
          <w:sz w:val="20"/>
          <w:szCs w:val="20"/>
          <w:lang w:val="pt-BR"/>
        </w:rPr>
        <w:t>OS RECURSOS INTERNOS E PR</w:t>
      </w:r>
      <w:r w:rsidRPr="00C31CE3">
        <w:rPr>
          <w:rFonts w:asciiTheme="majorHAnsi" w:hAnsiTheme="majorHAnsi"/>
          <w:b/>
          <w:color w:val="000000" w:themeColor="text1"/>
          <w:sz w:val="20"/>
          <w:szCs w:val="20"/>
          <w:lang w:val="pt-BR"/>
        </w:rPr>
        <w:t xml:space="preserve">AZO DE </w:t>
      </w:r>
      <w:r w:rsidR="00D21316" w:rsidRPr="00C31CE3">
        <w:rPr>
          <w:rFonts w:asciiTheme="majorHAnsi" w:hAnsiTheme="majorHAnsi"/>
          <w:b/>
          <w:color w:val="000000" w:themeColor="text1"/>
          <w:sz w:val="20"/>
          <w:szCs w:val="20"/>
          <w:lang w:val="pt-BR"/>
        </w:rPr>
        <w:t>APRESENTAÇÃO</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C31CE3" w:rsidRPr="00C31CE3" w14:paraId="1231C988" w14:textId="77777777" w:rsidTr="00C31CE3">
        <w:trPr>
          <w:cantSplit/>
        </w:trPr>
        <w:tc>
          <w:tcPr>
            <w:tcW w:w="3567" w:type="dxa"/>
            <w:tcBorders>
              <w:top w:val="single" w:sz="4" w:space="0" w:color="auto"/>
              <w:bottom w:val="single" w:sz="6" w:space="0" w:color="auto"/>
            </w:tcBorders>
            <w:shd w:val="clear" w:color="auto" w:fill="FFC000"/>
            <w:vAlign w:val="center"/>
          </w:tcPr>
          <w:p w14:paraId="6F8031F4" w14:textId="7F2FBF91" w:rsidR="00C31CE3" w:rsidRPr="00C31CE3" w:rsidRDefault="00C31CE3" w:rsidP="00C31CE3">
            <w:pPr>
              <w:jc w:val="center"/>
              <w:rPr>
                <w:rFonts w:ascii="Cambria" w:hAnsi="Cambria"/>
                <w:b/>
                <w:bCs/>
                <w:color w:val="000000" w:themeColor="text1"/>
                <w:sz w:val="20"/>
                <w:szCs w:val="20"/>
                <w:lang w:val="pt-BR"/>
              </w:rPr>
            </w:pPr>
            <w:r w:rsidRPr="00C31CE3">
              <w:rPr>
                <w:rFonts w:ascii="Cambria" w:hAnsi="Cambria"/>
                <w:b/>
                <w:bCs/>
                <w:color w:val="000000" w:themeColor="text1"/>
                <w:sz w:val="20"/>
                <w:szCs w:val="20"/>
                <w:lang w:val="pt-BR"/>
              </w:rPr>
              <w:t>Duplicação de procedimentos e coisa julgada internacional:</w:t>
            </w:r>
          </w:p>
        </w:tc>
        <w:tc>
          <w:tcPr>
            <w:tcW w:w="5675" w:type="dxa"/>
            <w:vAlign w:val="center"/>
          </w:tcPr>
          <w:p w14:paraId="415A2B18" w14:textId="57294882" w:rsidR="00C31CE3" w:rsidRPr="00C31CE3" w:rsidRDefault="00C31CE3" w:rsidP="00C31CE3">
            <w:pPr>
              <w:jc w:val="both"/>
              <w:rPr>
                <w:rFonts w:ascii="Cambria" w:hAnsi="Cambria"/>
                <w:bCs/>
                <w:color w:val="000000" w:themeColor="text1"/>
                <w:sz w:val="20"/>
                <w:szCs w:val="20"/>
                <w:lang w:val="pt-BR"/>
              </w:rPr>
            </w:pPr>
            <w:r w:rsidRPr="002B4611">
              <w:rPr>
                <w:rFonts w:ascii="Cambria" w:hAnsi="Cambria"/>
                <w:bCs/>
                <w:color w:val="000000" w:themeColor="text1"/>
                <w:sz w:val="20"/>
                <w:szCs w:val="20"/>
              </w:rPr>
              <w:t>Não</w:t>
            </w:r>
          </w:p>
        </w:tc>
      </w:tr>
      <w:tr w:rsidR="00C31CE3" w:rsidRPr="00A268D5" w14:paraId="15FAA7D1" w14:textId="77777777" w:rsidTr="00C31CE3">
        <w:trPr>
          <w:cantSplit/>
        </w:trPr>
        <w:tc>
          <w:tcPr>
            <w:tcW w:w="3567" w:type="dxa"/>
            <w:tcBorders>
              <w:top w:val="single" w:sz="4" w:space="0" w:color="auto"/>
              <w:bottom w:val="single" w:sz="6" w:space="0" w:color="auto"/>
            </w:tcBorders>
            <w:shd w:val="clear" w:color="auto" w:fill="FFC000"/>
            <w:vAlign w:val="center"/>
          </w:tcPr>
          <w:p w14:paraId="1B0D29FF" w14:textId="577ED540" w:rsidR="00C31CE3" w:rsidRPr="00C31CE3" w:rsidRDefault="00C31CE3" w:rsidP="00C31CE3">
            <w:pPr>
              <w:jc w:val="center"/>
              <w:rPr>
                <w:rFonts w:ascii="Cambria" w:hAnsi="Cambria"/>
                <w:b/>
                <w:bCs/>
                <w:i/>
                <w:color w:val="000000" w:themeColor="text1"/>
                <w:sz w:val="20"/>
                <w:szCs w:val="20"/>
                <w:lang w:val="pt-BR"/>
              </w:rPr>
            </w:pPr>
            <w:r w:rsidRPr="00C31CE3">
              <w:rPr>
                <w:rFonts w:ascii="Cambria" w:hAnsi="Cambria"/>
                <w:b/>
                <w:bCs/>
                <w:color w:val="000000" w:themeColor="text1"/>
                <w:sz w:val="20"/>
                <w:szCs w:val="20"/>
                <w:lang w:val="pt-BR"/>
              </w:rPr>
              <w:t>Direitos declarados admitidos</w:t>
            </w:r>
            <w:r w:rsidRPr="00C31CE3">
              <w:rPr>
                <w:rFonts w:ascii="Cambria" w:hAnsi="Cambria"/>
                <w:b/>
                <w:bCs/>
                <w:i/>
                <w:color w:val="000000" w:themeColor="text1"/>
                <w:sz w:val="20"/>
                <w:szCs w:val="20"/>
                <w:lang w:val="pt-BR"/>
              </w:rPr>
              <w:t>:</w:t>
            </w:r>
          </w:p>
        </w:tc>
        <w:tc>
          <w:tcPr>
            <w:tcW w:w="5675" w:type="dxa"/>
            <w:vAlign w:val="center"/>
          </w:tcPr>
          <w:p w14:paraId="57B20B33" w14:textId="65CF84C8" w:rsidR="00C31CE3" w:rsidRPr="00C31CE3" w:rsidRDefault="00C31CE3" w:rsidP="00C31CE3">
            <w:pPr>
              <w:jc w:val="both"/>
              <w:rPr>
                <w:rFonts w:ascii="Cambria" w:hAnsi="Cambria"/>
                <w:bCs/>
                <w:sz w:val="20"/>
                <w:szCs w:val="20"/>
                <w:lang w:val="pt-BR"/>
              </w:rPr>
            </w:pPr>
            <w:r w:rsidRPr="00C31CE3">
              <w:rPr>
                <w:rFonts w:ascii="Cambria" w:hAnsi="Cambria"/>
                <w:bCs/>
                <w:color w:val="000000" w:themeColor="text1"/>
                <w:sz w:val="20"/>
                <w:szCs w:val="20"/>
                <w:lang w:val="pt-BR"/>
              </w:rPr>
              <w:t>Artigo 8 (garantias judiciais), artigo 11 (honra e dignidade), artigo 13 (liberdade de expressão e pensamento), artigo 21 (propriedade privada) e artigo 25 (proteção judicial) da Convenção Americana sobre Direitos Humanos , em relação com o artigo 1.1 (obrigação de respeitar os direitos) e 2 (dever de adotar disposições de direito interno) do mesmo tratado.</w:t>
            </w:r>
          </w:p>
        </w:tc>
      </w:tr>
      <w:tr w:rsidR="00C31CE3" w:rsidRPr="00A268D5" w14:paraId="4EFD141E" w14:textId="77777777" w:rsidTr="00C31CE3">
        <w:trPr>
          <w:cantSplit/>
        </w:trPr>
        <w:tc>
          <w:tcPr>
            <w:tcW w:w="3567" w:type="dxa"/>
            <w:tcBorders>
              <w:top w:val="single" w:sz="6" w:space="0" w:color="auto"/>
              <w:bottom w:val="single" w:sz="6" w:space="0" w:color="auto"/>
            </w:tcBorders>
            <w:shd w:val="clear" w:color="auto" w:fill="FFC000"/>
            <w:vAlign w:val="center"/>
          </w:tcPr>
          <w:p w14:paraId="4C04A89C" w14:textId="4CDE326B" w:rsidR="00C31CE3" w:rsidRPr="00C31CE3" w:rsidRDefault="00C31CE3" w:rsidP="00C31CE3">
            <w:pPr>
              <w:jc w:val="center"/>
              <w:rPr>
                <w:rFonts w:ascii="Cambria" w:hAnsi="Cambria"/>
                <w:b/>
                <w:bCs/>
                <w:color w:val="000000" w:themeColor="text1"/>
                <w:sz w:val="20"/>
                <w:szCs w:val="20"/>
                <w:lang w:val="pt-BR"/>
              </w:rPr>
            </w:pPr>
            <w:r w:rsidRPr="00C31CE3">
              <w:rPr>
                <w:rFonts w:ascii="Cambria" w:hAnsi="Cambria"/>
                <w:b/>
                <w:bCs/>
                <w:color w:val="000000" w:themeColor="text1"/>
                <w:sz w:val="20"/>
                <w:szCs w:val="20"/>
                <w:lang w:val="pt-BR"/>
              </w:rPr>
              <w:t>Esgotamento dos recursos internos ou procedência de uma exceção:</w:t>
            </w:r>
          </w:p>
        </w:tc>
        <w:tc>
          <w:tcPr>
            <w:tcW w:w="5675" w:type="dxa"/>
            <w:vAlign w:val="center"/>
          </w:tcPr>
          <w:p w14:paraId="7D0DBD9F" w14:textId="6525D986" w:rsidR="00C31CE3" w:rsidRPr="00C31CE3" w:rsidRDefault="00C31CE3" w:rsidP="00C31CE3">
            <w:pPr>
              <w:rPr>
                <w:rFonts w:ascii="Cambria" w:hAnsi="Cambria"/>
                <w:bCs/>
                <w:color w:val="000000" w:themeColor="text1"/>
                <w:sz w:val="20"/>
                <w:szCs w:val="20"/>
                <w:lang w:val="pt-BR"/>
              </w:rPr>
            </w:pPr>
            <w:r w:rsidRPr="00C31CE3">
              <w:rPr>
                <w:rFonts w:ascii="Cambria" w:hAnsi="Cambria"/>
                <w:bCs/>
                <w:color w:val="000000" w:themeColor="text1"/>
                <w:sz w:val="20"/>
                <w:szCs w:val="20"/>
                <w:lang w:val="pt-BR"/>
              </w:rPr>
              <w:t xml:space="preserve">Sim, nos termos da seção VI. </w:t>
            </w:r>
          </w:p>
        </w:tc>
      </w:tr>
      <w:tr w:rsidR="00C31CE3" w:rsidRPr="00A268D5" w14:paraId="52B5BA17" w14:textId="77777777" w:rsidTr="00C31CE3">
        <w:trPr>
          <w:cantSplit/>
        </w:trPr>
        <w:tc>
          <w:tcPr>
            <w:tcW w:w="3567" w:type="dxa"/>
            <w:tcBorders>
              <w:top w:val="single" w:sz="6" w:space="0" w:color="auto"/>
              <w:bottom w:val="single" w:sz="6" w:space="0" w:color="auto"/>
            </w:tcBorders>
            <w:shd w:val="clear" w:color="auto" w:fill="FFC000"/>
            <w:vAlign w:val="center"/>
          </w:tcPr>
          <w:p w14:paraId="5DF99086" w14:textId="35473084" w:rsidR="00C31CE3" w:rsidRPr="00C31CE3" w:rsidRDefault="00C31CE3" w:rsidP="00C31CE3">
            <w:pPr>
              <w:jc w:val="center"/>
              <w:rPr>
                <w:rFonts w:ascii="Cambria" w:hAnsi="Cambria"/>
                <w:b/>
                <w:bCs/>
                <w:color w:val="000000" w:themeColor="text1"/>
                <w:sz w:val="20"/>
                <w:szCs w:val="20"/>
                <w:lang w:val="pt-BR"/>
              </w:rPr>
            </w:pPr>
            <w:r w:rsidRPr="00C31CE3">
              <w:rPr>
                <w:rFonts w:ascii="Cambria" w:hAnsi="Cambria"/>
                <w:b/>
                <w:bCs/>
                <w:color w:val="000000" w:themeColor="text1"/>
                <w:sz w:val="20"/>
                <w:szCs w:val="20"/>
                <w:lang w:val="pt-BR"/>
              </w:rPr>
              <w:t>Apresentação dentro do prazo:</w:t>
            </w:r>
          </w:p>
        </w:tc>
        <w:tc>
          <w:tcPr>
            <w:tcW w:w="5675" w:type="dxa"/>
            <w:vAlign w:val="center"/>
          </w:tcPr>
          <w:p w14:paraId="440C1A5D" w14:textId="7816E6F5" w:rsidR="00C31CE3" w:rsidRPr="00C31CE3" w:rsidRDefault="00C31CE3" w:rsidP="00C31CE3">
            <w:pPr>
              <w:rPr>
                <w:rFonts w:ascii="Cambria" w:hAnsi="Cambria"/>
                <w:bCs/>
                <w:color w:val="000000" w:themeColor="text1"/>
                <w:sz w:val="20"/>
                <w:szCs w:val="20"/>
                <w:lang w:val="pt-BR"/>
              </w:rPr>
            </w:pPr>
            <w:r w:rsidRPr="00C31CE3">
              <w:rPr>
                <w:rFonts w:ascii="Cambria" w:hAnsi="Cambria"/>
                <w:bCs/>
                <w:color w:val="000000" w:themeColor="text1"/>
                <w:sz w:val="20"/>
                <w:szCs w:val="20"/>
                <w:lang w:val="pt-BR"/>
              </w:rPr>
              <w:t xml:space="preserve">Sim, nos termos da seção VI. </w:t>
            </w:r>
          </w:p>
        </w:tc>
      </w:tr>
    </w:tbl>
    <w:p w14:paraId="436D7567" w14:textId="0667257E" w:rsidR="00C31CE3" w:rsidRPr="006A026E" w:rsidRDefault="00223A29" w:rsidP="00C31CE3">
      <w:pPr>
        <w:spacing w:before="240" w:after="240"/>
        <w:ind w:firstLine="720"/>
        <w:jc w:val="both"/>
        <w:rPr>
          <w:rFonts w:asciiTheme="majorHAnsi" w:hAnsiTheme="majorHAnsi"/>
          <w:b/>
          <w:color w:val="000000" w:themeColor="text1"/>
          <w:sz w:val="20"/>
          <w:szCs w:val="20"/>
          <w:lang w:val="pt-BR"/>
        </w:rPr>
      </w:pPr>
      <w:r w:rsidRPr="00C31CE3">
        <w:rPr>
          <w:rFonts w:asciiTheme="majorHAnsi" w:hAnsiTheme="majorHAnsi"/>
          <w:b/>
          <w:color w:val="000000" w:themeColor="text1"/>
          <w:sz w:val="20"/>
          <w:szCs w:val="20"/>
          <w:lang w:val="pt-BR"/>
        </w:rPr>
        <w:lastRenderedPageBreak/>
        <w:t xml:space="preserve">V. </w:t>
      </w:r>
      <w:r w:rsidRPr="00C31CE3">
        <w:rPr>
          <w:rFonts w:asciiTheme="majorHAnsi" w:hAnsiTheme="majorHAnsi"/>
          <w:b/>
          <w:color w:val="000000" w:themeColor="text1"/>
          <w:sz w:val="20"/>
          <w:szCs w:val="20"/>
          <w:lang w:val="pt-BR"/>
        </w:rPr>
        <w:tab/>
      </w:r>
      <w:r w:rsidR="00C31CE3" w:rsidRPr="006A026E">
        <w:rPr>
          <w:rFonts w:asciiTheme="majorHAnsi" w:hAnsiTheme="majorHAnsi"/>
          <w:b/>
          <w:color w:val="000000" w:themeColor="text1"/>
          <w:sz w:val="20"/>
          <w:szCs w:val="20"/>
          <w:lang w:val="pt-BR"/>
        </w:rPr>
        <w:t xml:space="preserve">POSIÇÃO DAS PARTES </w:t>
      </w:r>
    </w:p>
    <w:p w14:paraId="6C2422B7" w14:textId="77777777" w:rsidR="0099604F" w:rsidRPr="0099604F" w:rsidRDefault="00C31CE3" w:rsidP="0099604F">
      <w:pPr>
        <w:pStyle w:val="ListParagraph"/>
        <w:numPr>
          <w:ilvl w:val="0"/>
          <w:numId w:val="61"/>
        </w:numPr>
        <w:spacing w:before="240" w:after="240"/>
        <w:ind w:left="0" w:firstLine="709"/>
        <w:jc w:val="both"/>
        <w:rPr>
          <w:rFonts w:asciiTheme="majorHAnsi" w:hAnsiTheme="majorHAnsi"/>
          <w:b/>
          <w:color w:val="000000" w:themeColor="text1"/>
          <w:sz w:val="20"/>
          <w:szCs w:val="20"/>
          <w:lang w:val="pt-BR"/>
        </w:rPr>
      </w:pPr>
      <w:r w:rsidRPr="006A026E">
        <w:rPr>
          <w:color w:val="000000" w:themeColor="text1"/>
          <w:sz w:val="20"/>
          <w:szCs w:val="20"/>
          <w:lang w:val="pt-BR"/>
        </w:rPr>
        <w:t xml:space="preserve">A parte peticionária alega que a suposta vítima foi condenada a pagar uma indenização a um Ministro do Supremo Tribunal Federal após publicar um livro criticando sua atuação num caso sobre corrupção. O Judiciário também teria determinado a inclusão da condenação em edições futuras do livro. Os peticionários questionam as restrições impostas a liberdade de expressão da suposta vítima, a imparcialidade do julgamento e alegam impactos da condenação na honra, vida privada e propriedade do autor do livro. </w:t>
      </w:r>
    </w:p>
    <w:p w14:paraId="67FBAB7F" w14:textId="72908D66" w:rsidR="0099604F" w:rsidRPr="0099604F" w:rsidRDefault="0099604F" w:rsidP="0099604F">
      <w:pPr>
        <w:pStyle w:val="ListParagraph"/>
        <w:suppressAutoHyphens/>
        <w:spacing w:after="240"/>
        <w:jc w:val="both"/>
        <w:rPr>
          <w:i/>
          <w:iCs/>
          <w:color w:val="000000" w:themeColor="text1"/>
          <w:sz w:val="20"/>
          <w:szCs w:val="20"/>
          <w:lang w:val="pt-BR"/>
        </w:rPr>
      </w:pPr>
      <w:r w:rsidRPr="0099604F">
        <w:rPr>
          <w:i/>
          <w:iCs/>
          <w:color w:val="000000" w:themeColor="text1"/>
          <w:sz w:val="20"/>
          <w:szCs w:val="20"/>
          <w:lang w:val="pt-BR"/>
        </w:rPr>
        <w:t>Parte peticionária</w:t>
      </w:r>
      <w:r>
        <w:rPr>
          <w:i/>
          <w:iCs/>
          <w:color w:val="000000" w:themeColor="text1"/>
          <w:sz w:val="20"/>
          <w:szCs w:val="20"/>
          <w:lang w:val="pt-BR"/>
        </w:rPr>
        <w:tab/>
      </w:r>
    </w:p>
    <w:p w14:paraId="3EA3C20F" w14:textId="633E67E2" w:rsidR="00C31CE3" w:rsidRPr="0099604F" w:rsidRDefault="00C31CE3" w:rsidP="0099604F">
      <w:pPr>
        <w:pStyle w:val="ListParagraph"/>
        <w:numPr>
          <w:ilvl w:val="0"/>
          <w:numId w:val="61"/>
        </w:numPr>
        <w:spacing w:before="240" w:after="240"/>
        <w:ind w:left="0" w:firstLine="709"/>
        <w:jc w:val="both"/>
        <w:rPr>
          <w:rFonts w:asciiTheme="majorHAnsi" w:hAnsiTheme="majorHAnsi"/>
          <w:b/>
          <w:color w:val="000000" w:themeColor="text1"/>
          <w:sz w:val="20"/>
          <w:szCs w:val="20"/>
          <w:lang w:val="pt-BR"/>
        </w:rPr>
      </w:pPr>
      <w:r w:rsidRPr="0099604F">
        <w:rPr>
          <w:color w:val="000000" w:themeColor="text1"/>
          <w:sz w:val="20"/>
          <w:szCs w:val="20"/>
          <w:lang w:val="pt-BR"/>
        </w:rPr>
        <w:t xml:space="preserve">A parte peticionária afirma que, em janeiro de 2014, a suposta vítima publicou um livro intitulado Operação Banqueiro. O objeto do livro foi a Operação Sartiagaha no Brasil. Conforme explica a parte peticionária, se trata de uma operação policial deflagrada em 2008, com o objetivo de investigar atos de corrupção, e que resultou em ordens de prisão de políticos e empresários nacionais, atraindo atenção por parte da sociedade. A suposta vítima teria trabalhado por mais de 3 anos de investigação jornalística que fundamenta o livro, o qual contaria com questionamentos a certas condutadas adotadas por autoridades judiciais durante a Opetação Sartiagaha. </w:t>
      </w:r>
    </w:p>
    <w:p w14:paraId="2B587EE9" w14:textId="77777777" w:rsidR="00C31CE3" w:rsidRPr="0099604F"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6A026E">
        <w:rPr>
          <w:color w:val="000000" w:themeColor="text1"/>
          <w:sz w:val="20"/>
          <w:szCs w:val="20"/>
          <w:lang w:val="pt-BR"/>
        </w:rPr>
        <w:t xml:space="preserve">Conforme narra a parte peticionária, em 2014, meses após a publicação do livro, um Ministro do Supremo Tribunal Federal iniciou um processo civil por reparação de danos contra a suposta vítima e a editora do livro, afirmando que havia sido difamado. O Ministro requereu indenização de 200 mil reais, além de solicitar que, em futuras edições do livro, fossem publicadas a </w:t>
      </w:r>
      <w:r w:rsidRPr="0099604F">
        <w:rPr>
          <w:color w:val="000000" w:themeColor="text1"/>
          <w:sz w:val="20"/>
          <w:szCs w:val="20"/>
          <w:lang w:val="pt-BR"/>
        </w:rPr>
        <w:t xml:space="preserve">petição inicial e a sentença condenatória. </w:t>
      </w:r>
    </w:p>
    <w:p w14:paraId="7D0972BA" w14:textId="77777777" w:rsidR="00C31CE3" w:rsidRPr="0099604F"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99604F">
        <w:rPr>
          <w:color w:val="000000" w:themeColor="text1"/>
          <w:sz w:val="20"/>
          <w:szCs w:val="20"/>
          <w:lang w:val="pt-BR"/>
        </w:rPr>
        <w:t xml:space="preserve">Segundo a parte peticionaria, em 2015, a ação civil foi declarada improcedente em primeira instância. Contudo, em 2016 o Tribunal de Justiça do Distrito Federal e Territórios (TJDFT) teria acolhido uma apelação apresentada pelo Ministro demandante, revertido a sentença e condenado a suposta vítima ao pagamento de 100 mil reais. A parte peticionaria afirma que a decisão concluiu que o sr. Rubnes Valente teria distorcido fatos relacionados à atuação judicial do Ministro demandante na Operação Sartiagaha, levado as pessoas leitoras a conclusões que não seriam verdadeiras, além de ter utilizado adjetivos ofensivos  contra o Ministro no livro. </w:t>
      </w:r>
    </w:p>
    <w:p w14:paraId="6E8351B6" w14:textId="77777777" w:rsidR="00C31CE3" w:rsidRPr="0099604F"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99604F">
        <w:rPr>
          <w:color w:val="000000" w:themeColor="text1"/>
          <w:sz w:val="20"/>
          <w:szCs w:val="20"/>
          <w:lang w:val="pt-BR"/>
        </w:rPr>
        <w:t xml:space="preserve">Enquanto o processo estava tramitando perante o TJDFT, a suposta vítima também teria questionado, ante o Conselho Especial do Tribunal, a imparcialidade do desembargador relator de seu caso por meio de um “recurso de suspeição”. Segundo a parte peticionária, o desembargador era professor em uma instituição de ensino superior fundada pelo Ministro do STF demandante. O Ministro ainda seria sócio ativo da instituição, pelo que a parte peticionária afirma que se caracterizava uma relação acadêmica-laboral entre o desembargador e o Ministro. Todavia, o Conselho teria rejeitado o recurso por supostamente ter sido apresentado fora do prazo. A parte peticionária alega  que o Conselho decidiu que o suposta vítima deveria ter questionado a imparcialidade do desembargador no prazo de 15 dias após a distribuição do processo no TJDFT. A parte peticionária admite que esse prazo não foi atendido, mas argumenta que, em verdade, a legislação processual permitia que a parte questionasse a imparcialidade do ministro no prazo e forma feitos pela suposta vítima. </w:t>
      </w:r>
    </w:p>
    <w:p w14:paraId="3EE2B4F8" w14:textId="77777777" w:rsidR="00C31CE3" w:rsidRPr="0099604F"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99604F">
        <w:rPr>
          <w:color w:val="000000" w:themeColor="text1"/>
          <w:sz w:val="20"/>
          <w:szCs w:val="20"/>
          <w:lang w:val="pt-BR"/>
        </w:rPr>
        <w:t xml:space="preserve">Posteriormente, ambas as partes teriam recorrido ante o Superior Tribunal de Justiça (STJ) – A CIDH nota que a imparcialidade do desembargador relator no TJDFT não foi explicitamente suscitada nos recursos apresentados perante este tribunal, mas a parte peticionária argumenta que o “recurso de suspeição” era parte integrante dos autos que as instâncias superiores tiveram acesso. </w:t>
      </w:r>
    </w:p>
    <w:p w14:paraId="1A455FB1" w14:textId="77777777" w:rsidR="00C31CE3" w:rsidRPr="0099604F"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99604F">
        <w:rPr>
          <w:color w:val="000000" w:themeColor="text1"/>
          <w:sz w:val="20"/>
          <w:szCs w:val="20"/>
          <w:lang w:val="pt-BR"/>
        </w:rPr>
        <w:t xml:space="preserve">Posteriormente, ambas as partes teriam recorrido ante o Superior Tribunal de Justiça, que, em 2018 majoraria a condenação, determinando que, nas próximas edições do livro “Operação Banqueiro”, fosse publicada a íntegra da decisão condenatório proferida pelo TJDFT. No entanto, conforme a parte peticionária narra, o alcance final da condenação só foi definido em 2021 pelo Supremo Tribunal Federal. Ao julgar recursos interpostos por ambas as partes, o Supremo Tribunal Federal teria ampliado a condenação, determinando também a publicação da petição inicial do processo nas próximas edições do livro “Operação Banqueiro”.  Nesse particular, parte peticionária que o recurso que a suposta vítima tentou apresentar perante o Supremo Tribunal </w:t>
      </w:r>
      <w:r w:rsidRPr="0099604F">
        <w:rPr>
          <w:color w:val="000000" w:themeColor="text1"/>
          <w:sz w:val="20"/>
          <w:szCs w:val="20"/>
          <w:lang w:val="pt-BR"/>
        </w:rPr>
        <w:lastRenderedPageBreak/>
        <w:t xml:space="preserve">Federal foi rechaçado por decisão monocráticas de um Ministro do Tribunal e que a única possiblidade de recorrer dessa decisão foi perante um órgão do Tribunal em que o mesmo ministro que proferiu a decisão recorrida também teria direito a deliberar. De toda maneira, parte peticionária afirma que recorreu, seu recurso foi negado, e com isso esgotou recursos disponíveis na jurisdição interna. </w:t>
      </w:r>
    </w:p>
    <w:p w14:paraId="7274DBB8" w14:textId="77777777" w:rsidR="00C31CE3" w:rsidRPr="006A026E"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99604F">
        <w:rPr>
          <w:color w:val="000000" w:themeColor="text1"/>
          <w:sz w:val="20"/>
          <w:szCs w:val="20"/>
          <w:lang w:val="pt-BR"/>
        </w:rPr>
        <w:t>Frente o anterior, a parte peticionária apresentou uma petição perante a CIDH. Em síntese, argumenta que os fatos comprovam violação ao direito à proteção e às garantias judiciais, seja porque o relator do processo no TJDFT não seria imparcial para o julgamento do caso; porque não contava com recursos para desafiar decisões monocráticas adotadas no Supremo Tribunal Federal ante órgãos do Tribunal com composição completamente distinta ou porque o Poder Judiciári</w:t>
      </w:r>
      <w:r w:rsidRPr="006A026E">
        <w:rPr>
          <w:color w:val="000000" w:themeColor="text1"/>
          <w:sz w:val="20"/>
          <w:szCs w:val="20"/>
          <w:lang w:val="pt-BR"/>
        </w:rPr>
        <w:t xml:space="preserve">o brasileiro carecia das garantias necessárias para julgar com imparcialidade uma demanda levada a cabo por um Ministro do Supremo Tribunal Federal. Também argumenta violação ao direito à liberdade de expressão, considerando que a condenação da suposta vítima é contrária aos parâmetros interamericanos, pois o livro “Operação Banqueiro” reportaria assuntos de interesse público, a conduta da suposta vítima na investigação jornalística teria sido diligente e as medidas de responsabilidade ulterior teriam sido desnecessárias e desproporcionais. Nesse ponto, a parte peticionária ressaltou o efeito de autocensura produzido contra o jornalista pela abertura do processo penal. Além disso, a condenação teria contribuído a um descrédito na imagem da suposta vítima perante a sociedade e aos pares, afetando seu direito à honra e à reputação. Já os valores que teve de gastar com sua defesa ante os tribunais e pela condenação teria impactado sua vida privada e familiar, além de sua propriedade privada. Finalmente, a parte peticionária afirma que o fato de o Judiciário determinar a inclusão de peças judiciais em futuras edições do livro inviabilizaria novas edições. Isso poderia representar uma violação não só do direito à liberdade de expressão, como também do direito de propriedade, já que impediria que a suposta vítima exercesse livremente todos os atributos de seus direitos de autor. </w:t>
      </w:r>
    </w:p>
    <w:p w14:paraId="081E1A8F" w14:textId="77777777" w:rsidR="00C31CE3" w:rsidRPr="006A026E"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6A026E">
        <w:rPr>
          <w:color w:val="000000" w:themeColor="text1"/>
          <w:sz w:val="20"/>
          <w:szCs w:val="20"/>
          <w:lang w:val="pt-BR"/>
        </w:rPr>
        <w:t>Em janeiro 2022, já após a apresentação da petição perante a CIDH, foi iniciado o processo de execução da sentença contra suposta vítima e o grupo editorial que publicou o livro, requerendo o pagamento de R$ 285.930,00, em valores atualizado para a data. Em seguida, a suposta vítima teria realizado o pagamento de 50% desse valor. No entanto, segundo a parte peticionaria, o juiz da execução considerou que existia obrigação solidária entre a suposta vítima e a editora para o pagamento da condenação. Por esse motivo, em março de 2022 a suposta vítima foi intimada a pagar o valor total da dívida. A parte peticionária afirma que houve uma campanha online de arrecadação de fundos para o pagamento da dívida pelo jornalista.</w:t>
      </w:r>
    </w:p>
    <w:p w14:paraId="05ED850B" w14:textId="77777777" w:rsidR="00C31CE3" w:rsidRPr="006A026E"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6A026E">
        <w:rPr>
          <w:color w:val="000000" w:themeColor="text1"/>
          <w:sz w:val="20"/>
          <w:szCs w:val="20"/>
          <w:lang w:val="pt-BR"/>
        </w:rPr>
        <w:t>A parte peticionaria também solicitou a aplicação do procedimento per saltum, previsto no artigo 29.2 do Regulamento da CIDH, afirmando que, por se tratar de um caso julgado por altas Cortes brasileiras, urge sua revisão para evitar a aplicação do precedente a casos análogos. Assim, segundo a parte peticionária, a matéria tratada na presente petição poderia promover mudanças legislativas ou de prática estatal e evitar o recebimento de múltiplas petições sobre o mesmo assunto. Além disso, a execução da sentença comprovaria a urgência no tratamento da petição.</w:t>
      </w:r>
    </w:p>
    <w:p w14:paraId="0415A71B" w14:textId="77777777" w:rsidR="00C31CE3" w:rsidRPr="006A026E" w:rsidRDefault="00C31CE3" w:rsidP="0099604F">
      <w:pPr>
        <w:suppressAutoHyphens/>
        <w:spacing w:after="240"/>
        <w:ind w:firstLine="709"/>
        <w:jc w:val="both"/>
        <w:rPr>
          <w:i/>
          <w:iCs/>
          <w:color w:val="000000" w:themeColor="text1"/>
          <w:sz w:val="20"/>
          <w:szCs w:val="20"/>
          <w:lang w:val="pt-BR"/>
        </w:rPr>
      </w:pPr>
      <w:r w:rsidRPr="006A026E">
        <w:rPr>
          <w:i/>
          <w:iCs/>
          <w:color w:val="000000" w:themeColor="text1"/>
          <w:sz w:val="20"/>
          <w:szCs w:val="20"/>
          <w:lang w:val="pt-BR"/>
        </w:rPr>
        <w:t>Estado brasileiro</w:t>
      </w:r>
    </w:p>
    <w:p w14:paraId="4DB85B73" w14:textId="77777777" w:rsidR="00C31CE3" w:rsidRPr="006A026E"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6A026E">
        <w:rPr>
          <w:color w:val="000000" w:themeColor="text1"/>
          <w:sz w:val="20"/>
          <w:szCs w:val="20"/>
          <w:lang w:val="pt-BR"/>
        </w:rPr>
        <w:t xml:space="preserve">O Estado afirma que a petição é inadmissível por falta de esgotamento de recursos internos, suposta utilização do Sistema Interamericano como “quarta instância” e falta de caracterização de violação de direitos humanos da suposta vítima. </w:t>
      </w:r>
      <w:r w:rsidRPr="004939D0">
        <w:rPr>
          <w:color w:val="000000" w:themeColor="text1"/>
          <w:sz w:val="20"/>
          <w:szCs w:val="20"/>
          <w:lang w:val="pt-BR"/>
        </w:rPr>
        <w:t xml:space="preserve">O Estado também questiona a apreciação do caso </w:t>
      </w:r>
      <w:r w:rsidRPr="004939D0">
        <w:rPr>
          <w:i/>
          <w:iCs/>
          <w:color w:val="000000" w:themeColor="text1"/>
          <w:sz w:val="20"/>
          <w:szCs w:val="20"/>
          <w:lang w:val="pt-BR"/>
        </w:rPr>
        <w:t>per saltum</w:t>
      </w:r>
      <w:r w:rsidRPr="004939D0">
        <w:rPr>
          <w:color w:val="000000" w:themeColor="text1"/>
          <w:sz w:val="20"/>
          <w:szCs w:val="20"/>
          <w:lang w:val="pt-BR"/>
        </w:rPr>
        <w:t>.</w:t>
      </w:r>
      <w:r w:rsidRPr="006A026E">
        <w:rPr>
          <w:color w:val="000000" w:themeColor="text1"/>
          <w:sz w:val="20"/>
          <w:szCs w:val="20"/>
          <w:lang w:val="pt-BR"/>
        </w:rPr>
        <w:t xml:space="preserve"> </w:t>
      </w:r>
    </w:p>
    <w:p w14:paraId="34991DCD" w14:textId="77777777" w:rsidR="00C31CE3" w:rsidRPr="006A026E"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6A026E">
        <w:rPr>
          <w:color w:val="000000" w:themeColor="text1"/>
          <w:sz w:val="20"/>
          <w:szCs w:val="20"/>
          <w:lang w:val="pt-BR"/>
        </w:rPr>
        <w:t xml:space="preserve">Em relação ao esgotamento dos recursos internos, o Estado afirma que, uma vez que a parte peticionária argumenta pela falta de imparcialidade de um desembargador do TJDFT no julgamento do caso, a petição deveria comprovar o esgotamento de recursos internos quanto a esse ponto específico – o que não teria ocorrido. Para o Estado, não houve um adequado esgotamento de recursos que permitissem o saneamento do alegado vício de parcialidade, pois a suposta vítima apresentou intempestivamente uma “exceção de suspeição” perante o Conselho Especial do Tribunal, o que levou ao rechaço liminar do recurso por uma falha formal. Além disso, o Estado afirma que, contra essa decisão, poderiam ter sido apresentados embargos de declaração ou um agravo interno, o que não teria sido feito pela suposta vítima. Por derradeiro, o Estado alega que a suposta vítima poderia ter feito uma reclamação disciplinar à Corregedoria do Tribunal ou ao Conselho Nacional de </w:t>
      </w:r>
      <w:r w:rsidRPr="006A026E">
        <w:rPr>
          <w:color w:val="000000" w:themeColor="text1"/>
          <w:sz w:val="20"/>
          <w:szCs w:val="20"/>
          <w:lang w:val="pt-BR"/>
        </w:rPr>
        <w:lastRenderedPageBreak/>
        <w:t>Justiça. Para o Estado, a falta de esgotamento de recursos quanto a esse ponto obsta a admissibilidade da petição.</w:t>
      </w:r>
    </w:p>
    <w:p w14:paraId="7118FED6" w14:textId="77777777" w:rsidR="00C31CE3" w:rsidRPr="006A026E"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6A026E">
        <w:rPr>
          <w:color w:val="000000" w:themeColor="text1"/>
          <w:sz w:val="20"/>
          <w:szCs w:val="20"/>
          <w:lang w:val="pt-BR"/>
        </w:rPr>
        <w:t xml:space="preserve">Em relação à fórmula da quarta instância, o Estado argumenta que a parte peticionária utilizaria o SIDH para sanar um “inconformismo (...) com as conclusões alcançadas pelo Estado após o desfecho de ação civil de indenização por danos morais”. Assim, a parte peticionária requereria que a CIDH revesse o mérito de julgamentos regularmente concluídos internamente – o que, segundo o Estado, seria vedado à Comissão.  </w:t>
      </w:r>
    </w:p>
    <w:p w14:paraId="66F54EE0" w14:textId="77777777" w:rsidR="00C31CE3" w:rsidRPr="006A026E"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6A026E">
        <w:rPr>
          <w:color w:val="000000" w:themeColor="text1"/>
          <w:sz w:val="20"/>
          <w:szCs w:val="20"/>
          <w:lang w:val="pt-BR"/>
        </w:rPr>
        <w:t xml:space="preserve">Quanto à caracterização de violações, o Estado afirma que não houve censura contra a suposta vítima, uma vez que o livro “Operação Banqueiro” continua disponível para venda e circula livremente no Brasil. Também afirma que não procedem as alegações de falta de imparcialidade de um dos desembargadores que julgou o caso em segunda instancia, pois seriam baseadas em elementos que não comprovariam uma relação entre o desembargador e o Ministro demandante. Além disso, o Estado alega que a condenação da suposta vítima foi determinada por uma ponderação de valores entre o direito à liberdade de expressão e os direitos à honra, à imagem e à vida privada – ponderação essa concluída em âmbito interno de acordo com o devido processo. Por último, o Estado argumenta que o valor da condenação seguiu parâmetros da jurisprudência interna e que não está no escopo das atribuições da CIDH rever tal montante. </w:t>
      </w:r>
    </w:p>
    <w:p w14:paraId="06AA371D" w14:textId="77777777" w:rsidR="00C31CE3" w:rsidRPr="006A026E" w:rsidRDefault="00C31CE3" w:rsidP="00C31CE3">
      <w:pPr>
        <w:spacing w:before="240" w:after="240"/>
        <w:ind w:firstLine="720"/>
        <w:jc w:val="both"/>
        <w:rPr>
          <w:rFonts w:ascii="Cambria" w:hAnsi="Cambria"/>
          <w:color w:val="000000" w:themeColor="text1"/>
          <w:sz w:val="20"/>
          <w:szCs w:val="20"/>
          <w:lang w:val="pt-BR"/>
        </w:rPr>
      </w:pPr>
      <w:r w:rsidRPr="006A026E">
        <w:rPr>
          <w:rFonts w:asciiTheme="majorHAnsi" w:eastAsia="Cambria" w:hAnsiTheme="majorHAnsi" w:cs="Cambria"/>
          <w:b/>
          <w:bCs/>
          <w:color w:val="000000" w:themeColor="text1"/>
          <w:sz w:val="20"/>
          <w:szCs w:val="20"/>
          <w:u w:color="000000"/>
          <w:lang w:val="pt-BR" w:eastAsia="es-ES"/>
        </w:rPr>
        <w:t>VI.</w:t>
      </w:r>
      <w:r w:rsidRPr="006A026E">
        <w:rPr>
          <w:rFonts w:asciiTheme="majorHAnsi" w:eastAsia="Cambria" w:hAnsiTheme="majorHAnsi" w:cs="Cambria"/>
          <w:b/>
          <w:bCs/>
          <w:color w:val="000000" w:themeColor="text1"/>
          <w:sz w:val="20"/>
          <w:szCs w:val="20"/>
          <w:u w:color="000000"/>
          <w:lang w:val="pt-BR" w:eastAsia="es-ES"/>
        </w:rPr>
        <w:tab/>
      </w:r>
      <w:r w:rsidRPr="006A026E">
        <w:rPr>
          <w:rFonts w:asciiTheme="majorHAnsi" w:hAnsiTheme="majorHAnsi"/>
          <w:b/>
          <w:bCs/>
          <w:color w:val="000000" w:themeColor="text1"/>
          <w:sz w:val="20"/>
          <w:szCs w:val="20"/>
          <w:lang w:val="pt-BR"/>
        </w:rPr>
        <w:t>ANÁLISE DE ESGOTAMENTO DOS RECURSOS INTERNOS E PRAZO DE APRESENTAÇÃO</w:t>
      </w:r>
    </w:p>
    <w:p w14:paraId="4B111ACB" w14:textId="77777777" w:rsidR="00C31CE3" w:rsidRPr="006A026E"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6A026E">
        <w:rPr>
          <w:color w:val="000000" w:themeColor="text1"/>
          <w:sz w:val="20"/>
          <w:szCs w:val="20"/>
          <w:lang w:val="pt-BR"/>
        </w:rPr>
        <w:t xml:space="preserve">No presente caso, a parte peticionária afirma que apresentou recursos ante o Superior Tribunal de Justiça e o Supremo Tribunal Federal contra a sua condenação, adotada em segunda instância, pelo TJDFT. Alega que o último recurso apresentado se tratou de um Agravo Interno relativo a um Agravo em Recurso Extraordinário, que teve provimento negado pela Primeira Turma do STF em 28 de junho de 2021. A CIDH observa que, de acordo com documentos aportados por ambas as partes, essa decisão foi publicada no Diário de Justiça Eletrônico no dia 28 de junho de 2021.O Estado não questiona esses fatos nem o esgotamento de tais recursos. No entanto, o Estado afirma que ainda assim a petição não seria admissível, pois a suposta vítima não teria esgotado recursos específicos para desafiar a suspeição do desembargador relator do caso no TJDFT. Segundo o Estado, o recurso cabível – exceção de suspeição – teria sido apresentado intempestivamente, conforme decisão de 9 de junho de 2016 adotada pelo desembargador relator deste recurso no Conselho Especial do TJDFT. Além disso, o Estado elenca outros recursos que poderiam ter sido esgotados pelas supostas vítimas nesse tema particular e que não teriam sido apresentados. </w:t>
      </w:r>
    </w:p>
    <w:p w14:paraId="6A3DAD9E" w14:textId="77777777" w:rsidR="00C31CE3" w:rsidRPr="006A026E"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6A026E">
        <w:rPr>
          <w:color w:val="000000" w:themeColor="text1"/>
          <w:sz w:val="20"/>
          <w:szCs w:val="20"/>
          <w:lang w:val="pt-BR"/>
        </w:rPr>
        <w:t>Para a análise do esgotamento dos recursos domésticos no presente caso, a CIDH recorda que, segundo sua prática consolidada e reiterada, para identificar os recursos adequados que deveriam ter sido esgotados antes de recorrer ao Sistema Interamericano, o primeiro passo metodológico da análise consiste em deslindar os distintos reclamos formulados na petição correspondente e, então, proceder ao seu exame individualizado. Nesse sentido, no presente procedimento, a CIDH observa que as reivindicações formuladas pelos peticionários são, fundamentalmente: (a) a legalidade, legitimidade, necessidade e proporcionalidade da condenação civil e das medidas de reparação dispostas em favor do Ministro demandante, bem como seus efeitos em na vida pessoal do senhor Rubens Valente; (b) a adequação e efetividade dos recursos no Supremo Tribunal Federal e a falta de imparcialidade do poder judiciário em geral no caso, dada a posição de poder que o demandante ocupava; e (c) a falta de imparcialidade do desembargador relator do caso no TJDFT, devido aos vínculos de trabalho e acadêmicos que ele teria com o Ministro demandante.</w:t>
      </w:r>
    </w:p>
    <w:p w14:paraId="5B3A785D" w14:textId="77777777" w:rsidR="00C31CE3" w:rsidRPr="006A026E"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6A026E">
        <w:rPr>
          <w:color w:val="000000" w:themeColor="text1"/>
          <w:sz w:val="20"/>
          <w:szCs w:val="20"/>
          <w:lang w:val="pt-BR"/>
        </w:rPr>
        <w:t>O artigo 46.1.a) da Convenção Americana dispõe que, para que uma petição seja admitida, é necessário que tenham sido interpostos e esgotados os recursos de jurisdição interna, conforme os princípios do Direito Internacional geralmente reconhecidos. Desde o Caso Velásquez Rodríguez, a Corte Interamericana de Direitos Humanos</w:t>
      </w:r>
      <w:r w:rsidRPr="006A026E">
        <w:rPr>
          <w:rStyle w:val="FootnoteReference"/>
          <w:color w:val="000000" w:themeColor="text1"/>
          <w:sz w:val="20"/>
          <w:szCs w:val="20"/>
          <w:lang w:val="pt-BR"/>
        </w:rPr>
        <w:footnoteReference w:id="5"/>
      </w:r>
      <w:r w:rsidRPr="006A026E">
        <w:rPr>
          <w:color w:val="000000" w:themeColor="text1"/>
          <w:sz w:val="20"/>
          <w:szCs w:val="20"/>
          <w:lang w:val="pt-BR"/>
        </w:rPr>
        <w:t xml:space="preserve"> estabeleceu os critérios fundamentais dessa norma nos seguintes termos, destacando que se trata de uma regla cuja invocação pode ser renunciada de forma expressa ou tácita pelo Estado que tem </w:t>
      </w:r>
      <w:r w:rsidRPr="006A026E">
        <w:rPr>
          <w:color w:val="000000" w:themeColor="text1"/>
          <w:sz w:val="20"/>
          <w:szCs w:val="20"/>
          <w:lang w:val="pt-BR"/>
        </w:rPr>
        <w:lastRenderedPageBreak/>
        <w:t xml:space="preserve">o direito de invoca-la como exceção preliminar e que, para ser oportuna, essa exceção deve ser apresentada nas primeiras etapas do procedimento, sob pena de se presumir sua renúncia tácita. </w:t>
      </w:r>
    </w:p>
    <w:p w14:paraId="6D286C30" w14:textId="77777777" w:rsidR="00C31CE3" w:rsidRPr="006A026E" w:rsidRDefault="00C31CE3" w:rsidP="00C31CE3">
      <w:pPr>
        <w:pStyle w:val="ListParagraph"/>
        <w:numPr>
          <w:ilvl w:val="0"/>
          <w:numId w:val="61"/>
        </w:numPr>
        <w:spacing w:before="240" w:after="240"/>
        <w:ind w:left="0" w:firstLine="709"/>
        <w:jc w:val="both"/>
        <w:rPr>
          <w:color w:val="000000" w:themeColor="text1"/>
          <w:sz w:val="20"/>
          <w:szCs w:val="20"/>
          <w:lang w:val="pt-BR"/>
        </w:rPr>
      </w:pPr>
      <w:r w:rsidRPr="006A026E">
        <w:rPr>
          <w:color w:val="000000" w:themeColor="text1"/>
          <w:sz w:val="20"/>
          <w:szCs w:val="20"/>
          <w:lang w:val="pt-BR"/>
        </w:rPr>
        <w:t>Ademais, a Comissão tem reiterado que quando um Estado alega a falta de esgotamento dos recursos internos, ele tem o dever de indicar quais os recursos poderiam ter sido esgotados e não o foram, além de demonstrar a adequação desses recursos</w:t>
      </w:r>
      <w:r w:rsidRPr="006A026E">
        <w:rPr>
          <w:i/>
          <w:iCs/>
          <w:color w:val="000000" w:themeColor="text1"/>
          <w:sz w:val="20"/>
          <w:szCs w:val="20"/>
          <w:lang w:val="pt-BR"/>
        </w:rPr>
        <w:t>.</w:t>
      </w:r>
      <w:r w:rsidRPr="006A026E">
        <w:rPr>
          <w:color w:val="000000" w:themeColor="text1"/>
          <w:sz w:val="20"/>
          <w:szCs w:val="20"/>
          <w:lang w:val="pt-BR"/>
        </w:rPr>
        <w:t>”</w:t>
      </w:r>
      <w:r w:rsidRPr="006A026E">
        <w:rPr>
          <w:rStyle w:val="FootnoteReference"/>
          <w:color w:val="000000" w:themeColor="text1"/>
          <w:sz w:val="20"/>
          <w:szCs w:val="20"/>
          <w:lang w:val="pt-BR"/>
        </w:rPr>
        <w:footnoteReference w:id="6"/>
      </w:r>
      <w:r w:rsidRPr="006A026E">
        <w:rPr>
          <w:color w:val="000000" w:themeColor="text1"/>
          <w:sz w:val="20"/>
          <w:szCs w:val="20"/>
          <w:lang w:val="pt-BR"/>
        </w:rPr>
        <w:t xml:space="preserve">. Nesse sentido, a Corte IDH também especificou que: “não é tarefa deste Tribunal, nem da Comissão, identificar </w:t>
      </w:r>
      <w:r w:rsidRPr="006A026E">
        <w:rPr>
          <w:i/>
          <w:iCs/>
          <w:color w:val="000000" w:themeColor="text1"/>
          <w:sz w:val="20"/>
          <w:szCs w:val="20"/>
          <w:lang w:val="pt-BR"/>
        </w:rPr>
        <w:t>ex officio</w:t>
      </w:r>
      <w:r w:rsidRPr="006A026E">
        <w:rPr>
          <w:color w:val="000000" w:themeColor="text1"/>
          <w:sz w:val="20"/>
          <w:szCs w:val="20"/>
          <w:lang w:val="pt-BR"/>
        </w:rPr>
        <w:t xml:space="preserve"> quais são os recursos internos pendentes de esgotamento, porquanto não compete aos órgãos internacionais corrigir a falta de precisão das alegações do Estado”</w:t>
      </w:r>
      <w:r w:rsidRPr="006A026E">
        <w:rPr>
          <w:rStyle w:val="FootnoteReference"/>
          <w:color w:val="000000" w:themeColor="text1"/>
          <w:sz w:val="20"/>
          <w:szCs w:val="20"/>
          <w:lang w:val="pt-BR"/>
        </w:rPr>
        <w:footnoteReference w:id="7"/>
      </w:r>
      <w:r w:rsidRPr="006A026E">
        <w:rPr>
          <w:color w:val="000000" w:themeColor="text1"/>
          <w:sz w:val="20"/>
          <w:szCs w:val="20"/>
          <w:lang w:val="pt-BR"/>
        </w:rPr>
        <w:t xml:space="preserve">. </w:t>
      </w:r>
    </w:p>
    <w:p w14:paraId="42CB5690" w14:textId="77777777" w:rsidR="00C31CE3" w:rsidRPr="006A026E" w:rsidRDefault="00C31CE3" w:rsidP="00C31CE3">
      <w:pPr>
        <w:pStyle w:val="ListParagraph"/>
        <w:numPr>
          <w:ilvl w:val="0"/>
          <w:numId w:val="61"/>
        </w:numPr>
        <w:spacing w:before="240" w:after="240"/>
        <w:ind w:left="0" w:firstLine="709"/>
        <w:jc w:val="both"/>
        <w:rPr>
          <w:color w:val="000000" w:themeColor="text1"/>
          <w:sz w:val="20"/>
          <w:szCs w:val="20"/>
          <w:lang w:val="pt-BR"/>
        </w:rPr>
      </w:pPr>
      <w:r w:rsidRPr="006A026E">
        <w:rPr>
          <w:color w:val="000000" w:themeColor="text1"/>
          <w:sz w:val="20"/>
          <w:szCs w:val="20"/>
          <w:lang w:val="pt-BR"/>
        </w:rPr>
        <w:t xml:space="preserve">Finalmente, a CIDH enfatiza que cabe à suposta vítima esgotar de maneira devida os recursos internos, não bastando sua apresentação, mas também o fazendo em conformidade com a legislação procesual interna. A CIDH já decidiu que “não se pode considerar que o peticionário tenha cumprido devidamente com o requisito do prévio esgotamento dos recursos internos se os mesmos foram rejeitados com fundamentos processuais razoáveis e não arbitrários”. </w:t>
      </w:r>
    </w:p>
    <w:p w14:paraId="0DC4A629" w14:textId="77777777" w:rsidR="00C31CE3" w:rsidRPr="006A026E" w:rsidRDefault="00C31CE3" w:rsidP="00C31CE3">
      <w:pPr>
        <w:pStyle w:val="ListParagraph"/>
        <w:numPr>
          <w:ilvl w:val="0"/>
          <w:numId w:val="61"/>
        </w:numPr>
        <w:spacing w:before="240" w:after="240"/>
        <w:ind w:left="0" w:firstLine="709"/>
        <w:jc w:val="both"/>
        <w:rPr>
          <w:color w:val="000000" w:themeColor="text1"/>
          <w:sz w:val="20"/>
          <w:szCs w:val="20"/>
          <w:lang w:val="pt-BR"/>
        </w:rPr>
      </w:pPr>
      <w:r w:rsidRPr="006A026E">
        <w:rPr>
          <w:color w:val="000000" w:themeColor="text1"/>
          <w:sz w:val="20"/>
          <w:szCs w:val="20"/>
          <w:lang w:val="pt-BR"/>
        </w:rPr>
        <w:t xml:space="preserve">Frente o anterior, primeiramente a Comissão nota que o Estado somente questionou o não esgotamento de recursos internos em relação a um ponto específico da petição, qual seja, a alegada falta de imparcialidade de um desembargador do TJDFT. O Estado não argumentou qualquer ausência de esgotamento de recursos internos ainda disponíveis em relação aos demais pontos tratados pela suposta vítima, inclusive sobre o seu principal reclamo: a existência de uma condenação civil. O Estado tampouco desafiou a existência de esgotamento de um Agravo Interno relativo ao Agravo em Recurso Extraordinário – que, segundo a parte peticionária, teria sido o derradeiro recurso a esgotar-se –, nem a adequação ou a efetividade do recurso no caso. </w:t>
      </w:r>
    </w:p>
    <w:p w14:paraId="4C27302F" w14:textId="77777777" w:rsidR="00C31CE3" w:rsidRPr="006A026E" w:rsidRDefault="00C31CE3" w:rsidP="00C31CE3">
      <w:pPr>
        <w:pStyle w:val="ListParagraph"/>
        <w:numPr>
          <w:ilvl w:val="0"/>
          <w:numId w:val="61"/>
        </w:numPr>
        <w:spacing w:before="240" w:after="240"/>
        <w:ind w:left="0" w:firstLine="709"/>
        <w:jc w:val="both"/>
        <w:rPr>
          <w:color w:val="000000" w:themeColor="text1"/>
          <w:sz w:val="20"/>
          <w:szCs w:val="20"/>
          <w:lang w:val="pt-BR"/>
        </w:rPr>
      </w:pPr>
      <w:r w:rsidRPr="006A026E">
        <w:rPr>
          <w:color w:val="000000" w:themeColor="text1"/>
          <w:sz w:val="20"/>
          <w:szCs w:val="20"/>
          <w:lang w:val="pt-BR"/>
        </w:rPr>
        <w:t>A CIDH nota que efetivamente, contra a condenação, a suposta vítima apresentou distintos recursos que objetivavam que tanto o Superior Tribunal de Justiça quanto o Supremo Tribunal Federal revessem a existência e o alcance da condenação, sendo todos negados, ao passo que em ambas instâncias se majorou a condenação em contra da suposta vítima, acolhendo recursos apresentados pelo Ministro demandante.</w:t>
      </w:r>
    </w:p>
    <w:p w14:paraId="16706B3F" w14:textId="77777777" w:rsidR="00C31CE3" w:rsidRPr="006A026E" w:rsidRDefault="00C31CE3" w:rsidP="00C31CE3">
      <w:pPr>
        <w:pStyle w:val="ListParagraph"/>
        <w:numPr>
          <w:ilvl w:val="0"/>
          <w:numId w:val="61"/>
        </w:numPr>
        <w:spacing w:before="240" w:after="240"/>
        <w:ind w:left="0" w:firstLine="709"/>
        <w:jc w:val="both"/>
        <w:rPr>
          <w:color w:val="000000" w:themeColor="text1"/>
          <w:sz w:val="20"/>
          <w:szCs w:val="20"/>
          <w:lang w:val="pt-BR"/>
        </w:rPr>
      </w:pPr>
      <w:r w:rsidRPr="006A026E">
        <w:rPr>
          <w:color w:val="000000" w:themeColor="text1"/>
          <w:sz w:val="20"/>
          <w:szCs w:val="20"/>
          <w:lang w:val="pt-BR"/>
        </w:rPr>
        <w:t xml:space="preserve">Dessa maneira, a CIDH conclui que a suposta vítima esgotou os recursos internos para fins do art. 46.1.a, em relação com aos pontos (a) e (b) mencionados no parágrafo 15. </w:t>
      </w:r>
      <w:r w:rsidRPr="006A026E">
        <w:rPr>
          <w:iCs/>
          <w:color w:val="000000" w:themeColor="text1"/>
          <w:sz w:val="20"/>
          <w:szCs w:val="20"/>
          <w:lang w:val="pt-BR"/>
        </w:rPr>
        <w:t xml:space="preserve">No entanto, no específico sobre o ponto (c) –  a alegada suspeição do desembargador relator do caso no TDFJT -, o Estado logrou comprovar que a suposta vítima não esgotou recursos internos. </w:t>
      </w:r>
    </w:p>
    <w:p w14:paraId="71CF0023" w14:textId="77777777" w:rsidR="00C31CE3" w:rsidRPr="006A026E" w:rsidRDefault="00C31CE3" w:rsidP="00C31CE3">
      <w:pPr>
        <w:pStyle w:val="ListParagraph"/>
        <w:numPr>
          <w:ilvl w:val="0"/>
          <w:numId w:val="61"/>
        </w:numPr>
        <w:spacing w:before="240" w:after="240"/>
        <w:ind w:left="0" w:firstLine="709"/>
        <w:jc w:val="both"/>
        <w:rPr>
          <w:color w:val="000000" w:themeColor="text1"/>
          <w:sz w:val="20"/>
          <w:szCs w:val="20"/>
          <w:lang w:val="pt-BR"/>
        </w:rPr>
      </w:pPr>
      <w:r w:rsidRPr="006A026E">
        <w:rPr>
          <w:iCs/>
          <w:color w:val="000000" w:themeColor="text1"/>
          <w:sz w:val="20"/>
          <w:szCs w:val="20"/>
          <w:lang w:val="pt-BR"/>
        </w:rPr>
        <w:t xml:space="preserve">Em primeiro lugar, a CIDH observa que, da leitura das peças de Recurso Especial e Recurso Extraordinário apresentadas pela suposta vítima ante o Superior Tribunal de Justiça e o Supremo Tribunal Federal, bem como agravos e embargos relacionados a esses recursos, não se desprende que qualquer questão de imparcialidade do desembargador do TJDFT foi levada ante o Superior Tribunal de Justiça ou o Supremo Tribunal Federal. Em segundo lugar, no único recurso que buscou tratar da controvérsia sobre a imparcialidade do desembargador por supostas relações profissionais acadêmicas com o Ministro demandante, o poder judiciário rechaçou liminarmente o recurso por apresentação intempestiva. Ainda que a parte peticionária tenha argumentado que a contagem do prazo se deu com base no Regimento do Tribunal, que segundo os peticionários continha prazo não previsto em lei federal e por isso não deveria ser considerado, se observa que o Estado argumentou que a decisão que reconheceu a intempestividade ainda poderia ter sido desafiada por embargo de declaração ou agravo interno. A parte peticionária não comprovou a tentativa de esgotar tais recursos. </w:t>
      </w:r>
    </w:p>
    <w:p w14:paraId="2D453E05" w14:textId="77777777" w:rsidR="00C31CE3" w:rsidRPr="006A026E" w:rsidRDefault="00C31CE3" w:rsidP="00C31CE3">
      <w:pPr>
        <w:pStyle w:val="ListParagraph"/>
        <w:numPr>
          <w:ilvl w:val="0"/>
          <w:numId w:val="61"/>
        </w:numPr>
        <w:spacing w:before="240" w:after="240"/>
        <w:ind w:left="0" w:firstLine="709"/>
        <w:jc w:val="both"/>
        <w:rPr>
          <w:color w:val="000000" w:themeColor="text1"/>
          <w:sz w:val="20"/>
          <w:szCs w:val="20"/>
          <w:lang w:val="pt-BR"/>
        </w:rPr>
      </w:pPr>
      <w:r w:rsidRPr="006A026E">
        <w:rPr>
          <w:iCs/>
          <w:color w:val="000000" w:themeColor="text1"/>
          <w:sz w:val="20"/>
          <w:szCs w:val="20"/>
          <w:lang w:val="pt-BR"/>
        </w:rPr>
        <w:lastRenderedPageBreak/>
        <w:t xml:space="preserve">Portanto, a CIDH conclui que houve esgotamento de recursos internos que permitem a apreciação sobre eventuais violações de direitos humanos decorrente da condenação e de seus efeitos, da limitação dos recursos disponíveis ante o Supremo Tribunal Federal e da ausência de imparcialidade no julgamento em razão da posição de poder do demandante. No entanto, não houve esgotamento de recursos internos em relação as alegações de falta de imparcialidade, por existência de vínculos profissionais acadêmicos, entre o desembargador relator do caso no TDJFT e o Ministro do STF que demandou civilmente a suposta vítima. </w:t>
      </w:r>
    </w:p>
    <w:p w14:paraId="60E3E7BF" w14:textId="77777777" w:rsidR="004939D0" w:rsidRPr="004939D0" w:rsidRDefault="00C31CE3" w:rsidP="004939D0">
      <w:pPr>
        <w:pStyle w:val="ListParagraph"/>
        <w:numPr>
          <w:ilvl w:val="0"/>
          <w:numId w:val="61"/>
        </w:numPr>
        <w:spacing w:before="240" w:after="240"/>
        <w:ind w:left="0" w:firstLine="709"/>
        <w:jc w:val="both"/>
        <w:rPr>
          <w:rFonts w:asciiTheme="majorHAnsi" w:hAnsiTheme="majorHAnsi"/>
          <w:b/>
          <w:color w:val="000000" w:themeColor="text1"/>
          <w:sz w:val="20"/>
          <w:szCs w:val="20"/>
          <w:lang w:val="pt-BR"/>
        </w:rPr>
      </w:pPr>
      <w:r w:rsidRPr="006A026E">
        <w:rPr>
          <w:iCs/>
          <w:color w:val="000000" w:themeColor="text1"/>
          <w:sz w:val="20"/>
          <w:szCs w:val="20"/>
          <w:lang w:val="pt-BR"/>
        </w:rPr>
        <w:t xml:space="preserve">Finalmente, com respeito ao </w:t>
      </w:r>
      <w:r w:rsidRPr="006A026E">
        <w:rPr>
          <w:color w:val="000000" w:themeColor="text1"/>
          <w:sz w:val="20"/>
          <w:szCs w:val="20"/>
          <w:lang w:val="pt-BR"/>
        </w:rPr>
        <w:t>requisito do prazo de seis meses de apresentação da petição estabelecido no artigo 46.1.b) da Convenção Americana, a CIDH conclui que o requisito se encontra cumprido, uma vez que o último recurso esgotado pela suposta vítima foi notificado em 28 de junho de 2021, por meio de publicação em Diário de Justiça eletrônico, e a presente petição foi apresentada em 23 de dezembro de 2021.</w:t>
      </w:r>
    </w:p>
    <w:p w14:paraId="3C05DC63" w14:textId="28CADACD" w:rsidR="004939D0" w:rsidRPr="004939D0" w:rsidRDefault="004939D0" w:rsidP="004939D0">
      <w:pPr>
        <w:pStyle w:val="ListParagraph"/>
        <w:numPr>
          <w:ilvl w:val="0"/>
          <w:numId w:val="61"/>
        </w:numPr>
        <w:spacing w:before="240" w:after="240"/>
        <w:ind w:left="0" w:firstLine="709"/>
        <w:jc w:val="both"/>
        <w:rPr>
          <w:rFonts w:asciiTheme="majorHAnsi" w:hAnsiTheme="majorHAnsi"/>
          <w:b/>
          <w:color w:val="000000" w:themeColor="text1"/>
          <w:sz w:val="20"/>
          <w:szCs w:val="20"/>
          <w:lang w:val="pt-BR"/>
        </w:rPr>
      </w:pPr>
      <w:r w:rsidRPr="004939D0">
        <w:rPr>
          <w:color w:val="000000" w:themeColor="text1"/>
          <w:sz w:val="20"/>
          <w:szCs w:val="20"/>
          <w:lang w:val="pt-BR"/>
        </w:rPr>
        <w:t>Em relação ao questionamento do Estado sobre a suposta aplicação da figura do per saltum, a Comissão esclarece que no presente caso, em nenhum momento de sua tramitação inicial aplicou essa figura.</w:t>
      </w:r>
    </w:p>
    <w:p w14:paraId="5DB15B91" w14:textId="77777777" w:rsidR="00C31CE3" w:rsidRPr="006A026E" w:rsidRDefault="00C31CE3" w:rsidP="00C31CE3">
      <w:pPr>
        <w:pStyle w:val="ListParagraph"/>
        <w:spacing w:before="240" w:after="240"/>
        <w:ind w:left="709"/>
        <w:jc w:val="both"/>
        <w:rPr>
          <w:rFonts w:asciiTheme="majorHAnsi" w:hAnsiTheme="majorHAnsi"/>
          <w:b/>
          <w:color w:val="000000" w:themeColor="text1"/>
          <w:sz w:val="20"/>
          <w:szCs w:val="20"/>
          <w:lang w:val="pt-BR"/>
        </w:rPr>
      </w:pPr>
      <w:r w:rsidRPr="006A026E">
        <w:rPr>
          <w:rFonts w:asciiTheme="majorHAnsi" w:hAnsiTheme="majorHAnsi"/>
          <w:b/>
          <w:bCs/>
          <w:color w:val="000000" w:themeColor="text1"/>
          <w:sz w:val="20"/>
          <w:szCs w:val="20"/>
          <w:lang w:val="pt-BR"/>
        </w:rPr>
        <w:t>VII.</w:t>
      </w:r>
      <w:r w:rsidRPr="006A026E">
        <w:rPr>
          <w:rFonts w:asciiTheme="majorHAnsi" w:hAnsiTheme="majorHAnsi"/>
          <w:b/>
          <w:bCs/>
          <w:color w:val="000000" w:themeColor="text1"/>
          <w:sz w:val="20"/>
          <w:szCs w:val="20"/>
          <w:lang w:val="pt-BR"/>
        </w:rPr>
        <w:tab/>
        <w:t>ANÁLISE DE CARACTERIZAÇÃO DOS FATOS ALEGADOS</w:t>
      </w:r>
    </w:p>
    <w:p w14:paraId="7812B5A5" w14:textId="77777777" w:rsidR="00C31CE3" w:rsidRPr="006A026E"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6A026E">
        <w:rPr>
          <w:color w:val="000000" w:themeColor="text1"/>
          <w:sz w:val="20"/>
          <w:szCs w:val="20"/>
          <w:lang w:val="pt-BR"/>
        </w:rPr>
        <w:t xml:space="preserve">A Comissão observa que, em síntese, os alegados da parte peticionária são de violações do direito à honra e vida privada, liberdade de expressão e propriedade, assim como garantias judiciais e proteção judicial da suposta vítima, em decorrência de um processo civil aberto contra a suposta vítima por uma alta autoridade judicial. Ao publicar um livro sobre a operação Sartiagaha no brasil, a suposta vítima teria contribuído com o debate de assuntos de interesse público. A parte peticionária argumenta sobre por quê a condenação em pagamento de mais de 280 mil reais em favor do demandante, assim como a determinação de publicação da decisão condenatória e petição inicial em próximas edições do livro, poderiam contrariar parâmetros interamericanos de direitos humanos. O Estado afirma que se trata de inconformismo da suposta vítima com decisões judiciais internas, quem pretenderia utilizar o sistema como quarta instância. Também afirma que a condenação impôs de restrições ulteriores cabíveis a liberdade de expressão e não ocorreu nenhuma censura ao livro. </w:t>
      </w:r>
    </w:p>
    <w:p w14:paraId="00CF7155" w14:textId="1962EF03" w:rsidR="00C31CE3" w:rsidRPr="0099604F"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99604F">
        <w:rPr>
          <w:color w:val="000000" w:themeColor="text1"/>
          <w:sz w:val="20"/>
          <w:szCs w:val="20"/>
          <w:lang w:val="pt-BR"/>
        </w:rPr>
        <w:t>Em relação ao argumento de quarta instância, a CIDH destaca que o carácter complementário do sistema intermaricano e ressalta que, segundo indicado pela Corte Interamericana, para que seja procedente uma exceção de “quarta instância” seria necesario que se “busque que […][se] revise a decisão de um tribunal interno em virtude de sua incorreta apreciação da prova, dos fatos ou do direito interno, sem que, ao mesmo tempo, se alegue que tal decisão incorreu em uma violação de tratados internacionais […].”</w:t>
      </w:r>
      <w:r w:rsidRPr="0099604F">
        <w:rPr>
          <w:rStyle w:val="FootnoteReference"/>
          <w:color w:val="000000" w:themeColor="text1"/>
          <w:sz w:val="20"/>
          <w:szCs w:val="20"/>
          <w:lang w:val="pt-BR"/>
        </w:rPr>
        <w:footnoteReference w:id="8"/>
      </w:r>
      <w:r w:rsidRPr="0099604F">
        <w:rPr>
          <w:color w:val="000000" w:themeColor="text1"/>
          <w:sz w:val="20"/>
          <w:szCs w:val="20"/>
          <w:lang w:val="pt-BR"/>
        </w:rPr>
        <w:t>.  La Comisión considera que, tal como indicou a Corte Interamericana, lhe “compete verificar se, nas etapas efetivamente tomadas a nível interno, foram ou não violadas obrigações internacionais do Estado derivadas dos instrumentos interamericanos que lhe conferem competência”</w:t>
      </w:r>
      <w:r w:rsidRPr="0099604F">
        <w:rPr>
          <w:sz w:val="20"/>
          <w:szCs w:val="20"/>
          <w:vertAlign w:val="superscript"/>
          <w:lang w:val="pt-BR"/>
        </w:rPr>
        <w:t xml:space="preserve"> </w:t>
      </w:r>
      <w:r w:rsidRPr="0099604F">
        <w:rPr>
          <w:sz w:val="20"/>
          <w:szCs w:val="20"/>
          <w:vertAlign w:val="superscript"/>
          <w:lang w:val="pt-BR"/>
        </w:rPr>
        <w:footnoteReference w:id="9"/>
      </w:r>
      <w:r w:rsidR="00B06ED4" w:rsidRPr="00B06ED4">
        <w:rPr>
          <w:sz w:val="20"/>
          <w:szCs w:val="20"/>
          <w:lang w:val="pt-BR"/>
        </w:rPr>
        <w:t>.</w:t>
      </w:r>
      <w:r w:rsidR="00B06ED4">
        <w:rPr>
          <w:sz w:val="20"/>
          <w:szCs w:val="20"/>
          <w:vertAlign w:val="superscript"/>
          <w:lang w:val="pt-BR"/>
        </w:rPr>
        <w:t xml:space="preserve"> </w:t>
      </w:r>
      <w:r w:rsidRPr="0099604F">
        <w:rPr>
          <w:sz w:val="20"/>
          <w:szCs w:val="20"/>
          <w:lang w:val="pt-BR"/>
        </w:rPr>
        <w:t>Cabe também examinar “se as atuações dos órgãos judiciais constituem ou não uma violação das obrigações internacionais do Estado, [o que] pode levar a que […] deva analisar os respectivos processos internos para estabelecer sua compatibilidade com a Convenção Americana”</w:t>
      </w:r>
      <w:r w:rsidRPr="0099604F">
        <w:rPr>
          <w:sz w:val="20"/>
          <w:szCs w:val="20"/>
          <w:vertAlign w:val="superscript"/>
          <w:lang w:val="pt-BR"/>
        </w:rPr>
        <w:t xml:space="preserve"> </w:t>
      </w:r>
      <w:r w:rsidRPr="0099604F">
        <w:rPr>
          <w:sz w:val="20"/>
          <w:szCs w:val="20"/>
          <w:vertAlign w:val="superscript"/>
          <w:lang w:val="pt-BR"/>
        </w:rPr>
        <w:footnoteReference w:id="10"/>
      </w:r>
      <w:r w:rsidRPr="0099604F">
        <w:rPr>
          <w:sz w:val="20"/>
          <w:szCs w:val="20"/>
          <w:lang w:val="pt-BR"/>
        </w:rPr>
        <w:t>. Nesse sentido, a análise sobre se o Estado incorreu em violações à Convenção Americana é uma questão que deve ser decidida no mérito do presente caso.</w:t>
      </w:r>
    </w:p>
    <w:p w14:paraId="313B7D0E" w14:textId="77777777" w:rsidR="00C31CE3" w:rsidRPr="006A026E"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6A026E">
        <w:rPr>
          <w:color w:val="000000" w:themeColor="text1"/>
          <w:sz w:val="20"/>
          <w:szCs w:val="20"/>
          <w:lang w:val="pt-BR"/>
        </w:rPr>
        <w:t xml:space="preserve">No presente caso, a CIDH observa que não se trata apenas de uma simples divergência entre os peticionários e a interpretação que os tribunais internos fizeram das normas legais pertinentes. Ao contrário, a parte peticionária afirma explicitamente que as decisões do poder judiciário interno violaram os direitos humanos da suposta vítima. Assim, ao invocar a fórmula da quarta instância, o Estado brasileiro parte da </w:t>
      </w:r>
      <w:r w:rsidRPr="006A026E">
        <w:rPr>
          <w:color w:val="000000" w:themeColor="text1"/>
          <w:sz w:val="20"/>
          <w:szCs w:val="20"/>
          <w:lang w:val="pt-BR"/>
        </w:rPr>
        <w:lastRenderedPageBreak/>
        <w:t>premissa de que não houve qualquer violação de direitos humanos neste caso, quando, na verdade, essa questão será o cerne do debate sobre o mérito do assunto.</w:t>
      </w:r>
    </w:p>
    <w:p w14:paraId="52395E40" w14:textId="77777777" w:rsidR="00C31CE3" w:rsidRPr="006A026E" w:rsidRDefault="00C31CE3" w:rsidP="00C31CE3">
      <w:pPr>
        <w:pStyle w:val="ListParagraph"/>
        <w:numPr>
          <w:ilvl w:val="0"/>
          <w:numId w:val="61"/>
        </w:numPr>
        <w:suppressAutoHyphens/>
        <w:spacing w:after="240"/>
        <w:ind w:left="0" w:firstLine="709"/>
        <w:jc w:val="both"/>
        <w:rPr>
          <w:color w:val="000000" w:themeColor="text1"/>
          <w:sz w:val="20"/>
          <w:szCs w:val="20"/>
          <w:lang w:val="pt-BR"/>
        </w:rPr>
      </w:pPr>
      <w:r w:rsidRPr="006A026E">
        <w:rPr>
          <w:color w:val="000000" w:themeColor="text1"/>
          <w:sz w:val="20"/>
          <w:szCs w:val="20"/>
          <w:lang w:val="pt-BR"/>
        </w:rPr>
        <w:t xml:space="preserve">A Comissão observa que ao admitir esta petição não pretende suplantar a competência das autoridades judiciais domésticas. Senão que analisará na etapa de mérito da presente petição se os processos judiciais internos cumpriram com as garantias do devido processo e proteção judicial, ofereceu as devidas garantias de acesso à justiça às supostas vítimas nos termos da Convenção Americana e, finalmente, foram instrumentos de garantia dos direitos humanos consagrados neste instrumento. </w:t>
      </w:r>
    </w:p>
    <w:p w14:paraId="7DE18C42" w14:textId="77777777" w:rsidR="00C31CE3" w:rsidRPr="006A026E"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6A026E">
        <w:rPr>
          <w:color w:val="000000" w:themeColor="text1"/>
          <w:sz w:val="20"/>
          <w:szCs w:val="20"/>
          <w:lang w:val="pt-BR"/>
        </w:rPr>
        <w:t xml:space="preserve">Para fins de admissibilidade, a Comissão deve decidir se os fatos alegados podem caracterizar uma violação de direitos, ou se a petição é manifestamente infundada, conforme aritco 47(b) da Convenção, ou carece de fundamento, conforme o inciso (c). A Comissão deve realizar uma avaliação </w:t>
      </w:r>
      <w:r w:rsidRPr="006A026E">
        <w:rPr>
          <w:i/>
          <w:iCs/>
          <w:color w:val="000000" w:themeColor="text1"/>
          <w:sz w:val="20"/>
          <w:szCs w:val="20"/>
          <w:lang w:val="pt-BR"/>
        </w:rPr>
        <w:t>prima facie</w:t>
      </w:r>
      <w:r w:rsidRPr="006A026E">
        <w:rPr>
          <w:color w:val="000000" w:themeColor="text1"/>
          <w:sz w:val="20"/>
          <w:szCs w:val="20"/>
          <w:lang w:val="pt-BR"/>
        </w:rPr>
        <w:t xml:space="preserve"> para determinar se a petição fundamenta a violação possível ou potencial de um direito garantido pela Convenção, mas não para estabelecer a existência de uma violação de direitos. Esta determinação constitui uma análise primária, que não implica prejulgar o mérito da questão</w:t>
      </w:r>
      <w:r w:rsidRPr="006A026E">
        <w:rPr>
          <w:rStyle w:val="FootnoteReference"/>
          <w:color w:val="000000" w:themeColor="text1"/>
          <w:sz w:val="20"/>
          <w:szCs w:val="20"/>
          <w:lang w:val="pt-BR"/>
        </w:rPr>
        <w:footnoteReference w:id="11"/>
      </w:r>
      <w:r w:rsidRPr="006A026E">
        <w:rPr>
          <w:color w:val="000000" w:themeColor="text1"/>
          <w:sz w:val="20"/>
          <w:szCs w:val="20"/>
          <w:lang w:val="pt-BR"/>
        </w:rPr>
        <w:t>.</w:t>
      </w:r>
    </w:p>
    <w:p w14:paraId="50CEC1C0" w14:textId="77777777" w:rsidR="00C31CE3" w:rsidRPr="006A026E"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6A026E">
        <w:rPr>
          <w:color w:val="000000" w:themeColor="text1"/>
          <w:sz w:val="20"/>
          <w:szCs w:val="20"/>
          <w:lang w:val="pt-BR"/>
        </w:rPr>
        <w:t>No caso concreto, a CIDH destaca que o fato de uma decisão sobre restrições a liberdade de expressão ter sido adotada por órgãos judiciais internos não a caracteriza, necessariamente, como uma decisão conforme os parâmetros interamericanos na matéria, tampouco impede a CIDH de avaliar o cumprimento desses parâmetros no caso. As sanções judiciais para o alegado exercício abusivo do direito à liberdade de expressão devem ser legais, obedecer a fins legítimos, ser necessárias e proporcionais (teste tripartite), todos parâmetros analisados no mérito da controvérsia</w:t>
      </w:r>
      <w:r w:rsidRPr="006A026E">
        <w:rPr>
          <w:rStyle w:val="FootnoteReference"/>
          <w:color w:val="000000" w:themeColor="text1"/>
          <w:sz w:val="20"/>
          <w:szCs w:val="20"/>
          <w:lang w:val="pt-BR"/>
        </w:rPr>
        <w:footnoteReference w:id="12"/>
      </w:r>
      <w:r w:rsidRPr="006A026E">
        <w:rPr>
          <w:color w:val="000000" w:themeColor="text1"/>
          <w:sz w:val="20"/>
          <w:szCs w:val="20"/>
          <w:lang w:val="pt-BR"/>
        </w:rPr>
        <w:t>, assim como devem ser ditadas conforme o devido processo legal e considerando tais estândares sob pena de também afetar-se o direito de acesso à justiça e a um recurso judicial efetivo. Nessa análise, quando se trata do exercício do jornalismo, é necessário considerar a diligência adotada pela pessoa jornalista para constatar de forma razoável o assunto que divulga</w:t>
      </w:r>
      <w:r w:rsidRPr="006A026E">
        <w:rPr>
          <w:rStyle w:val="FootnoteReference"/>
          <w:color w:val="000000" w:themeColor="text1"/>
          <w:sz w:val="20"/>
          <w:szCs w:val="20"/>
          <w:lang w:val="pt-BR"/>
        </w:rPr>
        <w:footnoteReference w:id="13"/>
      </w:r>
      <w:r w:rsidRPr="006A026E">
        <w:rPr>
          <w:color w:val="000000" w:themeColor="text1"/>
          <w:sz w:val="20"/>
          <w:szCs w:val="20"/>
          <w:lang w:val="pt-BR"/>
        </w:rPr>
        <w:t>. O anterior não se limita a casos penais e inclui a imposição de sanções civis, pois o temor a uma sanção civil desproporcional pode ser  tão o mais intimidante e inibidor para o exercício do direito à liberdade de expressão do que uma sanção penal</w:t>
      </w:r>
      <w:r w:rsidRPr="006A026E">
        <w:rPr>
          <w:rStyle w:val="FootnoteReference"/>
          <w:color w:val="000000" w:themeColor="text1"/>
          <w:sz w:val="20"/>
          <w:szCs w:val="20"/>
          <w:lang w:val="pt-BR"/>
        </w:rPr>
        <w:footnoteReference w:id="14"/>
      </w:r>
      <w:r w:rsidRPr="006A026E">
        <w:rPr>
          <w:color w:val="000000" w:themeColor="text1"/>
          <w:sz w:val="20"/>
          <w:szCs w:val="20"/>
          <w:lang w:val="pt-BR"/>
        </w:rPr>
        <w:t xml:space="preserve">. </w:t>
      </w:r>
    </w:p>
    <w:p w14:paraId="26EBD3AB" w14:textId="77777777" w:rsidR="00C31CE3" w:rsidRPr="006A026E"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6A026E">
        <w:rPr>
          <w:color w:val="000000" w:themeColor="text1"/>
          <w:sz w:val="20"/>
          <w:szCs w:val="20"/>
          <w:lang w:val="pt-BR"/>
        </w:rPr>
        <w:t>No caso concreto, a parte peticionária questiona a compatibilidade da sanção, bem como se o poder judicial analisou o a luz dos requisitos exigidos para as responsabilidades ulteriores pelo exercício da liberdade de expressão. E se houve respeito as garantias judiciais no julgamento, incluído nos últimos recursos apresentados ante o Supremo Tribunal Federal. São todos temas para uma decisão de mérito do assunto.</w:t>
      </w:r>
    </w:p>
    <w:p w14:paraId="402416B2" w14:textId="77777777" w:rsidR="00C31CE3" w:rsidRPr="006A026E"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6A026E">
        <w:rPr>
          <w:color w:val="000000" w:themeColor="text1"/>
          <w:sz w:val="20"/>
          <w:szCs w:val="20"/>
          <w:lang w:val="pt-BR"/>
        </w:rPr>
        <w:t xml:space="preserve">Além disso, a análise da condenação contra o jornalista Rubens Valente não se limita somente ao direito a liberdade de expressão e possíveis violações correlatas a garantias judiciais e acesso à justiça: no caso Palacio Urrutia vs. Ecuador, a Corte IDH analisou, no mérito do assunto, alegadas violações ao direito à propriedade resultante da imposição de indenizações que a parte peticionária considerava de elevado valor. Portanto, as alegações de violação ao direito à propriedade da suposta vítima, no presente caso, merecem uma análise de mérito. </w:t>
      </w:r>
    </w:p>
    <w:p w14:paraId="438780C2" w14:textId="77777777" w:rsidR="00C31CE3"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6A026E">
        <w:rPr>
          <w:color w:val="000000" w:themeColor="text1"/>
          <w:sz w:val="20"/>
          <w:szCs w:val="20"/>
          <w:lang w:val="pt-BR"/>
        </w:rPr>
        <w:t xml:space="preserve">Finalmente, a CIDH não encontra razões manifestas para desestimar a análise sobre os impactos que o estigma da condenação civil causo no direito à honra e à dignidade da suposta vítima, uma vez que a parte peticionária afirma que houve danos à reputação do jornalista. </w:t>
      </w:r>
    </w:p>
    <w:p w14:paraId="5CF393BF" w14:textId="77777777" w:rsidR="00B86079" w:rsidRPr="006A026E" w:rsidRDefault="00B86079" w:rsidP="00B8607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09"/>
        <w:jc w:val="both"/>
        <w:rPr>
          <w:color w:val="000000" w:themeColor="text1"/>
          <w:sz w:val="20"/>
          <w:szCs w:val="20"/>
          <w:lang w:val="pt-BR"/>
        </w:rPr>
      </w:pPr>
    </w:p>
    <w:p w14:paraId="40636100" w14:textId="77777777" w:rsidR="00C31CE3" w:rsidRPr="006A026E" w:rsidRDefault="00C31CE3" w:rsidP="00C31CE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000000" w:themeColor="text1"/>
          <w:sz w:val="20"/>
          <w:szCs w:val="20"/>
          <w:lang w:val="pt-BR"/>
        </w:rPr>
      </w:pPr>
      <w:r w:rsidRPr="006A026E">
        <w:rPr>
          <w:color w:val="000000" w:themeColor="text1"/>
          <w:sz w:val="20"/>
          <w:szCs w:val="20"/>
          <w:lang w:val="pt-BR"/>
        </w:rPr>
        <w:lastRenderedPageBreak/>
        <w:t xml:space="preserve">Em atenção a estas considerações e após examinar os elementos de fato e de direito expostos pelas partes, a Comissão estima que as alegações da parte peticionária não são manifestamente infundadas e requerem um estudo de mérito; pois os fatos alegados, se corroborados como verdadeiros, podem caracterizar violações aos artigos 8 (garantias judiciais), 11 (honra e dignidade), 13 (liberdade de expressão e pensamento), 21 (propriedade privada) e 25 (proteção judicial) da Convenção Americana sobre Direitos Humanos, todos em relação com o artigo 1.1 (obrigação de respeitar os direitos) e 2 (dever de adotar disposições de direito interno) do mesmo tratado. </w:t>
      </w:r>
    </w:p>
    <w:p w14:paraId="3F8D24A0" w14:textId="77777777" w:rsidR="00C31CE3" w:rsidRPr="006A026E" w:rsidRDefault="00C31CE3" w:rsidP="0099604F">
      <w:pPr>
        <w:spacing w:before="240" w:after="240"/>
        <w:ind w:firstLine="709"/>
        <w:jc w:val="both"/>
        <w:rPr>
          <w:rFonts w:asciiTheme="majorHAnsi" w:hAnsiTheme="majorHAnsi"/>
          <w:b/>
          <w:bCs/>
          <w:color w:val="000000" w:themeColor="text1"/>
          <w:sz w:val="20"/>
          <w:szCs w:val="20"/>
          <w:lang w:val="pt-BR"/>
        </w:rPr>
      </w:pPr>
      <w:r w:rsidRPr="006A026E">
        <w:rPr>
          <w:rFonts w:asciiTheme="majorHAnsi" w:hAnsiTheme="majorHAnsi"/>
          <w:b/>
          <w:bCs/>
          <w:color w:val="000000" w:themeColor="text1"/>
          <w:sz w:val="20"/>
          <w:szCs w:val="20"/>
          <w:lang w:val="pt-BR"/>
        </w:rPr>
        <w:t xml:space="preserve">VIII. </w:t>
      </w:r>
      <w:r w:rsidRPr="006A026E">
        <w:rPr>
          <w:rFonts w:asciiTheme="majorHAnsi" w:hAnsiTheme="majorHAnsi"/>
          <w:b/>
          <w:bCs/>
          <w:color w:val="000000" w:themeColor="text1"/>
          <w:sz w:val="20"/>
          <w:szCs w:val="20"/>
          <w:lang w:val="pt-BR"/>
        </w:rPr>
        <w:tab/>
      </w:r>
      <w:r>
        <w:rPr>
          <w:rFonts w:asciiTheme="majorHAnsi" w:hAnsiTheme="majorHAnsi"/>
          <w:b/>
          <w:bCs/>
          <w:color w:val="000000" w:themeColor="text1"/>
          <w:sz w:val="20"/>
          <w:szCs w:val="20"/>
        </w:rPr>
        <w:t>DECISÃO</w:t>
      </w:r>
    </w:p>
    <w:p w14:paraId="24C2EFFC" w14:textId="793D90AF" w:rsidR="00C31CE3" w:rsidRPr="006A026E" w:rsidRDefault="00C31CE3" w:rsidP="00C31CE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pt-BR"/>
        </w:rPr>
      </w:pPr>
      <w:r w:rsidRPr="006A026E">
        <w:rPr>
          <w:rFonts w:asciiTheme="majorHAnsi" w:hAnsiTheme="majorHAnsi"/>
          <w:color w:val="000000" w:themeColor="text1"/>
          <w:sz w:val="20"/>
          <w:szCs w:val="20"/>
          <w:lang w:val="pt-BR"/>
        </w:rPr>
        <w:t>Declarar admissível a presente petição em relação com os artigos 8, 11, 13, 21 e 25 em conexão com os artigos1.1 e 2 da CADH</w:t>
      </w:r>
      <w:r w:rsidR="00887F27">
        <w:rPr>
          <w:rFonts w:asciiTheme="majorHAnsi" w:hAnsiTheme="majorHAnsi"/>
          <w:color w:val="000000" w:themeColor="text1"/>
          <w:sz w:val="20"/>
          <w:szCs w:val="20"/>
          <w:lang w:val="pt-BR"/>
        </w:rPr>
        <w:t>;</w:t>
      </w:r>
    </w:p>
    <w:p w14:paraId="657D5290" w14:textId="77777777" w:rsidR="00C31CE3" w:rsidRDefault="00C31CE3" w:rsidP="00C31CE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pt-BR"/>
        </w:rPr>
      </w:pPr>
      <w:r w:rsidRPr="006A026E">
        <w:rPr>
          <w:rFonts w:asciiTheme="majorHAnsi" w:hAnsiTheme="majorHAnsi"/>
          <w:color w:val="000000" w:themeColor="text1"/>
          <w:sz w:val="20"/>
          <w:szCs w:val="20"/>
          <w:lang w:val="pt-BR"/>
        </w:rPr>
        <w:t>Notificar as partes sobre a presente decisão, continuar com a análise de mérito da questão, publicar a decisão e incluí-la em seu Relatório Anual à Assembleia-Geral da Organização dos Estados Americanos.</w:t>
      </w:r>
    </w:p>
    <w:p w14:paraId="65FB5623" w14:textId="08D9590E" w:rsidR="00985FD4" w:rsidRPr="00A268D5" w:rsidRDefault="00F74C18" w:rsidP="00A268D5">
      <w:pPr>
        <w:ind w:firstLine="720"/>
        <w:jc w:val="both"/>
        <w:rPr>
          <w:rFonts w:ascii="Cambria" w:hAnsi="Cambria"/>
          <w:sz w:val="20"/>
          <w:lang w:val="pt-BR"/>
        </w:rPr>
      </w:pPr>
      <w:bookmarkStart w:id="2" w:name="_Hlk89363282"/>
      <w:r w:rsidRPr="006F60BE">
        <w:rPr>
          <w:rFonts w:ascii="Cambria" w:hAnsi="Cambria"/>
          <w:sz w:val="20"/>
          <w:lang w:val="pt-BR"/>
        </w:rPr>
        <w:t>Aprovado pela Com</w:t>
      </w:r>
      <w:r w:rsidRPr="00DB2ED3">
        <w:rPr>
          <w:rFonts w:ascii="Cambria" w:hAnsi="Cambria"/>
          <w:sz w:val="20"/>
          <w:lang w:val="pt-BR"/>
        </w:rPr>
        <w:t xml:space="preserve">issão Interamericana de Direitos Humanos aos </w:t>
      </w:r>
      <w:r w:rsidR="006A5132" w:rsidRPr="00DB2ED3">
        <w:rPr>
          <w:rFonts w:ascii="Cambria" w:hAnsi="Cambria"/>
          <w:sz w:val="20"/>
          <w:lang w:val="pt-BR"/>
        </w:rPr>
        <w:t>10</w:t>
      </w:r>
      <w:r w:rsidRPr="00DB2ED3">
        <w:rPr>
          <w:rFonts w:ascii="Cambria" w:hAnsi="Cambria"/>
          <w:sz w:val="20"/>
          <w:lang w:val="pt-BR"/>
        </w:rPr>
        <w:t xml:space="preserve"> dias do mês de </w:t>
      </w:r>
      <w:r w:rsidR="006A5132" w:rsidRPr="00DB2ED3">
        <w:rPr>
          <w:rFonts w:ascii="Cambria" w:hAnsi="Cambria"/>
          <w:sz w:val="20"/>
          <w:lang w:val="pt-BR"/>
        </w:rPr>
        <w:t>março</w:t>
      </w:r>
      <w:r w:rsidRPr="00DB2ED3">
        <w:rPr>
          <w:rFonts w:ascii="Cambria" w:hAnsi="Cambria"/>
          <w:sz w:val="20"/>
          <w:lang w:val="pt-BR"/>
        </w:rPr>
        <w:t xml:space="preserve"> de 20</w:t>
      </w:r>
      <w:r w:rsidR="006A5132" w:rsidRPr="00DB2ED3">
        <w:rPr>
          <w:rFonts w:ascii="Cambria" w:hAnsi="Cambria"/>
          <w:sz w:val="20"/>
          <w:lang w:val="pt-BR"/>
        </w:rPr>
        <w:t>25</w:t>
      </w:r>
      <w:r w:rsidRPr="00DB2ED3">
        <w:rPr>
          <w:rFonts w:ascii="Cambria" w:hAnsi="Cambria"/>
          <w:sz w:val="20"/>
          <w:lang w:val="pt-BR"/>
        </w:rPr>
        <w:t>. (Assinado</w:t>
      </w:r>
      <w:r w:rsidRPr="00E93ABF">
        <w:rPr>
          <w:rFonts w:ascii="Cambria" w:hAnsi="Cambria"/>
          <w:sz w:val="20"/>
          <w:lang w:val="pt-BR"/>
        </w:rPr>
        <w:t xml:space="preserve">): </w:t>
      </w:r>
      <w:r w:rsidR="00A026E9" w:rsidRPr="00E93ABF">
        <w:rPr>
          <w:rFonts w:ascii="Cambria" w:hAnsi="Cambria"/>
          <w:sz w:val="20"/>
          <w:lang w:val="pt-BR"/>
        </w:rPr>
        <w:t xml:space="preserve">Arif Bulkan, Segundo Vicepresidente; </w:t>
      </w:r>
      <w:r w:rsidR="00A026E9" w:rsidRPr="00E93ABF">
        <w:rPr>
          <w:rStyle w:val="normaltextrun"/>
          <w:rFonts w:ascii="Cambria" w:hAnsi="Cambria" w:cs="Segoe UI"/>
          <w:sz w:val="20"/>
          <w:szCs w:val="20"/>
          <w:lang w:val="pt-BR"/>
        </w:rPr>
        <w:t>Edgar Stuardo Ralón Orellana, Carlos Bernal Pulido e Gloria Monique de Mees</w:t>
      </w:r>
      <w:r w:rsidR="00A026E9" w:rsidRPr="00E93ABF">
        <w:rPr>
          <w:rFonts w:ascii="Cambria" w:hAnsi="Cambria"/>
          <w:sz w:val="20"/>
          <w:lang w:val="pt-BR"/>
        </w:rPr>
        <w:t xml:space="preserve">, </w:t>
      </w:r>
      <w:r w:rsidR="00A026E9" w:rsidRPr="005E20A4">
        <w:rPr>
          <w:rFonts w:ascii="Cambria" w:hAnsi="Cambria"/>
          <w:sz w:val="20"/>
          <w:lang w:val="pt-BR"/>
        </w:rPr>
        <w:t>membros da Comissão.</w:t>
      </w:r>
      <w:bookmarkEnd w:id="2"/>
    </w:p>
    <w:sectPr w:rsidR="00985FD4" w:rsidRPr="00A268D5" w:rsidSect="002B5D1F">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F30FF" w14:textId="77777777" w:rsidR="008157F0" w:rsidRDefault="008157F0">
      <w:r>
        <w:separator/>
      </w:r>
    </w:p>
  </w:endnote>
  <w:endnote w:type="continuationSeparator" w:id="0">
    <w:p w14:paraId="3C89A168" w14:textId="77777777" w:rsidR="008157F0" w:rsidRDefault="0081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9F9474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C5675">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FCE0" w14:textId="77777777" w:rsidR="008157F0" w:rsidRPr="000F35ED" w:rsidRDefault="008157F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6855DE7" w14:textId="77777777" w:rsidR="008157F0" w:rsidRPr="000F35ED" w:rsidRDefault="008157F0" w:rsidP="000F35ED">
      <w:pPr>
        <w:rPr>
          <w:rFonts w:asciiTheme="majorHAnsi" w:hAnsiTheme="majorHAnsi"/>
          <w:sz w:val="16"/>
          <w:szCs w:val="16"/>
        </w:rPr>
      </w:pPr>
      <w:r w:rsidRPr="000F35ED">
        <w:rPr>
          <w:rFonts w:asciiTheme="majorHAnsi" w:hAnsiTheme="majorHAnsi"/>
          <w:sz w:val="16"/>
          <w:szCs w:val="16"/>
        </w:rPr>
        <w:separator/>
      </w:r>
    </w:p>
    <w:p w14:paraId="7570603A" w14:textId="77777777" w:rsidR="008157F0" w:rsidRPr="000F35ED" w:rsidRDefault="008157F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31861AE" w14:textId="77777777" w:rsidR="008157F0" w:rsidRPr="000F35ED" w:rsidRDefault="008157F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FCED92D" w14:textId="77777777" w:rsidR="00C31CE3" w:rsidRPr="00A7764B" w:rsidRDefault="00C31CE3" w:rsidP="00B86079">
      <w:pPr>
        <w:pStyle w:val="FootnoteText"/>
        <w:ind w:firstLine="720"/>
        <w:jc w:val="both"/>
        <w:rPr>
          <w:rFonts w:asciiTheme="majorHAnsi" w:hAnsiTheme="majorHAnsi"/>
          <w:sz w:val="16"/>
          <w:szCs w:val="16"/>
          <w:lang w:val="pt-BR"/>
        </w:rPr>
      </w:pPr>
      <w:r w:rsidRPr="00A7764B">
        <w:rPr>
          <w:rStyle w:val="FootnoteReference"/>
          <w:rFonts w:asciiTheme="majorHAnsi" w:hAnsiTheme="majorHAnsi"/>
          <w:sz w:val="16"/>
          <w:szCs w:val="16"/>
        </w:rPr>
        <w:footnoteRef/>
      </w:r>
      <w:r w:rsidRPr="00A7764B">
        <w:rPr>
          <w:rFonts w:asciiTheme="majorHAnsi" w:hAnsiTheme="majorHAnsi"/>
          <w:sz w:val="16"/>
          <w:szCs w:val="16"/>
          <w:lang w:val="pt-BR"/>
        </w:rPr>
        <w:t xml:space="preserve"> Adiante, “Convenção Americana” ou “Convenção”</w:t>
      </w:r>
    </w:p>
  </w:footnote>
  <w:footnote w:id="3">
    <w:p w14:paraId="79F07139" w14:textId="59ADAE8B" w:rsidR="008E3BFE" w:rsidRPr="00CF6976" w:rsidRDefault="008E3BFE" w:rsidP="00B86079">
      <w:pPr>
        <w:pStyle w:val="FootnoteText"/>
        <w:tabs>
          <w:tab w:val="left" w:pos="0"/>
          <w:tab w:val="left" w:pos="567"/>
        </w:tabs>
        <w:ind w:firstLine="720"/>
        <w:jc w:val="both"/>
        <w:rPr>
          <w:rFonts w:asciiTheme="majorHAnsi" w:hAnsiTheme="majorHAnsi"/>
          <w:color w:val="000000" w:themeColor="text1"/>
          <w:sz w:val="16"/>
          <w:szCs w:val="16"/>
          <w:lang w:val="pt-BR"/>
        </w:rPr>
      </w:pPr>
      <w:r w:rsidRPr="00CF6976">
        <w:rPr>
          <w:rStyle w:val="FootnoteReference"/>
          <w:rFonts w:asciiTheme="majorHAnsi" w:hAnsiTheme="majorHAnsi"/>
          <w:color w:val="000000" w:themeColor="text1"/>
          <w:sz w:val="16"/>
          <w:szCs w:val="16"/>
          <w:lang w:val="pt-BR"/>
        </w:rPr>
        <w:footnoteRef/>
      </w:r>
      <w:r w:rsidRPr="00CF6976">
        <w:rPr>
          <w:rFonts w:asciiTheme="majorHAnsi" w:hAnsiTheme="majorHAnsi"/>
          <w:color w:val="000000" w:themeColor="text1"/>
          <w:sz w:val="16"/>
          <w:szCs w:val="16"/>
          <w:lang w:val="pt-BR"/>
        </w:rPr>
        <w:t xml:space="preserve"> </w:t>
      </w:r>
      <w:r w:rsidR="00A53003" w:rsidRPr="00CF6976">
        <w:rPr>
          <w:rFonts w:asciiTheme="majorHAnsi" w:hAnsiTheme="majorHAnsi"/>
          <w:color w:val="000000" w:themeColor="text1"/>
          <w:sz w:val="16"/>
          <w:szCs w:val="16"/>
          <w:lang w:val="pt-BR"/>
        </w:rPr>
        <w:t>As observações de cada parte foram dev</w:t>
      </w:r>
      <w:r w:rsidRPr="00CF6976">
        <w:rPr>
          <w:rFonts w:asciiTheme="majorHAnsi" w:hAnsiTheme="majorHAnsi"/>
          <w:color w:val="000000" w:themeColor="text1"/>
          <w:sz w:val="16"/>
          <w:szCs w:val="16"/>
          <w:lang w:val="pt-BR"/>
        </w:rPr>
        <w:t>idamente tra</w:t>
      </w:r>
      <w:r w:rsidR="00A53003" w:rsidRPr="00CF6976">
        <w:rPr>
          <w:rFonts w:asciiTheme="majorHAnsi" w:hAnsiTheme="majorHAnsi"/>
          <w:color w:val="000000" w:themeColor="text1"/>
          <w:sz w:val="16"/>
          <w:szCs w:val="16"/>
          <w:lang w:val="pt-BR"/>
        </w:rPr>
        <w:t>n</w:t>
      </w:r>
      <w:r w:rsidRPr="00CF6976">
        <w:rPr>
          <w:rFonts w:asciiTheme="majorHAnsi" w:hAnsiTheme="majorHAnsi"/>
          <w:color w:val="000000" w:themeColor="text1"/>
          <w:sz w:val="16"/>
          <w:szCs w:val="16"/>
          <w:lang w:val="pt-BR"/>
        </w:rPr>
        <w:t xml:space="preserve">sladadas </w:t>
      </w:r>
      <w:r w:rsidR="00A53003" w:rsidRPr="00CF6976">
        <w:rPr>
          <w:rFonts w:asciiTheme="majorHAnsi" w:hAnsiTheme="majorHAnsi"/>
          <w:color w:val="000000" w:themeColor="text1"/>
          <w:sz w:val="16"/>
          <w:szCs w:val="16"/>
          <w:lang w:val="pt-BR"/>
        </w:rPr>
        <w:t>à parte contrá</w:t>
      </w:r>
      <w:r w:rsidRPr="00CF6976">
        <w:rPr>
          <w:rFonts w:asciiTheme="majorHAnsi" w:hAnsiTheme="majorHAnsi"/>
          <w:color w:val="000000" w:themeColor="text1"/>
          <w:sz w:val="16"/>
          <w:szCs w:val="16"/>
          <w:lang w:val="pt-BR"/>
        </w:rPr>
        <w:t>ria.</w:t>
      </w:r>
    </w:p>
  </w:footnote>
  <w:footnote w:id="4">
    <w:p w14:paraId="770ADE57" w14:textId="77777777" w:rsidR="00C31CE3" w:rsidRPr="00A7764B" w:rsidRDefault="00C31CE3" w:rsidP="00B86079">
      <w:pPr>
        <w:pStyle w:val="FootnoteText"/>
        <w:ind w:firstLine="720"/>
        <w:jc w:val="both"/>
        <w:rPr>
          <w:rFonts w:asciiTheme="majorHAnsi" w:hAnsiTheme="majorHAnsi"/>
          <w:sz w:val="16"/>
          <w:szCs w:val="16"/>
          <w:lang w:val="pt-BR"/>
        </w:rPr>
      </w:pPr>
      <w:r w:rsidRPr="00A7764B">
        <w:rPr>
          <w:rStyle w:val="FootnoteReference"/>
          <w:rFonts w:asciiTheme="majorHAnsi" w:hAnsiTheme="majorHAnsi"/>
          <w:sz w:val="16"/>
          <w:szCs w:val="16"/>
          <w:shd w:val="clear" w:color="auto" w:fill="FFFFFF" w:themeFill="background1"/>
        </w:rPr>
        <w:footnoteRef/>
      </w:r>
      <w:r w:rsidRPr="00A7764B">
        <w:rPr>
          <w:rFonts w:asciiTheme="majorHAnsi" w:hAnsiTheme="majorHAnsi"/>
          <w:sz w:val="16"/>
          <w:szCs w:val="16"/>
          <w:shd w:val="clear" w:color="auto" w:fill="FFFFFF" w:themeFill="background1"/>
          <w:lang w:val="pt-BR"/>
        </w:rPr>
        <w:t xml:space="preserve"> Adicionalmente, durante a etapa de estudo inicial, foram recebidos dois escritos de </w:t>
      </w:r>
      <w:r w:rsidRPr="005D73D3">
        <w:rPr>
          <w:rFonts w:asciiTheme="majorHAnsi" w:hAnsiTheme="majorHAnsi"/>
          <w:i/>
          <w:iCs/>
          <w:sz w:val="16"/>
          <w:szCs w:val="16"/>
          <w:shd w:val="clear" w:color="auto" w:fill="FFFFFF" w:themeFill="background1"/>
          <w:lang w:val="pt-BR"/>
        </w:rPr>
        <w:t>amicus curiae</w:t>
      </w:r>
      <w:r w:rsidRPr="00A7764B">
        <w:rPr>
          <w:rFonts w:asciiTheme="majorHAnsi" w:hAnsiTheme="majorHAnsi"/>
          <w:sz w:val="16"/>
          <w:szCs w:val="16"/>
          <w:shd w:val="clear" w:color="auto" w:fill="FFFFFF" w:themeFill="background1"/>
          <w:lang w:val="pt-BR"/>
        </w:rPr>
        <w:t xml:space="preserve">, um assinado pela Federação Nacional dos Jornalistas e outro pela Repórteres Sem Fronteiras Brasil. O Estado alegou que a recepção de </w:t>
      </w:r>
      <w:r w:rsidRPr="005D73D3">
        <w:rPr>
          <w:rFonts w:asciiTheme="majorHAnsi" w:hAnsiTheme="majorHAnsi"/>
          <w:i/>
          <w:iCs/>
          <w:sz w:val="16"/>
          <w:szCs w:val="16"/>
          <w:shd w:val="clear" w:color="auto" w:fill="FFFFFF" w:themeFill="background1"/>
          <w:lang w:val="pt-BR"/>
        </w:rPr>
        <w:t>amicus curiae</w:t>
      </w:r>
      <w:r w:rsidRPr="00A7764B">
        <w:rPr>
          <w:rFonts w:asciiTheme="majorHAnsi" w:hAnsiTheme="majorHAnsi"/>
          <w:sz w:val="16"/>
          <w:szCs w:val="16"/>
          <w:shd w:val="clear" w:color="auto" w:fill="FFFFFF" w:themeFill="background1"/>
          <w:lang w:val="pt-BR"/>
        </w:rPr>
        <w:t xml:space="preserve"> pela CIDH era improcedente, devido à falta de disposição regulamentar expressa autorizando essa participação por terceiros. Como a CIDH já decidiu em oportunidades anteriores, “Embora a figura do </w:t>
      </w:r>
      <w:r w:rsidRPr="005D73D3">
        <w:rPr>
          <w:rFonts w:asciiTheme="majorHAnsi" w:hAnsiTheme="majorHAnsi"/>
          <w:i/>
          <w:iCs/>
          <w:sz w:val="16"/>
          <w:szCs w:val="16"/>
          <w:shd w:val="clear" w:color="auto" w:fill="FFFFFF" w:themeFill="background1"/>
          <w:lang w:val="pt-BR"/>
        </w:rPr>
        <w:t>amicus curiae</w:t>
      </w:r>
      <w:r w:rsidRPr="00A7764B">
        <w:rPr>
          <w:rFonts w:asciiTheme="majorHAnsi" w:hAnsiTheme="majorHAnsi"/>
          <w:sz w:val="16"/>
          <w:szCs w:val="16"/>
          <w:shd w:val="clear" w:color="auto" w:fill="FFFFFF" w:themeFill="background1"/>
          <w:lang w:val="pt-BR"/>
        </w:rPr>
        <w:t xml:space="preserve"> não esteja prevista na Convenção Americana nem no Regulamento da CIDH, também não está proibida; o sistema interamericano é regido pelo princípio pro persona, e o impacto das decisões de seus órgãos não se limita às partes nos processos correspondentes. Portanto, a apresentação de escritos de </w:t>
      </w:r>
      <w:r w:rsidRPr="005D73D3">
        <w:rPr>
          <w:rFonts w:asciiTheme="majorHAnsi" w:hAnsiTheme="majorHAnsi"/>
          <w:i/>
          <w:iCs/>
          <w:sz w:val="16"/>
          <w:szCs w:val="16"/>
          <w:shd w:val="clear" w:color="auto" w:fill="FFFFFF" w:themeFill="background1"/>
          <w:lang w:val="pt-BR"/>
        </w:rPr>
        <w:t>amicus curiae</w:t>
      </w:r>
      <w:r w:rsidRPr="00A7764B">
        <w:rPr>
          <w:rFonts w:asciiTheme="majorHAnsi" w:hAnsiTheme="majorHAnsi"/>
          <w:sz w:val="16"/>
          <w:szCs w:val="16"/>
          <w:shd w:val="clear" w:color="auto" w:fill="FFFFFF" w:themeFill="background1"/>
          <w:lang w:val="pt-BR"/>
        </w:rPr>
        <w:t xml:space="preserve"> em relação a petições em trâmite perante a CIDH não é, por si só, improcedente. Por outro lado, a Comissão não encontra no referido escrito elementos que sustentem a alegação de que seria especificamente improcedente por distorcer a finalidade dessa figura.” (CIDH, Relatório No. 124/21. Petição 341-09. Admisibilidade. María Fernanda Peñafiel Salgado e outros. Equador. 15 de jun</w:t>
      </w:r>
      <w:r>
        <w:rPr>
          <w:rFonts w:asciiTheme="majorHAnsi" w:hAnsiTheme="majorHAnsi"/>
          <w:sz w:val="16"/>
          <w:szCs w:val="16"/>
          <w:shd w:val="clear" w:color="auto" w:fill="FFFFFF" w:themeFill="background1"/>
          <w:lang w:val="pt-BR"/>
        </w:rPr>
        <w:t>h</w:t>
      </w:r>
      <w:r w:rsidRPr="00A7764B">
        <w:rPr>
          <w:rFonts w:asciiTheme="majorHAnsi" w:hAnsiTheme="majorHAnsi"/>
          <w:sz w:val="16"/>
          <w:szCs w:val="16"/>
          <w:shd w:val="clear" w:color="auto" w:fill="FFFFFF" w:themeFill="background1"/>
          <w:lang w:val="pt-BR"/>
        </w:rPr>
        <w:t>o de 2021. Nota de rodapé 5).</w:t>
      </w:r>
      <w:r w:rsidRPr="00A7764B">
        <w:rPr>
          <w:rFonts w:asciiTheme="majorHAnsi" w:hAnsiTheme="majorHAnsi"/>
          <w:sz w:val="16"/>
          <w:szCs w:val="16"/>
          <w:lang w:val="pt-BR"/>
        </w:rPr>
        <w:t xml:space="preserve"> </w:t>
      </w:r>
    </w:p>
  </w:footnote>
  <w:footnote w:id="5">
    <w:p w14:paraId="4B0C076D" w14:textId="77777777" w:rsidR="00C31CE3" w:rsidRPr="006A026E" w:rsidRDefault="00C31CE3" w:rsidP="00B86079">
      <w:pPr>
        <w:pStyle w:val="FootnoteText"/>
        <w:ind w:firstLine="720"/>
        <w:jc w:val="both"/>
        <w:rPr>
          <w:lang w:val="pt-BR"/>
        </w:rPr>
      </w:pPr>
      <w:r w:rsidRPr="006A026E">
        <w:rPr>
          <w:rFonts w:asciiTheme="majorHAnsi" w:hAnsiTheme="majorHAnsi"/>
          <w:sz w:val="16"/>
          <w:szCs w:val="16"/>
          <w:lang w:val="pt-BR"/>
        </w:rPr>
        <w:footnoteRef/>
      </w:r>
      <w:r w:rsidRPr="006A026E">
        <w:rPr>
          <w:rFonts w:asciiTheme="majorHAnsi" w:hAnsiTheme="majorHAnsi"/>
          <w:sz w:val="16"/>
          <w:szCs w:val="16"/>
          <w:lang w:val="pt-BR"/>
        </w:rPr>
        <w:t xml:space="preserve"> Adiante, “Corte Interamericana” ou “Corte IDH”.</w:t>
      </w:r>
      <w:r w:rsidRPr="006A026E">
        <w:rPr>
          <w:lang w:val="pt-BR"/>
        </w:rPr>
        <w:t xml:space="preserve"> </w:t>
      </w:r>
    </w:p>
  </w:footnote>
  <w:footnote w:id="6">
    <w:p w14:paraId="2785CF0B" w14:textId="77777777" w:rsidR="00C31CE3" w:rsidRPr="006A026E" w:rsidRDefault="00C31CE3" w:rsidP="00B86079">
      <w:pPr>
        <w:pStyle w:val="FootnoteText"/>
        <w:ind w:firstLine="720"/>
        <w:jc w:val="both"/>
        <w:rPr>
          <w:rFonts w:asciiTheme="majorHAnsi" w:hAnsiTheme="majorHAnsi"/>
          <w:sz w:val="16"/>
          <w:szCs w:val="16"/>
          <w:lang w:val="pt-BR"/>
        </w:rPr>
      </w:pPr>
      <w:r w:rsidRPr="006A026E">
        <w:rPr>
          <w:rStyle w:val="FootnoteReference"/>
          <w:rFonts w:asciiTheme="majorHAnsi" w:hAnsiTheme="majorHAnsi"/>
          <w:sz w:val="16"/>
          <w:szCs w:val="16"/>
          <w:lang w:val="pt-BR"/>
        </w:rPr>
        <w:footnoteRef/>
      </w:r>
      <w:r w:rsidRPr="006A026E">
        <w:rPr>
          <w:rFonts w:asciiTheme="majorHAnsi" w:hAnsiTheme="majorHAnsi"/>
          <w:sz w:val="16"/>
          <w:szCs w:val="16"/>
          <w:lang w:val="pt-BR"/>
        </w:rPr>
        <w:t xml:space="preserve">  Por exemplo: CIDH, Informe No. 26/16, Petição 932-03. Admisibilidade, Rómulo Jonás Ponce Santamaría, Peru, 15 de abril de 2016, párr. 25; e CIDH, Informe N° 83/17, Petição 151-08. Admisibilidade, José Francisco Cid. Argentina. 7 de julho de 2017, pár. 17.</w:t>
      </w:r>
    </w:p>
  </w:footnote>
  <w:footnote w:id="7">
    <w:p w14:paraId="5364A8CB" w14:textId="77777777" w:rsidR="00C31CE3" w:rsidRPr="006A026E" w:rsidRDefault="00C31CE3" w:rsidP="00B86079">
      <w:pPr>
        <w:pStyle w:val="FootnoteText"/>
        <w:ind w:firstLine="720"/>
        <w:jc w:val="both"/>
        <w:rPr>
          <w:rFonts w:asciiTheme="majorHAnsi" w:hAnsiTheme="majorHAnsi"/>
          <w:sz w:val="16"/>
          <w:szCs w:val="16"/>
          <w:lang w:val="pt-BR"/>
        </w:rPr>
      </w:pPr>
      <w:r w:rsidRPr="006A026E">
        <w:rPr>
          <w:rStyle w:val="FootnoteReference"/>
          <w:rFonts w:asciiTheme="majorHAnsi" w:hAnsiTheme="majorHAnsi"/>
          <w:sz w:val="16"/>
          <w:szCs w:val="16"/>
          <w:lang w:val="pt-BR"/>
        </w:rPr>
        <w:footnoteRef/>
      </w:r>
      <w:r w:rsidRPr="006A026E">
        <w:rPr>
          <w:rFonts w:asciiTheme="majorHAnsi" w:hAnsiTheme="majorHAnsi"/>
          <w:sz w:val="16"/>
          <w:szCs w:val="16"/>
          <w:lang w:val="pt-BR"/>
        </w:rPr>
        <w:t xml:space="preserve"> Corte IDH. Caso Favela Nova Brasília Vs. Brasil. Exceções Preliminares, Mérito, Reparações e Custas. Sentença de 16 de fevereiro de 2017. Serie C No. 333, pár. 78; Corte IDH. Caso Duque Vs. Colombia. Exceções Preliminares, Mérito, Reparações e Custas. Sentença de 26 de fevereiro de 2016. Serie C No. 310, pár. 41; Caso Velásquez Paiz e outros Vs. Guatemala. Exceções Preliminares, Mérito, Reparações e Custas. Sentença de 19 de novembro de 2015. Serie C No. 307, pár. 24</w:t>
      </w:r>
    </w:p>
  </w:footnote>
  <w:footnote w:id="8">
    <w:p w14:paraId="57AC5EBE" w14:textId="77777777" w:rsidR="00C31CE3" w:rsidRPr="006A026E" w:rsidRDefault="00C31CE3" w:rsidP="00B86079">
      <w:pPr>
        <w:pStyle w:val="FootnoteText"/>
        <w:ind w:firstLine="720"/>
        <w:jc w:val="both"/>
        <w:rPr>
          <w:rFonts w:asciiTheme="majorHAnsi" w:hAnsiTheme="majorHAnsi"/>
          <w:sz w:val="16"/>
          <w:szCs w:val="16"/>
          <w:lang w:val="pt-BR"/>
        </w:rPr>
      </w:pPr>
      <w:r w:rsidRPr="006A026E">
        <w:rPr>
          <w:rStyle w:val="FootnoteReference"/>
          <w:rFonts w:asciiTheme="majorHAnsi" w:hAnsiTheme="majorHAnsi"/>
          <w:sz w:val="16"/>
          <w:szCs w:val="16"/>
          <w:lang w:val="pt-BR"/>
        </w:rPr>
        <w:footnoteRef/>
      </w:r>
      <w:r w:rsidRPr="006A026E">
        <w:rPr>
          <w:rFonts w:asciiTheme="majorHAnsi" w:hAnsiTheme="majorHAnsi"/>
          <w:sz w:val="16"/>
          <w:szCs w:val="16"/>
          <w:lang w:val="pt-BR"/>
        </w:rPr>
        <w:t xml:space="preserve"> Corte IDH. Caso Cabrera García e Montiel Flores Vs. México. Exceção Preliminar, Mérito, Reparações e Custas. Sentença de 26 de novembro de 2010. S</w:t>
      </w:r>
      <w:r>
        <w:rPr>
          <w:rFonts w:asciiTheme="majorHAnsi" w:hAnsiTheme="majorHAnsi"/>
          <w:sz w:val="16"/>
          <w:szCs w:val="16"/>
          <w:lang w:val="pt-BR"/>
        </w:rPr>
        <w:t>é</w:t>
      </w:r>
      <w:r w:rsidRPr="006A026E">
        <w:rPr>
          <w:rFonts w:asciiTheme="majorHAnsi" w:hAnsiTheme="majorHAnsi"/>
          <w:sz w:val="16"/>
          <w:szCs w:val="16"/>
          <w:lang w:val="pt-BR"/>
        </w:rPr>
        <w:t>rie C No. 220, p</w:t>
      </w:r>
      <w:r>
        <w:rPr>
          <w:rFonts w:asciiTheme="majorHAnsi" w:hAnsiTheme="majorHAnsi"/>
          <w:sz w:val="16"/>
          <w:szCs w:val="16"/>
          <w:lang w:val="pt-BR"/>
        </w:rPr>
        <w:t>a</w:t>
      </w:r>
      <w:r w:rsidRPr="006A026E">
        <w:rPr>
          <w:rFonts w:asciiTheme="majorHAnsi" w:hAnsiTheme="majorHAnsi"/>
          <w:sz w:val="16"/>
          <w:szCs w:val="16"/>
          <w:lang w:val="pt-BR"/>
        </w:rPr>
        <w:t>r. 18. Original e</w:t>
      </w:r>
      <w:r>
        <w:rPr>
          <w:rFonts w:asciiTheme="majorHAnsi" w:hAnsiTheme="majorHAnsi"/>
          <w:sz w:val="16"/>
          <w:szCs w:val="16"/>
          <w:lang w:val="pt-BR"/>
        </w:rPr>
        <w:t>m</w:t>
      </w:r>
      <w:r w:rsidRPr="006A026E">
        <w:rPr>
          <w:rFonts w:asciiTheme="majorHAnsi" w:hAnsiTheme="majorHAnsi"/>
          <w:sz w:val="16"/>
          <w:szCs w:val="16"/>
          <w:lang w:val="pt-BR"/>
        </w:rPr>
        <w:t xml:space="preserve"> espanhol.</w:t>
      </w:r>
    </w:p>
  </w:footnote>
  <w:footnote w:id="9">
    <w:p w14:paraId="0ABB878D" w14:textId="77777777" w:rsidR="00C31CE3" w:rsidRPr="006A026E" w:rsidRDefault="00C31CE3" w:rsidP="00B86079">
      <w:pPr>
        <w:pStyle w:val="FootnoteText"/>
        <w:ind w:firstLine="720"/>
        <w:jc w:val="both"/>
        <w:rPr>
          <w:rFonts w:asciiTheme="majorHAnsi" w:hAnsiTheme="majorHAnsi"/>
          <w:sz w:val="16"/>
          <w:szCs w:val="16"/>
          <w:lang w:val="pt-BR"/>
        </w:rPr>
      </w:pPr>
      <w:r w:rsidRPr="006A026E">
        <w:rPr>
          <w:rStyle w:val="FootnoteReference"/>
          <w:rFonts w:asciiTheme="majorHAnsi" w:hAnsiTheme="majorHAnsi"/>
          <w:sz w:val="16"/>
          <w:szCs w:val="16"/>
          <w:lang w:val="pt-BR"/>
        </w:rPr>
        <w:footnoteRef/>
      </w:r>
      <w:r w:rsidRPr="006A026E">
        <w:rPr>
          <w:rFonts w:asciiTheme="majorHAnsi" w:hAnsiTheme="majorHAnsi"/>
          <w:sz w:val="16"/>
          <w:szCs w:val="16"/>
          <w:lang w:val="pt-BR"/>
        </w:rPr>
        <w:t xml:space="preserve"> Corte IDH. Caso Cabrera García e Montiel Flores Vs. México. Exceção Preliminar, Mérito, Reparações e Custas. Sentença de 26 de novembro de 2010. S</w:t>
      </w:r>
      <w:r>
        <w:rPr>
          <w:rFonts w:asciiTheme="majorHAnsi" w:hAnsiTheme="majorHAnsi"/>
          <w:sz w:val="16"/>
          <w:szCs w:val="16"/>
          <w:lang w:val="pt-BR"/>
        </w:rPr>
        <w:t>é</w:t>
      </w:r>
      <w:r w:rsidRPr="006A026E">
        <w:rPr>
          <w:rFonts w:asciiTheme="majorHAnsi" w:hAnsiTheme="majorHAnsi"/>
          <w:sz w:val="16"/>
          <w:szCs w:val="16"/>
          <w:lang w:val="pt-BR"/>
        </w:rPr>
        <w:t>rie C No. 220, p</w:t>
      </w:r>
      <w:r>
        <w:rPr>
          <w:rFonts w:asciiTheme="majorHAnsi" w:hAnsiTheme="majorHAnsi"/>
          <w:sz w:val="16"/>
          <w:szCs w:val="16"/>
          <w:lang w:val="pt-BR"/>
        </w:rPr>
        <w:t>ar</w:t>
      </w:r>
      <w:r w:rsidRPr="006A026E">
        <w:rPr>
          <w:rFonts w:asciiTheme="majorHAnsi" w:hAnsiTheme="majorHAnsi"/>
          <w:sz w:val="16"/>
          <w:szCs w:val="16"/>
          <w:lang w:val="pt-BR"/>
        </w:rPr>
        <w:t xml:space="preserve">. 18. Original </w:t>
      </w:r>
      <w:r>
        <w:rPr>
          <w:rFonts w:asciiTheme="majorHAnsi" w:hAnsiTheme="majorHAnsi"/>
          <w:sz w:val="16"/>
          <w:szCs w:val="16"/>
          <w:lang w:val="pt-BR"/>
        </w:rPr>
        <w:t>em</w:t>
      </w:r>
      <w:r w:rsidRPr="006A026E">
        <w:rPr>
          <w:rFonts w:asciiTheme="majorHAnsi" w:hAnsiTheme="majorHAnsi"/>
          <w:sz w:val="16"/>
          <w:szCs w:val="16"/>
          <w:lang w:val="pt-BR"/>
        </w:rPr>
        <w:t xml:space="preserve"> espanhol.</w:t>
      </w:r>
    </w:p>
  </w:footnote>
  <w:footnote w:id="10">
    <w:p w14:paraId="574BEE9C" w14:textId="77777777" w:rsidR="00C31CE3" w:rsidRPr="006A026E" w:rsidRDefault="00C31CE3" w:rsidP="00B86079">
      <w:pPr>
        <w:pStyle w:val="FootnoteText"/>
        <w:ind w:firstLine="720"/>
        <w:jc w:val="both"/>
        <w:rPr>
          <w:rFonts w:asciiTheme="majorHAnsi" w:hAnsiTheme="majorHAnsi"/>
          <w:sz w:val="16"/>
          <w:szCs w:val="16"/>
          <w:lang w:val="pt-BR"/>
        </w:rPr>
      </w:pPr>
      <w:r w:rsidRPr="006A026E">
        <w:rPr>
          <w:rStyle w:val="FootnoteReference"/>
          <w:rFonts w:asciiTheme="majorHAnsi" w:hAnsiTheme="majorHAnsi"/>
          <w:sz w:val="16"/>
          <w:szCs w:val="16"/>
          <w:lang w:val="pt-BR"/>
        </w:rPr>
        <w:footnoteRef/>
      </w:r>
      <w:r w:rsidRPr="006A026E">
        <w:rPr>
          <w:rFonts w:asciiTheme="majorHAnsi" w:hAnsiTheme="majorHAnsi"/>
          <w:sz w:val="16"/>
          <w:szCs w:val="16"/>
          <w:lang w:val="pt-BR"/>
        </w:rPr>
        <w:t xml:space="preserve"> Corte IDH. Caso Palma Mendoza e outros Vs. Ecuador. Exceção Preliminar e Mérito. Sentença de 3 de setembro de 2012. Serie C No. 247, par. 18; Corte IDH. Caso Rosadio Villavicencio Vs. Per</w:t>
      </w:r>
      <w:r>
        <w:rPr>
          <w:rFonts w:asciiTheme="majorHAnsi" w:hAnsiTheme="majorHAnsi"/>
          <w:sz w:val="16"/>
          <w:szCs w:val="16"/>
          <w:lang w:val="pt-BR"/>
        </w:rPr>
        <w:t>u</w:t>
      </w:r>
      <w:r w:rsidRPr="006A026E">
        <w:rPr>
          <w:rFonts w:asciiTheme="majorHAnsi" w:hAnsiTheme="majorHAnsi"/>
          <w:sz w:val="16"/>
          <w:szCs w:val="16"/>
          <w:lang w:val="pt-BR"/>
        </w:rPr>
        <w:t>. Exceções Preliminares, Mérito, Reparações e Custas. Sentença de 14 de outubro de 2019.  Série C No. 388., p</w:t>
      </w:r>
      <w:r>
        <w:rPr>
          <w:rFonts w:asciiTheme="majorHAnsi" w:hAnsiTheme="majorHAnsi"/>
          <w:sz w:val="16"/>
          <w:szCs w:val="16"/>
          <w:lang w:val="pt-BR"/>
        </w:rPr>
        <w:t>a</w:t>
      </w:r>
      <w:r w:rsidRPr="006A026E">
        <w:rPr>
          <w:rFonts w:asciiTheme="majorHAnsi" w:hAnsiTheme="majorHAnsi"/>
          <w:sz w:val="16"/>
          <w:szCs w:val="16"/>
          <w:lang w:val="pt-BR"/>
        </w:rPr>
        <w:t>r. 24; Corte IDH. Corte IDH. Caso Cabrera García e Montiel Flores Vs. México. Exceção Preliminar, Mérito, Reparações e Custas. Sentença de 26 de novembro de 2010. Serie C No. 220, p</w:t>
      </w:r>
      <w:r>
        <w:rPr>
          <w:rFonts w:asciiTheme="majorHAnsi" w:hAnsiTheme="majorHAnsi"/>
          <w:sz w:val="16"/>
          <w:szCs w:val="16"/>
          <w:lang w:val="pt-BR"/>
        </w:rPr>
        <w:t>ar</w:t>
      </w:r>
      <w:r w:rsidRPr="006A026E">
        <w:rPr>
          <w:rFonts w:asciiTheme="majorHAnsi" w:hAnsiTheme="majorHAnsi"/>
          <w:sz w:val="16"/>
          <w:szCs w:val="16"/>
          <w:lang w:val="pt-BR"/>
        </w:rPr>
        <w:t xml:space="preserve">. Original em espanhol. . </w:t>
      </w:r>
    </w:p>
  </w:footnote>
  <w:footnote w:id="11">
    <w:p w14:paraId="170DADF7" w14:textId="77777777" w:rsidR="00C31CE3" w:rsidRPr="006A026E" w:rsidRDefault="00C31CE3" w:rsidP="00B86079">
      <w:pPr>
        <w:pStyle w:val="FootnoteText"/>
        <w:ind w:firstLine="720"/>
        <w:jc w:val="both"/>
        <w:rPr>
          <w:rFonts w:asciiTheme="majorHAnsi" w:hAnsiTheme="majorHAnsi"/>
          <w:sz w:val="16"/>
          <w:szCs w:val="16"/>
          <w:lang w:val="pt-BR"/>
        </w:rPr>
      </w:pPr>
      <w:r w:rsidRPr="006A026E">
        <w:rPr>
          <w:rStyle w:val="FootnoteReference"/>
          <w:rFonts w:asciiTheme="majorHAnsi" w:hAnsiTheme="majorHAnsi"/>
          <w:sz w:val="16"/>
          <w:szCs w:val="16"/>
          <w:lang w:val="pt-BR"/>
        </w:rPr>
        <w:footnoteRef/>
      </w:r>
      <w:r w:rsidRPr="006A026E">
        <w:rPr>
          <w:rFonts w:asciiTheme="majorHAnsi" w:hAnsiTheme="majorHAnsi"/>
          <w:sz w:val="16"/>
          <w:szCs w:val="16"/>
          <w:lang w:val="pt-BR"/>
        </w:rPr>
        <w:t xml:space="preserve"> CIDH, Relatório No. 277/23. Petição 6-15. Admissibilidade. Julio César dos Santos e outros. Brasil. 31 de outubro de 2023. Par. 40. </w:t>
      </w:r>
    </w:p>
  </w:footnote>
  <w:footnote w:id="12">
    <w:p w14:paraId="02D7A7AA" w14:textId="77777777" w:rsidR="00C31CE3" w:rsidRPr="006A026E" w:rsidRDefault="00C31CE3" w:rsidP="00B86079">
      <w:pPr>
        <w:pStyle w:val="FootnoteText"/>
        <w:ind w:firstLine="720"/>
        <w:jc w:val="both"/>
        <w:rPr>
          <w:lang w:val="pt-BR"/>
        </w:rPr>
      </w:pPr>
      <w:r w:rsidRPr="006A026E">
        <w:rPr>
          <w:rStyle w:val="FootnoteReference"/>
          <w:lang w:val="pt-BR"/>
        </w:rPr>
        <w:footnoteRef/>
      </w:r>
      <w:r w:rsidRPr="006A026E">
        <w:rPr>
          <w:lang w:val="pt-BR"/>
        </w:rPr>
        <w:t xml:space="preserve"> </w:t>
      </w:r>
      <w:r w:rsidRPr="006A026E">
        <w:rPr>
          <w:rFonts w:asciiTheme="majorHAnsi" w:hAnsiTheme="majorHAnsi"/>
          <w:sz w:val="16"/>
          <w:szCs w:val="16"/>
          <w:lang w:val="pt-BR"/>
        </w:rPr>
        <w:t>CIDH. Informe No. 52/ 19. Caso 12.624. Fondo. Carlos Baraona Bray. Chile. 4 de maio de 2019. Par. 95 et. Al..; Corte IDH. Caso San Miguel Sosa e outras Vs. Venezuela. Mérito, Reparações e Custas. Sentença de 8 de fevereiro de 2018. Série C No. 348. Par. 196.</w:t>
      </w:r>
    </w:p>
  </w:footnote>
  <w:footnote w:id="13">
    <w:p w14:paraId="2647CA73" w14:textId="77777777" w:rsidR="00C31CE3" w:rsidRPr="006A026E" w:rsidRDefault="00C31CE3" w:rsidP="00B86079">
      <w:pPr>
        <w:pStyle w:val="FootnoteText"/>
        <w:ind w:firstLine="720"/>
        <w:jc w:val="both"/>
        <w:rPr>
          <w:rFonts w:asciiTheme="majorHAnsi" w:hAnsiTheme="majorHAnsi"/>
          <w:sz w:val="16"/>
          <w:szCs w:val="16"/>
          <w:lang w:val="pt-BR"/>
        </w:rPr>
      </w:pPr>
      <w:r w:rsidRPr="006A026E">
        <w:rPr>
          <w:rStyle w:val="FootnoteReference"/>
          <w:rFonts w:asciiTheme="majorHAnsi" w:hAnsiTheme="majorHAnsi"/>
          <w:sz w:val="16"/>
          <w:szCs w:val="16"/>
          <w:lang w:val="pt-BR"/>
        </w:rPr>
        <w:footnoteRef/>
      </w:r>
      <w:r w:rsidRPr="006A026E">
        <w:rPr>
          <w:rFonts w:asciiTheme="majorHAnsi" w:hAnsiTheme="majorHAnsi"/>
          <w:sz w:val="16"/>
          <w:szCs w:val="16"/>
          <w:lang w:val="pt-BR"/>
        </w:rPr>
        <w:t xml:space="preserve"> Corte IDH. Caso Moya Chacón e outro Vs. Costa Rica. Exceções Preliminares, Mérito, Reparações e Custas. Sentença 23 de maio de 2022. Série C No. 451. Par. 68.</w:t>
      </w:r>
    </w:p>
  </w:footnote>
  <w:footnote w:id="14">
    <w:p w14:paraId="2B2E5F45" w14:textId="77777777" w:rsidR="00C31CE3" w:rsidRPr="006A026E" w:rsidRDefault="00C31CE3" w:rsidP="00B86079">
      <w:pPr>
        <w:pStyle w:val="FootnoteText"/>
        <w:ind w:firstLine="720"/>
        <w:jc w:val="both"/>
        <w:rPr>
          <w:lang w:val="pt-BR"/>
        </w:rPr>
      </w:pPr>
      <w:r w:rsidRPr="006A026E">
        <w:rPr>
          <w:rStyle w:val="FootnoteReference"/>
          <w:rFonts w:asciiTheme="majorHAnsi" w:hAnsiTheme="majorHAnsi"/>
          <w:sz w:val="16"/>
          <w:szCs w:val="16"/>
          <w:lang w:val="pt-BR"/>
        </w:rPr>
        <w:footnoteRef/>
      </w:r>
      <w:r w:rsidRPr="006A026E">
        <w:rPr>
          <w:rFonts w:asciiTheme="majorHAnsi" w:hAnsiTheme="majorHAnsi"/>
          <w:sz w:val="16"/>
          <w:szCs w:val="16"/>
          <w:lang w:val="pt-BR"/>
        </w:rPr>
        <w:t xml:space="preserve"> Corte IDH. Caso Fontevecchia e D’Amico Vs. Argentina. Mérito Reparações e Custas. Sentença de 29 de novembro de 2011. Série C No. 238. Par. 74.</w:t>
      </w:r>
      <w:r w:rsidRPr="006A026E">
        <w:rPr>
          <w:lang w:val="pt-B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9F4815" w:rsidP="00A50FCF">
    <w:pPr>
      <w:pStyle w:val="Header"/>
      <w:tabs>
        <w:tab w:val="clear" w:pos="4320"/>
        <w:tab w:val="clear" w:pos="8640"/>
      </w:tabs>
      <w:jc w:val="center"/>
      <w:rPr>
        <w:sz w:val="22"/>
        <w:szCs w:val="22"/>
      </w:rPr>
    </w:pPr>
    <w:r>
      <w:rPr>
        <w:noProof/>
        <w:sz w:val="22"/>
        <w:szCs w:val="22"/>
        <w:bdr w:val="nil"/>
      </w:rPr>
      <w:pict w14:anchorId="241D2EC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80C"/>
    <w:multiLevelType w:val="hybridMultilevel"/>
    <w:tmpl w:val="2724111A"/>
    <w:lvl w:ilvl="0" w:tplc="73F4F4A2">
      <w:start w:val="1"/>
      <w:numFmt w:val="decimal"/>
      <w:lvlText w:val="%1."/>
      <w:lvlJc w:val="left"/>
      <w:pPr>
        <w:ind w:left="720" w:hanging="360"/>
      </w:pPr>
      <w:rPr>
        <w:b w:val="0"/>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A4117"/>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5735461"/>
    <w:multiLevelType w:val="hybridMultilevel"/>
    <w:tmpl w:val="3A787CF6"/>
    <w:lvl w:ilvl="0" w:tplc="15A4BBA6">
      <w:start w:val="1"/>
      <w:numFmt w:val="decimal"/>
      <w:lvlText w:val="%1."/>
      <w:lvlJc w:val="left"/>
      <w:pPr>
        <w:tabs>
          <w:tab w:val="num" w:pos="540"/>
        </w:tabs>
        <w:ind w:left="180" w:firstLine="720"/>
      </w:pPr>
      <w:rPr>
        <w:rFonts w:ascii="Cambria" w:hAnsi="Cambria" w:hint="default"/>
        <w:b w:val="0"/>
        <w:i w:val="0"/>
        <w:color w:val="auto"/>
        <w:sz w:val="20"/>
        <w:szCs w:val="20"/>
        <w:lang w:val="es-ES"/>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73418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1ED15A8"/>
    <w:multiLevelType w:val="hybridMultilevel"/>
    <w:tmpl w:val="35A8F87A"/>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7B8B61C">
      <w:start w:val="1"/>
      <w:numFmt w:val="decimal"/>
      <w:lvlText w:val="%3."/>
      <w:lvlJc w:val="left"/>
      <w:pPr>
        <w:tabs>
          <w:tab w:val="num" w:pos="2160"/>
        </w:tabs>
        <w:ind w:left="2160" w:hanging="360"/>
      </w:pPr>
      <w:rPr>
        <w:rFonts w:ascii="Cambria" w:eastAsia="Batang" w:hAnsi="Cambria" w:cs="Times New Roman"/>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53056667">
    <w:abstractNumId w:val="5"/>
  </w:num>
  <w:num w:numId="2" w16cid:durableId="1095054135">
    <w:abstractNumId w:val="7"/>
  </w:num>
  <w:num w:numId="3" w16cid:durableId="686636090">
    <w:abstractNumId w:val="55"/>
  </w:num>
  <w:num w:numId="4" w16cid:durableId="205989545">
    <w:abstractNumId w:val="23"/>
  </w:num>
  <w:num w:numId="5" w16cid:durableId="461386112">
    <w:abstractNumId w:val="49"/>
  </w:num>
  <w:num w:numId="6" w16cid:durableId="1951890293">
    <w:abstractNumId w:val="28"/>
  </w:num>
  <w:num w:numId="7" w16cid:durableId="224074655">
    <w:abstractNumId w:val="8"/>
  </w:num>
  <w:num w:numId="8" w16cid:durableId="509491146">
    <w:abstractNumId w:val="19"/>
  </w:num>
  <w:num w:numId="9" w16cid:durableId="679746523">
    <w:abstractNumId w:val="39"/>
  </w:num>
  <w:num w:numId="10" w16cid:durableId="785540507">
    <w:abstractNumId w:val="43"/>
  </w:num>
  <w:num w:numId="11" w16cid:durableId="591671258">
    <w:abstractNumId w:val="2"/>
  </w:num>
  <w:num w:numId="12" w16cid:durableId="1796824837">
    <w:abstractNumId w:val="38"/>
  </w:num>
  <w:num w:numId="13" w16cid:durableId="1038506908">
    <w:abstractNumId w:val="45"/>
  </w:num>
  <w:num w:numId="14" w16cid:durableId="86658834">
    <w:abstractNumId w:val="3"/>
  </w:num>
  <w:num w:numId="15" w16cid:durableId="16348715">
    <w:abstractNumId w:val="4"/>
  </w:num>
  <w:num w:numId="16" w16cid:durableId="1071270982">
    <w:abstractNumId w:val="9"/>
  </w:num>
  <w:num w:numId="17" w16cid:durableId="2122069102">
    <w:abstractNumId w:val="10"/>
  </w:num>
  <w:num w:numId="18" w16cid:durableId="588582568">
    <w:abstractNumId w:val="11"/>
  </w:num>
  <w:num w:numId="19" w16cid:durableId="1061296907">
    <w:abstractNumId w:val="12"/>
  </w:num>
  <w:num w:numId="20" w16cid:durableId="1653676677">
    <w:abstractNumId w:val="13"/>
  </w:num>
  <w:num w:numId="21" w16cid:durableId="895512675">
    <w:abstractNumId w:val="14"/>
  </w:num>
  <w:num w:numId="22" w16cid:durableId="63257943">
    <w:abstractNumId w:val="15"/>
  </w:num>
  <w:num w:numId="23" w16cid:durableId="937563255">
    <w:abstractNumId w:val="17"/>
  </w:num>
  <w:num w:numId="24" w16cid:durableId="252706929">
    <w:abstractNumId w:val="18"/>
  </w:num>
  <w:num w:numId="25" w16cid:durableId="496917761">
    <w:abstractNumId w:val="20"/>
  </w:num>
  <w:num w:numId="26" w16cid:durableId="144132384">
    <w:abstractNumId w:val="21"/>
  </w:num>
  <w:num w:numId="27" w16cid:durableId="84957105">
    <w:abstractNumId w:val="24"/>
  </w:num>
  <w:num w:numId="28" w16cid:durableId="1480459728">
    <w:abstractNumId w:val="25"/>
  </w:num>
  <w:num w:numId="29" w16cid:durableId="1728258308">
    <w:abstractNumId w:val="26"/>
  </w:num>
  <w:num w:numId="30" w16cid:durableId="562954423">
    <w:abstractNumId w:val="27"/>
  </w:num>
  <w:num w:numId="31" w16cid:durableId="1645811968">
    <w:abstractNumId w:val="29"/>
  </w:num>
  <w:num w:numId="32" w16cid:durableId="129707669">
    <w:abstractNumId w:val="30"/>
  </w:num>
  <w:num w:numId="33" w16cid:durableId="293829277">
    <w:abstractNumId w:val="31"/>
  </w:num>
  <w:num w:numId="34" w16cid:durableId="1371304091">
    <w:abstractNumId w:val="32"/>
  </w:num>
  <w:num w:numId="35" w16cid:durableId="912282219">
    <w:abstractNumId w:val="33"/>
  </w:num>
  <w:num w:numId="36" w16cid:durableId="1307125483">
    <w:abstractNumId w:val="35"/>
  </w:num>
  <w:num w:numId="37" w16cid:durableId="2065636347">
    <w:abstractNumId w:val="36"/>
  </w:num>
  <w:num w:numId="38" w16cid:durableId="1135483610">
    <w:abstractNumId w:val="37"/>
  </w:num>
  <w:num w:numId="39" w16cid:durableId="1360811991">
    <w:abstractNumId w:val="40"/>
  </w:num>
  <w:num w:numId="40" w16cid:durableId="93135522">
    <w:abstractNumId w:val="41"/>
  </w:num>
  <w:num w:numId="41" w16cid:durableId="187528895">
    <w:abstractNumId w:val="47"/>
  </w:num>
  <w:num w:numId="42" w16cid:durableId="921911955">
    <w:abstractNumId w:val="50"/>
  </w:num>
  <w:num w:numId="43" w16cid:durableId="1830780685">
    <w:abstractNumId w:val="51"/>
  </w:num>
  <w:num w:numId="44" w16cid:durableId="1662462542">
    <w:abstractNumId w:val="53"/>
  </w:num>
  <w:num w:numId="45" w16cid:durableId="2063560051">
    <w:abstractNumId w:val="54"/>
  </w:num>
  <w:num w:numId="46" w16cid:durableId="1659113872">
    <w:abstractNumId w:val="56"/>
  </w:num>
  <w:num w:numId="47" w16cid:durableId="2089229177">
    <w:abstractNumId w:val="57"/>
  </w:num>
  <w:num w:numId="48" w16cid:durableId="108285962">
    <w:abstractNumId w:val="58"/>
  </w:num>
  <w:num w:numId="49" w16cid:durableId="2077778408">
    <w:abstractNumId w:val="59"/>
  </w:num>
  <w:num w:numId="50" w16cid:durableId="265888232">
    <w:abstractNumId w:val="60"/>
  </w:num>
  <w:num w:numId="51" w16cid:durableId="1140345612">
    <w:abstractNumId w:val="22"/>
  </w:num>
  <w:num w:numId="52" w16cid:durableId="938297353">
    <w:abstractNumId w:val="42"/>
  </w:num>
  <w:num w:numId="53" w16cid:durableId="1604995787">
    <w:abstractNumId w:val="52"/>
  </w:num>
  <w:num w:numId="54" w16cid:durableId="1099061070">
    <w:abstractNumId w:val="46"/>
  </w:num>
  <w:num w:numId="55" w16cid:durableId="681661242">
    <w:abstractNumId w:val="6"/>
  </w:num>
  <w:num w:numId="56" w16cid:durableId="921334544">
    <w:abstractNumId w:val="44"/>
  </w:num>
  <w:num w:numId="57" w16cid:durableId="18165529">
    <w:abstractNumId w:val="34"/>
  </w:num>
  <w:num w:numId="58" w16cid:durableId="753631208">
    <w:abstractNumId w:val="1"/>
  </w:num>
  <w:num w:numId="59" w16cid:durableId="1322006672">
    <w:abstractNumId w:val="16"/>
  </w:num>
  <w:num w:numId="60" w16cid:durableId="1018697943">
    <w:abstractNumId w:val="48"/>
  </w:num>
  <w:num w:numId="61" w16cid:durableId="1230766913">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pt-BR" w:vendorID="64" w:dllVersion="0" w:nlCheck="1" w:checkStyle="0"/>
  <w:activeWritingStyle w:appName="MSWord" w:lang="es-ES" w:vendorID="64" w:dllVersion="0" w:nlCheck="1" w:checkStyle="0"/>
  <w:activeWritingStyle w:appName="MSWord" w:lang="es-U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P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6E1F"/>
    <w:rsid w:val="000070D7"/>
    <w:rsid w:val="0001788C"/>
    <w:rsid w:val="00020C18"/>
    <w:rsid w:val="00023CCC"/>
    <w:rsid w:val="000246EA"/>
    <w:rsid w:val="00031D5F"/>
    <w:rsid w:val="000337EF"/>
    <w:rsid w:val="000364FC"/>
    <w:rsid w:val="00040C3A"/>
    <w:rsid w:val="000419AD"/>
    <w:rsid w:val="00042951"/>
    <w:rsid w:val="000433C9"/>
    <w:rsid w:val="000529AD"/>
    <w:rsid w:val="000541A2"/>
    <w:rsid w:val="0005538C"/>
    <w:rsid w:val="000607B7"/>
    <w:rsid w:val="0006641F"/>
    <w:rsid w:val="000716C5"/>
    <w:rsid w:val="00073049"/>
    <w:rsid w:val="00075E23"/>
    <w:rsid w:val="000815E7"/>
    <w:rsid w:val="000865AB"/>
    <w:rsid w:val="0009280F"/>
    <w:rsid w:val="0009344A"/>
    <w:rsid w:val="00097037"/>
    <w:rsid w:val="000A1AC3"/>
    <w:rsid w:val="000A392E"/>
    <w:rsid w:val="000A575F"/>
    <w:rsid w:val="000A5B01"/>
    <w:rsid w:val="000A72D0"/>
    <w:rsid w:val="000B43BB"/>
    <w:rsid w:val="000B7559"/>
    <w:rsid w:val="000C2014"/>
    <w:rsid w:val="000C2F1A"/>
    <w:rsid w:val="000C4640"/>
    <w:rsid w:val="000C5C69"/>
    <w:rsid w:val="000D10DB"/>
    <w:rsid w:val="000D7963"/>
    <w:rsid w:val="000E4B0C"/>
    <w:rsid w:val="000E5EB5"/>
    <w:rsid w:val="000F0067"/>
    <w:rsid w:val="000F34D0"/>
    <w:rsid w:val="000F35ED"/>
    <w:rsid w:val="000F7FA6"/>
    <w:rsid w:val="001069B6"/>
    <w:rsid w:val="00107131"/>
    <w:rsid w:val="0010736F"/>
    <w:rsid w:val="001112AC"/>
    <w:rsid w:val="00113F73"/>
    <w:rsid w:val="0011617A"/>
    <w:rsid w:val="00121CC2"/>
    <w:rsid w:val="00126384"/>
    <w:rsid w:val="00126E05"/>
    <w:rsid w:val="0012736F"/>
    <w:rsid w:val="00133EE5"/>
    <w:rsid w:val="0014089D"/>
    <w:rsid w:val="00141C48"/>
    <w:rsid w:val="001441FE"/>
    <w:rsid w:val="0014694C"/>
    <w:rsid w:val="00147DD4"/>
    <w:rsid w:val="00150313"/>
    <w:rsid w:val="00155879"/>
    <w:rsid w:val="00161EA8"/>
    <w:rsid w:val="00164DD1"/>
    <w:rsid w:val="00167A34"/>
    <w:rsid w:val="0018736C"/>
    <w:rsid w:val="001917EA"/>
    <w:rsid w:val="00192FDC"/>
    <w:rsid w:val="001934A4"/>
    <w:rsid w:val="00193C4F"/>
    <w:rsid w:val="001A7870"/>
    <w:rsid w:val="001B3A00"/>
    <w:rsid w:val="001C1B41"/>
    <w:rsid w:val="001C7ECC"/>
    <w:rsid w:val="001D2206"/>
    <w:rsid w:val="001D5BF8"/>
    <w:rsid w:val="001D65EF"/>
    <w:rsid w:val="001E49E7"/>
    <w:rsid w:val="001E7F07"/>
    <w:rsid w:val="001F7201"/>
    <w:rsid w:val="00204009"/>
    <w:rsid w:val="00204A80"/>
    <w:rsid w:val="00206F26"/>
    <w:rsid w:val="00220A9E"/>
    <w:rsid w:val="00223A29"/>
    <w:rsid w:val="002250A3"/>
    <w:rsid w:val="002271FD"/>
    <w:rsid w:val="0022736D"/>
    <w:rsid w:val="00233CFB"/>
    <w:rsid w:val="00235217"/>
    <w:rsid w:val="00235691"/>
    <w:rsid w:val="00246D1F"/>
    <w:rsid w:val="00247403"/>
    <w:rsid w:val="00247542"/>
    <w:rsid w:val="00250E5C"/>
    <w:rsid w:val="0025182B"/>
    <w:rsid w:val="00253B95"/>
    <w:rsid w:val="00253E93"/>
    <w:rsid w:val="00257978"/>
    <w:rsid w:val="00266B61"/>
    <w:rsid w:val="0026712A"/>
    <w:rsid w:val="002704DB"/>
    <w:rsid w:val="0027100F"/>
    <w:rsid w:val="00273C62"/>
    <w:rsid w:val="00291ED7"/>
    <w:rsid w:val="00296900"/>
    <w:rsid w:val="00296E76"/>
    <w:rsid w:val="00297F0F"/>
    <w:rsid w:val="002A0AAE"/>
    <w:rsid w:val="002A0C19"/>
    <w:rsid w:val="002A4763"/>
    <w:rsid w:val="002A5820"/>
    <w:rsid w:val="002A5F99"/>
    <w:rsid w:val="002B09A7"/>
    <w:rsid w:val="002B5D1F"/>
    <w:rsid w:val="002B6870"/>
    <w:rsid w:val="002C507C"/>
    <w:rsid w:val="002D2B26"/>
    <w:rsid w:val="002D388A"/>
    <w:rsid w:val="002D491B"/>
    <w:rsid w:val="002D6596"/>
    <w:rsid w:val="002D7EA2"/>
    <w:rsid w:val="002E1290"/>
    <w:rsid w:val="002E187C"/>
    <w:rsid w:val="002E7CF3"/>
    <w:rsid w:val="002F379B"/>
    <w:rsid w:val="002F43B4"/>
    <w:rsid w:val="002F71F6"/>
    <w:rsid w:val="002F7E89"/>
    <w:rsid w:val="00302733"/>
    <w:rsid w:val="003039E4"/>
    <w:rsid w:val="00311C9C"/>
    <w:rsid w:val="00312C63"/>
    <w:rsid w:val="00314078"/>
    <w:rsid w:val="0031535D"/>
    <w:rsid w:val="00322A75"/>
    <w:rsid w:val="003239B8"/>
    <w:rsid w:val="003268C5"/>
    <w:rsid w:val="00327678"/>
    <w:rsid w:val="0033169F"/>
    <w:rsid w:val="003335D7"/>
    <w:rsid w:val="003436C3"/>
    <w:rsid w:val="00343C15"/>
    <w:rsid w:val="00344977"/>
    <w:rsid w:val="00346517"/>
    <w:rsid w:val="00346C95"/>
    <w:rsid w:val="003535A3"/>
    <w:rsid w:val="00354756"/>
    <w:rsid w:val="00356185"/>
    <w:rsid w:val="00360380"/>
    <w:rsid w:val="00363F62"/>
    <w:rsid w:val="003642D6"/>
    <w:rsid w:val="003728B8"/>
    <w:rsid w:val="0037519E"/>
    <w:rsid w:val="0037551B"/>
    <w:rsid w:val="00377667"/>
    <w:rsid w:val="00386CF0"/>
    <w:rsid w:val="0038709A"/>
    <w:rsid w:val="003B3A8F"/>
    <w:rsid w:val="003B70FB"/>
    <w:rsid w:val="003C2955"/>
    <w:rsid w:val="003C5EF0"/>
    <w:rsid w:val="003C676B"/>
    <w:rsid w:val="003D3BC2"/>
    <w:rsid w:val="003D7924"/>
    <w:rsid w:val="003E644D"/>
    <w:rsid w:val="003E6CA1"/>
    <w:rsid w:val="003E76DB"/>
    <w:rsid w:val="003F1230"/>
    <w:rsid w:val="00400ADC"/>
    <w:rsid w:val="004023EB"/>
    <w:rsid w:val="004065A8"/>
    <w:rsid w:val="00411485"/>
    <w:rsid w:val="00411971"/>
    <w:rsid w:val="004165C2"/>
    <w:rsid w:val="00420EC6"/>
    <w:rsid w:val="00422745"/>
    <w:rsid w:val="00424F4B"/>
    <w:rsid w:val="004253A6"/>
    <w:rsid w:val="00433114"/>
    <w:rsid w:val="004415CF"/>
    <w:rsid w:val="00441DD5"/>
    <w:rsid w:val="00441ECB"/>
    <w:rsid w:val="00445193"/>
    <w:rsid w:val="004464BA"/>
    <w:rsid w:val="00447C46"/>
    <w:rsid w:val="00455296"/>
    <w:rsid w:val="00461482"/>
    <w:rsid w:val="00462C1B"/>
    <w:rsid w:val="00467B7E"/>
    <w:rsid w:val="00473BB4"/>
    <w:rsid w:val="00475B2D"/>
    <w:rsid w:val="00477592"/>
    <w:rsid w:val="00477B74"/>
    <w:rsid w:val="004851DF"/>
    <w:rsid w:val="00486F1C"/>
    <w:rsid w:val="004939D0"/>
    <w:rsid w:val="0049419D"/>
    <w:rsid w:val="00495BDC"/>
    <w:rsid w:val="00496970"/>
    <w:rsid w:val="004A29C0"/>
    <w:rsid w:val="004A3499"/>
    <w:rsid w:val="004A6A54"/>
    <w:rsid w:val="004C1EE8"/>
    <w:rsid w:val="004C20D2"/>
    <w:rsid w:val="004C2312"/>
    <w:rsid w:val="004C4B62"/>
    <w:rsid w:val="004C54C9"/>
    <w:rsid w:val="004C5FB0"/>
    <w:rsid w:val="004C6C45"/>
    <w:rsid w:val="004D4ABA"/>
    <w:rsid w:val="004D6025"/>
    <w:rsid w:val="004E0AE8"/>
    <w:rsid w:val="004E22DE"/>
    <w:rsid w:val="004E2649"/>
    <w:rsid w:val="004E7298"/>
    <w:rsid w:val="004F1F31"/>
    <w:rsid w:val="004F236C"/>
    <w:rsid w:val="00501399"/>
    <w:rsid w:val="00501448"/>
    <w:rsid w:val="00505C94"/>
    <w:rsid w:val="0050633D"/>
    <w:rsid w:val="00507BC4"/>
    <w:rsid w:val="005128E4"/>
    <w:rsid w:val="005133DB"/>
    <w:rsid w:val="005136E3"/>
    <w:rsid w:val="00516A0D"/>
    <w:rsid w:val="00522115"/>
    <w:rsid w:val="0052234F"/>
    <w:rsid w:val="00525560"/>
    <w:rsid w:val="00527F9C"/>
    <w:rsid w:val="00533A38"/>
    <w:rsid w:val="00533AEE"/>
    <w:rsid w:val="00537F33"/>
    <w:rsid w:val="005408AF"/>
    <w:rsid w:val="0054211B"/>
    <w:rsid w:val="00543F65"/>
    <w:rsid w:val="00544C49"/>
    <w:rsid w:val="00547145"/>
    <w:rsid w:val="00547CCB"/>
    <w:rsid w:val="005516A1"/>
    <w:rsid w:val="00551D6B"/>
    <w:rsid w:val="005521EF"/>
    <w:rsid w:val="00563557"/>
    <w:rsid w:val="00567F67"/>
    <w:rsid w:val="00570414"/>
    <w:rsid w:val="0057402A"/>
    <w:rsid w:val="005769C8"/>
    <w:rsid w:val="005771D0"/>
    <w:rsid w:val="005776AC"/>
    <w:rsid w:val="00580EF0"/>
    <w:rsid w:val="005813B3"/>
    <w:rsid w:val="00584073"/>
    <w:rsid w:val="005904C8"/>
    <w:rsid w:val="0059191A"/>
    <w:rsid w:val="005921FF"/>
    <w:rsid w:val="00596B1D"/>
    <w:rsid w:val="00597603"/>
    <w:rsid w:val="0059769B"/>
    <w:rsid w:val="005A23BC"/>
    <w:rsid w:val="005A24ED"/>
    <w:rsid w:val="005A3E78"/>
    <w:rsid w:val="005A68AD"/>
    <w:rsid w:val="005A6D0E"/>
    <w:rsid w:val="005A7BFD"/>
    <w:rsid w:val="005B09C1"/>
    <w:rsid w:val="005B131B"/>
    <w:rsid w:val="005B176D"/>
    <w:rsid w:val="005B421D"/>
    <w:rsid w:val="005B52B0"/>
    <w:rsid w:val="005B6806"/>
    <w:rsid w:val="005B6A07"/>
    <w:rsid w:val="005C3767"/>
    <w:rsid w:val="005C4225"/>
    <w:rsid w:val="005D0ADC"/>
    <w:rsid w:val="005D3DFB"/>
    <w:rsid w:val="005E1672"/>
    <w:rsid w:val="005E4951"/>
    <w:rsid w:val="005E7ECE"/>
    <w:rsid w:val="005F0DAD"/>
    <w:rsid w:val="005F0F33"/>
    <w:rsid w:val="00600DEB"/>
    <w:rsid w:val="00600E05"/>
    <w:rsid w:val="00604F6F"/>
    <w:rsid w:val="00614BEA"/>
    <w:rsid w:val="00615072"/>
    <w:rsid w:val="0062595C"/>
    <w:rsid w:val="00625C87"/>
    <w:rsid w:val="00627C9F"/>
    <w:rsid w:val="00630DCD"/>
    <w:rsid w:val="006311E9"/>
    <w:rsid w:val="00631D05"/>
    <w:rsid w:val="00632354"/>
    <w:rsid w:val="00642671"/>
    <w:rsid w:val="00642810"/>
    <w:rsid w:val="00646EEB"/>
    <w:rsid w:val="0065149A"/>
    <w:rsid w:val="00652333"/>
    <w:rsid w:val="00654B53"/>
    <w:rsid w:val="0066259D"/>
    <w:rsid w:val="00662DA3"/>
    <w:rsid w:val="00664F8A"/>
    <w:rsid w:val="00665636"/>
    <w:rsid w:val="006660E3"/>
    <w:rsid w:val="00667EDC"/>
    <w:rsid w:val="00671900"/>
    <w:rsid w:val="00674295"/>
    <w:rsid w:val="0068009E"/>
    <w:rsid w:val="006833C6"/>
    <w:rsid w:val="00692219"/>
    <w:rsid w:val="0069474E"/>
    <w:rsid w:val="006A01C5"/>
    <w:rsid w:val="006A17B3"/>
    <w:rsid w:val="006A17D2"/>
    <w:rsid w:val="006A192C"/>
    <w:rsid w:val="006A20E7"/>
    <w:rsid w:val="006A5132"/>
    <w:rsid w:val="006A73E6"/>
    <w:rsid w:val="006B1E15"/>
    <w:rsid w:val="006B2D5C"/>
    <w:rsid w:val="006B5A25"/>
    <w:rsid w:val="006B5EE6"/>
    <w:rsid w:val="006B65F4"/>
    <w:rsid w:val="006C4EB1"/>
    <w:rsid w:val="006C5675"/>
    <w:rsid w:val="006D1983"/>
    <w:rsid w:val="006E0166"/>
    <w:rsid w:val="006E22A3"/>
    <w:rsid w:val="006E7B34"/>
    <w:rsid w:val="006E7C98"/>
    <w:rsid w:val="006F7B50"/>
    <w:rsid w:val="0070185B"/>
    <w:rsid w:val="00701B75"/>
    <w:rsid w:val="00704E90"/>
    <w:rsid w:val="0070578D"/>
    <w:rsid w:val="0070697F"/>
    <w:rsid w:val="007123BB"/>
    <w:rsid w:val="007169FF"/>
    <w:rsid w:val="0072199C"/>
    <w:rsid w:val="00722C9F"/>
    <w:rsid w:val="0072489E"/>
    <w:rsid w:val="007253B8"/>
    <w:rsid w:val="00725F8D"/>
    <w:rsid w:val="0073741F"/>
    <w:rsid w:val="00760838"/>
    <w:rsid w:val="00763A93"/>
    <w:rsid w:val="00764460"/>
    <w:rsid w:val="0076643F"/>
    <w:rsid w:val="007665A8"/>
    <w:rsid w:val="00771ABF"/>
    <w:rsid w:val="00775BF0"/>
    <w:rsid w:val="00777B01"/>
    <w:rsid w:val="00777F63"/>
    <w:rsid w:val="00790EC3"/>
    <w:rsid w:val="00790FEF"/>
    <w:rsid w:val="00791A37"/>
    <w:rsid w:val="0079679E"/>
    <w:rsid w:val="007A0DBD"/>
    <w:rsid w:val="007A272C"/>
    <w:rsid w:val="007A3A6B"/>
    <w:rsid w:val="007A5817"/>
    <w:rsid w:val="007B05C4"/>
    <w:rsid w:val="007B0CAB"/>
    <w:rsid w:val="007B319F"/>
    <w:rsid w:val="007B60E9"/>
    <w:rsid w:val="007B6CC3"/>
    <w:rsid w:val="007B76D3"/>
    <w:rsid w:val="007C3334"/>
    <w:rsid w:val="007D2B98"/>
    <w:rsid w:val="007D5B29"/>
    <w:rsid w:val="007D7605"/>
    <w:rsid w:val="007E21BC"/>
    <w:rsid w:val="007E5572"/>
    <w:rsid w:val="007E5D1F"/>
    <w:rsid w:val="007E6938"/>
    <w:rsid w:val="007E7C82"/>
    <w:rsid w:val="007F588D"/>
    <w:rsid w:val="0080214D"/>
    <w:rsid w:val="00803F1C"/>
    <w:rsid w:val="0080600E"/>
    <w:rsid w:val="00806C00"/>
    <w:rsid w:val="00814099"/>
    <w:rsid w:val="008157F0"/>
    <w:rsid w:val="00817612"/>
    <w:rsid w:val="00822A2D"/>
    <w:rsid w:val="008247BE"/>
    <w:rsid w:val="008338A4"/>
    <w:rsid w:val="00834CC1"/>
    <w:rsid w:val="00834D49"/>
    <w:rsid w:val="00837C45"/>
    <w:rsid w:val="00844730"/>
    <w:rsid w:val="008457C2"/>
    <w:rsid w:val="00853628"/>
    <w:rsid w:val="00855486"/>
    <w:rsid w:val="00857A82"/>
    <w:rsid w:val="00860DC6"/>
    <w:rsid w:val="00865009"/>
    <w:rsid w:val="008652C5"/>
    <w:rsid w:val="00873836"/>
    <w:rsid w:val="00885737"/>
    <w:rsid w:val="00886895"/>
    <w:rsid w:val="00887F27"/>
    <w:rsid w:val="00890650"/>
    <w:rsid w:val="00890943"/>
    <w:rsid w:val="00896665"/>
    <w:rsid w:val="00897E12"/>
    <w:rsid w:val="008A7E0F"/>
    <w:rsid w:val="008B0541"/>
    <w:rsid w:val="008B08ED"/>
    <w:rsid w:val="008B12F5"/>
    <w:rsid w:val="008B3786"/>
    <w:rsid w:val="008C2ACB"/>
    <w:rsid w:val="008C6246"/>
    <w:rsid w:val="008C651D"/>
    <w:rsid w:val="008D768D"/>
    <w:rsid w:val="008E1087"/>
    <w:rsid w:val="008E1228"/>
    <w:rsid w:val="008E3759"/>
    <w:rsid w:val="008E3BFE"/>
    <w:rsid w:val="008F0545"/>
    <w:rsid w:val="008F1912"/>
    <w:rsid w:val="008F2A4A"/>
    <w:rsid w:val="0090270B"/>
    <w:rsid w:val="00902833"/>
    <w:rsid w:val="009041DC"/>
    <w:rsid w:val="00907BEE"/>
    <w:rsid w:val="009116E8"/>
    <w:rsid w:val="00917B5A"/>
    <w:rsid w:val="00920A58"/>
    <w:rsid w:val="00920A8C"/>
    <w:rsid w:val="00920E6D"/>
    <w:rsid w:val="00933BE8"/>
    <w:rsid w:val="00934606"/>
    <w:rsid w:val="00934A2C"/>
    <w:rsid w:val="00936647"/>
    <w:rsid w:val="009404EB"/>
    <w:rsid w:val="00942945"/>
    <w:rsid w:val="0094523F"/>
    <w:rsid w:val="00945902"/>
    <w:rsid w:val="00946ACD"/>
    <w:rsid w:val="00950761"/>
    <w:rsid w:val="0095180E"/>
    <w:rsid w:val="00951C2A"/>
    <w:rsid w:val="00953DBA"/>
    <w:rsid w:val="0096706E"/>
    <w:rsid w:val="009675CA"/>
    <w:rsid w:val="00974491"/>
    <w:rsid w:val="00975C4E"/>
    <w:rsid w:val="00977989"/>
    <w:rsid w:val="00980282"/>
    <w:rsid w:val="009809E2"/>
    <w:rsid w:val="00981571"/>
    <w:rsid w:val="00981FBA"/>
    <w:rsid w:val="009840FA"/>
    <w:rsid w:val="00985868"/>
    <w:rsid w:val="00985FD4"/>
    <w:rsid w:val="009959F6"/>
    <w:rsid w:val="0099604F"/>
    <w:rsid w:val="00997BC5"/>
    <w:rsid w:val="009A4F41"/>
    <w:rsid w:val="009B23A8"/>
    <w:rsid w:val="009B381B"/>
    <w:rsid w:val="009B6ABD"/>
    <w:rsid w:val="009C531D"/>
    <w:rsid w:val="009D1200"/>
    <w:rsid w:val="009D1753"/>
    <w:rsid w:val="009D3249"/>
    <w:rsid w:val="009D5F11"/>
    <w:rsid w:val="009D7611"/>
    <w:rsid w:val="009E0B61"/>
    <w:rsid w:val="009E204C"/>
    <w:rsid w:val="009E53DE"/>
    <w:rsid w:val="009E592E"/>
    <w:rsid w:val="009E7B1F"/>
    <w:rsid w:val="009F2544"/>
    <w:rsid w:val="009F3A7E"/>
    <w:rsid w:val="009F4815"/>
    <w:rsid w:val="009F618A"/>
    <w:rsid w:val="00A026E9"/>
    <w:rsid w:val="00A11212"/>
    <w:rsid w:val="00A11E44"/>
    <w:rsid w:val="00A169F9"/>
    <w:rsid w:val="00A20E1B"/>
    <w:rsid w:val="00A268D5"/>
    <w:rsid w:val="00A26980"/>
    <w:rsid w:val="00A2749A"/>
    <w:rsid w:val="00A27CDF"/>
    <w:rsid w:val="00A3062C"/>
    <w:rsid w:val="00A30795"/>
    <w:rsid w:val="00A323B5"/>
    <w:rsid w:val="00A328B3"/>
    <w:rsid w:val="00A357BE"/>
    <w:rsid w:val="00A372DA"/>
    <w:rsid w:val="00A37F2E"/>
    <w:rsid w:val="00A456C0"/>
    <w:rsid w:val="00A50FCF"/>
    <w:rsid w:val="00A528D1"/>
    <w:rsid w:val="00A53003"/>
    <w:rsid w:val="00A610CD"/>
    <w:rsid w:val="00A758AA"/>
    <w:rsid w:val="00A75CC3"/>
    <w:rsid w:val="00A847FC"/>
    <w:rsid w:val="00A84B77"/>
    <w:rsid w:val="00A91817"/>
    <w:rsid w:val="00A92649"/>
    <w:rsid w:val="00A934A2"/>
    <w:rsid w:val="00AA09A2"/>
    <w:rsid w:val="00AA7996"/>
    <w:rsid w:val="00AB0171"/>
    <w:rsid w:val="00AC118A"/>
    <w:rsid w:val="00AC1419"/>
    <w:rsid w:val="00AC19CB"/>
    <w:rsid w:val="00AE3356"/>
    <w:rsid w:val="00AE5488"/>
    <w:rsid w:val="00AE5F29"/>
    <w:rsid w:val="00AE6D2B"/>
    <w:rsid w:val="00AE6F91"/>
    <w:rsid w:val="00AE78CF"/>
    <w:rsid w:val="00AE7A83"/>
    <w:rsid w:val="00AF3067"/>
    <w:rsid w:val="00AF5202"/>
    <w:rsid w:val="00AF5571"/>
    <w:rsid w:val="00AF5604"/>
    <w:rsid w:val="00B00746"/>
    <w:rsid w:val="00B02389"/>
    <w:rsid w:val="00B03C43"/>
    <w:rsid w:val="00B06ED4"/>
    <w:rsid w:val="00B07341"/>
    <w:rsid w:val="00B15DE1"/>
    <w:rsid w:val="00B22CFB"/>
    <w:rsid w:val="00B24C11"/>
    <w:rsid w:val="00B30539"/>
    <w:rsid w:val="00B314DB"/>
    <w:rsid w:val="00B361F2"/>
    <w:rsid w:val="00B3718B"/>
    <w:rsid w:val="00B44BCA"/>
    <w:rsid w:val="00B45456"/>
    <w:rsid w:val="00B4632A"/>
    <w:rsid w:val="00B51266"/>
    <w:rsid w:val="00B530F1"/>
    <w:rsid w:val="00B57CF5"/>
    <w:rsid w:val="00B6242E"/>
    <w:rsid w:val="00B642DA"/>
    <w:rsid w:val="00B74592"/>
    <w:rsid w:val="00B74BF9"/>
    <w:rsid w:val="00B81E09"/>
    <w:rsid w:val="00B83B24"/>
    <w:rsid w:val="00B84EAB"/>
    <w:rsid w:val="00B86079"/>
    <w:rsid w:val="00B86604"/>
    <w:rsid w:val="00B86788"/>
    <w:rsid w:val="00B93BB3"/>
    <w:rsid w:val="00B95931"/>
    <w:rsid w:val="00BA276C"/>
    <w:rsid w:val="00BA2A06"/>
    <w:rsid w:val="00BA5ACD"/>
    <w:rsid w:val="00BB009B"/>
    <w:rsid w:val="00BB306F"/>
    <w:rsid w:val="00BB3B20"/>
    <w:rsid w:val="00BB7212"/>
    <w:rsid w:val="00BC180A"/>
    <w:rsid w:val="00BC193A"/>
    <w:rsid w:val="00BC2A79"/>
    <w:rsid w:val="00BD4B89"/>
    <w:rsid w:val="00BD5922"/>
    <w:rsid w:val="00BD6291"/>
    <w:rsid w:val="00BE4B9C"/>
    <w:rsid w:val="00BE4D9C"/>
    <w:rsid w:val="00BF02CB"/>
    <w:rsid w:val="00BF1B1C"/>
    <w:rsid w:val="00BF2B51"/>
    <w:rsid w:val="00BF49A6"/>
    <w:rsid w:val="00BF5652"/>
    <w:rsid w:val="00BF6FD8"/>
    <w:rsid w:val="00C03680"/>
    <w:rsid w:val="00C04151"/>
    <w:rsid w:val="00C054DF"/>
    <w:rsid w:val="00C0639D"/>
    <w:rsid w:val="00C106FD"/>
    <w:rsid w:val="00C111FF"/>
    <w:rsid w:val="00C12F6B"/>
    <w:rsid w:val="00C21657"/>
    <w:rsid w:val="00C21762"/>
    <w:rsid w:val="00C21FEF"/>
    <w:rsid w:val="00C24543"/>
    <w:rsid w:val="00C25420"/>
    <w:rsid w:val="00C256A2"/>
    <w:rsid w:val="00C31CE3"/>
    <w:rsid w:val="00C33CE7"/>
    <w:rsid w:val="00C36409"/>
    <w:rsid w:val="00C444B7"/>
    <w:rsid w:val="00C45BC6"/>
    <w:rsid w:val="00C51515"/>
    <w:rsid w:val="00C5660B"/>
    <w:rsid w:val="00C57430"/>
    <w:rsid w:val="00C66B72"/>
    <w:rsid w:val="00C67DD9"/>
    <w:rsid w:val="00C71256"/>
    <w:rsid w:val="00C737C5"/>
    <w:rsid w:val="00C80648"/>
    <w:rsid w:val="00C81501"/>
    <w:rsid w:val="00C8370B"/>
    <w:rsid w:val="00C8508B"/>
    <w:rsid w:val="00C87AC4"/>
    <w:rsid w:val="00C9567A"/>
    <w:rsid w:val="00C96AA4"/>
    <w:rsid w:val="00C96AFF"/>
    <w:rsid w:val="00CB212D"/>
    <w:rsid w:val="00CB2660"/>
    <w:rsid w:val="00CB358F"/>
    <w:rsid w:val="00CB48E5"/>
    <w:rsid w:val="00CC1094"/>
    <w:rsid w:val="00CC5E90"/>
    <w:rsid w:val="00CD046C"/>
    <w:rsid w:val="00CD5CEE"/>
    <w:rsid w:val="00CD6CCF"/>
    <w:rsid w:val="00CE076C"/>
    <w:rsid w:val="00CE2823"/>
    <w:rsid w:val="00CE3376"/>
    <w:rsid w:val="00CE364B"/>
    <w:rsid w:val="00CE4CD9"/>
    <w:rsid w:val="00CE5199"/>
    <w:rsid w:val="00CE66D5"/>
    <w:rsid w:val="00CF0B7E"/>
    <w:rsid w:val="00CF637A"/>
    <w:rsid w:val="00CF6976"/>
    <w:rsid w:val="00D02CD8"/>
    <w:rsid w:val="00D03E48"/>
    <w:rsid w:val="00D059DE"/>
    <w:rsid w:val="00D05ABD"/>
    <w:rsid w:val="00D118AA"/>
    <w:rsid w:val="00D13FCE"/>
    <w:rsid w:val="00D16BB5"/>
    <w:rsid w:val="00D202EB"/>
    <w:rsid w:val="00D21316"/>
    <w:rsid w:val="00D26228"/>
    <w:rsid w:val="00D304F5"/>
    <w:rsid w:val="00D306D1"/>
    <w:rsid w:val="00D30800"/>
    <w:rsid w:val="00D34786"/>
    <w:rsid w:val="00D358AF"/>
    <w:rsid w:val="00D37BFC"/>
    <w:rsid w:val="00D4209A"/>
    <w:rsid w:val="00D42F1E"/>
    <w:rsid w:val="00D476CB"/>
    <w:rsid w:val="00D47A8E"/>
    <w:rsid w:val="00D51692"/>
    <w:rsid w:val="00D52C24"/>
    <w:rsid w:val="00D52D14"/>
    <w:rsid w:val="00D56A62"/>
    <w:rsid w:val="00D63BD0"/>
    <w:rsid w:val="00D65118"/>
    <w:rsid w:val="00D712D3"/>
    <w:rsid w:val="00D71422"/>
    <w:rsid w:val="00D72DC6"/>
    <w:rsid w:val="00D7558D"/>
    <w:rsid w:val="00D81D92"/>
    <w:rsid w:val="00D82093"/>
    <w:rsid w:val="00D830E1"/>
    <w:rsid w:val="00D834AA"/>
    <w:rsid w:val="00D86434"/>
    <w:rsid w:val="00D876F9"/>
    <w:rsid w:val="00D91630"/>
    <w:rsid w:val="00D94EE2"/>
    <w:rsid w:val="00DA2224"/>
    <w:rsid w:val="00DA7B5F"/>
    <w:rsid w:val="00DB07B8"/>
    <w:rsid w:val="00DB2ED3"/>
    <w:rsid w:val="00DC11E7"/>
    <w:rsid w:val="00DC15CF"/>
    <w:rsid w:val="00DC2CFD"/>
    <w:rsid w:val="00DC3B3B"/>
    <w:rsid w:val="00DC7023"/>
    <w:rsid w:val="00DC769A"/>
    <w:rsid w:val="00DD145E"/>
    <w:rsid w:val="00DD189E"/>
    <w:rsid w:val="00DD3D86"/>
    <w:rsid w:val="00DD4AD2"/>
    <w:rsid w:val="00DE21CE"/>
    <w:rsid w:val="00DE2BAF"/>
    <w:rsid w:val="00DE69EE"/>
    <w:rsid w:val="00DE7593"/>
    <w:rsid w:val="00DF1E04"/>
    <w:rsid w:val="00DF1EC4"/>
    <w:rsid w:val="00DF266C"/>
    <w:rsid w:val="00DF3401"/>
    <w:rsid w:val="00E02B42"/>
    <w:rsid w:val="00E02ED6"/>
    <w:rsid w:val="00E0340B"/>
    <w:rsid w:val="00E03755"/>
    <w:rsid w:val="00E04A90"/>
    <w:rsid w:val="00E0551F"/>
    <w:rsid w:val="00E072AB"/>
    <w:rsid w:val="00E1172C"/>
    <w:rsid w:val="00E1175D"/>
    <w:rsid w:val="00E167CE"/>
    <w:rsid w:val="00E219C7"/>
    <w:rsid w:val="00E22BD6"/>
    <w:rsid w:val="00E2348E"/>
    <w:rsid w:val="00E25718"/>
    <w:rsid w:val="00E31933"/>
    <w:rsid w:val="00E3460C"/>
    <w:rsid w:val="00E40376"/>
    <w:rsid w:val="00E4118C"/>
    <w:rsid w:val="00E43157"/>
    <w:rsid w:val="00E461CE"/>
    <w:rsid w:val="00E55F62"/>
    <w:rsid w:val="00E56933"/>
    <w:rsid w:val="00E720CA"/>
    <w:rsid w:val="00E757F9"/>
    <w:rsid w:val="00E77B2D"/>
    <w:rsid w:val="00E77E10"/>
    <w:rsid w:val="00E812CC"/>
    <w:rsid w:val="00E84EB5"/>
    <w:rsid w:val="00E84FA1"/>
    <w:rsid w:val="00E85662"/>
    <w:rsid w:val="00E85DC7"/>
    <w:rsid w:val="00E8789F"/>
    <w:rsid w:val="00E93ABF"/>
    <w:rsid w:val="00E97B71"/>
    <w:rsid w:val="00EA1A34"/>
    <w:rsid w:val="00EA3D34"/>
    <w:rsid w:val="00EA44B8"/>
    <w:rsid w:val="00EA7102"/>
    <w:rsid w:val="00EB1A15"/>
    <w:rsid w:val="00EB454D"/>
    <w:rsid w:val="00EB6142"/>
    <w:rsid w:val="00EB6B74"/>
    <w:rsid w:val="00EC3C4B"/>
    <w:rsid w:val="00EC3E2B"/>
    <w:rsid w:val="00EC463B"/>
    <w:rsid w:val="00EC68CD"/>
    <w:rsid w:val="00ED2B12"/>
    <w:rsid w:val="00ED43D9"/>
    <w:rsid w:val="00ED549D"/>
    <w:rsid w:val="00ED76BE"/>
    <w:rsid w:val="00EE00E9"/>
    <w:rsid w:val="00EE10AD"/>
    <w:rsid w:val="00EE2674"/>
    <w:rsid w:val="00EE28DC"/>
    <w:rsid w:val="00EE2C30"/>
    <w:rsid w:val="00EF619B"/>
    <w:rsid w:val="00F00B55"/>
    <w:rsid w:val="00F02AD1"/>
    <w:rsid w:val="00F07C05"/>
    <w:rsid w:val="00F17F2E"/>
    <w:rsid w:val="00F21187"/>
    <w:rsid w:val="00F253CC"/>
    <w:rsid w:val="00F26DFA"/>
    <w:rsid w:val="00F27918"/>
    <w:rsid w:val="00F30206"/>
    <w:rsid w:val="00F30979"/>
    <w:rsid w:val="00F34727"/>
    <w:rsid w:val="00F34D16"/>
    <w:rsid w:val="00F3526E"/>
    <w:rsid w:val="00F37106"/>
    <w:rsid w:val="00F372FC"/>
    <w:rsid w:val="00F4466B"/>
    <w:rsid w:val="00F44E5D"/>
    <w:rsid w:val="00F468DB"/>
    <w:rsid w:val="00F519CF"/>
    <w:rsid w:val="00F52001"/>
    <w:rsid w:val="00F539D8"/>
    <w:rsid w:val="00F54833"/>
    <w:rsid w:val="00F56BA5"/>
    <w:rsid w:val="00F60E22"/>
    <w:rsid w:val="00F62569"/>
    <w:rsid w:val="00F64D6A"/>
    <w:rsid w:val="00F72F63"/>
    <w:rsid w:val="00F74313"/>
    <w:rsid w:val="00F744D7"/>
    <w:rsid w:val="00F74C18"/>
    <w:rsid w:val="00F74D5B"/>
    <w:rsid w:val="00F74F6E"/>
    <w:rsid w:val="00F81395"/>
    <w:rsid w:val="00F81BB8"/>
    <w:rsid w:val="00F91096"/>
    <w:rsid w:val="00F917D1"/>
    <w:rsid w:val="00F95E5D"/>
    <w:rsid w:val="00F9653B"/>
    <w:rsid w:val="00F97E85"/>
    <w:rsid w:val="00FA134D"/>
    <w:rsid w:val="00FA2F94"/>
    <w:rsid w:val="00FA66C4"/>
    <w:rsid w:val="00FB62CF"/>
    <w:rsid w:val="00FC0475"/>
    <w:rsid w:val="00FC08ED"/>
    <w:rsid w:val="00FC7F77"/>
    <w:rsid w:val="00FD3C3B"/>
    <w:rsid w:val="00FE07DD"/>
    <w:rsid w:val="00FE5E3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3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unhideWhenUsed/>
    <w:rsid w:val="00E167CE"/>
    <w:rPr>
      <w:sz w:val="20"/>
      <w:szCs w:val="20"/>
    </w:rPr>
  </w:style>
  <w:style w:type="character" w:customStyle="1" w:styleId="CommentTextChar">
    <w:name w:val="Comment Text Char"/>
    <w:basedOn w:val="DefaultParagraphFont"/>
    <w:link w:val="CommentText"/>
    <w:uiPriority w:val="99"/>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UnresolvedMention">
    <w:name w:val="Unresolved Mention"/>
    <w:basedOn w:val="DefaultParagraphFont"/>
    <w:uiPriority w:val="99"/>
    <w:semiHidden/>
    <w:unhideWhenUsed/>
    <w:rsid w:val="00942945"/>
    <w:rPr>
      <w:color w:val="605E5C"/>
      <w:shd w:val="clear" w:color="auto" w:fill="E1DFDD"/>
    </w:rPr>
  </w:style>
  <w:style w:type="paragraph" w:styleId="Revision">
    <w:name w:val="Revision"/>
    <w:hidden/>
    <w:uiPriority w:val="99"/>
    <w:semiHidden/>
    <w:rsid w:val="0059769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C31CE3"/>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 w:val="20"/>
      <w:szCs w:val="20"/>
      <w:bdr w:val="none" w:sz="0" w:space="0" w:color="auto"/>
      <w:vertAlign w:val="superscript"/>
      <w:lang w:val="es-ES" w:eastAsia="es-ES"/>
    </w:rPr>
  </w:style>
  <w:style w:type="character" w:customStyle="1" w:styleId="normaltextrun">
    <w:name w:val="normaltextrun"/>
    <w:basedOn w:val="DefaultParagraphFont"/>
    <w:rsid w:val="00F7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72">
      <w:bodyDiv w:val="1"/>
      <w:marLeft w:val="0"/>
      <w:marRight w:val="0"/>
      <w:marTop w:val="0"/>
      <w:marBottom w:val="0"/>
      <w:divBdr>
        <w:top w:val="none" w:sz="0" w:space="0" w:color="auto"/>
        <w:left w:val="none" w:sz="0" w:space="0" w:color="auto"/>
        <w:bottom w:val="none" w:sz="0" w:space="0" w:color="auto"/>
        <w:right w:val="none" w:sz="0" w:space="0" w:color="auto"/>
      </w:divBdr>
    </w:div>
    <w:div w:id="30540012">
      <w:bodyDiv w:val="1"/>
      <w:marLeft w:val="0"/>
      <w:marRight w:val="0"/>
      <w:marTop w:val="0"/>
      <w:marBottom w:val="0"/>
      <w:divBdr>
        <w:top w:val="none" w:sz="0" w:space="0" w:color="auto"/>
        <w:left w:val="none" w:sz="0" w:space="0" w:color="auto"/>
        <w:bottom w:val="none" w:sz="0" w:space="0" w:color="auto"/>
        <w:right w:val="none" w:sz="0" w:space="0" w:color="auto"/>
      </w:divBdr>
    </w:div>
    <w:div w:id="154806942">
      <w:bodyDiv w:val="1"/>
      <w:marLeft w:val="0"/>
      <w:marRight w:val="0"/>
      <w:marTop w:val="0"/>
      <w:marBottom w:val="0"/>
      <w:divBdr>
        <w:top w:val="none" w:sz="0" w:space="0" w:color="auto"/>
        <w:left w:val="none" w:sz="0" w:space="0" w:color="auto"/>
        <w:bottom w:val="none" w:sz="0" w:space="0" w:color="auto"/>
        <w:right w:val="none" w:sz="0" w:space="0" w:color="auto"/>
      </w:divBdr>
    </w:div>
    <w:div w:id="353118975">
      <w:bodyDiv w:val="1"/>
      <w:marLeft w:val="0"/>
      <w:marRight w:val="0"/>
      <w:marTop w:val="0"/>
      <w:marBottom w:val="0"/>
      <w:divBdr>
        <w:top w:val="none" w:sz="0" w:space="0" w:color="auto"/>
        <w:left w:val="none" w:sz="0" w:space="0" w:color="auto"/>
        <w:bottom w:val="none" w:sz="0" w:space="0" w:color="auto"/>
        <w:right w:val="none" w:sz="0" w:space="0" w:color="auto"/>
      </w:divBdr>
    </w:div>
    <w:div w:id="499659740">
      <w:bodyDiv w:val="1"/>
      <w:marLeft w:val="0"/>
      <w:marRight w:val="0"/>
      <w:marTop w:val="0"/>
      <w:marBottom w:val="0"/>
      <w:divBdr>
        <w:top w:val="none" w:sz="0" w:space="0" w:color="auto"/>
        <w:left w:val="none" w:sz="0" w:space="0" w:color="auto"/>
        <w:bottom w:val="none" w:sz="0" w:space="0" w:color="auto"/>
        <w:right w:val="none" w:sz="0" w:space="0" w:color="auto"/>
      </w:divBdr>
      <w:divsChild>
        <w:div w:id="1108891475">
          <w:marLeft w:val="0"/>
          <w:marRight w:val="0"/>
          <w:marTop w:val="0"/>
          <w:marBottom w:val="0"/>
          <w:divBdr>
            <w:top w:val="none" w:sz="0" w:space="0" w:color="auto"/>
            <w:left w:val="none" w:sz="0" w:space="0" w:color="auto"/>
            <w:bottom w:val="none" w:sz="0" w:space="0" w:color="auto"/>
            <w:right w:val="none" w:sz="0" w:space="0" w:color="auto"/>
          </w:divBdr>
          <w:divsChild>
            <w:div w:id="261257493">
              <w:marLeft w:val="0"/>
              <w:marRight w:val="0"/>
              <w:marTop w:val="0"/>
              <w:marBottom w:val="0"/>
              <w:divBdr>
                <w:top w:val="none" w:sz="0" w:space="0" w:color="auto"/>
                <w:left w:val="none" w:sz="0" w:space="0" w:color="auto"/>
                <w:bottom w:val="none" w:sz="0" w:space="0" w:color="auto"/>
                <w:right w:val="none" w:sz="0" w:space="0" w:color="auto"/>
              </w:divBdr>
              <w:divsChild>
                <w:div w:id="2145659587">
                  <w:marLeft w:val="0"/>
                  <w:marRight w:val="0"/>
                  <w:marTop w:val="0"/>
                  <w:marBottom w:val="0"/>
                  <w:divBdr>
                    <w:top w:val="none" w:sz="0" w:space="0" w:color="auto"/>
                    <w:left w:val="none" w:sz="0" w:space="0" w:color="auto"/>
                    <w:bottom w:val="none" w:sz="0" w:space="0" w:color="auto"/>
                    <w:right w:val="none" w:sz="0" w:space="0" w:color="auto"/>
                  </w:divBdr>
                  <w:divsChild>
                    <w:div w:id="2227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510880">
      <w:bodyDiv w:val="1"/>
      <w:marLeft w:val="0"/>
      <w:marRight w:val="0"/>
      <w:marTop w:val="0"/>
      <w:marBottom w:val="0"/>
      <w:divBdr>
        <w:top w:val="none" w:sz="0" w:space="0" w:color="auto"/>
        <w:left w:val="none" w:sz="0" w:space="0" w:color="auto"/>
        <w:bottom w:val="none" w:sz="0" w:space="0" w:color="auto"/>
        <w:right w:val="none" w:sz="0" w:space="0" w:color="auto"/>
      </w:divBdr>
    </w:div>
    <w:div w:id="1063331177">
      <w:bodyDiv w:val="1"/>
      <w:marLeft w:val="0"/>
      <w:marRight w:val="0"/>
      <w:marTop w:val="0"/>
      <w:marBottom w:val="0"/>
      <w:divBdr>
        <w:top w:val="none" w:sz="0" w:space="0" w:color="auto"/>
        <w:left w:val="none" w:sz="0" w:space="0" w:color="auto"/>
        <w:bottom w:val="none" w:sz="0" w:space="0" w:color="auto"/>
        <w:right w:val="none" w:sz="0" w:space="0" w:color="auto"/>
      </w:divBdr>
    </w:div>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134428">
      <w:bodyDiv w:val="1"/>
      <w:marLeft w:val="0"/>
      <w:marRight w:val="0"/>
      <w:marTop w:val="0"/>
      <w:marBottom w:val="0"/>
      <w:divBdr>
        <w:top w:val="none" w:sz="0" w:space="0" w:color="auto"/>
        <w:left w:val="none" w:sz="0" w:space="0" w:color="auto"/>
        <w:bottom w:val="none" w:sz="0" w:space="0" w:color="auto"/>
        <w:right w:val="none" w:sz="0" w:space="0" w:color="auto"/>
      </w:divBdr>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5396598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 w:id="213917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333F7-7913-4212-90AC-2CDD2558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4229</Words>
  <Characters>24110</Characters>
  <Application>Microsoft Office Word</Application>
  <DocSecurity>0</DocSecurity>
  <Lines>200</Lines>
  <Paragraphs>56</Paragraphs>
  <ScaleCrop>false</ScaleCrop>
  <Company/>
  <LinksUpToDate>false</LinksUpToDate>
  <CharactersWithSpaces>28283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2025-05-05T20:39:00Z</dcterms:created>
  <dcterms:modified xsi:type="dcterms:W3CDTF">2025-05-05T20:39:00Z</dcterms:modified>
</cp:coreProperties>
</file>