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2469AAE9"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58240" behindDoc="0" locked="0" layoutInCell="1" allowOverlap="1" wp14:anchorId="179A3F0F" wp14:editId="610B84E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C038F7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003E6CA1" w:rsidRPr="0090270B">
        <w:rPr>
          <w:rFonts w:asciiTheme="majorHAnsi" w:hAnsiTheme="majorHAnsi"/>
          <w:noProof/>
          <w:sz w:val="22"/>
          <w:szCs w:val="22"/>
          <w:lang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6B9E8A6B" w:rsidR="00CB2660" w:rsidRDefault="001A2653" w:rsidP="00AE5488">
                            <w:r>
                              <w:rPr>
                                <w:noProof/>
                              </w:rPr>
                              <w:drawing>
                                <wp:inline distT="0" distB="0" distL="0" distR="0" wp14:anchorId="3C312647" wp14:editId="449651ED">
                                  <wp:extent cx="2164080" cy="510540"/>
                                  <wp:effectExtent l="0" t="0" r="7620" b="381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4080" cy="510540"/>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6B9E8A6B" w:rsidR="00CB2660" w:rsidRDefault="001A2653" w:rsidP="00AE5488">
                      <w:r>
                        <w:rPr>
                          <w:noProof/>
                        </w:rPr>
                        <w:drawing>
                          <wp:inline distT="0" distB="0" distL="0" distR="0" wp14:anchorId="3C312647" wp14:editId="449651ED">
                            <wp:extent cx="2164080" cy="510540"/>
                            <wp:effectExtent l="0" t="0" r="7620" b="381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4080" cy="510540"/>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48A312F" w:rsidR="005B52B0" w:rsidRPr="001E6BA8" w:rsidRDefault="005B52B0" w:rsidP="00997BC5">
                            <w:pPr>
                              <w:spacing w:line="276" w:lineRule="auto"/>
                              <w:rPr>
                                <w:rFonts w:asciiTheme="majorHAnsi" w:hAnsiTheme="majorHAnsi" w:cs="Arial"/>
                                <w:b/>
                                <w:bCs/>
                                <w:color w:val="0D0D0D" w:themeColor="text1" w:themeTint="F2"/>
                                <w:sz w:val="36"/>
                                <w:szCs w:val="22"/>
                                <w:lang w:val="pt-BR"/>
                              </w:rPr>
                            </w:pPr>
                            <w:r w:rsidRPr="001E6BA8">
                              <w:rPr>
                                <w:rFonts w:asciiTheme="majorHAnsi" w:hAnsiTheme="majorHAnsi" w:cs="Arial"/>
                                <w:b/>
                                <w:bCs/>
                                <w:color w:val="0D0D0D" w:themeColor="text1" w:themeTint="F2"/>
                                <w:sz w:val="36"/>
                                <w:szCs w:val="22"/>
                                <w:lang w:val="pt-BR"/>
                              </w:rPr>
                              <w:t xml:space="preserve">RELATÓRIO </w:t>
                            </w:r>
                            <w:r w:rsidR="00477592" w:rsidRPr="001E6BA8">
                              <w:rPr>
                                <w:rFonts w:asciiTheme="majorHAnsi" w:hAnsiTheme="majorHAnsi" w:cs="Arial"/>
                                <w:b/>
                                <w:bCs/>
                                <w:color w:val="0D0D0D" w:themeColor="text1" w:themeTint="F2"/>
                                <w:sz w:val="36"/>
                                <w:szCs w:val="40"/>
                                <w:lang w:val="pt-BR"/>
                              </w:rPr>
                              <w:t>Nº</w:t>
                            </w:r>
                            <w:r w:rsidR="007B05C4" w:rsidRPr="001E6BA8">
                              <w:rPr>
                                <w:rFonts w:asciiTheme="majorHAnsi" w:hAnsiTheme="majorHAnsi" w:cs="Arial"/>
                                <w:b/>
                                <w:bCs/>
                                <w:color w:val="0D0D0D" w:themeColor="text1" w:themeTint="F2"/>
                                <w:sz w:val="36"/>
                                <w:szCs w:val="22"/>
                                <w:lang w:val="pt-BR"/>
                              </w:rPr>
                              <w:t xml:space="preserve"> </w:t>
                            </w:r>
                            <w:r w:rsidR="00944DBB">
                              <w:rPr>
                                <w:rFonts w:asciiTheme="majorHAnsi" w:hAnsiTheme="majorHAnsi" w:cs="Arial"/>
                                <w:b/>
                                <w:bCs/>
                                <w:color w:val="0D0D0D" w:themeColor="text1" w:themeTint="F2"/>
                                <w:sz w:val="36"/>
                                <w:szCs w:val="22"/>
                                <w:lang w:val="pt-BR"/>
                              </w:rPr>
                              <w:t>66</w:t>
                            </w:r>
                            <w:r w:rsidR="007B05C4" w:rsidRPr="001E6BA8">
                              <w:rPr>
                                <w:rFonts w:asciiTheme="majorHAnsi" w:hAnsiTheme="majorHAnsi" w:cs="Arial"/>
                                <w:b/>
                                <w:bCs/>
                                <w:color w:val="0D0D0D" w:themeColor="text1" w:themeTint="F2"/>
                                <w:sz w:val="36"/>
                                <w:szCs w:val="22"/>
                                <w:lang w:val="pt-BR"/>
                              </w:rPr>
                              <w:t>/25</w:t>
                            </w:r>
                          </w:p>
                          <w:p w14:paraId="09C54AB3" w14:textId="18DE669C" w:rsidR="007B05C4" w:rsidRPr="001E6BA8" w:rsidRDefault="005B52B0" w:rsidP="00997BC5">
                            <w:pPr>
                              <w:spacing w:line="276" w:lineRule="auto"/>
                              <w:rPr>
                                <w:rFonts w:asciiTheme="majorHAnsi" w:hAnsiTheme="majorHAnsi" w:cs="Arial"/>
                                <w:b/>
                                <w:color w:val="0D0D0D" w:themeColor="text1" w:themeTint="F2"/>
                                <w:sz w:val="36"/>
                                <w:szCs w:val="22"/>
                                <w:lang w:val="pt-BR"/>
                              </w:rPr>
                            </w:pPr>
                            <w:r w:rsidRPr="001E6BA8">
                              <w:rPr>
                                <w:rFonts w:asciiTheme="majorHAnsi" w:hAnsiTheme="majorHAnsi" w:cs="Arial"/>
                                <w:b/>
                                <w:color w:val="0D0D0D" w:themeColor="text1" w:themeTint="F2"/>
                                <w:sz w:val="36"/>
                                <w:szCs w:val="22"/>
                                <w:lang w:val="pt-BR"/>
                              </w:rPr>
                              <w:t>PETIÇÃO 2360-20</w:t>
                            </w:r>
                          </w:p>
                          <w:p w14:paraId="70CF6833" w14:textId="38E5E232" w:rsidR="00CD046C" w:rsidRPr="001E6BA8" w:rsidRDefault="005B52B0" w:rsidP="00997BC5">
                            <w:pPr>
                              <w:spacing w:line="276" w:lineRule="auto"/>
                              <w:rPr>
                                <w:rFonts w:asciiTheme="majorHAnsi" w:hAnsiTheme="majorHAnsi" w:cs="Arial"/>
                                <w:color w:val="0D0D0D" w:themeColor="text1" w:themeTint="F2"/>
                                <w:szCs w:val="22"/>
                                <w:lang w:val="pt-BR"/>
                              </w:rPr>
                            </w:pPr>
                            <w:r w:rsidRPr="001E6BA8">
                              <w:rPr>
                                <w:rFonts w:asciiTheme="majorHAnsi" w:hAnsiTheme="majorHAnsi" w:cs="Arial"/>
                                <w:color w:val="0D0D0D" w:themeColor="text1" w:themeTint="F2"/>
                                <w:szCs w:val="22"/>
                                <w:lang w:val="pt-BR"/>
                              </w:rPr>
                              <w:t xml:space="preserve">RELATÓRIO DE ADMISSIBILIDADE </w:t>
                            </w:r>
                          </w:p>
                          <w:p w14:paraId="5FDD6F0D" w14:textId="77777777" w:rsidR="008F1912" w:rsidRPr="0071674E" w:rsidRDefault="008F1912" w:rsidP="00997BC5">
                            <w:pPr>
                              <w:spacing w:line="276" w:lineRule="auto"/>
                              <w:rPr>
                                <w:rFonts w:asciiTheme="majorHAnsi" w:hAnsiTheme="majorHAnsi" w:cs="Arial"/>
                                <w:szCs w:val="22"/>
                                <w:lang w:val="pt-BR"/>
                              </w:rPr>
                            </w:pPr>
                            <w:bookmarkStart w:id="0" w:name="_ftnref1"/>
                          </w:p>
                          <w:bookmarkEnd w:id="0"/>
                          <w:p w14:paraId="01E3C4E2" w14:textId="7D767321" w:rsidR="00EB197F" w:rsidRPr="0071674E" w:rsidRDefault="00BA6084" w:rsidP="00997BC5">
                            <w:pPr>
                              <w:spacing w:line="276" w:lineRule="auto"/>
                              <w:rPr>
                                <w:rFonts w:asciiTheme="majorHAnsi" w:hAnsiTheme="majorHAnsi" w:cs="Arial"/>
                                <w:szCs w:val="22"/>
                                <w:lang w:val="pt-BR"/>
                              </w:rPr>
                            </w:pPr>
                            <w:r w:rsidRPr="0071674E">
                              <w:rPr>
                                <w:rFonts w:asciiTheme="majorHAnsi" w:hAnsiTheme="majorHAnsi" w:cs="Arial"/>
                                <w:szCs w:val="22"/>
                                <w:lang w:val="pt-BR"/>
                              </w:rPr>
                              <w:t>EDUARDO VINICIUS FOSCH DOS SANTOS E SUA FAM</w:t>
                            </w:r>
                            <w:r w:rsidR="00BE0433">
                              <w:rPr>
                                <w:rFonts w:asciiTheme="majorHAnsi" w:hAnsiTheme="majorHAnsi" w:cs="Arial"/>
                                <w:szCs w:val="22"/>
                                <w:lang w:val="pt-BR"/>
                              </w:rPr>
                              <w:t>I</w:t>
                            </w:r>
                            <w:r w:rsidRPr="0071674E">
                              <w:rPr>
                                <w:rFonts w:asciiTheme="majorHAnsi" w:hAnsiTheme="majorHAnsi" w:cs="Arial"/>
                                <w:szCs w:val="22"/>
                                <w:lang w:val="pt-BR"/>
                              </w:rPr>
                              <w:t>LIA</w:t>
                            </w:r>
                          </w:p>
                          <w:p w14:paraId="575DFD52" w14:textId="510A3EA7" w:rsidR="005B52B0" w:rsidRPr="0071674E" w:rsidRDefault="00850A06" w:rsidP="007A5817">
                            <w:pPr>
                              <w:rPr>
                                <w:lang w:val="pt-BR"/>
                              </w:rPr>
                            </w:pPr>
                            <w:r w:rsidRPr="0071674E">
                              <w:rPr>
                                <w:rFonts w:asciiTheme="majorHAnsi" w:hAnsiTheme="majorHAnsi" w:cs="Arial"/>
                                <w:szCs w:val="22"/>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48A312F" w:rsidR="005B52B0" w:rsidRPr="001E6BA8" w:rsidRDefault="005B52B0" w:rsidP="00997BC5">
                      <w:pPr>
                        <w:spacing w:line="276" w:lineRule="auto"/>
                        <w:rPr>
                          <w:rFonts w:asciiTheme="majorHAnsi" w:hAnsiTheme="majorHAnsi" w:cs="Arial"/>
                          <w:b/>
                          <w:bCs/>
                          <w:color w:val="0D0D0D" w:themeColor="text1" w:themeTint="F2"/>
                          <w:sz w:val="36"/>
                          <w:szCs w:val="22"/>
                          <w:lang w:val="pt-BR"/>
                        </w:rPr>
                      </w:pPr>
                      <w:r w:rsidRPr="001E6BA8">
                        <w:rPr>
                          <w:rFonts w:asciiTheme="majorHAnsi" w:hAnsiTheme="majorHAnsi" w:cs="Arial"/>
                          <w:b/>
                          <w:bCs/>
                          <w:color w:val="0D0D0D" w:themeColor="text1" w:themeTint="F2"/>
                          <w:sz w:val="36"/>
                          <w:szCs w:val="22"/>
                          <w:lang w:val="pt-BR"/>
                        </w:rPr>
                        <w:t xml:space="preserve">RELATÓRIO </w:t>
                      </w:r>
                      <w:r w:rsidR="00477592" w:rsidRPr="001E6BA8">
                        <w:rPr>
                          <w:rFonts w:asciiTheme="majorHAnsi" w:hAnsiTheme="majorHAnsi" w:cs="Arial"/>
                          <w:b/>
                          <w:bCs/>
                          <w:color w:val="0D0D0D" w:themeColor="text1" w:themeTint="F2"/>
                          <w:sz w:val="36"/>
                          <w:szCs w:val="40"/>
                          <w:lang w:val="pt-BR"/>
                        </w:rPr>
                        <w:t>Nº</w:t>
                      </w:r>
                      <w:r w:rsidR="007B05C4" w:rsidRPr="001E6BA8">
                        <w:rPr>
                          <w:rFonts w:asciiTheme="majorHAnsi" w:hAnsiTheme="majorHAnsi" w:cs="Arial"/>
                          <w:b/>
                          <w:bCs/>
                          <w:color w:val="0D0D0D" w:themeColor="text1" w:themeTint="F2"/>
                          <w:sz w:val="36"/>
                          <w:szCs w:val="22"/>
                          <w:lang w:val="pt-BR"/>
                        </w:rPr>
                        <w:t xml:space="preserve"> </w:t>
                      </w:r>
                      <w:r w:rsidR="00944DBB">
                        <w:rPr>
                          <w:rFonts w:asciiTheme="majorHAnsi" w:hAnsiTheme="majorHAnsi" w:cs="Arial"/>
                          <w:b/>
                          <w:bCs/>
                          <w:color w:val="0D0D0D" w:themeColor="text1" w:themeTint="F2"/>
                          <w:sz w:val="36"/>
                          <w:szCs w:val="22"/>
                          <w:lang w:val="pt-BR"/>
                        </w:rPr>
                        <w:t>66</w:t>
                      </w:r>
                      <w:r w:rsidR="007B05C4" w:rsidRPr="001E6BA8">
                        <w:rPr>
                          <w:rFonts w:asciiTheme="majorHAnsi" w:hAnsiTheme="majorHAnsi" w:cs="Arial"/>
                          <w:b/>
                          <w:bCs/>
                          <w:color w:val="0D0D0D" w:themeColor="text1" w:themeTint="F2"/>
                          <w:sz w:val="36"/>
                          <w:szCs w:val="22"/>
                          <w:lang w:val="pt-BR"/>
                        </w:rPr>
                        <w:t>/25</w:t>
                      </w:r>
                    </w:p>
                    <w:p w14:paraId="09C54AB3" w14:textId="18DE669C" w:rsidR="007B05C4" w:rsidRPr="001E6BA8" w:rsidRDefault="005B52B0" w:rsidP="00997BC5">
                      <w:pPr>
                        <w:spacing w:line="276" w:lineRule="auto"/>
                        <w:rPr>
                          <w:rFonts w:asciiTheme="majorHAnsi" w:hAnsiTheme="majorHAnsi" w:cs="Arial"/>
                          <w:b/>
                          <w:color w:val="0D0D0D" w:themeColor="text1" w:themeTint="F2"/>
                          <w:sz w:val="36"/>
                          <w:szCs w:val="22"/>
                          <w:lang w:val="pt-BR"/>
                        </w:rPr>
                      </w:pPr>
                      <w:r w:rsidRPr="001E6BA8">
                        <w:rPr>
                          <w:rFonts w:asciiTheme="majorHAnsi" w:hAnsiTheme="majorHAnsi" w:cs="Arial"/>
                          <w:b/>
                          <w:color w:val="0D0D0D" w:themeColor="text1" w:themeTint="F2"/>
                          <w:sz w:val="36"/>
                          <w:szCs w:val="22"/>
                          <w:lang w:val="pt-BR"/>
                        </w:rPr>
                        <w:t>PETIÇÃO 2360-20</w:t>
                      </w:r>
                    </w:p>
                    <w:p w14:paraId="70CF6833" w14:textId="38E5E232" w:rsidR="00CD046C" w:rsidRPr="001E6BA8" w:rsidRDefault="005B52B0" w:rsidP="00997BC5">
                      <w:pPr>
                        <w:spacing w:line="276" w:lineRule="auto"/>
                        <w:rPr>
                          <w:rFonts w:asciiTheme="majorHAnsi" w:hAnsiTheme="majorHAnsi" w:cs="Arial"/>
                          <w:color w:val="0D0D0D" w:themeColor="text1" w:themeTint="F2"/>
                          <w:szCs w:val="22"/>
                          <w:lang w:val="pt-BR"/>
                        </w:rPr>
                      </w:pPr>
                      <w:r w:rsidRPr="001E6BA8">
                        <w:rPr>
                          <w:rFonts w:asciiTheme="majorHAnsi" w:hAnsiTheme="majorHAnsi" w:cs="Arial"/>
                          <w:color w:val="0D0D0D" w:themeColor="text1" w:themeTint="F2"/>
                          <w:szCs w:val="22"/>
                          <w:lang w:val="pt-BR"/>
                        </w:rPr>
                        <w:t xml:space="preserve">RELATÓRIO DE ADMISSIBILIDADE </w:t>
                      </w:r>
                    </w:p>
                    <w:p w14:paraId="5FDD6F0D" w14:textId="77777777" w:rsidR="008F1912" w:rsidRPr="0071674E" w:rsidRDefault="008F1912" w:rsidP="00997BC5">
                      <w:pPr>
                        <w:spacing w:line="276" w:lineRule="auto"/>
                        <w:rPr>
                          <w:rFonts w:asciiTheme="majorHAnsi" w:hAnsiTheme="majorHAnsi" w:cs="Arial"/>
                          <w:szCs w:val="22"/>
                          <w:lang w:val="pt-BR"/>
                        </w:rPr>
                      </w:pPr>
                      <w:bookmarkStart w:id="1" w:name="_ftnref1"/>
                    </w:p>
                    <w:bookmarkEnd w:id="1"/>
                    <w:p w14:paraId="01E3C4E2" w14:textId="7D767321" w:rsidR="00EB197F" w:rsidRPr="0071674E" w:rsidRDefault="00BA6084" w:rsidP="00997BC5">
                      <w:pPr>
                        <w:spacing w:line="276" w:lineRule="auto"/>
                        <w:rPr>
                          <w:rFonts w:asciiTheme="majorHAnsi" w:hAnsiTheme="majorHAnsi" w:cs="Arial"/>
                          <w:szCs w:val="22"/>
                          <w:lang w:val="pt-BR"/>
                        </w:rPr>
                      </w:pPr>
                      <w:r w:rsidRPr="0071674E">
                        <w:rPr>
                          <w:rFonts w:asciiTheme="majorHAnsi" w:hAnsiTheme="majorHAnsi" w:cs="Arial"/>
                          <w:szCs w:val="22"/>
                          <w:lang w:val="pt-BR"/>
                        </w:rPr>
                        <w:t>EDUARDO VINICIUS FOSCH DOS SANTOS E SUA FAM</w:t>
                      </w:r>
                      <w:r w:rsidR="00BE0433">
                        <w:rPr>
                          <w:rFonts w:asciiTheme="majorHAnsi" w:hAnsiTheme="majorHAnsi" w:cs="Arial"/>
                          <w:szCs w:val="22"/>
                          <w:lang w:val="pt-BR"/>
                        </w:rPr>
                        <w:t>I</w:t>
                      </w:r>
                      <w:r w:rsidRPr="0071674E">
                        <w:rPr>
                          <w:rFonts w:asciiTheme="majorHAnsi" w:hAnsiTheme="majorHAnsi" w:cs="Arial"/>
                          <w:szCs w:val="22"/>
                          <w:lang w:val="pt-BR"/>
                        </w:rPr>
                        <w:t>LIA</w:t>
                      </w:r>
                    </w:p>
                    <w:p w14:paraId="575DFD52" w14:textId="510A3EA7" w:rsidR="005B52B0" w:rsidRPr="0071674E" w:rsidRDefault="00850A06" w:rsidP="007A5817">
                      <w:pPr>
                        <w:rPr>
                          <w:lang w:val="pt-BR"/>
                        </w:rPr>
                      </w:pPr>
                      <w:r w:rsidRPr="0071674E">
                        <w:rPr>
                          <w:rFonts w:asciiTheme="majorHAnsi" w:hAnsiTheme="majorHAnsi" w:cs="Arial"/>
                          <w:szCs w:val="22"/>
                        </w:rPr>
                        <w:t>BRASIL</w:t>
                      </w:r>
                    </w:p>
                  </w:txbxContent>
                </v:textbox>
              </v:shape>
            </w:pict>
          </mc:Fallback>
        </mc:AlternateContent>
      </w:r>
      <w:r w:rsidR="004E2649" w:rsidRPr="0090270B">
        <w:rPr>
          <w:rFonts w:asciiTheme="majorHAnsi" w:hAnsiTheme="majorHAnsi"/>
          <w:noProof/>
          <w:sz w:val="22"/>
          <w:szCs w:val="22"/>
          <w:lang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A53F6AA" w:rsidR="00627C9F" w:rsidRPr="00C003F4" w:rsidRDefault="00834D49" w:rsidP="007A5817">
                            <w:pPr>
                              <w:spacing w:line="276" w:lineRule="auto"/>
                              <w:jc w:val="right"/>
                              <w:rPr>
                                <w:rFonts w:asciiTheme="minorHAnsi" w:hAnsiTheme="minorHAnsi"/>
                                <w:sz w:val="22"/>
                                <w:lang w:val="pt-BR"/>
                              </w:rPr>
                            </w:pPr>
                            <w:r w:rsidRPr="00C003F4">
                              <w:rPr>
                                <w:rFonts w:asciiTheme="minorHAnsi" w:hAnsiTheme="minorHAnsi"/>
                                <w:sz w:val="22"/>
                                <w:lang w:val="pt-BR"/>
                              </w:rPr>
                              <w:t>OEA/Ser.L/V/II</w:t>
                            </w:r>
                          </w:p>
                          <w:p w14:paraId="6A41611B" w14:textId="14B1256F" w:rsidR="00627C9F" w:rsidRPr="00C003F4" w:rsidRDefault="00627C9F" w:rsidP="007A5817">
                            <w:pPr>
                              <w:spacing w:line="276" w:lineRule="auto"/>
                              <w:jc w:val="right"/>
                              <w:rPr>
                                <w:rFonts w:asciiTheme="minorHAnsi" w:hAnsiTheme="minorHAnsi"/>
                                <w:sz w:val="22"/>
                                <w:lang w:val="pt-BR"/>
                              </w:rPr>
                            </w:pPr>
                            <w:r w:rsidRPr="00C003F4">
                              <w:rPr>
                                <w:rFonts w:asciiTheme="minorHAnsi" w:hAnsiTheme="minorHAnsi"/>
                                <w:sz w:val="22"/>
                                <w:lang w:val="pt-BR"/>
                              </w:rPr>
                              <w:t xml:space="preserve">Doc. </w:t>
                            </w:r>
                            <w:r w:rsidR="00944DBB">
                              <w:rPr>
                                <w:rFonts w:asciiTheme="minorHAnsi" w:hAnsiTheme="minorHAnsi"/>
                                <w:sz w:val="22"/>
                                <w:lang w:val="pt-BR"/>
                              </w:rPr>
                              <w:t>69</w:t>
                            </w:r>
                          </w:p>
                          <w:p w14:paraId="69373ED2" w14:textId="1C7714D8" w:rsidR="00627C9F" w:rsidRPr="0071674E" w:rsidRDefault="00944DBB" w:rsidP="007A5817">
                            <w:pPr>
                              <w:spacing w:line="276" w:lineRule="auto"/>
                              <w:jc w:val="right"/>
                              <w:rPr>
                                <w:rFonts w:asciiTheme="minorHAnsi" w:hAnsiTheme="minorHAnsi"/>
                                <w:sz w:val="22"/>
                                <w:lang w:val="pt-BR"/>
                              </w:rPr>
                            </w:pPr>
                            <w:r w:rsidRPr="0071674E">
                              <w:rPr>
                                <w:rFonts w:asciiTheme="minorHAnsi" w:hAnsiTheme="minorHAnsi"/>
                                <w:sz w:val="22"/>
                                <w:lang w:val="pt-BR"/>
                              </w:rPr>
                              <w:t>28</w:t>
                            </w:r>
                            <w:r w:rsidR="009B6763" w:rsidRPr="0071674E">
                              <w:rPr>
                                <w:rFonts w:asciiTheme="minorHAnsi" w:hAnsiTheme="minorHAnsi"/>
                                <w:sz w:val="22"/>
                                <w:lang w:val="pt-BR"/>
                              </w:rPr>
                              <w:t xml:space="preserve"> abril</w:t>
                            </w:r>
                            <w:r w:rsidR="00627C9F" w:rsidRPr="0071674E">
                              <w:rPr>
                                <w:rFonts w:asciiTheme="minorHAnsi" w:hAnsiTheme="minorHAnsi"/>
                                <w:sz w:val="22"/>
                                <w:lang w:val="pt-BR"/>
                              </w:rPr>
                              <w:t xml:space="preserve"> 2025</w:t>
                            </w:r>
                          </w:p>
                          <w:p w14:paraId="0771DB5B" w14:textId="77777777" w:rsidR="00627C9F" w:rsidRPr="0071674E" w:rsidRDefault="00E0340B" w:rsidP="007A5817">
                            <w:pPr>
                              <w:spacing w:line="276" w:lineRule="auto"/>
                              <w:jc w:val="right"/>
                              <w:rPr>
                                <w:rFonts w:asciiTheme="minorHAnsi" w:hAnsiTheme="minorHAnsi"/>
                                <w:sz w:val="22"/>
                                <w:lang w:val="pt-BR"/>
                              </w:rPr>
                            </w:pPr>
                            <w:r w:rsidRPr="0071674E">
                              <w:rPr>
                                <w:rFonts w:asciiTheme="minorHAnsi" w:hAnsiTheme="minorHAnsi"/>
                                <w:sz w:val="22"/>
                                <w:lang w:val="pt-BR"/>
                              </w:rPr>
                              <w:t>Original: espanhol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A53F6AA" w:rsidR="00627C9F" w:rsidRPr="00C003F4" w:rsidRDefault="00834D49" w:rsidP="007A5817">
                      <w:pPr>
                        <w:spacing w:line="276" w:lineRule="auto"/>
                        <w:jc w:val="right"/>
                        <w:rPr>
                          <w:rFonts w:asciiTheme="minorHAnsi" w:hAnsiTheme="minorHAnsi"/>
                          <w:sz w:val="22"/>
                          <w:lang w:val="pt-BR"/>
                        </w:rPr>
                      </w:pPr>
                      <w:r w:rsidRPr="00C003F4">
                        <w:rPr>
                          <w:rFonts w:asciiTheme="minorHAnsi" w:hAnsiTheme="minorHAnsi"/>
                          <w:sz w:val="22"/>
                          <w:lang w:val="pt-BR"/>
                        </w:rPr>
                        <w:t>OEA/Ser.L/V/II</w:t>
                      </w:r>
                    </w:p>
                    <w:p w14:paraId="6A41611B" w14:textId="14B1256F" w:rsidR="00627C9F" w:rsidRPr="00C003F4" w:rsidRDefault="00627C9F" w:rsidP="007A5817">
                      <w:pPr>
                        <w:spacing w:line="276" w:lineRule="auto"/>
                        <w:jc w:val="right"/>
                        <w:rPr>
                          <w:rFonts w:asciiTheme="minorHAnsi" w:hAnsiTheme="minorHAnsi"/>
                          <w:sz w:val="22"/>
                          <w:lang w:val="pt-BR"/>
                        </w:rPr>
                      </w:pPr>
                      <w:r w:rsidRPr="00C003F4">
                        <w:rPr>
                          <w:rFonts w:asciiTheme="minorHAnsi" w:hAnsiTheme="minorHAnsi"/>
                          <w:sz w:val="22"/>
                          <w:lang w:val="pt-BR"/>
                        </w:rPr>
                        <w:t xml:space="preserve">Doc. </w:t>
                      </w:r>
                      <w:r w:rsidR="00944DBB">
                        <w:rPr>
                          <w:rFonts w:asciiTheme="minorHAnsi" w:hAnsiTheme="minorHAnsi"/>
                          <w:sz w:val="22"/>
                          <w:lang w:val="pt-BR"/>
                        </w:rPr>
                        <w:t>69</w:t>
                      </w:r>
                    </w:p>
                    <w:p w14:paraId="69373ED2" w14:textId="1C7714D8" w:rsidR="00627C9F" w:rsidRPr="0071674E" w:rsidRDefault="00944DBB" w:rsidP="007A5817">
                      <w:pPr>
                        <w:spacing w:line="276" w:lineRule="auto"/>
                        <w:jc w:val="right"/>
                        <w:rPr>
                          <w:rFonts w:asciiTheme="minorHAnsi" w:hAnsiTheme="minorHAnsi"/>
                          <w:sz w:val="22"/>
                          <w:lang w:val="pt-BR"/>
                        </w:rPr>
                      </w:pPr>
                      <w:r w:rsidRPr="0071674E">
                        <w:rPr>
                          <w:rFonts w:asciiTheme="minorHAnsi" w:hAnsiTheme="minorHAnsi"/>
                          <w:sz w:val="22"/>
                          <w:lang w:val="pt-BR"/>
                        </w:rPr>
                        <w:t>28</w:t>
                      </w:r>
                      <w:r w:rsidR="009B6763" w:rsidRPr="0071674E">
                        <w:rPr>
                          <w:rFonts w:asciiTheme="minorHAnsi" w:hAnsiTheme="minorHAnsi"/>
                          <w:sz w:val="22"/>
                          <w:lang w:val="pt-BR"/>
                        </w:rPr>
                        <w:t xml:space="preserve"> abril</w:t>
                      </w:r>
                      <w:r w:rsidR="00627C9F" w:rsidRPr="0071674E">
                        <w:rPr>
                          <w:rFonts w:asciiTheme="minorHAnsi" w:hAnsiTheme="minorHAnsi"/>
                          <w:sz w:val="22"/>
                          <w:lang w:val="pt-BR"/>
                        </w:rPr>
                        <w:t xml:space="preserve"> 2025</w:t>
                      </w:r>
                    </w:p>
                    <w:p w14:paraId="0771DB5B" w14:textId="77777777" w:rsidR="00627C9F" w:rsidRPr="0071674E" w:rsidRDefault="00E0340B" w:rsidP="007A5817">
                      <w:pPr>
                        <w:spacing w:line="276" w:lineRule="auto"/>
                        <w:jc w:val="right"/>
                        <w:rPr>
                          <w:rFonts w:asciiTheme="minorHAnsi" w:hAnsiTheme="minorHAnsi"/>
                          <w:sz w:val="22"/>
                          <w:lang w:val="pt-BR"/>
                        </w:rPr>
                      </w:pPr>
                      <w:r w:rsidRPr="0071674E">
                        <w:rPr>
                          <w:rFonts w:asciiTheme="minorHAnsi" w:hAnsiTheme="minorHAnsi"/>
                          <w:sz w:val="22"/>
                          <w:lang w:val="pt-BR"/>
                        </w:rPr>
                        <w:t>Original: espanhol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F851817" w:rsidR="00DD3D86" w:rsidRPr="001E6BA8" w:rsidRDefault="00DD3D86" w:rsidP="00247403">
                            <w:pPr>
                              <w:tabs>
                                <w:tab w:val="center" w:pos="5400"/>
                              </w:tabs>
                              <w:suppressAutoHyphens/>
                              <w:spacing w:before="60"/>
                              <w:rPr>
                                <w:rFonts w:asciiTheme="majorHAnsi" w:hAnsiTheme="majorHAnsi"/>
                                <w:color w:val="0D0D0D" w:themeColor="text1" w:themeTint="F2"/>
                                <w:sz w:val="18"/>
                                <w:szCs w:val="22"/>
                                <w:lang w:val="pt-BR"/>
                              </w:rPr>
                            </w:pPr>
                            <w:r w:rsidRPr="001E6BA8">
                              <w:rPr>
                                <w:rFonts w:asciiTheme="majorHAnsi" w:hAnsiTheme="majorHAnsi"/>
                                <w:color w:val="0D0D0D" w:themeColor="text1" w:themeTint="F2"/>
                                <w:sz w:val="18"/>
                                <w:szCs w:val="22"/>
                                <w:lang w:val="pt-BR"/>
                              </w:rPr>
                              <w:t xml:space="preserve">Aprovado eletronicamente pela Comissão em </w:t>
                            </w:r>
                            <w:r w:rsidR="000226F7">
                              <w:rPr>
                                <w:rFonts w:asciiTheme="majorHAnsi" w:hAnsiTheme="majorHAnsi"/>
                                <w:color w:val="0D0D0D" w:themeColor="text1" w:themeTint="F2"/>
                                <w:sz w:val="18"/>
                                <w:szCs w:val="22"/>
                                <w:lang w:val="pt-BR"/>
                              </w:rPr>
                              <w:t>28 de abril de 2025.</w:t>
                            </w:r>
                          </w:p>
                          <w:p w14:paraId="4D148488" w14:textId="77777777" w:rsidR="005B52B0" w:rsidRPr="001E6BA8"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5F851817" w:rsidR="00DD3D86" w:rsidRPr="001E6BA8" w:rsidRDefault="00DD3D86" w:rsidP="00247403">
                      <w:pPr>
                        <w:tabs>
                          <w:tab w:val="center" w:pos="5400"/>
                        </w:tabs>
                        <w:suppressAutoHyphens/>
                        <w:spacing w:before="60"/>
                        <w:rPr>
                          <w:rFonts w:asciiTheme="majorHAnsi" w:hAnsiTheme="majorHAnsi"/>
                          <w:color w:val="0D0D0D" w:themeColor="text1" w:themeTint="F2"/>
                          <w:sz w:val="18"/>
                          <w:szCs w:val="22"/>
                          <w:lang w:val="pt-BR"/>
                        </w:rPr>
                      </w:pPr>
                      <w:r w:rsidRPr="001E6BA8">
                        <w:rPr>
                          <w:rFonts w:asciiTheme="majorHAnsi" w:hAnsiTheme="majorHAnsi"/>
                          <w:color w:val="0D0D0D" w:themeColor="text1" w:themeTint="F2"/>
                          <w:sz w:val="18"/>
                          <w:szCs w:val="22"/>
                          <w:lang w:val="pt-BR"/>
                        </w:rPr>
                        <w:t xml:space="preserve">Aprovado eletronicamente pela Comissão em </w:t>
                      </w:r>
                      <w:r w:rsidR="000226F7">
                        <w:rPr>
                          <w:rFonts w:asciiTheme="majorHAnsi" w:hAnsiTheme="majorHAnsi"/>
                          <w:color w:val="0D0D0D" w:themeColor="text1" w:themeTint="F2"/>
                          <w:sz w:val="18"/>
                          <w:szCs w:val="22"/>
                          <w:lang w:val="pt-BR"/>
                        </w:rPr>
                        <w:t>28 de abril de 2025.</w:t>
                      </w:r>
                    </w:p>
                    <w:p w14:paraId="4D148488" w14:textId="77777777" w:rsidR="005B52B0" w:rsidRPr="001E6BA8"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220D3" w14:textId="6D1FAADB" w:rsidR="00BE0433" w:rsidRPr="00487BCD" w:rsidRDefault="00113F73" w:rsidP="00113F73">
                            <w:pPr>
                              <w:spacing w:line="276" w:lineRule="auto"/>
                              <w:rPr>
                                <w:rFonts w:asciiTheme="majorHAnsi" w:hAnsiTheme="majorHAnsi"/>
                                <w:sz w:val="18"/>
                                <w:szCs w:val="18"/>
                                <w:lang w:val="pt-BR"/>
                              </w:rPr>
                            </w:pPr>
                            <w:r w:rsidRPr="00487BCD">
                              <w:rPr>
                                <w:rFonts w:asciiTheme="majorHAnsi" w:hAnsiTheme="majorHAnsi"/>
                                <w:b/>
                                <w:sz w:val="18"/>
                                <w:szCs w:val="18"/>
                                <w:lang w:val="pt-BR"/>
                              </w:rPr>
                              <w:t>Cit</w:t>
                            </w:r>
                            <w:r w:rsidR="00422A51" w:rsidRPr="00487BCD">
                              <w:rPr>
                                <w:rFonts w:asciiTheme="majorHAnsi" w:hAnsiTheme="majorHAnsi"/>
                                <w:b/>
                                <w:sz w:val="18"/>
                                <w:szCs w:val="18"/>
                                <w:lang w:val="pt-BR"/>
                              </w:rPr>
                              <w:t>ar como</w:t>
                            </w:r>
                            <w:r w:rsidRPr="00487BCD">
                              <w:rPr>
                                <w:rFonts w:asciiTheme="majorHAnsi" w:hAnsiTheme="majorHAnsi"/>
                                <w:b/>
                                <w:sz w:val="18"/>
                                <w:szCs w:val="18"/>
                                <w:lang w:val="pt-BR"/>
                              </w:rPr>
                              <w:t>:</w:t>
                            </w:r>
                            <w:r w:rsidRPr="00487BCD">
                              <w:rPr>
                                <w:rFonts w:asciiTheme="majorHAnsi" w:hAnsiTheme="majorHAnsi"/>
                                <w:sz w:val="18"/>
                                <w:szCs w:val="18"/>
                                <w:lang w:val="pt-BR"/>
                              </w:rPr>
                              <w:t xml:space="preserve"> CIDH, Relatório No. </w:t>
                            </w:r>
                            <w:r w:rsidR="00FE21C2" w:rsidRPr="00487BCD">
                              <w:rPr>
                                <w:rFonts w:asciiTheme="majorHAnsi" w:hAnsiTheme="majorHAnsi"/>
                                <w:sz w:val="18"/>
                                <w:szCs w:val="18"/>
                                <w:lang w:val="pt-BR"/>
                              </w:rPr>
                              <w:t>66</w:t>
                            </w:r>
                            <w:r w:rsidRPr="00487BCD">
                              <w:rPr>
                                <w:rFonts w:asciiTheme="majorHAnsi" w:hAnsiTheme="majorHAnsi"/>
                                <w:sz w:val="18"/>
                                <w:szCs w:val="18"/>
                                <w:lang w:val="pt-BR"/>
                              </w:rPr>
                              <w:t>/</w:t>
                            </w:r>
                            <w:r w:rsidR="00FE21C2" w:rsidRPr="00487BCD">
                              <w:rPr>
                                <w:rFonts w:asciiTheme="majorHAnsi" w:hAnsiTheme="majorHAnsi"/>
                                <w:sz w:val="18"/>
                                <w:szCs w:val="18"/>
                                <w:lang w:val="pt-BR"/>
                              </w:rPr>
                              <w:t>25</w:t>
                            </w:r>
                            <w:r w:rsidRPr="00487BCD">
                              <w:rPr>
                                <w:rFonts w:asciiTheme="majorHAnsi" w:hAnsiTheme="majorHAnsi"/>
                                <w:sz w:val="18"/>
                                <w:szCs w:val="18"/>
                                <w:lang w:val="pt-BR"/>
                              </w:rPr>
                              <w:t xml:space="preserve">. </w:t>
                            </w:r>
                            <w:r w:rsidR="00BE0433" w:rsidRPr="00487BCD">
                              <w:rPr>
                                <w:rFonts w:asciiTheme="majorHAnsi" w:hAnsiTheme="majorHAnsi"/>
                                <w:sz w:val="18"/>
                                <w:szCs w:val="18"/>
                                <w:lang w:val="pt-BR"/>
                              </w:rPr>
                              <w:t xml:space="preserve"> </w:t>
                            </w:r>
                            <w:r w:rsidRPr="00487BCD">
                              <w:rPr>
                                <w:rFonts w:asciiTheme="majorHAnsi" w:hAnsiTheme="majorHAnsi"/>
                                <w:sz w:val="18"/>
                                <w:szCs w:val="18"/>
                                <w:lang w:val="pt-BR"/>
                              </w:rPr>
                              <w:t xml:space="preserve">Petição 2360-20. </w:t>
                            </w:r>
                            <w:r w:rsidR="00BE0433" w:rsidRPr="00487BCD">
                              <w:rPr>
                                <w:rFonts w:asciiTheme="majorHAnsi" w:hAnsiTheme="majorHAnsi"/>
                                <w:sz w:val="18"/>
                                <w:szCs w:val="18"/>
                                <w:lang w:val="pt-BR"/>
                              </w:rPr>
                              <w:t xml:space="preserve"> </w:t>
                            </w:r>
                            <w:r w:rsidRPr="00487BCD">
                              <w:rPr>
                                <w:rFonts w:asciiTheme="majorHAnsi" w:hAnsiTheme="majorHAnsi"/>
                                <w:sz w:val="18"/>
                                <w:szCs w:val="18"/>
                                <w:lang w:val="pt-BR"/>
                              </w:rPr>
                              <w:t xml:space="preserve">Admissibilidade. </w:t>
                            </w:r>
                          </w:p>
                          <w:p w14:paraId="0D1B22CF" w14:textId="71BCB2BE" w:rsidR="00113F73" w:rsidRPr="00487BCD" w:rsidRDefault="00113F73" w:rsidP="00113F73">
                            <w:pPr>
                              <w:spacing w:line="276" w:lineRule="auto"/>
                              <w:rPr>
                                <w:rFonts w:asciiTheme="majorHAnsi" w:hAnsiTheme="majorHAnsi"/>
                                <w:sz w:val="18"/>
                                <w:szCs w:val="18"/>
                                <w:lang w:val="pt-BR"/>
                              </w:rPr>
                            </w:pPr>
                            <w:r w:rsidRPr="00487BCD">
                              <w:rPr>
                                <w:rFonts w:asciiTheme="majorHAnsi" w:hAnsiTheme="majorHAnsi"/>
                                <w:sz w:val="18"/>
                                <w:szCs w:val="18"/>
                                <w:lang w:val="pt-BR"/>
                              </w:rPr>
                              <w:t>Eduardo Vinicius Fosch dos Santos e su</w:t>
                            </w:r>
                            <w:r w:rsidR="0071674E" w:rsidRPr="00487BCD">
                              <w:rPr>
                                <w:rFonts w:asciiTheme="majorHAnsi" w:hAnsiTheme="majorHAnsi"/>
                                <w:sz w:val="18"/>
                                <w:szCs w:val="18"/>
                                <w:lang w:val="pt-BR"/>
                              </w:rPr>
                              <w:t>a</w:t>
                            </w:r>
                            <w:r w:rsidRPr="00487BCD">
                              <w:rPr>
                                <w:rFonts w:asciiTheme="majorHAnsi" w:hAnsiTheme="majorHAnsi"/>
                                <w:sz w:val="18"/>
                                <w:szCs w:val="18"/>
                                <w:lang w:val="pt-BR"/>
                              </w:rPr>
                              <w:t xml:space="preserve"> fam</w:t>
                            </w:r>
                            <w:r w:rsidR="00BE0433" w:rsidRPr="00487BCD">
                              <w:rPr>
                                <w:rFonts w:asciiTheme="majorHAnsi" w:hAnsiTheme="majorHAnsi"/>
                                <w:sz w:val="18"/>
                                <w:szCs w:val="18"/>
                                <w:lang w:val="pt-BR"/>
                              </w:rPr>
                              <w:t>i</w:t>
                            </w:r>
                            <w:r w:rsidRPr="00487BCD">
                              <w:rPr>
                                <w:rFonts w:asciiTheme="majorHAnsi" w:hAnsiTheme="majorHAnsi"/>
                                <w:sz w:val="18"/>
                                <w:szCs w:val="18"/>
                                <w:lang w:val="pt-BR"/>
                              </w:rPr>
                              <w:t xml:space="preserve">lia. Brasil. </w:t>
                            </w:r>
                            <w:r w:rsidR="002A3555" w:rsidRPr="00487BCD">
                              <w:rPr>
                                <w:rFonts w:asciiTheme="majorHAnsi" w:hAnsiTheme="majorHAnsi"/>
                                <w:sz w:val="18"/>
                                <w:szCs w:val="18"/>
                                <w:lang w:val="pt-BR"/>
                              </w:rPr>
                              <w:t>28 de abril de 2025</w:t>
                            </w:r>
                            <w:r w:rsidRPr="00487BCD">
                              <w:rPr>
                                <w:rFonts w:asciiTheme="majorHAnsi" w:hAnsiTheme="majorHAnsi"/>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F2220D3" w14:textId="6D1FAADB" w:rsidR="00BE0433" w:rsidRPr="00487BCD" w:rsidRDefault="00113F73" w:rsidP="00113F73">
                      <w:pPr>
                        <w:spacing w:line="276" w:lineRule="auto"/>
                        <w:rPr>
                          <w:rFonts w:asciiTheme="majorHAnsi" w:hAnsiTheme="majorHAnsi"/>
                          <w:sz w:val="18"/>
                          <w:szCs w:val="18"/>
                          <w:lang w:val="pt-BR"/>
                        </w:rPr>
                      </w:pPr>
                      <w:r w:rsidRPr="00487BCD">
                        <w:rPr>
                          <w:rFonts w:asciiTheme="majorHAnsi" w:hAnsiTheme="majorHAnsi"/>
                          <w:b/>
                          <w:sz w:val="18"/>
                          <w:szCs w:val="18"/>
                          <w:lang w:val="pt-BR"/>
                        </w:rPr>
                        <w:t>Cit</w:t>
                      </w:r>
                      <w:r w:rsidR="00422A51" w:rsidRPr="00487BCD">
                        <w:rPr>
                          <w:rFonts w:asciiTheme="majorHAnsi" w:hAnsiTheme="majorHAnsi"/>
                          <w:b/>
                          <w:sz w:val="18"/>
                          <w:szCs w:val="18"/>
                          <w:lang w:val="pt-BR"/>
                        </w:rPr>
                        <w:t>ar como</w:t>
                      </w:r>
                      <w:r w:rsidRPr="00487BCD">
                        <w:rPr>
                          <w:rFonts w:asciiTheme="majorHAnsi" w:hAnsiTheme="majorHAnsi"/>
                          <w:b/>
                          <w:sz w:val="18"/>
                          <w:szCs w:val="18"/>
                          <w:lang w:val="pt-BR"/>
                        </w:rPr>
                        <w:t>:</w:t>
                      </w:r>
                      <w:r w:rsidRPr="00487BCD">
                        <w:rPr>
                          <w:rFonts w:asciiTheme="majorHAnsi" w:hAnsiTheme="majorHAnsi"/>
                          <w:sz w:val="18"/>
                          <w:szCs w:val="18"/>
                          <w:lang w:val="pt-BR"/>
                        </w:rPr>
                        <w:t xml:space="preserve"> CIDH, Relatório No. </w:t>
                      </w:r>
                      <w:r w:rsidR="00FE21C2" w:rsidRPr="00487BCD">
                        <w:rPr>
                          <w:rFonts w:asciiTheme="majorHAnsi" w:hAnsiTheme="majorHAnsi"/>
                          <w:sz w:val="18"/>
                          <w:szCs w:val="18"/>
                          <w:lang w:val="pt-BR"/>
                        </w:rPr>
                        <w:t>66</w:t>
                      </w:r>
                      <w:r w:rsidRPr="00487BCD">
                        <w:rPr>
                          <w:rFonts w:asciiTheme="majorHAnsi" w:hAnsiTheme="majorHAnsi"/>
                          <w:sz w:val="18"/>
                          <w:szCs w:val="18"/>
                          <w:lang w:val="pt-BR"/>
                        </w:rPr>
                        <w:t>/</w:t>
                      </w:r>
                      <w:r w:rsidR="00FE21C2" w:rsidRPr="00487BCD">
                        <w:rPr>
                          <w:rFonts w:asciiTheme="majorHAnsi" w:hAnsiTheme="majorHAnsi"/>
                          <w:sz w:val="18"/>
                          <w:szCs w:val="18"/>
                          <w:lang w:val="pt-BR"/>
                        </w:rPr>
                        <w:t>25</w:t>
                      </w:r>
                      <w:r w:rsidRPr="00487BCD">
                        <w:rPr>
                          <w:rFonts w:asciiTheme="majorHAnsi" w:hAnsiTheme="majorHAnsi"/>
                          <w:sz w:val="18"/>
                          <w:szCs w:val="18"/>
                          <w:lang w:val="pt-BR"/>
                        </w:rPr>
                        <w:t xml:space="preserve">. </w:t>
                      </w:r>
                      <w:r w:rsidR="00BE0433" w:rsidRPr="00487BCD">
                        <w:rPr>
                          <w:rFonts w:asciiTheme="majorHAnsi" w:hAnsiTheme="majorHAnsi"/>
                          <w:sz w:val="18"/>
                          <w:szCs w:val="18"/>
                          <w:lang w:val="pt-BR"/>
                        </w:rPr>
                        <w:t xml:space="preserve"> </w:t>
                      </w:r>
                      <w:r w:rsidRPr="00487BCD">
                        <w:rPr>
                          <w:rFonts w:asciiTheme="majorHAnsi" w:hAnsiTheme="majorHAnsi"/>
                          <w:sz w:val="18"/>
                          <w:szCs w:val="18"/>
                          <w:lang w:val="pt-BR"/>
                        </w:rPr>
                        <w:t xml:space="preserve">Petição 2360-20. </w:t>
                      </w:r>
                      <w:r w:rsidR="00BE0433" w:rsidRPr="00487BCD">
                        <w:rPr>
                          <w:rFonts w:asciiTheme="majorHAnsi" w:hAnsiTheme="majorHAnsi"/>
                          <w:sz w:val="18"/>
                          <w:szCs w:val="18"/>
                          <w:lang w:val="pt-BR"/>
                        </w:rPr>
                        <w:t xml:space="preserve"> </w:t>
                      </w:r>
                      <w:r w:rsidRPr="00487BCD">
                        <w:rPr>
                          <w:rFonts w:asciiTheme="majorHAnsi" w:hAnsiTheme="majorHAnsi"/>
                          <w:sz w:val="18"/>
                          <w:szCs w:val="18"/>
                          <w:lang w:val="pt-BR"/>
                        </w:rPr>
                        <w:t xml:space="preserve">Admissibilidade. </w:t>
                      </w:r>
                    </w:p>
                    <w:p w14:paraId="0D1B22CF" w14:textId="71BCB2BE" w:rsidR="00113F73" w:rsidRPr="00487BCD" w:rsidRDefault="00113F73" w:rsidP="00113F73">
                      <w:pPr>
                        <w:spacing w:line="276" w:lineRule="auto"/>
                        <w:rPr>
                          <w:rFonts w:asciiTheme="majorHAnsi" w:hAnsiTheme="majorHAnsi"/>
                          <w:sz w:val="18"/>
                          <w:szCs w:val="18"/>
                          <w:lang w:val="pt-BR"/>
                        </w:rPr>
                      </w:pPr>
                      <w:r w:rsidRPr="00487BCD">
                        <w:rPr>
                          <w:rFonts w:asciiTheme="majorHAnsi" w:hAnsiTheme="majorHAnsi"/>
                          <w:sz w:val="18"/>
                          <w:szCs w:val="18"/>
                          <w:lang w:val="pt-BR"/>
                        </w:rPr>
                        <w:t>Eduardo Vinicius Fosch dos Santos e su</w:t>
                      </w:r>
                      <w:r w:rsidR="0071674E" w:rsidRPr="00487BCD">
                        <w:rPr>
                          <w:rFonts w:asciiTheme="majorHAnsi" w:hAnsiTheme="majorHAnsi"/>
                          <w:sz w:val="18"/>
                          <w:szCs w:val="18"/>
                          <w:lang w:val="pt-BR"/>
                        </w:rPr>
                        <w:t>a</w:t>
                      </w:r>
                      <w:r w:rsidRPr="00487BCD">
                        <w:rPr>
                          <w:rFonts w:asciiTheme="majorHAnsi" w:hAnsiTheme="majorHAnsi"/>
                          <w:sz w:val="18"/>
                          <w:szCs w:val="18"/>
                          <w:lang w:val="pt-BR"/>
                        </w:rPr>
                        <w:t xml:space="preserve"> fam</w:t>
                      </w:r>
                      <w:r w:rsidR="00BE0433" w:rsidRPr="00487BCD">
                        <w:rPr>
                          <w:rFonts w:asciiTheme="majorHAnsi" w:hAnsiTheme="majorHAnsi"/>
                          <w:sz w:val="18"/>
                          <w:szCs w:val="18"/>
                          <w:lang w:val="pt-BR"/>
                        </w:rPr>
                        <w:t>i</w:t>
                      </w:r>
                      <w:r w:rsidRPr="00487BCD">
                        <w:rPr>
                          <w:rFonts w:asciiTheme="majorHAnsi" w:hAnsiTheme="majorHAnsi"/>
                          <w:sz w:val="18"/>
                          <w:szCs w:val="18"/>
                          <w:lang w:val="pt-BR"/>
                        </w:rPr>
                        <w:t xml:space="preserve">lia. Brasil. </w:t>
                      </w:r>
                      <w:r w:rsidR="002A3555" w:rsidRPr="00487BCD">
                        <w:rPr>
                          <w:rFonts w:asciiTheme="majorHAnsi" w:hAnsiTheme="majorHAnsi"/>
                          <w:sz w:val="18"/>
                          <w:szCs w:val="18"/>
                          <w:lang w:val="pt-BR"/>
                        </w:rPr>
                        <w:t>28 de abril de 2025</w:t>
                      </w:r>
                      <w:r w:rsidRPr="00487BCD">
                        <w:rPr>
                          <w:rFonts w:asciiTheme="majorHAnsi" w:hAnsiTheme="majorHAnsi"/>
                          <w:sz w:val="18"/>
                          <w:szCs w:val="18"/>
                          <w:lang w:val="pt-BR"/>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438AF659" w:rsidR="0090270B" w:rsidRDefault="0090270B" w:rsidP="005516A1">
      <w:pPr>
        <w:tabs>
          <w:tab w:val="center" w:pos="5400"/>
        </w:tabs>
        <w:suppressAutoHyphens/>
        <w:jc w:val="center"/>
        <w:rPr>
          <w:rFonts w:asciiTheme="majorHAnsi" w:hAnsiTheme="majorHAnsi"/>
          <w:b/>
          <w:sz w:val="20"/>
          <w:lang w:val="es-ES_tradnl"/>
        </w:rPr>
      </w:pPr>
    </w:p>
    <w:p w14:paraId="2FE1B253" w14:textId="6C495042" w:rsidR="0070697F" w:rsidRDefault="002A3555"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eastAsia="es-419"/>
        </w:rPr>
        <mc:AlternateContent>
          <mc:Choice Requires="wps">
            <w:drawing>
              <wp:anchor distT="0" distB="0" distL="114300" distR="114300" simplePos="0" relativeHeight="251658246" behindDoc="0" locked="0" layoutInCell="1" allowOverlap="1" wp14:anchorId="50472543" wp14:editId="1A2480D6">
                <wp:simplePos x="0" y="0"/>
                <wp:positionH relativeFrom="column">
                  <wp:posOffset>1264122</wp:posOffset>
                </wp:positionH>
                <wp:positionV relativeFrom="paragraph">
                  <wp:posOffset>490220</wp:posOffset>
                </wp:positionV>
                <wp:extent cx="4096385" cy="6127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2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144A270" w:rsidR="00D72DC6" w:rsidRPr="00D72DC6" w:rsidRDefault="004131A9" w:rsidP="00F02AD1">
                            <w:pPr>
                              <w:rPr>
                                <w:color w:val="FFFFFF" w:themeColor="background1"/>
                                <w14:textFill>
                                  <w14:noFill/>
                                </w14:textFill>
                              </w:rPr>
                            </w:pPr>
                            <w:r>
                              <w:rPr>
                                <w:noProof/>
                              </w:rPr>
                              <w:drawing>
                                <wp:inline distT="0" distB="0" distL="0" distR="0" wp14:anchorId="51188751" wp14:editId="39FC76AF">
                                  <wp:extent cx="1907036" cy="521787"/>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40035" cy="5308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99.55pt;margin-top:38.6pt;width:322.55pt;height:4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" fillcolor="white [3201]" stroked="f" strokeweight=".5pt">
                <v:textbox>
                  <w:txbxContent>
                    <w:p w14:paraId="2A1ECD3C" w14:textId="5144A270" w:rsidR="00D72DC6" w:rsidRPr="00D72DC6" w:rsidRDefault="004131A9" w:rsidP="00F02AD1">
                      <w:pPr>
                        <w:rPr>
                          <w:color w:val="FFFFFF" w:themeColor="background1"/>
                          <w14:textFill>
                            <w14:noFill/>
                          </w14:textFill>
                        </w:rPr>
                      </w:pPr>
                      <w:r>
                        <w:rPr>
                          <w:noProof/>
                        </w:rPr>
                        <w:drawing>
                          <wp:inline distT="0" distB="0" distL="0" distR="0" wp14:anchorId="51188751" wp14:editId="39FC76AF">
                            <wp:extent cx="1907036" cy="521787"/>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40035" cy="530816"/>
                                    </a:xfrm>
                                    <a:prstGeom prst="rect">
                                      <a:avLst/>
                                    </a:prstGeom>
                                    <a:noFill/>
                                    <a:ln>
                                      <a:noFill/>
                                    </a:ln>
                                  </pic:spPr>
                                </pic:pic>
                              </a:graphicData>
                            </a:graphic>
                          </wp:inline>
                        </w:drawing>
                      </w:r>
                    </w:p>
                  </w:txbxContent>
                </v:textbox>
              </v:shape>
            </w:pict>
          </mc:Fallback>
        </mc:AlternateContent>
      </w:r>
      <w:r w:rsidR="000226F7" w:rsidRPr="00625030">
        <w:rPr>
          <w:rFonts w:asciiTheme="majorHAnsi" w:hAnsiTheme="majorHAnsi"/>
          <w:noProof/>
          <w:sz w:val="22"/>
          <w:szCs w:val="22"/>
          <w:lang w:eastAsia="es-419"/>
        </w:rPr>
        <mc:AlternateContent>
          <mc:Choice Requires="wps">
            <w:drawing>
              <wp:anchor distT="0" distB="0" distL="114300" distR="114300" simplePos="0" relativeHeight="251658247" behindDoc="0" locked="0" layoutInCell="1" allowOverlap="1" wp14:anchorId="02EDA5EE" wp14:editId="5398EABD">
                <wp:simplePos x="0" y="0"/>
                <wp:positionH relativeFrom="column">
                  <wp:posOffset>-271780</wp:posOffset>
                </wp:positionH>
                <wp:positionV relativeFrom="paragraph">
                  <wp:posOffset>672773</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C003F4" w:rsidRDefault="00D306D1" w:rsidP="00D306D1">
                            <w:pPr>
                              <w:jc w:val="center"/>
                              <w:rPr>
                                <w:rFonts w:asciiTheme="minorHAnsi" w:hAnsiTheme="minorHAnsi"/>
                                <w:b/>
                              </w:rPr>
                            </w:pPr>
                            <w:r w:rsidRPr="00C003F4">
                              <w:rPr>
                                <w:rFonts w:asciiTheme="minorHAnsi" w:hAnsiTheme="minorHAnsi"/>
                                <w:b/>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pt;margin-top:52.9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" filled="f" stroked="f" strokeweight=".5pt">
                <v:textbox>
                  <w:txbxContent>
                    <w:p w14:paraId="6EA0DBC3" w14:textId="77777777" w:rsidR="00D306D1" w:rsidRPr="00C003F4" w:rsidRDefault="00D306D1" w:rsidP="00D306D1">
                      <w:pPr>
                        <w:jc w:val="center"/>
                        <w:rPr>
                          <w:rFonts w:asciiTheme="minorHAnsi" w:hAnsiTheme="minorHAnsi"/>
                          <w:b/>
                        </w:rPr>
                      </w:pPr>
                      <w:r w:rsidRPr="00C003F4">
                        <w:rPr>
                          <w:rFonts w:asciiTheme="minorHAnsi" w:hAnsiTheme="minorHAnsi"/>
                          <w:b/>
                        </w:rPr>
                        <w:t>www.cidh.org</w:t>
                      </w:r>
                    </w:p>
                  </w:txbxContent>
                </v:textbox>
              </v:shape>
            </w:pict>
          </mc:Fallback>
        </mc:AlternateContent>
      </w:r>
      <w:r w:rsidR="004A6A54">
        <w:rPr>
          <w:rFonts w:asciiTheme="majorHAnsi" w:hAnsiTheme="majorHAnsi"/>
          <w:b/>
          <w:sz w:val="20"/>
        </w:rPr>
        <w:tab/>
      </w:r>
    </w:p>
    <w:p w14:paraId="376DDC8B" w14:textId="38EC1F0C" w:rsidR="003239B8" w:rsidRPr="000419AD" w:rsidRDefault="004822BF" w:rsidP="004A6A54">
      <w:pPr>
        <w:spacing w:after="240"/>
        <w:ind w:firstLine="720"/>
        <w:jc w:val="both"/>
        <w:rPr>
          <w:rFonts w:asciiTheme="majorHAnsi" w:hAnsiTheme="majorHAnsi"/>
          <w:b/>
          <w:bCs/>
          <w:sz w:val="20"/>
          <w:szCs w:val="20"/>
          <w:lang w:val="es-ES"/>
        </w:rPr>
      </w:pPr>
      <w:r>
        <w:rPr>
          <w:rFonts w:asciiTheme="majorHAnsi" w:hAnsiTheme="majorHAnsi"/>
          <w:b/>
          <w:bCs/>
          <w:sz w:val="20"/>
          <w:szCs w:val="20"/>
        </w:rPr>
        <w:lastRenderedPageBreak/>
        <w:t>I</w:t>
      </w:r>
      <w:r w:rsidR="003239B8" w:rsidRPr="000419AD">
        <w:rPr>
          <w:rFonts w:asciiTheme="majorHAnsi" w:hAnsiTheme="majorHAnsi"/>
          <w:b/>
          <w:bCs/>
          <w:sz w:val="20"/>
          <w:szCs w:val="20"/>
        </w:rPr>
        <w:t>.</w:t>
      </w:r>
      <w:r w:rsidR="003239B8" w:rsidRPr="000419AD">
        <w:rPr>
          <w:rFonts w:asciiTheme="majorHAnsi" w:hAnsiTheme="majorHAnsi"/>
          <w:b/>
          <w:bCs/>
          <w:sz w:val="20"/>
          <w:szCs w:val="20"/>
        </w:rPr>
        <w:tab/>
        <w:t>D</w:t>
      </w:r>
      <w:r w:rsidR="00415515">
        <w:rPr>
          <w:rFonts w:asciiTheme="majorHAnsi" w:hAnsiTheme="majorHAnsi"/>
          <w:b/>
          <w:bCs/>
          <w:sz w:val="20"/>
          <w:szCs w:val="20"/>
        </w:rPr>
        <w:t>ADOS</w:t>
      </w:r>
      <w:r w:rsidR="003239B8" w:rsidRPr="000419AD">
        <w:rPr>
          <w:rFonts w:asciiTheme="majorHAnsi" w:hAnsiTheme="majorHAnsi"/>
          <w:b/>
          <w:bCs/>
          <w:sz w:val="20"/>
          <w:szCs w:val="20"/>
        </w:rPr>
        <w:t xml:space="preserve"> DA PETIÇÃO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D1C63" w:rsidRPr="007F6C25" w14:paraId="5A79D1F7" w14:textId="77777777" w:rsidTr="00C003F4">
        <w:tc>
          <w:tcPr>
            <w:tcW w:w="3600" w:type="dxa"/>
            <w:tcBorders>
              <w:top w:val="single" w:sz="4" w:space="0" w:color="auto"/>
              <w:bottom w:val="single" w:sz="6" w:space="0" w:color="auto"/>
            </w:tcBorders>
            <w:shd w:val="clear" w:color="auto" w:fill="FFC000"/>
            <w:vAlign w:val="center"/>
          </w:tcPr>
          <w:p w14:paraId="0CB2A43B" w14:textId="56313F2C" w:rsidR="00FD1C63" w:rsidRPr="00C003F4" w:rsidRDefault="00FD1C63" w:rsidP="00FD1C63">
            <w:pPr>
              <w:jc w:val="center"/>
              <w:rPr>
                <w:rFonts w:ascii="Cambria" w:hAnsi="Cambria"/>
                <w:b/>
                <w:bCs/>
                <w:sz w:val="20"/>
                <w:szCs w:val="20"/>
                <w:lang w:val="es-PE"/>
              </w:rPr>
            </w:pPr>
            <w:r w:rsidRPr="008C651D">
              <w:rPr>
                <w:rFonts w:ascii="Cambria" w:hAnsi="Cambria"/>
                <w:b/>
                <w:bCs/>
                <w:color w:val="000000" w:themeColor="text1"/>
                <w:sz w:val="20"/>
                <w:szCs w:val="20"/>
                <w:lang w:val="pt-BR"/>
              </w:rPr>
              <w:t>Parte peticionária:</w:t>
            </w:r>
          </w:p>
        </w:tc>
        <w:tc>
          <w:tcPr>
            <w:tcW w:w="5760" w:type="dxa"/>
            <w:vAlign w:val="center"/>
          </w:tcPr>
          <w:p w14:paraId="3C5315D8" w14:textId="03F53C91" w:rsidR="00FD1C63" w:rsidRPr="00C21DB3" w:rsidRDefault="00FD1C63" w:rsidP="00FD1C63">
            <w:pPr>
              <w:jc w:val="both"/>
              <w:rPr>
                <w:rFonts w:ascii="Cambria" w:hAnsi="Cambria"/>
                <w:bCs/>
                <w:sz w:val="20"/>
                <w:szCs w:val="20"/>
                <w:lang w:val="pt-BR"/>
              </w:rPr>
            </w:pPr>
            <w:r w:rsidRPr="001E6BA8">
              <w:rPr>
                <w:rFonts w:ascii="Cambria" w:hAnsi="Cambria"/>
                <w:bCs/>
                <w:sz w:val="20"/>
                <w:szCs w:val="20"/>
                <w:lang w:val="pt-BR"/>
              </w:rPr>
              <w:t>Júlio César Rodrigues dos Santos, Jussara Regina Fösch e Marcelo Andrade de Azambuja</w:t>
            </w:r>
          </w:p>
        </w:tc>
      </w:tr>
      <w:tr w:rsidR="003239B8" w:rsidRPr="007F6C25" w14:paraId="593A7E45" w14:textId="77777777" w:rsidTr="00C003F4">
        <w:tc>
          <w:tcPr>
            <w:tcW w:w="3600" w:type="dxa"/>
            <w:tcBorders>
              <w:top w:val="single" w:sz="6" w:space="0" w:color="auto"/>
              <w:bottom w:val="single" w:sz="6" w:space="0" w:color="auto"/>
            </w:tcBorders>
            <w:shd w:val="clear" w:color="auto" w:fill="FFC000"/>
            <w:vAlign w:val="center"/>
          </w:tcPr>
          <w:p w14:paraId="0E78CA0C" w14:textId="77777777" w:rsidR="003239B8" w:rsidRPr="00C003F4" w:rsidRDefault="00DD68FB" w:rsidP="008D2290">
            <w:pPr>
              <w:jc w:val="center"/>
              <w:rPr>
                <w:rFonts w:ascii="Cambria" w:hAnsi="Cambria"/>
                <w:b/>
                <w:bCs/>
                <w:sz w:val="20"/>
                <w:szCs w:val="20"/>
                <w:lang w:val="es-PE"/>
              </w:rPr>
            </w:pPr>
            <w:sdt>
              <w:sdtPr>
                <w:rPr>
                  <w:rFonts w:ascii="Cambria" w:hAnsi="Cambria"/>
                  <w:b/>
                  <w:bCs/>
                  <w:sz w:val="20"/>
                  <w:szCs w:val="20"/>
                  <w:lang w:val="es-PE"/>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003F4">
                  <w:rPr>
                    <w:rFonts w:ascii="Cambria" w:hAnsi="Cambria"/>
                    <w:b/>
                    <w:bCs/>
                    <w:sz w:val="20"/>
                    <w:szCs w:val="20"/>
                  </w:rPr>
                  <w:t xml:space="preserve">   Suposta vítima </w:t>
                </w:r>
              </w:sdtContent>
            </w:sdt>
            <w:r w:rsidR="003239B8" w:rsidRPr="00C003F4">
              <w:rPr>
                <w:rFonts w:ascii="Cambria" w:hAnsi="Cambria"/>
                <w:b/>
                <w:bCs/>
                <w:sz w:val="20"/>
                <w:szCs w:val="20"/>
              </w:rPr>
              <w:t>:</w:t>
            </w:r>
          </w:p>
        </w:tc>
        <w:tc>
          <w:tcPr>
            <w:tcW w:w="5760" w:type="dxa"/>
            <w:vAlign w:val="center"/>
          </w:tcPr>
          <w:p w14:paraId="4AEBF59E" w14:textId="1445BA6F" w:rsidR="003239B8" w:rsidRPr="001E6BA8" w:rsidRDefault="00097224" w:rsidP="008D2290">
            <w:pPr>
              <w:jc w:val="both"/>
              <w:rPr>
                <w:rFonts w:ascii="Cambria" w:hAnsi="Cambria"/>
                <w:bCs/>
                <w:sz w:val="20"/>
                <w:szCs w:val="20"/>
                <w:lang w:val="pt-BR"/>
              </w:rPr>
            </w:pPr>
            <w:r w:rsidRPr="001E6BA8">
              <w:rPr>
                <w:rFonts w:ascii="Cambria" w:hAnsi="Cambria"/>
                <w:bCs/>
                <w:sz w:val="20"/>
                <w:szCs w:val="20"/>
                <w:lang w:val="pt-BR"/>
              </w:rPr>
              <w:t>Eduardo Vinicius Fosch dos San</w:t>
            </w:r>
            <w:r w:rsidRPr="00BE0433">
              <w:rPr>
                <w:rFonts w:ascii="Cambria" w:hAnsi="Cambria"/>
                <w:bCs/>
                <w:sz w:val="20"/>
                <w:szCs w:val="20"/>
                <w:lang w:val="pt-BR"/>
              </w:rPr>
              <w:t>tos e</w:t>
            </w:r>
            <w:r w:rsidR="00316FEA" w:rsidRPr="00BE0433">
              <w:rPr>
                <w:rFonts w:ascii="Cambria" w:hAnsi="Cambria"/>
                <w:bCs/>
                <w:sz w:val="20"/>
                <w:szCs w:val="20"/>
                <w:lang w:val="pt-BR"/>
              </w:rPr>
              <w:t xml:space="preserve"> sua familia</w:t>
            </w:r>
            <w:r w:rsidR="00126EE5" w:rsidRPr="00BE0433">
              <w:rPr>
                <w:rStyle w:val="FootnoteReference"/>
                <w:rFonts w:ascii="Cambria" w:hAnsi="Cambria"/>
                <w:bCs/>
                <w:sz w:val="20"/>
                <w:szCs w:val="20"/>
              </w:rPr>
              <w:footnoteReference w:id="2"/>
            </w:r>
          </w:p>
        </w:tc>
      </w:tr>
      <w:tr w:rsidR="003759E4" w14:paraId="3E62E1D3" w14:textId="77777777" w:rsidTr="00C003F4">
        <w:tc>
          <w:tcPr>
            <w:tcW w:w="3600" w:type="dxa"/>
            <w:tcBorders>
              <w:top w:val="single" w:sz="6" w:space="0" w:color="auto"/>
              <w:bottom w:val="single" w:sz="6" w:space="0" w:color="auto"/>
            </w:tcBorders>
            <w:shd w:val="clear" w:color="auto" w:fill="FFC000"/>
            <w:vAlign w:val="center"/>
          </w:tcPr>
          <w:p w14:paraId="340B0F09" w14:textId="7502DA3D" w:rsidR="003759E4" w:rsidRPr="00C003F4" w:rsidRDefault="003759E4" w:rsidP="003759E4">
            <w:pPr>
              <w:jc w:val="center"/>
              <w:rPr>
                <w:rFonts w:ascii="Cambria" w:hAnsi="Cambria"/>
                <w:b/>
                <w:bCs/>
                <w:sz w:val="20"/>
                <w:szCs w:val="20"/>
                <w:lang w:val="es-PE"/>
              </w:rPr>
            </w:pPr>
            <w:r w:rsidRPr="008C651D">
              <w:rPr>
                <w:rFonts w:ascii="Cambria" w:hAnsi="Cambria"/>
                <w:b/>
                <w:bCs/>
                <w:color w:val="000000" w:themeColor="text1"/>
                <w:sz w:val="20"/>
                <w:szCs w:val="20"/>
                <w:lang w:val="pt-BR"/>
              </w:rPr>
              <w:t>Estado denunciado:</w:t>
            </w:r>
          </w:p>
        </w:tc>
        <w:tc>
          <w:tcPr>
            <w:tcW w:w="5760" w:type="dxa"/>
            <w:vAlign w:val="center"/>
          </w:tcPr>
          <w:p w14:paraId="274C8A50" w14:textId="6AEC3EB8" w:rsidR="003759E4" w:rsidRPr="009D1F69" w:rsidRDefault="003759E4" w:rsidP="003759E4">
            <w:pPr>
              <w:jc w:val="both"/>
              <w:rPr>
                <w:rFonts w:ascii="Cambria" w:hAnsi="Cambria"/>
                <w:bCs/>
                <w:sz w:val="20"/>
                <w:szCs w:val="20"/>
                <w:lang w:val="es-PE"/>
              </w:rPr>
            </w:pPr>
            <w:r w:rsidRPr="009D1F69">
              <w:rPr>
                <w:rFonts w:ascii="Cambria" w:hAnsi="Cambria"/>
                <w:bCs/>
                <w:sz w:val="20"/>
                <w:szCs w:val="20"/>
              </w:rPr>
              <w:t>Brasil</w:t>
            </w:r>
          </w:p>
        </w:tc>
      </w:tr>
      <w:tr w:rsidR="00223A29" w:rsidRPr="007F6C25" w14:paraId="632511BC" w14:textId="77777777" w:rsidTr="00C003F4">
        <w:tc>
          <w:tcPr>
            <w:tcW w:w="3600" w:type="dxa"/>
            <w:tcBorders>
              <w:top w:val="single" w:sz="6" w:space="0" w:color="auto"/>
              <w:bottom w:val="single" w:sz="6" w:space="0" w:color="auto"/>
            </w:tcBorders>
            <w:shd w:val="clear" w:color="auto" w:fill="FFC000"/>
            <w:vAlign w:val="center"/>
          </w:tcPr>
          <w:p w14:paraId="727E2F6B" w14:textId="60AEE329" w:rsidR="00223A29" w:rsidRPr="00C003F4" w:rsidRDefault="001B3A00" w:rsidP="00E4118C">
            <w:pPr>
              <w:jc w:val="center"/>
              <w:rPr>
                <w:rFonts w:ascii="Cambria" w:hAnsi="Cambria"/>
                <w:b/>
                <w:bCs/>
                <w:sz w:val="20"/>
                <w:szCs w:val="20"/>
                <w:lang w:val="es-PE"/>
              </w:rPr>
            </w:pPr>
            <w:r w:rsidRPr="00C003F4">
              <w:rPr>
                <w:rFonts w:ascii="Cambria" w:hAnsi="Cambria"/>
                <w:b/>
                <w:bCs/>
                <w:sz w:val="20"/>
                <w:szCs w:val="20"/>
              </w:rPr>
              <w:t>Direitos invocados:</w:t>
            </w:r>
          </w:p>
        </w:tc>
        <w:tc>
          <w:tcPr>
            <w:tcW w:w="5760" w:type="dxa"/>
            <w:vAlign w:val="center"/>
          </w:tcPr>
          <w:p w14:paraId="6DEE1EEB" w14:textId="59B7F419" w:rsidR="00223A29" w:rsidRPr="001E6BA8" w:rsidRDefault="007573E4" w:rsidP="008D2290">
            <w:pPr>
              <w:jc w:val="both"/>
              <w:rPr>
                <w:rFonts w:ascii="Cambria" w:hAnsi="Cambria"/>
                <w:bCs/>
                <w:sz w:val="20"/>
                <w:szCs w:val="20"/>
                <w:lang w:val="pt-BR"/>
              </w:rPr>
            </w:pPr>
            <w:r w:rsidRPr="001E6BA8">
              <w:rPr>
                <w:rFonts w:ascii="Cambria" w:eastAsia="Cambria" w:hAnsi="Cambria" w:cs="Cambria"/>
                <w:sz w:val="20"/>
                <w:szCs w:val="20"/>
                <w:lang w:val="pt-BR"/>
              </w:rPr>
              <w:t>Artigos 4 (vida), 5 (integridade pessoal), 8 (garantias judiciais), 19 (direitos da criança) e 25 (proteção judicial) da Convenção Americana sobre Direitos Humanos</w:t>
            </w:r>
            <w:r w:rsidR="009D1F69" w:rsidRPr="009D1F69">
              <w:rPr>
                <w:rFonts w:ascii="Cambria" w:eastAsia="Cambria" w:hAnsi="Cambria" w:cs="Cambria"/>
                <w:sz w:val="20"/>
                <w:szCs w:val="20"/>
                <w:vertAlign w:val="superscript"/>
              </w:rPr>
              <w:footnoteReference w:id="3"/>
            </w:r>
            <w:r w:rsidR="009D1F69" w:rsidRPr="001E6BA8">
              <w:rPr>
                <w:rFonts w:ascii="Cambria" w:eastAsia="Cambria" w:hAnsi="Cambria" w:cs="Cambria"/>
                <w:sz w:val="20"/>
                <w:szCs w:val="20"/>
                <w:vertAlign w:val="superscript"/>
                <w:lang w:val="pt-BR"/>
              </w:rPr>
              <w:t xml:space="preserve">    </w:t>
            </w:r>
          </w:p>
        </w:tc>
      </w:tr>
    </w:tbl>
    <w:p w14:paraId="20263696" w14:textId="14BF8FBD" w:rsidR="003239B8" w:rsidRPr="001E6BA8" w:rsidRDefault="003239B8" w:rsidP="003239B8">
      <w:pPr>
        <w:spacing w:before="240" w:after="240"/>
        <w:ind w:firstLine="720"/>
        <w:jc w:val="both"/>
        <w:rPr>
          <w:rFonts w:asciiTheme="majorHAnsi" w:hAnsiTheme="majorHAnsi"/>
          <w:b/>
          <w:bCs/>
          <w:sz w:val="20"/>
          <w:szCs w:val="20"/>
          <w:lang w:val="pt-BR"/>
        </w:rPr>
      </w:pPr>
      <w:r w:rsidRPr="001E6BA8">
        <w:rPr>
          <w:rFonts w:asciiTheme="majorHAnsi" w:hAnsiTheme="majorHAnsi"/>
          <w:b/>
          <w:bCs/>
          <w:sz w:val="20"/>
          <w:szCs w:val="20"/>
          <w:lang w:val="pt-BR"/>
        </w:rPr>
        <w:t>II.</w:t>
      </w:r>
      <w:r w:rsidRPr="001E6BA8">
        <w:rPr>
          <w:rFonts w:asciiTheme="majorHAnsi" w:hAnsiTheme="majorHAnsi"/>
          <w:b/>
          <w:bCs/>
          <w:sz w:val="20"/>
          <w:szCs w:val="20"/>
          <w:lang w:val="pt-BR"/>
        </w:rPr>
        <w:tab/>
        <w:t>TRÂMITE PERANTE 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C003F4">
        <w:tc>
          <w:tcPr>
            <w:tcW w:w="3600" w:type="dxa"/>
            <w:tcBorders>
              <w:top w:val="single" w:sz="6" w:space="0" w:color="auto"/>
              <w:bottom w:val="single" w:sz="6" w:space="0" w:color="auto"/>
            </w:tcBorders>
            <w:shd w:val="clear" w:color="auto" w:fill="FFC000"/>
            <w:vAlign w:val="center"/>
          </w:tcPr>
          <w:p w14:paraId="7508D16F" w14:textId="653461D7" w:rsidR="004C2312" w:rsidRPr="00C003F4" w:rsidRDefault="004A6A54" w:rsidP="004A6A54">
            <w:pPr>
              <w:jc w:val="center"/>
              <w:rPr>
                <w:rFonts w:ascii="Cambria" w:hAnsi="Cambria"/>
                <w:b/>
                <w:bCs/>
                <w:sz w:val="20"/>
                <w:szCs w:val="20"/>
                <w:lang w:val="es-ES"/>
              </w:rPr>
            </w:pPr>
            <w:r w:rsidRPr="00C003F4">
              <w:rPr>
                <w:rFonts w:ascii="Cambria" w:hAnsi="Cambria"/>
                <w:b/>
                <w:bCs/>
                <w:sz w:val="20"/>
                <w:szCs w:val="20"/>
              </w:rPr>
              <w:t>Apresentação da petição:</w:t>
            </w:r>
          </w:p>
        </w:tc>
        <w:tc>
          <w:tcPr>
            <w:tcW w:w="5760" w:type="dxa"/>
            <w:vAlign w:val="center"/>
          </w:tcPr>
          <w:p w14:paraId="6E579153" w14:textId="3A34D523" w:rsidR="004C2312" w:rsidRPr="003239B8" w:rsidRDefault="00234CD1" w:rsidP="002625EA">
            <w:pPr>
              <w:jc w:val="both"/>
              <w:rPr>
                <w:rFonts w:ascii="Cambria" w:hAnsi="Cambria"/>
                <w:bCs/>
                <w:sz w:val="20"/>
                <w:szCs w:val="20"/>
                <w:lang w:val="es-ES"/>
              </w:rPr>
            </w:pPr>
            <w:r>
              <w:rPr>
                <w:rFonts w:ascii="Cambria" w:hAnsi="Cambria"/>
                <w:bCs/>
                <w:sz w:val="20"/>
                <w:szCs w:val="20"/>
              </w:rPr>
              <w:t>10 de dezembro de 2020</w:t>
            </w:r>
          </w:p>
        </w:tc>
      </w:tr>
      <w:tr w:rsidR="004C2312" w:rsidRPr="00850A06" w14:paraId="1BDCD5C6" w14:textId="77777777" w:rsidTr="00C003F4">
        <w:tc>
          <w:tcPr>
            <w:tcW w:w="3600" w:type="dxa"/>
            <w:tcBorders>
              <w:top w:val="single" w:sz="6" w:space="0" w:color="auto"/>
              <w:bottom w:val="single" w:sz="6" w:space="0" w:color="auto"/>
            </w:tcBorders>
            <w:shd w:val="clear" w:color="auto" w:fill="FFC000"/>
            <w:vAlign w:val="center"/>
          </w:tcPr>
          <w:p w14:paraId="7A18664F" w14:textId="73FE510C" w:rsidR="004C2312" w:rsidRPr="00C003F4" w:rsidRDefault="004A6A54" w:rsidP="004A6A54">
            <w:pPr>
              <w:jc w:val="center"/>
              <w:rPr>
                <w:rFonts w:ascii="Cambria" w:hAnsi="Cambria"/>
                <w:b/>
                <w:bCs/>
                <w:sz w:val="20"/>
                <w:szCs w:val="20"/>
                <w:lang w:val="pt-BR"/>
              </w:rPr>
            </w:pPr>
            <w:r w:rsidRPr="00C003F4">
              <w:rPr>
                <w:rFonts w:ascii="Cambria" w:hAnsi="Cambria"/>
                <w:b/>
                <w:sz w:val="20"/>
                <w:szCs w:val="20"/>
                <w:lang w:val="pt-BR"/>
              </w:rPr>
              <w:t>Notificação da petição ao Estado:</w:t>
            </w:r>
          </w:p>
        </w:tc>
        <w:tc>
          <w:tcPr>
            <w:tcW w:w="5760" w:type="dxa"/>
            <w:vAlign w:val="center"/>
          </w:tcPr>
          <w:p w14:paraId="1519DA6A" w14:textId="49186820" w:rsidR="004C2312" w:rsidRPr="003239B8" w:rsidRDefault="0002339B" w:rsidP="008D2290">
            <w:pPr>
              <w:jc w:val="both"/>
              <w:rPr>
                <w:rFonts w:ascii="Cambria" w:hAnsi="Cambria"/>
                <w:bCs/>
                <w:sz w:val="20"/>
                <w:szCs w:val="20"/>
                <w:lang w:val="es-ES"/>
              </w:rPr>
            </w:pPr>
            <w:r>
              <w:rPr>
                <w:rFonts w:ascii="Cambria" w:hAnsi="Cambria"/>
                <w:bCs/>
                <w:sz w:val="20"/>
                <w:szCs w:val="20"/>
              </w:rPr>
              <w:t>26 de outubro de 2022</w:t>
            </w:r>
          </w:p>
        </w:tc>
      </w:tr>
      <w:tr w:rsidR="004C2312" w:rsidRPr="004A6A54" w14:paraId="6147A8D5" w14:textId="77777777" w:rsidTr="00C003F4">
        <w:tc>
          <w:tcPr>
            <w:tcW w:w="3600" w:type="dxa"/>
            <w:tcBorders>
              <w:top w:val="single" w:sz="6" w:space="0" w:color="auto"/>
              <w:bottom w:val="single" w:sz="6" w:space="0" w:color="auto"/>
            </w:tcBorders>
            <w:shd w:val="clear" w:color="auto" w:fill="FFC000"/>
            <w:vAlign w:val="center"/>
          </w:tcPr>
          <w:p w14:paraId="0201C86D" w14:textId="4A5EC6F9" w:rsidR="004C2312" w:rsidRPr="00C003F4" w:rsidRDefault="004A6A54" w:rsidP="004A6A54">
            <w:pPr>
              <w:jc w:val="center"/>
              <w:rPr>
                <w:rFonts w:ascii="Cambria" w:hAnsi="Cambria"/>
                <w:b/>
                <w:bCs/>
                <w:sz w:val="20"/>
                <w:szCs w:val="20"/>
                <w:lang w:val="pt-BR"/>
              </w:rPr>
            </w:pPr>
            <w:r w:rsidRPr="00C003F4">
              <w:rPr>
                <w:rFonts w:ascii="Cambria" w:hAnsi="Cambria"/>
                <w:b/>
                <w:sz w:val="20"/>
                <w:szCs w:val="20"/>
                <w:lang w:val="pt-BR"/>
              </w:rPr>
              <w:t>A primeira resposta do estado:</w:t>
            </w:r>
          </w:p>
        </w:tc>
        <w:tc>
          <w:tcPr>
            <w:tcW w:w="5760" w:type="dxa"/>
            <w:vAlign w:val="center"/>
          </w:tcPr>
          <w:p w14:paraId="1972B99E" w14:textId="535F5A89" w:rsidR="004C2312" w:rsidRPr="003239B8" w:rsidRDefault="0002339B" w:rsidP="008D2290">
            <w:pPr>
              <w:jc w:val="both"/>
              <w:rPr>
                <w:rFonts w:ascii="Cambria" w:hAnsi="Cambria"/>
                <w:bCs/>
                <w:sz w:val="20"/>
                <w:szCs w:val="20"/>
                <w:lang w:val="es-ES"/>
              </w:rPr>
            </w:pPr>
            <w:r>
              <w:rPr>
                <w:rFonts w:ascii="Cambria" w:hAnsi="Cambria"/>
                <w:bCs/>
                <w:sz w:val="20"/>
                <w:szCs w:val="20"/>
              </w:rPr>
              <w:t>24 de fevereiro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rPr>
        <w:t xml:space="preserve">III. </w:t>
      </w:r>
      <w:r w:rsidRPr="003239B8">
        <w:rPr>
          <w:rFonts w:asciiTheme="majorHAnsi" w:hAnsiTheme="majorHAnsi"/>
          <w:b/>
          <w:bCs/>
          <w:sz w:val="20"/>
          <w:szCs w:val="20"/>
        </w:rPr>
        <w:tab/>
        <w:t xml:space="preserve">COMPETÊNCIA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C003F4">
        <w:trPr>
          <w:cantSplit/>
        </w:trPr>
        <w:tc>
          <w:tcPr>
            <w:tcW w:w="3561" w:type="dxa"/>
            <w:tcBorders>
              <w:top w:val="single" w:sz="4" w:space="0" w:color="auto"/>
              <w:bottom w:val="single" w:sz="6" w:space="0" w:color="auto"/>
            </w:tcBorders>
            <w:shd w:val="clear" w:color="auto" w:fill="FFC000"/>
            <w:vAlign w:val="center"/>
          </w:tcPr>
          <w:p w14:paraId="5C2E4B34" w14:textId="77777777" w:rsidR="003239B8" w:rsidRPr="00C003F4" w:rsidRDefault="003239B8" w:rsidP="008D2290">
            <w:pPr>
              <w:jc w:val="center"/>
              <w:rPr>
                <w:rFonts w:ascii="Cambria" w:hAnsi="Cambria"/>
                <w:b/>
                <w:bCs/>
                <w:i/>
                <w:sz w:val="20"/>
                <w:szCs w:val="20"/>
                <w:lang w:val="es-PE"/>
              </w:rPr>
            </w:pPr>
            <w:r w:rsidRPr="00C003F4">
              <w:rPr>
                <w:rFonts w:ascii="Cambria" w:hAnsi="Cambria"/>
                <w:b/>
                <w:bCs/>
                <w:sz w:val="20"/>
                <w:szCs w:val="20"/>
              </w:rPr>
              <w:t xml:space="preserve">Competencia </w:t>
            </w:r>
            <w:r w:rsidRPr="00C003F4">
              <w:rPr>
                <w:rFonts w:ascii="Cambria" w:hAnsi="Cambria"/>
                <w:b/>
                <w:bCs/>
                <w:i/>
                <w:sz w:val="20"/>
                <w:szCs w:val="20"/>
              </w:rPr>
              <w:t>Ratione personae:</w:t>
            </w:r>
          </w:p>
        </w:tc>
        <w:tc>
          <w:tcPr>
            <w:tcW w:w="5776" w:type="dxa"/>
            <w:vAlign w:val="center"/>
          </w:tcPr>
          <w:p w14:paraId="7707F3E9" w14:textId="1162F033" w:rsidR="003239B8" w:rsidRPr="00DC2357" w:rsidRDefault="002809D8" w:rsidP="008D2290">
            <w:pPr>
              <w:rPr>
                <w:rFonts w:ascii="Cambria" w:hAnsi="Cambria"/>
                <w:bCs/>
                <w:sz w:val="20"/>
                <w:szCs w:val="20"/>
                <w:lang w:val="es-PE"/>
              </w:rPr>
            </w:pPr>
            <w:r w:rsidRPr="00DC2357">
              <w:rPr>
                <w:rFonts w:ascii="Cambria" w:hAnsi="Cambria"/>
                <w:bCs/>
                <w:sz w:val="20"/>
                <w:szCs w:val="20"/>
              </w:rPr>
              <w:t>Sim</w:t>
            </w:r>
          </w:p>
        </w:tc>
      </w:tr>
      <w:tr w:rsidR="003239B8" w:rsidRPr="00540F17" w14:paraId="4B8802DA" w14:textId="77777777" w:rsidTr="00C003F4">
        <w:trPr>
          <w:cantSplit/>
        </w:trPr>
        <w:tc>
          <w:tcPr>
            <w:tcW w:w="3561" w:type="dxa"/>
            <w:tcBorders>
              <w:top w:val="single" w:sz="6" w:space="0" w:color="auto"/>
              <w:bottom w:val="single" w:sz="6" w:space="0" w:color="auto"/>
            </w:tcBorders>
            <w:shd w:val="clear" w:color="auto" w:fill="FFC000"/>
            <w:vAlign w:val="center"/>
          </w:tcPr>
          <w:p w14:paraId="3915C23B" w14:textId="77777777" w:rsidR="003239B8" w:rsidRPr="00C003F4" w:rsidRDefault="003239B8" w:rsidP="008D2290">
            <w:pPr>
              <w:jc w:val="center"/>
              <w:rPr>
                <w:rFonts w:ascii="Cambria" w:hAnsi="Cambria"/>
                <w:b/>
                <w:bCs/>
                <w:sz w:val="20"/>
                <w:szCs w:val="20"/>
                <w:lang w:val="es-PE"/>
              </w:rPr>
            </w:pPr>
            <w:r w:rsidRPr="00C003F4">
              <w:rPr>
                <w:rFonts w:ascii="Cambria" w:hAnsi="Cambria"/>
                <w:b/>
                <w:bCs/>
                <w:sz w:val="20"/>
                <w:szCs w:val="20"/>
              </w:rPr>
              <w:t xml:space="preserve">Competencia </w:t>
            </w:r>
            <w:r w:rsidRPr="00C003F4">
              <w:rPr>
                <w:rFonts w:ascii="Cambria" w:hAnsi="Cambria"/>
                <w:b/>
                <w:bCs/>
                <w:i/>
                <w:sz w:val="20"/>
                <w:szCs w:val="20"/>
              </w:rPr>
              <w:t>Ratione loci</w:t>
            </w:r>
            <w:r w:rsidRPr="00C003F4">
              <w:rPr>
                <w:rFonts w:ascii="Cambria" w:hAnsi="Cambria"/>
                <w:b/>
                <w:bCs/>
                <w:sz w:val="20"/>
                <w:szCs w:val="20"/>
              </w:rPr>
              <w:t>:</w:t>
            </w:r>
          </w:p>
        </w:tc>
        <w:tc>
          <w:tcPr>
            <w:tcW w:w="5776" w:type="dxa"/>
            <w:vAlign w:val="center"/>
          </w:tcPr>
          <w:p w14:paraId="12C931CB" w14:textId="37F504D2" w:rsidR="003239B8" w:rsidRPr="00DC2357" w:rsidRDefault="002809D8" w:rsidP="008D2290">
            <w:pPr>
              <w:rPr>
                <w:rFonts w:ascii="Cambria" w:hAnsi="Cambria"/>
                <w:bCs/>
                <w:sz w:val="20"/>
                <w:szCs w:val="20"/>
                <w:lang w:val="es-PE"/>
              </w:rPr>
            </w:pPr>
            <w:r w:rsidRPr="00DC2357">
              <w:rPr>
                <w:rFonts w:ascii="Cambria" w:hAnsi="Cambria"/>
                <w:bCs/>
                <w:sz w:val="20"/>
                <w:szCs w:val="20"/>
              </w:rPr>
              <w:t>Sim</w:t>
            </w:r>
          </w:p>
        </w:tc>
      </w:tr>
      <w:tr w:rsidR="003239B8" w:rsidRPr="00540F17" w14:paraId="4362FDF3" w14:textId="77777777" w:rsidTr="00C003F4">
        <w:trPr>
          <w:cantSplit/>
        </w:trPr>
        <w:tc>
          <w:tcPr>
            <w:tcW w:w="3561" w:type="dxa"/>
            <w:tcBorders>
              <w:top w:val="single" w:sz="6" w:space="0" w:color="auto"/>
              <w:bottom w:val="single" w:sz="6" w:space="0" w:color="auto"/>
            </w:tcBorders>
            <w:shd w:val="clear" w:color="auto" w:fill="FFC000"/>
            <w:vAlign w:val="center"/>
          </w:tcPr>
          <w:p w14:paraId="3BE23153" w14:textId="77777777" w:rsidR="003239B8" w:rsidRPr="00C003F4" w:rsidRDefault="003239B8" w:rsidP="008D2290">
            <w:pPr>
              <w:jc w:val="center"/>
              <w:rPr>
                <w:rFonts w:ascii="Cambria" w:hAnsi="Cambria"/>
                <w:b/>
                <w:bCs/>
                <w:sz w:val="20"/>
                <w:szCs w:val="20"/>
                <w:lang w:val="es-PE"/>
              </w:rPr>
            </w:pPr>
            <w:r w:rsidRPr="00C003F4">
              <w:rPr>
                <w:rFonts w:ascii="Cambria" w:hAnsi="Cambria"/>
                <w:b/>
                <w:bCs/>
                <w:sz w:val="20"/>
                <w:szCs w:val="20"/>
              </w:rPr>
              <w:t xml:space="preserve">Competência </w:t>
            </w:r>
            <w:r w:rsidRPr="00C003F4">
              <w:rPr>
                <w:rFonts w:ascii="Cambria" w:hAnsi="Cambria"/>
                <w:b/>
                <w:bCs/>
                <w:i/>
                <w:sz w:val="20"/>
                <w:szCs w:val="20"/>
              </w:rPr>
              <w:t>ratione temporis</w:t>
            </w:r>
            <w:r w:rsidRPr="00C003F4">
              <w:rPr>
                <w:rFonts w:ascii="Cambria" w:hAnsi="Cambria"/>
                <w:b/>
                <w:bCs/>
                <w:sz w:val="20"/>
                <w:szCs w:val="20"/>
              </w:rPr>
              <w:t>:</w:t>
            </w:r>
          </w:p>
        </w:tc>
        <w:tc>
          <w:tcPr>
            <w:tcW w:w="5776" w:type="dxa"/>
            <w:vAlign w:val="center"/>
          </w:tcPr>
          <w:p w14:paraId="6F8B059B" w14:textId="5D75141E" w:rsidR="003239B8" w:rsidRPr="00DC2357" w:rsidRDefault="002809D8" w:rsidP="008D2290">
            <w:pPr>
              <w:rPr>
                <w:rFonts w:ascii="Cambria" w:hAnsi="Cambria"/>
                <w:bCs/>
                <w:sz w:val="20"/>
                <w:szCs w:val="20"/>
                <w:lang w:val="es-PE"/>
              </w:rPr>
            </w:pPr>
            <w:r w:rsidRPr="00DC2357">
              <w:rPr>
                <w:rFonts w:ascii="Cambria" w:hAnsi="Cambria"/>
                <w:bCs/>
                <w:sz w:val="20"/>
                <w:szCs w:val="20"/>
              </w:rPr>
              <w:t>Sim</w:t>
            </w:r>
          </w:p>
        </w:tc>
      </w:tr>
      <w:tr w:rsidR="003239B8" w:rsidRPr="007F6C25" w14:paraId="30ABEC3E" w14:textId="77777777" w:rsidTr="00C003F4">
        <w:trPr>
          <w:cantSplit/>
        </w:trPr>
        <w:tc>
          <w:tcPr>
            <w:tcW w:w="3561" w:type="dxa"/>
            <w:tcBorders>
              <w:top w:val="single" w:sz="6" w:space="0" w:color="auto"/>
              <w:bottom w:val="single" w:sz="6" w:space="0" w:color="auto"/>
            </w:tcBorders>
            <w:shd w:val="clear" w:color="auto" w:fill="FFC000"/>
            <w:vAlign w:val="center"/>
          </w:tcPr>
          <w:p w14:paraId="47B529D2" w14:textId="77777777" w:rsidR="003239B8" w:rsidRPr="00C003F4" w:rsidRDefault="003239B8" w:rsidP="008D2290">
            <w:pPr>
              <w:jc w:val="center"/>
              <w:rPr>
                <w:rFonts w:ascii="Cambria" w:hAnsi="Cambria"/>
                <w:b/>
                <w:bCs/>
                <w:sz w:val="20"/>
                <w:szCs w:val="20"/>
                <w:lang w:val="es-PE"/>
              </w:rPr>
            </w:pPr>
            <w:r w:rsidRPr="00C003F4">
              <w:rPr>
                <w:rFonts w:ascii="Cambria" w:hAnsi="Cambria"/>
                <w:b/>
                <w:bCs/>
                <w:sz w:val="20"/>
                <w:szCs w:val="20"/>
              </w:rPr>
              <w:t xml:space="preserve">Competência </w:t>
            </w:r>
            <w:r w:rsidRPr="00C003F4">
              <w:rPr>
                <w:rFonts w:ascii="Cambria" w:hAnsi="Cambria"/>
                <w:b/>
                <w:bCs/>
                <w:i/>
                <w:sz w:val="20"/>
                <w:szCs w:val="20"/>
              </w:rPr>
              <w:t>ratione materiae</w:t>
            </w:r>
            <w:r w:rsidRPr="00C003F4">
              <w:rPr>
                <w:rFonts w:ascii="Cambria" w:hAnsi="Cambria"/>
                <w:b/>
                <w:bCs/>
                <w:sz w:val="20"/>
                <w:szCs w:val="20"/>
              </w:rPr>
              <w:t>:</w:t>
            </w:r>
          </w:p>
        </w:tc>
        <w:tc>
          <w:tcPr>
            <w:tcW w:w="5776" w:type="dxa"/>
            <w:vAlign w:val="center"/>
          </w:tcPr>
          <w:p w14:paraId="0C122F44" w14:textId="4D166E61" w:rsidR="003239B8" w:rsidRPr="001E6BA8" w:rsidRDefault="00FA12DD" w:rsidP="008D2290">
            <w:pPr>
              <w:jc w:val="both"/>
              <w:rPr>
                <w:rFonts w:ascii="Cambria" w:hAnsi="Cambria"/>
                <w:bCs/>
                <w:sz w:val="20"/>
                <w:szCs w:val="20"/>
                <w:lang w:val="pt-BR"/>
              </w:rPr>
            </w:pPr>
            <w:r w:rsidRPr="001E6BA8">
              <w:rPr>
                <w:rFonts w:ascii="Cambria" w:hAnsi="Cambria"/>
                <w:bCs/>
                <w:sz w:val="20"/>
                <w:szCs w:val="20"/>
                <w:lang w:val="pt-BR"/>
              </w:rPr>
              <w:t>Sim, Convenção Americana (depósito do instrumento feito em 25 de setembro de 1992)</w:t>
            </w:r>
          </w:p>
        </w:tc>
      </w:tr>
    </w:tbl>
    <w:p w14:paraId="4E92C444" w14:textId="140CB1E7" w:rsidR="003239B8" w:rsidRPr="001E6BA8" w:rsidRDefault="003239B8" w:rsidP="003239B8">
      <w:pPr>
        <w:spacing w:before="240" w:after="240"/>
        <w:ind w:firstLine="720"/>
        <w:jc w:val="both"/>
        <w:rPr>
          <w:rFonts w:asciiTheme="majorHAnsi" w:hAnsiTheme="majorHAnsi"/>
          <w:b/>
          <w:bCs/>
          <w:sz w:val="20"/>
          <w:szCs w:val="20"/>
          <w:lang w:val="pt-BR"/>
        </w:rPr>
      </w:pPr>
      <w:r w:rsidRPr="001E6BA8">
        <w:rPr>
          <w:rFonts w:asciiTheme="majorHAnsi" w:hAnsiTheme="majorHAnsi"/>
          <w:b/>
          <w:bCs/>
          <w:sz w:val="20"/>
          <w:szCs w:val="20"/>
          <w:lang w:val="pt-BR"/>
        </w:rPr>
        <w:t xml:space="preserve">IV. </w:t>
      </w:r>
      <w:r w:rsidRPr="001E6BA8">
        <w:rPr>
          <w:rFonts w:asciiTheme="majorHAnsi" w:hAnsiTheme="majorHAnsi"/>
          <w:b/>
          <w:bCs/>
          <w:sz w:val="20"/>
          <w:szCs w:val="20"/>
          <w:lang w:val="pt-BR"/>
        </w:rPr>
        <w:tab/>
      </w:r>
      <w:r w:rsidR="00EE00E9" w:rsidRPr="001E6BA8">
        <w:rPr>
          <w:rFonts w:asciiTheme="majorHAnsi" w:hAnsiTheme="majorHAnsi"/>
          <w:b/>
          <w:bCs/>
          <w:sz w:val="20"/>
          <w:szCs w:val="20"/>
          <w:lang w:val="pt-BR"/>
        </w:rPr>
        <w:t xml:space="preserve">DUPLICAÇÃO DE PROCEDIMENTOS E COISA JULGADA INTERNACIONAL, CARACTERIZAÇÃO, </w:t>
      </w:r>
      <w:r w:rsidRPr="001E6BA8">
        <w:rPr>
          <w:rFonts w:asciiTheme="majorHAnsi" w:hAnsiTheme="majorHAnsi"/>
          <w:b/>
          <w:sz w:val="20"/>
          <w:szCs w:val="20"/>
          <w:lang w:val="pt-BR"/>
        </w:rPr>
        <w:t>ESGOTAMENTO DOS RECURSOS INTERNOS E PRAZO PARA APRESENTAÇÃO</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850A06" w14:paraId="1231C988" w14:textId="77777777" w:rsidTr="00C003F4">
        <w:trPr>
          <w:cantSplit/>
        </w:trPr>
        <w:tc>
          <w:tcPr>
            <w:tcW w:w="3565" w:type="dxa"/>
            <w:tcBorders>
              <w:top w:val="single" w:sz="4" w:space="0" w:color="auto"/>
              <w:bottom w:val="single" w:sz="6" w:space="0" w:color="auto"/>
            </w:tcBorders>
            <w:shd w:val="clear" w:color="auto" w:fill="FFC000"/>
            <w:vAlign w:val="center"/>
          </w:tcPr>
          <w:p w14:paraId="6F8031F4" w14:textId="77777777" w:rsidR="00EE00E9" w:rsidRPr="00C003F4" w:rsidRDefault="00EE00E9" w:rsidP="008D2290">
            <w:pPr>
              <w:jc w:val="center"/>
              <w:rPr>
                <w:rFonts w:ascii="Cambria" w:hAnsi="Cambria"/>
                <w:b/>
                <w:bCs/>
                <w:sz w:val="20"/>
                <w:szCs w:val="20"/>
                <w:lang w:val="pt-BR"/>
              </w:rPr>
            </w:pPr>
            <w:r w:rsidRPr="00C003F4">
              <w:rPr>
                <w:rFonts w:ascii="Cambria" w:hAnsi="Cambria"/>
                <w:b/>
                <w:bCs/>
                <w:sz w:val="20"/>
                <w:szCs w:val="20"/>
                <w:lang w:val="pt-BR"/>
              </w:rPr>
              <w:t>Duplicação de procedimentos e coisa julgada internacional:</w:t>
            </w:r>
          </w:p>
        </w:tc>
        <w:tc>
          <w:tcPr>
            <w:tcW w:w="5772" w:type="dxa"/>
            <w:vAlign w:val="center"/>
          </w:tcPr>
          <w:p w14:paraId="240941E6" w14:textId="3E572159" w:rsidR="00EE00E9" w:rsidRPr="00DC24E3" w:rsidRDefault="007F2976" w:rsidP="008D2290">
            <w:pPr>
              <w:jc w:val="both"/>
              <w:rPr>
                <w:rFonts w:ascii="Cambria" w:hAnsi="Cambria"/>
                <w:bCs/>
                <w:sz w:val="20"/>
                <w:szCs w:val="20"/>
                <w:lang w:val="es-ES"/>
              </w:rPr>
            </w:pPr>
            <w:r>
              <w:rPr>
                <w:rFonts w:ascii="Cambria" w:hAnsi="Cambria"/>
                <w:bCs/>
                <w:sz w:val="20"/>
                <w:szCs w:val="20"/>
              </w:rPr>
              <w:t>Não</w:t>
            </w:r>
          </w:p>
        </w:tc>
      </w:tr>
      <w:tr w:rsidR="003239B8" w:rsidRPr="007F6C25" w14:paraId="15FAA7D1" w14:textId="77777777" w:rsidTr="00C003F4">
        <w:trPr>
          <w:cantSplit/>
        </w:trPr>
        <w:tc>
          <w:tcPr>
            <w:tcW w:w="3565" w:type="dxa"/>
            <w:tcBorders>
              <w:top w:val="single" w:sz="4" w:space="0" w:color="auto"/>
              <w:bottom w:val="single" w:sz="6" w:space="0" w:color="auto"/>
            </w:tcBorders>
            <w:shd w:val="clear" w:color="auto" w:fill="FFC000"/>
            <w:vAlign w:val="center"/>
          </w:tcPr>
          <w:p w14:paraId="1B0D29FF" w14:textId="77777777" w:rsidR="003239B8" w:rsidRPr="00C003F4" w:rsidRDefault="003239B8" w:rsidP="008D2290">
            <w:pPr>
              <w:jc w:val="center"/>
              <w:rPr>
                <w:rFonts w:ascii="Cambria" w:hAnsi="Cambria"/>
                <w:b/>
                <w:bCs/>
                <w:i/>
                <w:sz w:val="20"/>
                <w:szCs w:val="20"/>
              </w:rPr>
            </w:pPr>
            <w:r w:rsidRPr="00C003F4">
              <w:rPr>
                <w:rFonts w:ascii="Cambria" w:hAnsi="Cambria"/>
                <w:b/>
                <w:bCs/>
                <w:sz w:val="20"/>
                <w:szCs w:val="20"/>
              </w:rPr>
              <w:t>Direitos declarados admissíveis</w:t>
            </w:r>
            <w:r w:rsidRPr="00C003F4">
              <w:rPr>
                <w:rFonts w:ascii="Cambria" w:hAnsi="Cambria"/>
                <w:b/>
                <w:bCs/>
                <w:i/>
                <w:sz w:val="20"/>
                <w:szCs w:val="20"/>
              </w:rPr>
              <w:t>:</w:t>
            </w:r>
          </w:p>
        </w:tc>
        <w:tc>
          <w:tcPr>
            <w:tcW w:w="5772" w:type="dxa"/>
            <w:vAlign w:val="center"/>
          </w:tcPr>
          <w:p w14:paraId="6310C8F7" w14:textId="6899A2B9" w:rsidR="003239B8" w:rsidRPr="001E6BA8" w:rsidRDefault="00C003F4" w:rsidP="008D2290">
            <w:pPr>
              <w:jc w:val="both"/>
              <w:rPr>
                <w:rFonts w:ascii="Cambria" w:hAnsi="Cambria"/>
                <w:bCs/>
                <w:sz w:val="20"/>
                <w:szCs w:val="20"/>
                <w:lang w:val="pt-BR"/>
              </w:rPr>
            </w:pPr>
            <w:r>
              <w:rPr>
                <w:rFonts w:ascii="Cambria" w:eastAsia="Cambria" w:hAnsi="Cambria" w:cs="Cambria"/>
                <w:sz w:val="20"/>
                <w:szCs w:val="20"/>
                <w:lang w:val="pt-BR"/>
              </w:rPr>
              <w:t>A</w:t>
            </w:r>
            <w:r w:rsidR="00514413" w:rsidRPr="001E6BA8">
              <w:rPr>
                <w:rFonts w:ascii="Cambria" w:eastAsia="Cambria" w:hAnsi="Cambria" w:cs="Cambria"/>
                <w:sz w:val="20"/>
                <w:szCs w:val="20"/>
                <w:lang w:val="pt-BR"/>
              </w:rPr>
              <w:t>rtigos 4 (vida), 5 (integridade pessoal), 8 (garantias judiciais), 19 (direitos da criança), 24 (igualdade perante a lei) e 25 (proteção judicial) da Convenção Americana; em relação ao seu artigo 1.1 (obrigação de respeitar os direitos)</w:t>
            </w:r>
          </w:p>
        </w:tc>
      </w:tr>
      <w:tr w:rsidR="003239B8" w:rsidRPr="007F6C25" w14:paraId="4EFD141E" w14:textId="77777777" w:rsidTr="00C003F4">
        <w:trPr>
          <w:cantSplit/>
        </w:trPr>
        <w:tc>
          <w:tcPr>
            <w:tcW w:w="3565" w:type="dxa"/>
            <w:tcBorders>
              <w:top w:val="single" w:sz="6" w:space="0" w:color="auto"/>
              <w:bottom w:val="single" w:sz="6" w:space="0" w:color="auto"/>
            </w:tcBorders>
            <w:shd w:val="clear" w:color="auto" w:fill="FFC000"/>
            <w:vAlign w:val="center"/>
          </w:tcPr>
          <w:p w14:paraId="4C04A89C" w14:textId="77777777" w:rsidR="003239B8" w:rsidRPr="00C003F4" w:rsidRDefault="003239B8" w:rsidP="008D2290">
            <w:pPr>
              <w:jc w:val="center"/>
              <w:rPr>
                <w:rFonts w:ascii="Cambria" w:hAnsi="Cambria"/>
                <w:b/>
                <w:bCs/>
                <w:sz w:val="20"/>
                <w:szCs w:val="20"/>
                <w:lang w:val="pt-BR"/>
              </w:rPr>
            </w:pPr>
            <w:r w:rsidRPr="00C003F4">
              <w:rPr>
                <w:rFonts w:ascii="Cambria" w:hAnsi="Cambria"/>
                <w:b/>
                <w:bCs/>
                <w:sz w:val="20"/>
                <w:szCs w:val="20"/>
                <w:lang w:val="pt-BR"/>
              </w:rPr>
              <w:t>Esgotamento dos recursos internos ou admissibilidade de uma exceção:</w:t>
            </w:r>
          </w:p>
        </w:tc>
        <w:tc>
          <w:tcPr>
            <w:tcW w:w="5772" w:type="dxa"/>
            <w:vAlign w:val="center"/>
          </w:tcPr>
          <w:p w14:paraId="69C53E8A" w14:textId="1C5D1BCB" w:rsidR="003239B8" w:rsidRPr="001E6BA8" w:rsidRDefault="007F2976" w:rsidP="008D2290">
            <w:pPr>
              <w:rPr>
                <w:rFonts w:ascii="Cambria" w:hAnsi="Cambria"/>
                <w:bCs/>
                <w:sz w:val="20"/>
                <w:szCs w:val="20"/>
                <w:lang w:val="pt-BR"/>
              </w:rPr>
            </w:pPr>
            <w:r w:rsidRPr="001E6BA8">
              <w:rPr>
                <w:rFonts w:ascii="Cambria" w:hAnsi="Cambria"/>
                <w:bCs/>
                <w:sz w:val="20"/>
                <w:szCs w:val="20"/>
                <w:lang w:val="pt-BR"/>
              </w:rPr>
              <w:t>Sim, nos termos da Secção VI</w:t>
            </w:r>
          </w:p>
        </w:tc>
      </w:tr>
      <w:tr w:rsidR="003239B8" w:rsidRPr="007F6C25" w14:paraId="52B5BA17" w14:textId="77777777" w:rsidTr="00C003F4">
        <w:trPr>
          <w:cantSplit/>
        </w:trPr>
        <w:tc>
          <w:tcPr>
            <w:tcW w:w="3565" w:type="dxa"/>
            <w:tcBorders>
              <w:top w:val="single" w:sz="6" w:space="0" w:color="auto"/>
              <w:bottom w:val="single" w:sz="6" w:space="0" w:color="auto"/>
            </w:tcBorders>
            <w:shd w:val="clear" w:color="auto" w:fill="FFC000"/>
            <w:vAlign w:val="center"/>
          </w:tcPr>
          <w:p w14:paraId="5DF99086" w14:textId="11E93CA2" w:rsidR="003239B8" w:rsidRPr="00C003F4" w:rsidRDefault="001F76B8" w:rsidP="008D2290">
            <w:pPr>
              <w:jc w:val="center"/>
              <w:rPr>
                <w:rFonts w:ascii="Cambria" w:hAnsi="Cambria"/>
                <w:b/>
                <w:bCs/>
                <w:sz w:val="20"/>
                <w:szCs w:val="20"/>
              </w:rPr>
            </w:pPr>
            <w:r w:rsidRPr="00C003F4">
              <w:rPr>
                <w:rFonts w:ascii="Cambria" w:hAnsi="Cambria"/>
                <w:b/>
                <w:bCs/>
                <w:sz w:val="20"/>
                <w:szCs w:val="20"/>
                <w:lang w:val="pt-BR"/>
              </w:rPr>
              <w:t>Apresentação dentro do prazo:</w:t>
            </w:r>
          </w:p>
        </w:tc>
        <w:tc>
          <w:tcPr>
            <w:tcW w:w="5772" w:type="dxa"/>
            <w:vAlign w:val="center"/>
          </w:tcPr>
          <w:p w14:paraId="4A2A4569" w14:textId="290A9225" w:rsidR="003239B8" w:rsidRPr="001E6BA8" w:rsidRDefault="007F2976" w:rsidP="008D2290">
            <w:pPr>
              <w:rPr>
                <w:rFonts w:ascii="Cambria" w:hAnsi="Cambria"/>
                <w:bCs/>
                <w:sz w:val="20"/>
                <w:szCs w:val="20"/>
                <w:lang w:val="pt-BR"/>
              </w:rPr>
            </w:pPr>
            <w:r w:rsidRPr="001E6BA8">
              <w:rPr>
                <w:rFonts w:ascii="Cambria" w:hAnsi="Cambria"/>
                <w:bCs/>
                <w:sz w:val="20"/>
                <w:szCs w:val="20"/>
                <w:lang w:val="pt-BR"/>
              </w:rPr>
              <w:t>Sim, nos termos da Secção VI</w:t>
            </w:r>
          </w:p>
        </w:tc>
      </w:tr>
    </w:tbl>
    <w:p w14:paraId="18E6423B" w14:textId="0107F3A7" w:rsidR="003239B8" w:rsidRPr="001E6BA8" w:rsidRDefault="00223A29" w:rsidP="00EF76F5">
      <w:pPr>
        <w:spacing w:before="240" w:after="240"/>
        <w:ind w:firstLine="720"/>
        <w:jc w:val="both"/>
        <w:rPr>
          <w:rFonts w:asciiTheme="majorHAnsi" w:hAnsiTheme="majorHAnsi"/>
          <w:b/>
          <w:sz w:val="20"/>
          <w:szCs w:val="20"/>
          <w:lang w:val="pt-BR"/>
        </w:rPr>
      </w:pPr>
      <w:r w:rsidRPr="001E6BA8">
        <w:rPr>
          <w:rFonts w:asciiTheme="majorHAnsi" w:hAnsiTheme="majorHAnsi"/>
          <w:b/>
          <w:sz w:val="20"/>
          <w:szCs w:val="20"/>
          <w:lang w:val="pt-BR"/>
        </w:rPr>
        <w:t xml:space="preserve">V. </w:t>
      </w:r>
      <w:r w:rsidRPr="001E6BA8">
        <w:rPr>
          <w:rFonts w:asciiTheme="majorHAnsi" w:hAnsiTheme="majorHAnsi"/>
          <w:b/>
          <w:sz w:val="20"/>
          <w:szCs w:val="20"/>
          <w:lang w:val="pt-BR"/>
        </w:rPr>
        <w:tab/>
      </w:r>
      <w:r w:rsidR="00867314" w:rsidRPr="001E6BA8">
        <w:rPr>
          <w:rFonts w:asciiTheme="majorHAnsi" w:hAnsiTheme="majorHAnsi"/>
          <w:b/>
          <w:sz w:val="20"/>
          <w:szCs w:val="20"/>
          <w:lang w:val="pt-BR"/>
        </w:rPr>
        <w:t>POSIÇÃO DAS PARTES</w:t>
      </w:r>
    </w:p>
    <w:p w14:paraId="16FB6418" w14:textId="4C5922EE" w:rsidR="0083100C" w:rsidRPr="001E6BA8" w:rsidRDefault="006979BE" w:rsidP="00EF76F5">
      <w:pPr>
        <w:spacing w:before="240" w:after="240"/>
        <w:ind w:firstLine="720"/>
        <w:jc w:val="both"/>
        <w:rPr>
          <w:rFonts w:asciiTheme="majorHAnsi" w:hAnsiTheme="majorHAnsi"/>
          <w:b/>
          <w:sz w:val="20"/>
          <w:szCs w:val="20"/>
          <w:lang w:val="pt-BR"/>
        </w:rPr>
      </w:pPr>
      <w:r w:rsidRPr="001E6BA8">
        <w:rPr>
          <w:rFonts w:asciiTheme="majorHAnsi" w:hAnsiTheme="majorHAnsi"/>
          <w:b/>
          <w:sz w:val="20"/>
          <w:szCs w:val="20"/>
          <w:lang w:val="pt-BR"/>
        </w:rPr>
        <w:t>O peticionário</w:t>
      </w:r>
    </w:p>
    <w:p w14:paraId="49F490CA" w14:textId="3B2272FC" w:rsidR="0041778B" w:rsidRPr="00C41E39" w:rsidRDefault="0041778B" w:rsidP="004177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pt-BR"/>
        </w:rPr>
      </w:pPr>
      <w:r w:rsidRPr="001E6BA8">
        <w:rPr>
          <w:rFonts w:ascii="Cambria" w:hAnsi="Cambria"/>
          <w:sz w:val="20"/>
          <w:szCs w:val="20"/>
          <w:lang w:val="pt-BR"/>
        </w:rPr>
        <w:t>O peticionário alega que Eduardo Vinícius Fosch dos Santos (doravante também "a suposta vítima"), um adolescente afrodescendente de 17 anos, foi brutalmente agredido no Condomínio Horizontal Jardim do Sol, em Porto Alegre, e morreu após não receber atendimento médico oportuno. Acrescenta que, devido ao contexto de racismo estrutural e institucional no Brasil, o caso permanece em total impunidade.</w:t>
      </w:r>
    </w:p>
    <w:p w14:paraId="5E13C3A2" w14:textId="77777777" w:rsidR="00C41E39" w:rsidRDefault="00C41E39" w:rsidP="00C41E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p>
    <w:p w14:paraId="6CCAC85E" w14:textId="77777777" w:rsidR="00C41E39" w:rsidRPr="001E6BA8" w:rsidRDefault="00C41E39" w:rsidP="00C41E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pt-BR"/>
        </w:rPr>
      </w:pPr>
    </w:p>
    <w:p w14:paraId="70F94081" w14:textId="6F164DD0" w:rsidR="0041778B" w:rsidRPr="001E6BA8" w:rsidRDefault="0041778B" w:rsidP="0041778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pt-BR"/>
        </w:rPr>
      </w:pPr>
      <w:r w:rsidRPr="001E6BA8">
        <w:rPr>
          <w:i/>
          <w:iCs/>
          <w:sz w:val="20"/>
          <w:szCs w:val="20"/>
          <w:lang w:val="pt-BR"/>
        </w:rPr>
        <w:lastRenderedPageBreak/>
        <w:t>Os atos de violência sofridos pela suposta vítima e sua morte</w:t>
      </w:r>
    </w:p>
    <w:p w14:paraId="075F8EB4" w14:textId="7492B8AC" w:rsidR="0041778B" w:rsidRPr="001E6BA8" w:rsidRDefault="006979BE" w:rsidP="004177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pt-BR"/>
        </w:rPr>
      </w:pPr>
      <w:r w:rsidRPr="001E6BA8">
        <w:rPr>
          <w:rFonts w:ascii="Cambria" w:hAnsi="Cambria"/>
          <w:sz w:val="20"/>
          <w:szCs w:val="20"/>
          <w:lang w:val="pt-BR"/>
        </w:rPr>
        <w:t>Na noite de 27 de abril de 2013, Eduardo participou de uma festa organizada por jovens de classe alta em uma residência do Condomínio Horizontal Jardim do Sol, na qual entrou com a autorização dos anfitriões. No entanto, ele foi o único afrodescendente presente na reunião, o que, segundo o peticionário, influenciou os eventos posteriores.</w:t>
      </w:r>
    </w:p>
    <w:p w14:paraId="7FC2C8AF" w14:textId="7DD14E82" w:rsidR="0041778B" w:rsidRPr="001E6BA8" w:rsidRDefault="006979BE" w:rsidP="004177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pt-BR"/>
        </w:rPr>
      </w:pPr>
      <w:r w:rsidRPr="001E6BA8">
        <w:rPr>
          <w:rFonts w:ascii="Cambria" w:hAnsi="Cambria"/>
          <w:sz w:val="20"/>
          <w:szCs w:val="20"/>
          <w:lang w:val="pt-BR"/>
        </w:rPr>
        <w:t>Segundo os peticionários, em algum momento da madrugada Eduardo foi violentamente agredido e sofreu vários golpes na cabeça, tórax e mãos. De acordo com relatórios de especialistas posteriores, os ferimentos mostraram que ele tentou se defender, mas finalmente ficou inconsciente. Após o ataque, seu corpo foi jogado de uma altura de seis metros no pátio de uma casa adjacente, onde permaneceu até a manhã seguinte. Apesar da gravidade de seus ferimentos, ele não recebeu assistência imediata, o que agravou seu estado crítico.</w:t>
      </w:r>
    </w:p>
    <w:p w14:paraId="78BC8BE3" w14:textId="58FE66EC" w:rsidR="0041778B" w:rsidRPr="001E6BA8" w:rsidRDefault="00E25478" w:rsidP="004177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pt-BR"/>
        </w:rPr>
      </w:pPr>
      <w:r w:rsidRPr="001E6BA8">
        <w:rPr>
          <w:rFonts w:ascii="Cambria" w:hAnsi="Cambria"/>
          <w:sz w:val="20"/>
          <w:szCs w:val="20"/>
          <w:lang w:val="pt-BR"/>
        </w:rPr>
        <w:t>Na manhã do dia 28 de abril, um morador do condomínio encontrou Eduardo inconsciente, com espuma branca na boca e cercado por uma poça de sangue. Seu estado de saúde era extremamente delicado, então ele foi levado às pressas para o Hospital de Socorro Imediato de Porto Alegre. Ele permaneceu em coma por vários dias, mas em 6 de maio de 2013, devido aos graves ferimentos na cabeça sofridos, ele morreu. Ao longo de sua internação, amigos e familiares organizaram vigílias e exigiram justiça, convencidos de que Eduardo não havia sido vítima de um acidente, mas de um crime motivado pelo racismo.</w:t>
      </w:r>
    </w:p>
    <w:p w14:paraId="287294C5" w14:textId="07FA3051" w:rsidR="0041778B" w:rsidRPr="001E6BA8" w:rsidRDefault="0041778B" w:rsidP="0041778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pt-BR"/>
        </w:rPr>
      </w:pPr>
      <w:r w:rsidRPr="001E6BA8">
        <w:rPr>
          <w:i/>
          <w:iCs/>
          <w:sz w:val="20"/>
          <w:szCs w:val="20"/>
          <w:lang w:val="pt-BR"/>
        </w:rPr>
        <w:t>Alegadas deficiências na investigação dos factos</w:t>
      </w:r>
    </w:p>
    <w:p w14:paraId="57364545" w14:textId="6FDE6B1F" w:rsidR="0041778B" w:rsidRPr="001E6BA8" w:rsidRDefault="00E25478" w:rsidP="004177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pt-BR"/>
        </w:rPr>
      </w:pPr>
      <w:r w:rsidRPr="001E6BA8">
        <w:rPr>
          <w:rFonts w:ascii="Cambria" w:hAnsi="Cambria"/>
          <w:sz w:val="20"/>
          <w:szCs w:val="20"/>
          <w:lang w:val="pt-BR"/>
        </w:rPr>
        <w:t>Embora o incidente tenha sido relatado às autoridades no mesmo dia em que ocorreu, a investigação formal só foi iniciada em 31 de maio de 2013, mais de um mês depois. Durante esse tempo, evidências essenciais foram descartadas ou deterioradas, dificultando a reconstrução dos fatos. Além disso, as autoridades não realizaram uma inspeção imediata da cena do crime nem ordenaram exames forenses exaustivos. O levantamento fotográfico foi realizado sem a presença de especialistas em criminalística e sob a supervisão de um dos proprietários da casa onde ocorreu a festa, que forneceu sua versão dos acontecimentos apesar de não ter estado presente naquela noite.</w:t>
      </w:r>
    </w:p>
    <w:p w14:paraId="3A18C6A8" w14:textId="1369C380" w:rsidR="0041778B" w:rsidRPr="001E6BA8" w:rsidRDefault="00A05426" w:rsidP="004177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pt-BR"/>
        </w:rPr>
      </w:pPr>
      <w:r w:rsidRPr="001E6BA8">
        <w:rPr>
          <w:rFonts w:ascii="Cambria" w:hAnsi="Cambria"/>
          <w:sz w:val="20"/>
          <w:szCs w:val="20"/>
          <w:lang w:val="pt-BR"/>
        </w:rPr>
        <w:t>Os peticionários ressaltam que, apesar dessas irregularidades, a pressão da família e da sociedade civil levou o Ministério Público a apresentar uma queixa-crime em 17 de novembro de 2015 contra Isaías de Miranda, segurança do condomínio, e Luis Fernando Souza de Souza, chefe de segurança e policial civil. A acusação argumentou que Eduardo foi morto por motivo fútil, por golpes com objetos contundentes e em um contexto de discriminação racial. Também foi apontado que Souza de Souza cometeu fraude processual ao manipular a cena do crime e destruir provas.</w:t>
      </w:r>
    </w:p>
    <w:p w14:paraId="3174BF39" w14:textId="4B72F864" w:rsidR="0041778B" w:rsidRPr="001E6BA8" w:rsidRDefault="0041778B" w:rsidP="004177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pt-BR"/>
        </w:rPr>
      </w:pPr>
      <w:r w:rsidRPr="001E6BA8">
        <w:rPr>
          <w:rFonts w:ascii="Cambria" w:hAnsi="Cambria"/>
          <w:sz w:val="20"/>
          <w:szCs w:val="20"/>
          <w:lang w:val="pt-BR"/>
        </w:rPr>
        <w:t>Após a apresentação da denúncia, o tribunal aceitou a acusação em 18 de novembro de 2015 e procedeu à convocação dos réus, que responderam à acusação em janeiro de 2016. Posteriormente, várias audiências foram realizadas para receber depoimentos e procedimentos probatórios. As sessões foram realizadas em 14 de junho, 23 de agosto e 6 de dezembro de 2016; em 20 de abril, 29 de junho e 6 de julho de 2017; e o último em 29 de março de 2018. No entanto, desde 2018, o arquivo permanece inativo e sem progresso significativo.</w:t>
      </w:r>
    </w:p>
    <w:p w14:paraId="24F35CF7" w14:textId="3C000C4C" w:rsidR="0041778B" w:rsidRPr="0041778B" w:rsidRDefault="0041778B" w:rsidP="0041778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PE"/>
        </w:rPr>
      </w:pPr>
      <w:r w:rsidRPr="0041778B">
        <w:rPr>
          <w:i/>
          <w:iCs/>
          <w:sz w:val="20"/>
          <w:szCs w:val="20"/>
        </w:rPr>
        <w:t>Processo Civil</w:t>
      </w:r>
    </w:p>
    <w:p w14:paraId="6FEA878B" w14:textId="432D7853" w:rsidR="0041778B" w:rsidRPr="00C41E39" w:rsidRDefault="00D34BF3" w:rsidP="00126E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pt-BR"/>
        </w:rPr>
      </w:pPr>
      <w:r w:rsidRPr="001E6BA8">
        <w:rPr>
          <w:rFonts w:ascii="Cambria" w:hAnsi="Cambria"/>
          <w:sz w:val="20"/>
          <w:szCs w:val="20"/>
          <w:lang w:val="pt-BR"/>
        </w:rPr>
        <w:t>Ao mesmo tempo, em 11 de agosto de 2014, a família de Eduardo entrou com uma ação civil contra os proprietários da casa onde a festa foi realizada e contra a administração do condomínio. No entanto, este processo também teria enfrentado obstáculos e atrasos injustificados. Assim, o peticionário sustenta que, no momento da apresentação de seu escrito, ainda não havia sido proferida uma sentença de primeira instância. Até o momento, não se sabe se o processo foi concluído.</w:t>
      </w:r>
    </w:p>
    <w:p w14:paraId="4D5D0AC2" w14:textId="77777777" w:rsidR="00C41E39" w:rsidRPr="001E6BA8" w:rsidRDefault="00C41E39" w:rsidP="00C41E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pt-BR"/>
        </w:rPr>
      </w:pPr>
    </w:p>
    <w:p w14:paraId="39A7688D" w14:textId="6C6BEAF3" w:rsidR="0041778B" w:rsidRPr="0041778B" w:rsidRDefault="0041778B" w:rsidP="0041778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PE"/>
        </w:rPr>
      </w:pPr>
      <w:r w:rsidRPr="0041778B">
        <w:rPr>
          <w:i/>
          <w:iCs/>
          <w:sz w:val="20"/>
          <w:szCs w:val="20"/>
        </w:rPr>
        <w:lastRenderedPageBreak/>
        <w:t>Argumentos finais</w:t>
      </w:r>
    </w:p>
    <w:p w14:paraId="79143A5A" w14:textId="57F29C3E" w:rsidR="000B65EC" w:rsidRPr="001E6BA8" w:rsidRDefault="000B65EC" w:rsidP="000B65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Cambria" w:hAnsi="Cambria"/>
          <w:sz w:val="20"/>
          <w:szCs w:val="20"/>
          <w:lang w:val="pt-BR"/>
        </w:rPr>
        <w:t>Com base no exposto, o peticionário alega que o Estado brasileiro é diretamente responsável pelos atos de violência sofridos pelo adolescente Eduardo Vinícius Fosch dos Santos, que resultaram em sua morte. Indica que as provas coletadas mostram que o Sr. Isaías de Miranda, o guarda do condomínio, é o responsável direto pelo ocorrido; e que atuou sob a orientação expressa do Sr. Luis Fernando Souza de Souza, na qualidade de chefe de segurança e agente da Polícia Civil. Em sua opinião, o ataque à suposta vítima só ocorreu porque o Brasil autoriza seus agentes policiais a exercer serviços de segurança privada sem qualquer tipo de supervisão.</w:t>
      </w:r>
    </w:p>
    <w:p w14:paraId="58A253C6" w14:textId="4F9A1C29" w:rsidR="000B65EC" w:rsidRPr="001E6BA8" w:rsidRDefault="000B65EC" w:rsidP="000B65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Cambria" w:hAnsi="Cambria"/>
          <w:sz w:val="20"/>
          <w:szCs w:val="20"/>
          <w:lang w:val="pt-BR"/>
        </w:rPr>
        <w:t>Além disso, sustenta que as autoridades brasileiras cometeram omissões e negligências que impediram o esclarecimento dos fatos e a punição dos responsáveis. Denuncia a destruição de provas essenciais, a manipulação da cena do crime e a supressão de imagens de segurança sem que seja realizada uma investigação eficaz. Também observa que as autoridades se recusaram a coletar depoimentos importantes e rejeitaram um relatório de especialista independente apresentado pela família, o que impediu uma imagem detalhada da condição de Eduardo antes e depois do ataque. Ressalta que essas irregularidades fizeram com que as autoridades internas ainda não respondessem às suas denúncias tanto na esfera penal quanto na civil, de modo que há uma clara violação do direito a um prazo razoável em ambos os processos.</w:t>
      </w:r>
    </w:p>
    <w:p w14:paraId="6115DE3F" w14:textId="77777777" w:rsidR="000B65EC" w:rsidRPr="001E6BA8" w:rsidRDefault="000B65EC" w:rsidP="000B65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Cambria" w:hAnsi="Cambria"/>
          <w:sz w:val="20"/>
          <w:szCs w:val="20"/>
          <w:lang w:val="pt-BR"/>
        </w:rPr>
        <w:t>Na opinião do peticionário, a inação deste Estado reflete um padrão de racismo institucional, no qual a violência contra os afrodescendentes não recebe uma resposta efetiva das autoridades.</w:t>
      </w:r>
    </w:p>
    <w:p w14:paraId="34751EA8" w14:textId="7CC1DDB9" w:rsidR="000B65EC" w:rsidRPr="001E6BA8" w:rsidRDefault="000B65EC" w:rsidP="000B65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Cambria" w:hAnsi="Cambria"/>
          <w:sz w:val="20"/>
          <w:szCs w:val="20"/>
          <w:lang w:val="pt-BR"/>
        </w:rPr>
        <w:t xml:space="preserve">Finalmente, dado que transcorreram mais de sete anos sem que a justiça tenha sido administrada, o peticionário considera que a exceção prevista no artigo 46(2)(c) da Convenção Americana é aplicável, devido à demora injustificada no processo judicial. </w:t>
      </w:r>
    </w:p>
    <w:p w14:paraId="129AF6A6" w14:textId="66D62EDB" w:rsidR="00EF76F5" w:rsidRPr="007F2976" w:rsidRDefault="00BE3D7C" w:rsidP="000B65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AR"/>
        </w:rPr>
      </w:pPr>
      <w:r>
        <w:rPr>
          <w:rFonts w:ascii="Cambria" w:hAnsi="Cambria"/>
          <w:b/>
          <w:bCs/>
          <w:sz w:val="20"/>
          <w:szCs w:val="20"/>
        </w:rPr>
        <w:t>O Estado brasileiro</w:t>
      </w:r>
    </w:p>
    <w:p w14:paraId="4954F99C" w14:textId="69924965" w:rsidR="00CF3B90" w:rsidRPr="001E6BA8" w:rsidRDefault="00CF3B90" w:rsidP="00CF3B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Cambria" w:hAnsi="Cambria"/>
          <w:sz w:val="20"/>
          <w:szCs w:val="20"/>
          <w:lang w:val="pt-BR"/>
        </w:rPr>
        <w:t>Por sua vez, o Estado responde que a petição é inadmissível porque os recursos internos não foram esgotados. Indica que, no momento de sua apresentação, tanto o processo penal, iniciado para investigar os fatos e identificar os responsáveis, quanto o processo civil instaurado pela família da suposta vítima, ainda não haviam sido concluídos. Na opinião do Brasil, isso mostra que os peticionários recorreram prematuramente ao organismo internacional sem ter esgotado os recursos internos, em violação do disposto no artigo 46(1)(a) da Convenção.</w:t>
      </w:r>
    </w:p>
    <w:p w14:paraId="203C8BD5" w14:textId="2446B793" w:rsidR="00CF3B90" w:rsidRPr="001E6BA8" w:rsidRDefault="00CF3B90" w:rsidP="00CF3B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Cambria" w:hAnsi="Cambria"/>
          <w:sz w:val="20"/>
          <w:szCs w:val="20"/>
          <w:lang w:val="pt-BR"/>
        </w:rPr>
        <w:t>Em termos semelhantes, alega que a petição também não cumpre com o requisito estabelecido no artigo 46(1)(b) da Convenção. Como o processo judicial não foi concluído, o Brasil argumenta que o prazo ainda não começou. Em sua opinião, admitir uma denúncia antes de uma resolução final violaria o caráter subsidiário do Sistema Interamericano e o poder soberano do Estado de administrar a justiça. Portanto, por ter sido apresentada prematuramente, solicita à CIDH que declare a inadmissibilidade da petição.</w:t>
      </w:r>
    </w:p>
    <w:p w14:paraId="47336E90" w14:textId="77777777" w:rsidR="00CF3B90" w:rsidRPr="001E6BA8" w:rsidRDefault="00CF3B90" w:rsidP="00CF3B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Cambria" w:hAnsi="Cambria"/>
          <w:sz w:val="20"/>
          <w:szCs w:val="20"/>
          <w:lang w:val="pt-BR"/>
        </w:rPr>
        <w:t>Juntamente com estes argumentos, o Estado assinala que também não é aplicável nenhuma das exceções ao esgotamento dos recursos internos previstas no artigo 46(2) da Convenção. Em primeiro lugar, argumenta que o Brasil possui um marco regulatório adequado e recursos judiciais eficazes, como evidenciado pela condução de investigações e processos criminais e civis. Em segundo lugar, enfatiza que os peticionários tiveram acesso irrestrito à justiça, apresentaram provas e participaram ativamente do processo, descartando que tenham sido impedidos de esgotar os recursos internos. Por fim, rejeita a existência de atraso injustificado, alegando que o tempo decorrido responde à complexidade do processo, à necessidade de realização de múltiplos procedimentos probatórios e à suspensão dos prazos judiciais durante a pandemia de COVID-19.</w:t>
      </w:r>
    </w:p>
    <w:p w14:paraId="342D22AB" w14:textId="6C30640D" w:rsidR="00CF3B90" w:rsidRPr="001E6BA8" w:rsidRDefault="00CF3B90" w:rsidP="00CF3B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Cambria" w:hAnsi="Cambria"/>
          <w:sz w:val="20"/>
          <w:szCs w:val="20"/>
          <w:lang w:val="pt-BR"/>
        </w:rPr>
        <w:t>Não obstante o anterior, o Estado considera que a petição continuaria sendo inadmissível, uma vez que os fatos denunciados não constituem violações dos direitos humanos que lhe são imputáveis. Garante que garantiu o acesso a recursos eficazes e que os processos foram conduzidos com estrita adesão ao devido processo. No campo penal, aponta que todas as medidas necessárias foram tomadas para esclarecer os fatos e punir os responsáveis.</w:t>
      </w:r>
    </w:p>
    <w:p w14:paraId="68D6659F" w14:textId="07A69DF1" w:rsidR="00CF3B90" w:rsidRPr="001E6BA8" w:rsidRDefault="00CF3B90" w:rsidP="00CF3B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Cambria" w:hAnsi="Cambria"/>
          <w:sz w:val="20"/>
          <w:szCs w:val="20"/>
          <w:lang w:val="pt-BR"/>
        </w:rPr>
        <w:lastRenderedPageBreak/>
        <w:t>Assim, indica que entre 2021 e 2022 as autoridades realizaram uma série de importantes atividades processuais. Em decorrência disso, em 19 de agosto de 2022, o Tribunal de Justiça do Estado do Rio Grande do Sul determinou que as provas colhidas não eram suficientes para comprovar a autoria ou participação do Sr. Isaías de Miranda no crime de homicídio, por isso julgou improcedentes. No entanto, na mesma resolução, considerou oportuno que o Sr. Luis Fernando Souza de Souza passasse à etapa de julgamento pelo suposto delito de fraude processual. Especifica que o Ministério Público recorreu desta determinação e que, na data de apresentação de seu escrito de observações, este recurso ainda estava pendente.</w:t>
      </w:r>
    </w:p>
    <w:p w14:paraId="7D7F271F" w14:textId="2865EC77" w:rsidR="00CF3B90" w:rsidRPr="001E6BA8" w:rsidRDefault="00CF3B90" w:rsidP="00CF3B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Cambria" w:hAnsi="Cambria"/>
          <w:sz w:val="20"/>
          <w:szCs w:val="20"/>
          <w:lang w:val="pt-BR"/>
        </w:rPr>
        <w:t>Na opinião do Brasil, as informações apresentadas mostram que, após a apresentação da petição, o processo penal continuou a ser conduzido com o devido respeito aos direitos de todas as pessoas envolvidas. Indica que a referida sentença está devidamente fundamentada e que foi adotada com pleno respeito ao devido processo. Na mesma linha, afirma que, na esfera civil, o processo seguiu as disposições legais correspondentes e que as partes puderam exercer plenamente seus direitos.</w:t>
      </w:r>
    </w:p>
    <w:p w14:paraId="23C3FEEA" w14:textId="020E6681" w:rsidR="00CF3B90" w:rsidRPr="001E6BA8" w:rsidRDefault="00CF3B90" w:rsidP="00CF3B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Cambria" w:hAnsi="Cambria"/>
          <w:sz w:val="20"/>
          <w:szCs w:val="20"/>
          <w:lang w:val="pt-BR"/>
        </w:rPr>
        <w:t>Por fim, o Brasil rejeita que o crime de Eduardo Vinícius Fosch dos Santos tenha ocorrido em um contexto de racismo estrutural, alegando que não há evidências que sustentem essa afirmação. Garante que as ações das autoridades foram baseadas em critérios objetivos, sem que a raça da vítima influenciasse o curso da investigação ou o processo judicial. Pelas razões acima expostas, pede que este pedido seja declarado inadmissível.</w:t>
      </w:r>
    </w:p>
    <w:p w14:paraId="6F4D4171" w14:textId="6F2D070B" w:rsidR="003239B8" w:rsidRPr="001E6BA8" w:rsidRDefault="00415515" w:rsidP="00CF3B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pt-BR"/>
        </w:rPr>
      </w:pPr>
      <w:r>
        <w:rPr>
          <w:rFonts w:asciiTheme="majorHAnsi" w:eastAsia="Cambria" w:hAnsiTheme="majorHAnsi" w:cs="Cambria"/>
          <w:b/>
          <w:bCs/>
          <w:color w:val="000000"/>
          <w:sz w:val="20"/>
          <w:szCs w:val="20"/>
          <w:u w:color="000000"/>
          <w:lang w:val="pt-BR" w:eastAsia="es-ES"/>
        </w:rPr>
        <w:t>VI</w:t>
      </w:r>
      <w:r w:rsidR="003239B8" w:rsidRPr="001E6BA8">
        <w:rPr>
          <w:rFonts w:asciiTheme="majorHAnsi" w:eastAsia="Cambria" w:hAnsiTheme="majorHAnsi" w:cs="Cambria"/>
          <w:b/>
          <w:bCs/>
          <w:color w:val="000000"/>
          <w:sz w:val="20"/>
          <w:szCs w:val="20"/>
          <w:u w:color="000000"/>
          <w:lang w:val="pt-BR" w:eastAsia="es-ES"/>
        </w:rPr>
        <w:t>.</w:t>
      </w:r>
      <w:r w:rsidR="003239B8" w:rsidRPr="001E6BA8">
        <w:rPr>
          <w:rFonts w:asciiTheme="majorHAnsi" w:eastAsia="Cambria" w:hAnsiTheme="majorHAnsi" w:cs="Cambria"/>
          <w:b/>
          <w:bCs/>
          <w:color w:val="000000"/>
          <w:sz w:val="20"/>
          <w:szCs w:val="20"/>
          <w:u w:color="000000"/>
          <w:lang w:val="pt-BR" w:eastAsia="es-ES"/>
        </w:rPr>
        <w:tab/>
      </w:r>
      <w:r w:rsidR="004A6A54" w:rsidRPr="001E6BA8">
        <w:rPr>
          <w:rFonts w:asciiTheme="majorHAnsi" w:hAnsiTheme="majorHAnsi"/>
          <w:b/>
          <w:bCs/>
          <w:sz w:val="20"/>
          <w:szCs w:val="20"/>
          <w:lang w:val="pt-BR"/>
        </w:rPr>
        <w:t xml:space="preserve">ANÁLISE DE </w:t>
      </w:r>
      <w:r w:rsidR="00C21FEF" w:rsidRPr="001E6BA8">
        <w:rPr>
          <w:rFonts w:asciiTheme="majorHAnsi" w:hAnsiTheme="majorHAnsi"/>
          <w:b/>
          <w:sz w:val="20"/>
          <w:szCs w:val="20"/>
          <w:lang w:val="pt-BR"/>
        </w:rPr>
        <w:t xml:space="preserve">ESGOTAMENTO DOS RECURSOS INTERNOS E PRAZO PARA APRESENTAÇÃO </w:t>
      </w:r>
    </w:p>
    <w:p w14:paraId="3D55CD86" w14:textId="6EEBE8A9" w:rsidR="009F2D8C" w:rsidRPr="001E6BA8" w:rsidRDefault="009F2D8C" w:rsidP="009F2D8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1E6BA8">
        <w:rPr>
          <w:rFonts w:asciiTheme="majorHAnsi" w:hAnsiTheme="majorHAnsi"/>
          <w:sz w:val="20"/>
          <w:szCs w:val="20"/>
          <w:lang w:val="pt-BR"/>
        </w:rPr>
        <w:t>A Comissão observa que a principal alegação do peticionário se concentra essencialmente na falta de punição e reparação pelos atos de violência sofridos pelo adolescente Eduardo Vinícius Fosch dos Santos, que resultaram em sua morte. Na opinião da Comissão, devido à demora das autoridades em investigar o ocorrido, é aplicável a exceção prevista no artigo 46(2)(c) da Convenção.</w:t>
      </w:r>
    </w:p>
    <w:p w14:paraId="53A66642" w14:textId="77777777" w:rsidR="002A7CA6" w:rsidRPr="001E6BA8" w:rsidRDefault="002A7CA6" w:rsidP="009A3C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1E6BA8">
        <w:rPr>
          <w:rFonts w:ascii="Cambria" w:hAnsi="Cambria"/>
          <w:sz w:val="20"/>
          <w:szCs w:val="20"/>
          <w:lang w:val="pt-BR"/>
        </w:rPr>
        <w:t>Por sua vez, o Estado responde que a regra do prévio esgotamento dos recursos internos não foi cumprida, uma vez que a petição foi apresentada enquanto o processo penal iniciado no âmbito interno ainda estava em andamento. Por conseguinte, alega que o requisito do prazo previsto no artigo 46.°, n.° 1, alínea b), também não está preenchido, uma vez que o processo judicial não foi concluído e, por conseguinte, o prazo previsto nesta disposição ainda não pode começar a ser computado. Por último, considera que não existem argumentos que justifiquem nenhuma das excepções previstas no artigo 46.°, n.° 2, da Convenção.</w:t>
      </w:r>
    </w:p>
    <w:p w14:paraId="4E12FC09" w14:textId="0F3C396A" w:rsidR="00271FC9" w:rsidRPr="001E6BA8" w:rsidRDefault="00954B16" w:rsidP="009A3C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1E6BA8">
        <w:rPr>
          <w:rFonts w:ascii="Cambria" w:hAnsi="Cambria"/>
          <w:color w:val="000000" w:themeColor="text1"/>
          <w:sz w:val="20"/>
          <w:szCs w:val="20"/>
          <w:lang w:val="pt-BR"/>
        </w:rPr>
        <w:t>A este respeito, a CIDH reitera sua posição consistente de que a situação a ser considerada para determinar se os recursos internos foram esgotados é a que existia no momento em que a petição foi admissível. Este critério garante que as autoridades nacionais tenham a oportunidade de resolver os factos denunciados a nível nacional. Além disso, nos casos de delitos passíveis de procedimento penal ex officio, o Estado tem a obrigação de promover e promover processos penais, que é a forma ideal de esclarecer os fatos, processar os responsáveis e estabelecer as sanções penais correspondentes, além de permitir a aplicação de outras formas de reparação pecuniária</w:t>
      </w:r>
      <w:r>
        <w:rPr>
          <w:rStyle w:val="FootnoteReference"/>
          <w:rFonts w:asciiTheme="majorHAnsi" w:hAnsiTheme="majorHAnsi"/>
          <w:color w:val="000000" w:themeColor="text1"/>
          <w:sz w:val="20"/>
          <w:szCs w:val="20"/>
          <w:lang w:eastAsia="es-PE"/>
        </w:rPr>
        <w:footnoteReference w:id="5"/>
      </w:r>
      <w:r w:rsidRPr="001E6BA8">
        <w:rPr>
          <w:rFonts w:ascii="Cambria" w:hAnsi="Cambria"/>
          <w:color w:val="000000" w:themeColor="text1"/>
          <w:sz w:val="20"/>
          <w:szCs w:val="20"/>
          <w:lang w:val="pt-BR"/>
        </w:rPr>
        <w:t>.</w:t>
      </w:r>
    </w:p>
    <w:p w14:paraId="7E9111D6" w14:textId="79A8615C" w:rsidR="0062783E" w:rsidRPr="001E6BA8" w:rsidRDefault="0062783E"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Cambria" w:hAnsi="Cambria"/>
          <w:sz w:val="20"/>
          <w:szCs w:val="20"/>
          <w:lang w:val="pt-BR"/>
        </w:rPr>
        <w:t>Com base nessas considerações, a Comissão observa que, embora em 31 de maio de 2013 o Ministério Público tenha iniciado uma investigação formal sobre os fatos denunciados, ambas as partes concordam que ainda está pendente uma determinação final. O processo civil instaurado pelos familiares da alegada vítima estaria na mesma situação. Consequentemente, cabe à CIDH determinar se essa demora na adoção de uma decisão pode constituir a exceção prevista no artigo 46(2)(c) da Convenção.</w:t>
      </w:r>
    </w:p>
    <w:p w14:paraId="2553F2C3" w14:textId="77777777" w:rsidR="00027372" w:rsidRPr="001E6BA8" w:rsidRDefault="00027372" w:rsidP="000273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1E6BA8">
        <w:rPr>
          <w:rFonts w:asciiTheme="majorHAnsi" w:hAnsiTheme="majorHAnsi"/>
          <w:bCs/>
          <w:sz w:val="20"/>
          <w:szCs w:val="20"/>
          <w:lang w:val="pt-BR"/>
        </w:rPr>
        <w:t xml:space="preserve">A este respeito, a Comissão recorda que </w:t>
      </w:r>
      <w:r w:rsidRPr="001E6BA8">
        <w:rPr>
          <w:rFonts w:asciiTheme="majorHAnsi" w:hAnsiTheme="majorHAnsi" w:cs="Calibri"/>
          <w:color w:val="242424"/>
          <w:sz w:val="20"/>
          <w:szCs w:val="20"/>
          <w:lang w:val="pt-BR"/>
        </w:rPr>
        <w:t xml:space="preserve">o artigo 46(2) da Convenção, por sua natureza e objeto, é uma norma com conteúdo autônomo em relação às normas substantivas da Convenção Americana. Portanto, a decisão sobre se as exceções à regra do esgotamento dos recursos internos são aplicáveis ao caso em questão deve ser feita prévia e separadamente da análise do mérito do caso, uma vez que depende de um </w:t>
      </w:r>
      <w:r w:rsidRPr="001E6BA8">
        <w:rPr>
          <w:rFonts w:asciiTheme="majorHAnsi" w:hAnsiTheme="majorHAnsi" w:cs="Calibri"/>
          <w:color w:val="242424"/>
          <w:sz w:val="20"/>
          <w:szCs w:val="20"/>
          <w:lang w:val="pt-BR"/>
        </w:rPr>
        <w:lastRenderedPageBreak/>
        <w:t>padrão de apreciação diferente daquele utilizado para resolver a possível violação dos artigos 8 e 25 da Convenção. A CIDH também ressaltou que não existem disposições da Convenção ou regulamentos que regulem especificamente o período de tempo que constitui atraso injustificado, razão pela qual a Comissão avalia caso a caso se tal atraso ocorre</w:t>
      </w:r>
      <w:r w:rsidRPr="00D37285">
        <w:rPr>
          <w:rStyle w:val="FootnoteReference"/>
          <w:rFonts w:asciiTheme="majorHAnsi" w:hAnsiTheme="majorHAnsi" w:cs="Calibri"/>
          <w:color w:val="242424"/>
          <w:sz w:val="20"/>
          <w:szCs w:val="20"/>
        </w:rPr>
        <w:footnoteReference w:id="6"/>
      </w:r>
      <w:r w:rsidRPr="001E6BA8">
        <w:rPr>
          <w:rFonts w:asciiTheme="majorHAnsi" w:hAnsiTheme="majorHAnsi" w:cs="Calibri"/>
          <w:color w:val="242424"/>
          <w:sz w:val="20"/>
          <w:szCs w:val="20"/>
          <w:lang w:val="pt-BR"/>
        </w:rPr>
        <w:t>. Nesse sentido, a Corte Interamericana estabeleceu como princípio orientador para a análise de uma possível demora injustificada como exceção à regra do esgotamento dos recursos internos, que "</w:t>
      </w:r>
      <w:r w:rsidRPr="001E6BA8">
        <w:rPr>
          <w:rFonts w:asciiTheme="majorHAnsi" w:hAnsiTheme="majorHAnsi" w:cs="Calibri"/>
          <w:i/>
          <w:iCs/>
          <w:color w:val="242424"/>
          <w:sz w:val="20"/>
          <w:szCs w:val="20"/>
          <w:lang w:val="pt-BR"/>
        </w:rPr>
        <w:t>de forma alguma a regra do esgotamento prévio deve levar à paralisação ou demora até o ponto de futilidade da ação internacional em favor da vítima indefesa</w:t>
      </w:r>
      <w:r w:rsidRPr="001E6BA8">
        <w:rPr>
          <w:rFonts w:asciiTheme="majorHAnsi" w:hAnsiTheme="majorHAnsi" w:cs="Calibri"/>
          <w:color w:val="242424"/>
          <w:sz w:val="20"/>
          <w:szCs w:val="20"/>
          <w:lang w:val="pt-BR"/>
        </w:rPr>
        <w:t>".</w:t>
      </w:r>
      <w:r w:rsidRPr="00D37285">
        <w:rPr>
          <w:rStyle w:val="FootnoteReference"/>
          <w:rFonts w:asciiTheme="majorHAnsi" w:hAnsiTheme="majorHAnsi" w:cs="Calibri"/>
          <w:color w:val="242424"/>
          <w:sz w:val="20"/>
          <w:szCs w:val="20"/>
        </w:rPr>
        <w:footnoteReference w:id="7"/>
      </w:r>
      <w:r w:rsidRPr="001E6BA8">
        <w:rPr>
          <w:rFonts w:asciiTheme="majorHAnsi" w:hAnsiTheme="majorHAnsi" w:cs="Calibri"/>
          <w:color w:val="242424"/>
          <w:sz w:val="20"/>
          <w:szCs w:val="20"/>
          <w:lang w:val="pt-BR"/>
        </w:rPr>
        <w:t xml:space="preserve">. Em outras palavras, na opinião da Comissão, o caráter complementar da proteção internacional prevista na Convenção Americana também implica que a intervenção dos órgãos do Sistema Interamericano deve ser oportuna para que possa ter algum tipo de efeito útil na proteção dos direitos das supostas vítimas. </w:t>
      </w:r>
    </w:p>
    <w:p w14:paraId="50EE3924" w14:textId="77777777" w:rsidR="00BA66A0" w:rsidRPr="001E6BA8" w:rsidRDefault="00E51A8A" w:rsidP="00DB62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Theme="majorHAnsi" w:hAnsiTheme="majorHAnsi"/>
          <w:sz w:val="20"/>
          <w:szCs w:val="20"/>
          <w:lang w:val="pt-BR"/>
        </w:rPr>
        <w:t xml:space="preserve">Com base nisso, a Comissão considera que a informação contida no expediente não justifica o fato de que, quase doze anos após a ocorrência dos fatos denunciados, ainda não existe um pronunciamento definitivo sobre o assunto. Dadas as características do ocorrido, coube principalmente às autoridades realizar uma investigação rápida e diligente para esclarecer o ocorrido e adotar as determinações correspondentes. </w:t>
      </w:r>
    </w:p>
    <w:p w14:paraId="23B54387" w14:textId="28A328DD" w:rsidR="00AE6120" w:rsidRPr="001E6BA8" w:rsidRDefault="00AE6120" w:rsidP="00AE61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Theme="majorHAnsi" w:hAnsiTheme="majorHAnsi"/>
          <w:sz w:val="20"/>
          <w:szCs w:val="20"/>
          <w:lang w:val="pt-BR"/>
        </w:rPr>
        <w:t xml:space="preserve">Embora o Brasil argumente que a ausência de uma decisão final no âmbito judicial se deve, em parte, à pandemia de COVID-19, a Comissão considera que, mesmo que a validade de tal argumento seja aceita, esta situação não explica por que ainda não tenha sido adotada uma decisão final sobre o assunto, uma vez que, de acordo com as informações fornecidas pelo próprio Estado,  Em 2021 já teria retornado para realizar diligências e atos processuais. Isso permitiu que uma primeira determinação fosse feita em 2022 sobre a situação dos supostos perpetradores. Com base nessas considerações, a CIDH conclui que é aplicável a exceção prevista no artigo 46(2)(c) da Convenção Americana. </w:t>
      </w:r>
    </w:p>
    <w:p w14:paraId="33C6516D" w14:textId="63ACA5CB" w:rsidR="00DB6201" w:rsidRPr="001E6BA8" w:rsidRDefault="00DB6201" w:rsidP="00AE61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Theme="majorHAnsi" w:hAnsiTheme="majorHAnsi"/>
          <w:sz w:val="20"/>
          <w:szCs w:val="20"/>
          <w:lang w:val="pt-BR"/>
        </w:rPr>
        <w:t xml:space="preserve">Da mesma forma, a Comissão também não dispõe de informações que lhe permitam saber se os processos civis iniciados pelos familiares do adolescente Eduardo Vinícius Fosch foram resolvidos. No entanto, conforme relatado pelo Estado em 2023, para aquele ano esse recurso ainda teria continuado a ser processado internamente. Consequentemente, dado que a informação do expediente permite inferir que esta ação ainda não foi concluída dez anos após sua interposição, a Comissão também considera razoável utilizar a exceção acima mencionada com relação a este ponto da petição. </w:t>
      </w:r>
    </w:p>
    <w:p w14:paraId="73A43FC3" w14:textId="788ACE27" w:rsidR="00B71ABE" w:rsidRPr="009B3DE6" w:rsidRDefault="00AE6120" w:rsidP="00BA66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1E6BA8">
        <w:rPr>
          <w:rFonts w:asciiTheme="majorHAnsi" w:hAnsiTheme="majorHAnsi"/>
          <w:sz w:val="20"/>
          <w:szCs w:val="20"/>
          <w:lang w:val="pt-BR"/>
        </w:rPr>
        <w:t>Finalmente, embora o Estado conteste que a petição tenha sido apresentada fora de prazo, uma vez que foi apresentada sem</w:t>
      </w:r>
      <w:r w:rsidR="00BA66A0" w:rsidRPr="001E6BA8">
        <w:rPr>
          <w:rFonts w:ascii="Cambria" w:hAnsi="Cambria"/>
          <w:sz w:val="20"/>
          <w:szCs w:val="20"/>
          <w:lang w:val="pt-BR"/>
        </w:rPr>
        <w:t xml:space="preserve"> que o processo judicial tenha sido concluído, a Comissão recorda que o artigo 32(2) de seu Regulamento estabelece que, quando se estabelecer qualquer uma das exceções à regra do prévio esgotamento dos recursos internos, a petição deve ser apresentada dentro de um prazo razoável.  levando em consideração a data em que ocorreu a suposta violação de direitos e as circunstâncias de cada caso. No presente caso, uma vez que a CIDH identificou uma demora injustificada no processo penal e civil, é lógico e razoável que o peticionário tenha apresentado sua reclamação em 10 de dezembro de 2020, ou seja, enquanto esses recursos ainda estavam sendo </w:t>
      </w:r>
      <w:r w:rsidR="00B71ABE" w:rsidRPr="001E6BA8">
        <w:rPr>
          <w:rFonts w:asciiTheme="majorHAnsi" w:hAnsiTheme="majorHAnsi"/>
          <w:sz w:val="20"/>
          <w:szCs w:val="20"/>
          <w:lang w:val="pt-BR"/>
        </w:rPr>
        <w:t xml:space="preserve">processados. </w:t>
      </w:r>
      <w:r w:rsidR="00B71ABE" w:rsidRPr="009B3DE6">
        <w:rPr>
          <w:rFonts w:asciiTheme="majorHAnsi" w:hAnsiTheme="majorHAnsi"/>
          <w:sz w:val="20"/>
          <w:szCs w:val="20"/>
        </w:rPr>
        <w:t xml:space="preserve">Portanto, essa regra processual também é cumprida. </w:t>
      </w:r>
    </w:p>
    <w:p w14:paraId="4FFBE378" w14:textId="64322DE9" w:rsidR="003239B8" w:rsidRPr="001E6BA8" w:rsidRDefault="003239B8" w:rsidP="003239B8">
      <w:pPr>
        <w:pStyle w:val="ListParagraph"/>
        <w:spacing w:before="240" w:after="240"/>
        <w:jc w:val="both"/>
        <w:rPr>
          <w:rFonts w:asciiTheme="majorHAnsi" w:hAnsiTheme="majorHAnsi"/>
          <w:b/>
          <w:sz w:val="20"/>
          <w:szCs w:val="20"/>
          <w:lang w:val="pt-BR"/>
        </w:rPr>
      </w:pPr>
      <w:r w:rsidRPr="001E6BA8">
        <w:rPr>
          <w:rFonts w:asciiTheme="majorHAnsi" w:hAnsiTheme="majorHAnsi"/>
          <w:b/>
          <w:bCs/>
          <w:sz w:val="20"/>
          <w:szCs w:val="20"/>
          <w:lang w:val="pt-BR"/>
        </w:rPr>
        <w:t>VII.</w:t>
      </w:r>
      <w:r w:rsidRPr="001E6BA8">
        <w:rPr>
          <w:rFonts w:asciiTheme="majorHAnsi" w:hAnsiTheme="majorHAnsi"/>
          <w:b/>
          <w:bCs/>
          <w:sz w:val="20"/>
          <w:szCs w:val="20"/>
          <w:lang w:val="pt-BR"/>
        </w:rPr>
        <w:tab/>
      </w:r>
      <w:r w:rsidR="004A6A54" w:rsidRPr="001E6BA8">
        <w:rPr>
          <w:rFonts w:asciiTheme="majorHAnsi" w:hAnsiTheme="majorHAnsi"/>
          <w:b/>
          <w:bCs/>
          <w:sz w:val="20"/>
          <w:szCs w:val="20"/>
          <w:lang w:val="pt-BR"/>
        </w:rPr>
        <w:t>ANÁLISE DE CARACTERIZAÇÃO DOS FATOS ALEGADOS</w:t>
      </w:r>
    </w:p>
    <w:p w14:paraId="672FF0BD" w14:textId="77777777" w:rsidR="00090A2F" w:rsidRPr="001E6BA8" w:rsidRDefault="00024FA4" w:rsidP="005035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1E6BA8">
        <w:rPr>
          <w:rFonts w:asciiTheme="majorHAnsi" w:hAnsiTheme="majorHAnsi"/>
          <w:sz w:val="20"/>
          <w:szCs w:val="20"/>
          <w:lang w:val="pt-BR"/>
        </w:rPr>
        <w:t xml:space="preserve">Em primeiro lugar, a Comissão reitera que o critério de avaliação da fase de admissibilidade difere daquele utilizado para decidir sobre o mérito de uma petição; nesta etapa, a CIDH deve realizar uma  avaliação </w:t>
      </w:r>
      <w:r w:rsidRPr="001E6BA8">
        <w:rPr>
          <w:rFonts w:asciiTheme="majorHAnsi" w:hAnsiTheme="majorHAnsi"/>
          <w:i/>
          <w:iCs/>
          <w:sz w:val="20"/>
          <w:szCs w:val="20"/>
          <w:lang w:val="pt-BR"/>
        </w:rPr>
        <w:t>prima facie</w:t>
      </w:r>
      <w:r w:rsidRPr="001E6BA8">
        <w:rPr>
          <w:rFonts w:asciiTheme="majorHAnsi" w:hAnsiTheme="majorHAnsi"/>
          <w:sz w:val="20"/>
          <w:szCs w:val="20"/>
          <w:lang w:val="pt-BR"/>
        </w:rPr>
        <w:t xml:space="preserve">  para determinar se a petição fundamenta uma possível ou potencial violação de um direito garantido pela Convenção.  mas não para estabelecer a existência de uma violação de direitos. Esta determinação sobre a caracterização das violações da Convenção Americana constitui uma análise primária, que não implica prejulgar o mérito do caso. Para fins de admissibilidade, a Comissão deve decidir se os fatos alegados podem caracterizar uma violação de direitos, conforme estipulado no artigo 47(b) da Convenção </w:t>
      </w:r>
      <w:r w:rsidRPr="001E6BA8">
        <w:rPr>
          <w:rFonts w:asciiTheme="majorHAnsi" w:hAnsiTheme="majorHAnsi"/>
          <w:sz w:val="20"/>
          <w:szCs w:val="20"/>
          <w:lang w:val="pt-BR"/>
        </w:rPr>
        <w:lastRenderedPageBreak/>
        <w:t>Americana, ou se a petição é "manifestamente infundada" ou "manifestamente improcedente", de acordo com o artigo 47(c) da Convenção Americana.</w:t>
      </w:r>
    </w:p>
    <w:p w14:paraId="1C57C891" w14:textId="6AF096EE" w:rsidR="00AE6120" w:rsidRPr="001E6BA8" w:rsidRDefault="004030B1" w:rsidP="00AE61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1E6BA8">
        <w:rPr>
          <w:rFonts w:ascii="Cambria" w:hAnsi="Cambria"/>
          <w:sz w:val="20"/>
          <w:szCs w:val="20"/>
          <w:lang w:val="pt-BR"/>
        </w:rPr>
        <w:t xml:space="preserve">Para fins de análise da presente controvérsia, a Comissão ressalta que, de acordo com as alegações do peticionário, as autoridades brasileiras cometeram omissões e negligências que impediram o esclarecimento dos fatos e a punição dos responsáveis. Em particular, destaca que eles destruíram evidências importantes, manipularam a cena do crime e se recusaram a coletar depoimentos importantes e relatórios de especialistas. Na opinião da Comissão, as irregularidades acima mencionadas, se verdadeiras, seriam extremamente graves, ainda mais se houver indícios de que um dos supostos autores estava agindo com o aval das forças de segurança. </w:t>
      </w:r>
    </w:p>
    <w:p w14:paraId="10DA5B2B" w14:textId="5EF3CD97" w:rsidR="009E591A" w:rsidRPr="001E6BA8" w:rsidRDefault="009E591A" w:rsidP="004030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1E6BA8">
        <w:rPr>
          <w:rFonts w:ascii="Cambria" w:hAnsi="Cambria"/>
          <w:sz w:val="20"/>
          <w:szCs w:val="20"/>
          <w:lang w:val="pt-BR"/>
        </w:rPr>
        <w:t xml:space="preserve">Neste contexto, a Comissão considera relevante recordar que a Corte Interamericana, em sua recente sentença no caso  </w:t>
      </w:r>
      <w:r w:rsidR="004030B1" w:rsidRPr="001E6BA8">
        <w:rPr>
          <w:rFonts w:ascii="Cambria" w:hAnsi="Cambria"/>
          <w:i/>
          <w:iCs/>
          <w:sz w:val="20"/>
          <w:szCs w:val="20"/>
          <w:lang w:val="pt-BR"/>
        </w:rPr>
        <w:t>Dos Santos Nascimento e Ferreira Gomes contra Brasil</w:t>
      </w:r>
      <w:r w:rsidR="004030B1" w:rsidRPr="001E6BA8">
        <w:rPr>
          <w:rFonts w:ascii="Cambria" w:hAnsi="Cambria"/>
          <w:sz w:val="20"/>
          <w:szCs w:val="20"/>
          <w:lang w:val="pt-BR"/>
        </w:rPr>
        <w:t>, reconheceu que a discriminação contra a população afrodescendente no Brasil é uma "constante histórica", que se reflete, entre outros aspectos, nas graves deficiências no acesso à justiça para as pessoas afrodescendentes</w:t>
      </w:r>
      <w:r w:rsidR="004030B1">
        <w:rPr>
          <w:rStyle w:val="FootnoteReference"/>
          <w:rFonts w:ascii="Cambria" w:hAnsi="Cambria"/>
          <w:sz w:val="20"/>
          <w:szCs w:val="20"/>
        </w:rPr>
        <w:footnoteReference w:id="8"/>
      </w:r>
      <w:r w:rsidR="004030B1" w:rsidRPr="001E6BA8">
        <w:rPr>
          <w:rFonts w:ascii="Cambria" w:hAnsi="Cambria"/>
          <w:sz w:val="20"/>
          <w:szCs w:val="20"/>
          <w:lang w:val="pt-BR"/>
        </w:rPr>
        <w:t xml:space="preserve">. </w:t>
      </w:r>
    </w:p>
    <w:p w14:paraId="3B5AEBEF" w14:textId="6BC94080" w:rsidR="004030B1" w:rsidRPr="001E6BA8" w:rsidRDefault="004030B1" w:rsidP="009E59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1E6BA8">
        <w:rPr>
          <w:rFonts w:ascii="Cambria" w:hAnsi="Cambria"/>
          <w:sz w:val="20"/>
          <w:szCs w:val="20"/>
          <w:lang w:val="pt-BR"/>
        </w:rPr>
        <w:t>Na opinião da CIDH, os fatos narrados pelo peticionário estão intimamente relacionados ao contexto identificado pela Corte Interamericana, uma vez que a suposta vítima era uma adolescente afrodescendente. Consequentemente, é oportuno que a suposta falta de ação adequada por parte das autoridades, bem como a possível cumplicidade de um de seus agentes, sejam analisadas com maior detalhe na etapa de mérito.</w:t>
      </w:r>
    </w:p>
    <w:p w14:paraId="79CCB86F" w14:textId="08FD9F5D" w:rsidR="004030B1" w:rsidRPr="001E6BA8" w:rsidRDefault="004030B1" w:rsidP="004030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1E6BA8">
        <w:rPr>
          <w:rFonts w:ascii="Cambria" w:hAnsi="Cambria"/>
          <w:sz w:val="20"/>
          <w:szCs w:val="20"/>
          <w:lang w:val="pt-BR"/>
        </w:rPr>
        <w:t>Pelas razões expostas anteriormente, a Comissão analisará na próxima etapa do processo se o Brasil violou os direitos contemplados nos artigos 4 (direito à vida), 5 (direito à integridade pessoal), 8 (garantias judiciais), 19 (direitos da criança), 24 (igualdade perante a lei) e 25 (proteção judicial) da Convenção Americana, em relação ao artigo 1(1) da mesma.  em detrimento do adolescente Eduardo Vinícius Fosch dos Santos e seus familiares.</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rPr>
        <w:t xml:space="preserve">VIII. </w:t>
      </w:r>
      <w:r>
        <w:rPr>
          <w:rFonts w:asciiTheme="majorHAnsi" w:hAnsiTheme="majorHAnsi"/>
          <w:b/>
          <w:bCs/>
          <w:sz w:val="20"/>
          <w:szCs w:val="20"/>
        </w:rPr>
        <w:tab/>
      </w:r>
      <w:r w:rsidRPr="0078770A">
        <w:rPr>
          <w:rFonts w:asciiTheme="majorHAnsi" w:hAnsiTheme="majorHAnsi"/>
          <w:b/>
          <w:bCs/>
          <w:sz w:val="20"/>
          <w:szCs w:val="20"/>
        </w:rPr>
        <w:t>DECISÃO</w:t>
      </w:r>
    </w:p>
    <w:p w14:paraId="41AA5BF6" w14:textId="7062EFCA" w:rsidR="000419AD" w:rsidRPr="001E6BA8"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E6BA8">
        <w:rPr>
          <w:rFonts w:asciiTheme="majorHAnsi" w:hAnsiTheme="majorHAnsi"/>
          <w:sz w:val="20"/>
          <w:szCs w:val="20"/>
          <w:lang w:val="pt-BR"/>
        </w:rPr>
        <w:t>Declarar admissível a presente petição em relação aos artigos 4, 5, 8, 19, 24 e 25 da Convenção Americana; e</w:t>
      </w:r>
    </w:p>
    <w:p w14:paraId="12A7002C" w14:textId="77777777" w:rsidR="004A6A54" w:rsidRPr="001E6BA8"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1E6BA8">
        <w:rPr>
          <w:rFonts w:asciiTheme="majorHAnsi" w:hAnsiTheme="majorHAnsi"/>
          <w:sz w:val="20"/>
          <w:szCs w:val="20"/>
          <w:lang w:val="pt-BR"/>
        </w:rPr>
        <w:t>Notificar as partes desta decisão; continuar com a análise do mérito da questão; e publicar esta decisão e incluí-la em seu Relatório Anual à Assembléia Geral da Organização dos Estados Americanos.</w:t>
      </w:r>
    </w:p>
    <w:p w14:paraId="6AC80CA6" w14:textId="585EF7C6" w:rsidR="00722C9F" w:rsidRPr="007F6C25" w:rsidRDefault="00F256A3" w:rsidP="007F6C25">
      <w:pPr>
        <w:ind w:firstLine="720"/>
        <w:jc w:val="both"/>
        <w:rPr>
          <w:rFonts w:ascii="Cambria" w:hAnsi="Cambria"/>
          <w:sz w:val="20"/>
          <w:lang w:val="pt-BR"/>
        </w:rPr>
      </w:pPr>
      <w:bookmarkStart w:id="2" w:name="_Hlk89363282"/>
      <w:r>
        <w:rPr>
          <w:rFonts w:ascii="Cambria" w:hAnsi="Cambria"/>
          <w:sz w:val="20"/>
          <w:lang w:val="pt-BR"/>
        </w:rPr>
        <w:t>Aprovado pela Comissão Interameri</w:t>
      </w:r>
      <w:r w:rsidRPr="00FC1D37">
        <w:rPr>
          <w:rFonts w:ascii="Cambria" w:hAnsi="Cambria"/>
          <w:sz w:val="20"/>
          <w:lang w:val="pt-BR"/>
        </w:rPr>
        <w:t xml:space="preserve">cana de Direitos Humanos aos </w:t>
      </w:r>
      <w:r w:rsidR="00E93E48" w:rsidRPr="00FC1D37">
        <w:rPr>
          <w:rFonts w:ascii="Cambria" w:hAnsi="Cambria"/>
          <w:sz w:val="20"/>
          <w:lang w:val="pt-BR"/>
        </w:rPr>
        <w:t>28</w:t>
      </w:r>
      <w:r w:rsidRPr="00FC1D37">
        <w:rPr>
          <w:rFonts w:ascii="Cambria" w:hAnsi="Cambria"/>
          <w:sz w:val="20"/>
          <w:lang w:val="pt-BR"/>
        </w:rPr>
        <w:t xml:space="preserve"> dias do mês de </w:t>
      </w:r>
      <w:r w:rsidR="00E93E48" w:rsidRPr="00FC1D37">
        <w:rPr>
          <w:rFonts w:ascii="Cambria" w:hAnsi="Cambria"/>
          <w:sz w:val="20"/>
          <w:lang w:val="pt-BR"/>
        </w:rPr>
        <w:t>abril</w:t>
      </w:r>
      <w:r w:rsidRPr="00FC1D37">
        <w:rPr>
          <w:rFonts w:ascii="Cambria" w:hAnsi="Cambria"/>
          <w:sz w:val="20"/>
          <w:lang w:val="pt-BR"/>
        </w:rPr>
        <w:t xml:space="preserve"> de 20</w:t>
      </w:r>
      <w:r w:rsidR="00E93E48" w:rsidRPr="00FC1D37">
        <w:rPr>
          <w:rFonts w:ascii="Cambria" w:hAnsi="Cambria"/>
          <w:sz w:val="20"/>
          <w:lang w:val="pt-BR"/>
        </w:rPr>
        <w:t>25</w:t>
      </w:r>
      <w:r w:rsidRPr="00FC1D37">
        <w:rPr>
          <w:rFonts w:ascii="Cambria" w:hAnsi="Cambria"/>
          <w:sz w:val="20"/>
          <w:lang w:val="pt-BR"/>
        </w:rPr>
        <w:t xml:space="preserve">. (Assinado): </w:t>
      </w:r>
      <w:r w:rsidRPr="00FC1D37">
        <w:rPr>
          <w:rStyle w:val="normaltextrun"/>
          <w:rFonts w:ascii="Cambria" w:hAnsi="Cambria" w:cs="Segoe UI"/>
          <w:sz w:val="20"/>
          <w:szCs w:val="20"/>
          <w:lang w:val="pt-BR"/>
        </w:rPr>
        <w:t>José Luis Caballero Ochoa</w:t>
      </w:r>
      <w:r w:rsidRPr="00FC1D37">
        <w:rPr>
          <w:rFonts w:ascii="Cambria" w:hAnsi="Cambria"/>
          <w:sz w:val="20"/>
          <w:lang w:val="pt-BR"/>
        </w:rPr>
        <w:t xml:space="preserve">, Presidenta; Arif Bulkan, Segundo Vicepresidente; </w:t>
      </w:r>
      <w:r w:rsidRPr="00FC1D37">
        <w:rPr>
          <w:rStyle w:val="normaltextrun"/>
          <w:rFonts w:ascii="Cambria" w:hAnsi="Cambria" w:cs="Segoe UI"/>
          <w:sz w:val="20"/>
          <w:szCs w:val="20"/>
          <w:lang w:val="pt-BR"/>
        </w:rPr>
        <w:t>Roberta Clarke, Carlos Bernal Pulido e Gloria Monique de Mees</w:t>
      </w:r>
      <w:r w:rsidRPr="00FC1D37">
        <w:rPr>
          <w:rFonts w:ascii="Cambria" w:hAnsi="Cambria"/>
          <w:sz w:val="20"/>
          <w:lang w:val="pt-BR"/>
        </w:rPr>
        <w:t>, membros da Comissão.</w:t>
      </w:r>
      <w:bookmarkEnd w:id="2"/>
    </w:p>
    <w:sectPr w:rsidR="00722C9F" w:rsidRPr="007F6C2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FBD1" w14:textId="77777777" w:rsidR="009E23FE" w:rsidRDefault="009E23FE">
      <w:r>
        <w:separator/>
      </w:r>
    </w:p>
  </w:endnote>
  <w:endnote w:type="continuationSeparator" w:id="0">
    <w:p w14:paraId="52123803" w14:textId="77777777" w:rsidR="009E23FE" w:rsidRDefault="009E23FE">
      <w:r>
        <w:continuationSeparator/>
      </w:r>
    </w:p>
  </w:endnote>
  <w:endnote w:type="continuationNotice" w:id="1">
    <w:p w14:paraId="16DB8EA4" w14:textId="77777777" w:rsidR="009E23FE" w:rsidRDefault="009E2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6244" w14:textId="77777777" w:rsidR="009E23FE" w:rsidRPr="000F35ED" w:rsidRDefault="009E23F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81E9B7B" w14:textId="77777777" w:rsidR="009E23FE" w:rsidRPr="000F35ED" w:rsidRDefault="009E23FE" w:rsidP="000F35ED">
      <w:pPr>
        <w:rPr>
          <w:rFonts w:asciiTheme="majorHAnsi" w:hAnsiTheme="majorHAnsi"/>
          <w:sz w:val="16"/>
          <w:szCs w:val="16"/>
        </w:rPr>
      </w:pPr>
      <w:r w:rsidRPr="000F35ED">
        <w:rPr>
          <w:rFonts w:asciiTheme="majorHAnsi" w:hAnsiTheme="majorHAnsi"/>
          <w:sz w:val="16"/>
          <w:szCs w:val="16"/>
        </w:rPr>
        <w:separator/>
      </w:r>
    </w:p>
    <w:p w14:paraId="193F7A3A" w14:textId="77777777" w:rsidR="009E23FE" w:rsidRPr="000F35ED" w:rsidRDefault="009E23FE" w:rsidP="000F35ED">
      <w:pPr>
        <w:pStyle w:val="Footer"/>
        <w:rPr>
          <w:rFonts w:asciiTheme="majorHAnsi" w:hAnsiTheme="majorHAnsi"/>
          <w:sz w:val="16"/>
          <w:szCs w:val="16"/>
        </w:rPr>
      </w:pPr>
      <w:r>
        <w:rPr>
          <w:rFonts w:asciiTheme="majorHAnsi" w:hAnsiTheme="majorHAnsi"/>
          <w:sz w:val="16"/>
          <w:szCs w:val="16"/>
        </w:rPr>
        <w:t>[… continuação]</w:t>
      </w:r>
    </w:p>
  </w:footnote>
  <w:footnote w:type="continuationNotice" w:id="1">
    <w:p w14:paraId="590EB7D6" w14:textId="77777777" w:rsidR="009E23FE" w:rsidRPr="000F35ED" w:rsidRDefault="009E23FE" w:rsidP="000F35ED">
      <w:pPr>
        <w:jc w:val="right"/>
        <w:rPr>
          <w:rFonts w:asciiTheme="majorHAnsi" w:hAnsiTheme="majorHAnsi"/>
          <w:sz w:val="16"/>
          <w:szCs w:val="16"/>
          <w:lang w:val="es-ES"/>
        </w:rPr>
      </w:pPr>
      <w:r>
        <w:rPr>
          <w:rFonts w:asciiTheme="majorHAnsi" w:hAnsiTheme="majorHAnsi"/>
          <w:sz w:val="16"/>
          <w:szCs w:val="16"/>
        </w:rPr>
        <w:t>[continua...]</w:t>
      </w:r>
    </w:p>
  </w:footnote>
  <w:footnote w:id="2">
    <w:p w14:paraId="3D832AA7" w14:textId="1A5B7EFD" w:rsidR="00126EE5" w:rsidRPr="001E6BA8" w:rsidRDefault="00126EE5" w:rsidP="00126EE5">
      <w:pPr>
        <w:pStyle w:val="FootnoteText"/>
        <w:ind w:firstLine="720"/>
        <w:rPr>
          <w:rFonts w:asciiTheme="majorHAnsi" w:hAnsiTheme="majorHAnsi"/>
          <w:sz w:val="16"/>
          <w:szCs w:val="16"/>
          <w:lang w:val="pt-BR"/>
        </w:rPr>
      </w:pPr>
      <w:r w:rsidRPr="00815781">
        <w:rPr>
          <w:rStyle w:val="FootnoteReference"/>
          <w:rFonts w:asciiTheme="majorHAnsi" w:hAnsiTheme="majorHAnsi"/>
          <w:sz w:val="16"/>
          <w:szCs w:val="16"/>
        </w:rPr>
        <w:footnoteRef/>
      </w:r>
      <w:r w:rsidRPr="001E6BA8">
        <w:rPr>
          <w:rFonts w:asciiTheme="majorHAnsi" w:hAnsiTheme="majorHAnsi"/>
          <w:sz w:val="16"/>
          <w:szCs w:val="16"/>
          <w:lang w:val="pt-BR"/>
        </w:rPr>
        <w:t xml:space="preserve"> A petição identifica as seguintes pessoas: Júlio César Rodrigues dos Santos (pai) e Jussara Regina Fösch (mãe).</w:t>
      </w:r>
    </w:p>
  </w:footnote>
  <w:footnote w:id="3">
    <w:p w14:paraId="581148AF" w14:textId="77777777" w:rsidR="009D1F69" w:rsidRPr="001E6BA8" w:rsidRDefault="009D1F69" w:rsidP="009D1F69">
      <w:pPr>
        <w:ind w:firstLine="720"/>
        <w:jc w:val="both"/>
        <w:rPr>
          <w:rFonts w:asciiTheme="majorHAnsi" w:eastAsia="Cambria" w:hAnsiTheme="majorHAnsi" w:cs="Cambria"/>
          <w:color w:val="000000"/>
          <w:sz w:val="16"/>
          <w:szCs w:val="16"/>
          <w:lang w:val="pt-BR"/>
        </w:rPr>
      </w:pPr>
      <w:r w:rsidRPr="00126EE5">
        <w:rPr>
          <w:rStyle w:val="FootnoteReference"/>
          <w:rFonts w:asciiTheme="majorHAnsi" w:hAnsiTheme="majorHAnsi"/>
          <w:sz w:val="16"/>
          <w:szCs w:val="16"/>
        </w:rPr>
        <w:footnoteRef/>
      </w:r>
      <w:r w:rsidRPr="001E6BA8">
        <w:rPr>
          <w:rFonts w:asciiTheme="majorHAnsi" w:eastAsia="Cambria" w:hAnsiTheme="majorHAnsi" w:cs="Cambria"/>
          <w:color w:val="000000"/>
          <w:sz w:val="16"/>
          <w:szCs w:val="16"/>
          <w:vertAlign w:val="superscript"/>
          <w:lang w:val="pt-BR"/>
        </w:rPr>
        <w:t xml:space="preserve"> </w:t>
      </w:r>
      <w:r w:rsidRPr="001E6BA8">
        <w:rPr>
          <w:rFonts w:asciiTheme="majorHAnsi" w:eastAsia="Cambria" w:hAnsiTheme="majorHAnsi" w:cs="Cambria"/>
          <w:color w:val="000000"/>
          <w:sz w:val="16"/>
          <w:szCs w:val="16"/>
          <w:lang w:val="pt-BR"/>
        </w:rPr>
        <w:t xml:space="preserve">Doravante, "a Convenção Americana" ou "a Convenção". </w:t>
      </w:r>
      <w:r w:rsidRPr="001E6BA8">
        <w:rPr>
          <w:rFonts w:asciiTheme="majorHAnsi" w:eastAsia="Cambria" w:hAnsiTheme="majorHAnsi" w:cs="Cambria"/>
          <w:color w:val="000000"/>
          <w:sz w:val="16"/>
          <w:szCs w:val="16"/>
          <w:lang w:val="pt-BR"/>
        </w:rPr>
        <w:tab/>
      </w:r>
    </w:p>
  </w:footnote>
  <w:footnote w:id="4">
    <w:p w14:paraId="79F07139" w14:textId="77777777" w:rsidR="008E3BFE" w:rsidRPr="001E6BA8" w:rsidRDefault="008E3BFE" w:rsidP="006979BE">
      <w:pPr>
        <w:pStyle w:val="FootnoteText"/>
        <w:ind w:firstLine="720"/>
        <w:jc w:val="both"/>
        <w:rPr>
          <w:rFonts w:ascii="Cambria" w:hAnsi="Cambria"/>
          <w:sz w:val="16"/>
          <w:szCs w:val="16"/>
          <w:lang w:val="pt-BR"/>
        </w:rPr>
      </w:pPr>
      <w:r w:rsidRPr="00537490">
        <w:rPr>
          <w:rStyle w:val="FootnoteReference"/>
          <w:rFonts w:ascii="Cambria" w:hAnsi="Cambria"/>
          <w:sz w:val="16"/>
          <w:szCs w:val="16"/>
        </w:rPr>
        <w:footnoteRef/>
      </w:r>
      <w:r w:rsidRPr="001E6BA8">
        <w:rPr>
          <w:rFonts w:ascii="Cambria" w:hAnsi="Cambria"/>
          <w:sz w:val="16"/>
          <w:szCs w:val="16"/>
          <w:lang w:val="pt-BR"/>
        </w:rPr>
        <w:t xml:space="preserve"> As observações de cada parte foram devidamente encaminhadas à parte contrária.</w:t>
      </w:r>
    </w:p>
  </w:footnote>
  <w:footnote w:id="5">
    <w:p w14:paraId="481990F7" w14:textId="77777777" w:rsidR="00954B16" w:rsidRPr="001E6BA8" w:rsidRDefault="00954B16" w:rsidP="00954B16">
      <w:pPr>
        <w:pStyle w:val="FootnoteText"/>
        <w:ind w:firstLine="720"/>
        <w:jc w:val="both"/>
        <w:rPr>
          <w:rFonts w:asciiTheme="majorHAnsi" w:hAnsiTheme="majorHAnsi"/>
          <w:sz w:val="16"/>
          <w:szCs w:val="16"/>
          <w:lang w:val="pt-BR"/>
        </w:rPr>
      </w:pPr>
      <w:r w:rsidRPr="008D3315">
        <w:rPr>
          <w:rStyle w:val="FootnoteReference"/>
          <w:rFonts w:asciiTheme="majorHAnsi" w:hAnsiTheme="majorHAnsi"/>
          <w:sz w:val="16"/>
          <w:szCs w:val="16"/>
        </w:rPr>
        <w:footnoteRef/>
      </w:r>
      <w:r w:rsidRPr="001E6BA8">
        <w:rPr>
          <w:rFonts w:asciiTheme="majorHAnsi" w:hAnsiTheme="majorHAnsi"/>
          <w:sz w:val="16"/>
          <w:szCs w:val="16"/>
          <w:lang w:val="pt-BR"/>
        </w:rPr>
        <w:t xml:space="preserve"> CIDH, Relatório Nº 155/17, Petição 1470-08. Admissibilidade. Beatriz Elena San Miguel Bastidas e família. Colômbia. 30 de novembro de 2017, n.º 9.</w:t>
      </w:r>
    </w:p>
  </w:footnote>
  <w:footnote w:id="6">
    <w:p w14:paraId="2094E24E" w14:textId="77777777" w:rsidR="00027372" w:rsidRPr="001E6BA8" w:rsidRDefault="00027372" w:rsidP="00027372">
      <w:pPr>
        <w:pStyle w:val="FootnoteText"/>
        <w:ind w:firstLine="720"/>
        <w:jc w:val="both"/>
        <w:rPr>
          <w:rFonts w:asciiTheme="majorHAnsi" w:hAnsiTheme="majorHAnsi"/>
          <w:sz w:val="16"/>
          <w:szCs w:val="16"/>
          <w:lang w:val="pt-BR"/>
        </w:rPr>
      </w:pPr>
      <w:r w:rsidRPr="00080239">
        <w:rPr>
          <w:rStyle w:val="FootnoteReference"/>
          <w:rFonts w:asciiTheme="majorHAnsi" w:hAnsiTheme="majorHAnsi"/>
          <w:sz w:val="16"/>
          <w:szCs w:val="16"/>
        </w:rPr>
        <w:footnoteRef/>
      </w:r>
      <w:r w:rsidRPr="001E6BA8">
        <w:rPr>
          <w:rFonts w:asciiTheme="majorHAnsi" w:hAnsiTheme="majorHAnsi"/>
          <w:sz w:val="16"/>
          <w:szCs w:val="16"/>
          <w:lang w:val="pt-BR"/>
        </w:rPr>
        <w:t xml:space="preserve"> CIDH, Relatório N° 14/08, Petição 652-04, Admissibilidade, Hugo Humberto Ruíz Fuentes, Guatemala, 5 de março de 2008, parágrafo 68. </w:t>
      </w:r>
    </w:p>
  </w:footnote>
  <w:footnote w:id="7">
    <w:p w14:paraId="0ABA9E69" w14:textId="77777777" w:rsidR="00027372" w:rsidRPr="001E6BA8" w:rsidRDefault="00027372" w:rsidP="00027372">
      <w:pPr>
        <w:pStyle w:val="FootnoteText"/>
        <w:ind w:firstLine="720"/>
        <w:jc w:val="both"/>
        <w:rPr>
          <w:rFonts w:asciiTheme="majorHAnsi" w:hAnsiTheme="majorHAnsi"/>
          <w:sz w:val="16"/>
          <w:szCs w:val="16"/>
          <w:lang w:val="pt-BR"/>
        </w:rPr>
      </w:pPr>
      <w:r w:rsidRPr="00080239">
        <w:rPr>
          <w:rStyle w:val="FootnoteReference"/>
          <w:rFonts w:asciiTheme="majorHAnsi" w:hAnsiTheme="majorHAnsi"/>
          <w:sz w:val="16"/>
          <w:szCs w:val="16"/>
        </w:rPr>
        <w:footnoteRef/>
      </w:r>
      <w:r w:rsidRPr="001E6BA8">
        <w:rPr>
          <w:rFonts w:asciiTheme="majorHAnsi" w:hAnsiTheme="majorHAnsi"/>
          <w:sz w:val="16"/>
          <w:szCs w:val="16"/>
          <w:lang w:val="pt-BR"/>
        </w:rPr>
        <w:t xml:space="preserve"> Corte Interamericana de Direitos Humanos, Caso Velásquez Rodríguez contra Honduras, Exceções Preliminares, Sentença de 26 de junho de 1987. Série C nº 1, parágrafo 93.</w:t>
      </w:r>
    </w:p>
  </w:footnote>
  <w:footnote w:id="8">
    <w:p w14:paraId="1695E8DB" w14:textId="6FA4CEC4" w:rsidR="004030B1" w:rsidRPr="001E6BA8" w:rsidRDefault="004030B1" w:rsidP="004030B1">
      <w:pPr>
        <w:pStyle w:val="FootnoteText"/>
        <w:ind w:firstLine="720"/>
        <w:jc w:val="both"/>
        <w:rPr>
          <w:rFonts w:asciiTheme="majorHAnsi" w:hAnsiTheme="majorHAnsi"/>
          <w:sz w:val="16"/>
          <w:szCs w:val="16"/>
          <w:lang w:val="pt-BR"/>
        </w:rPr>
      </w:pPr>
      <w:r w:rsidRPr="00211B66">
        <w:rPr>
          <w:rStyle w:val="FootnoteReference"/>
          <w:rFonts w:asciiTheme="majorHAnsi" w:hAnsiTheme="majorHAnsi"/>
          <w:sz w:val="16"/>
          <w:szCs w:val="16"/>
        </w:rPr>
        <w:footnoteRef/>
      </w:r>
      <w:r w:rsidRPr="001E6BA8">
        <w:rPr>
          <w:rFonts w:asciiTheme="majorHAnsi" w:hAnsiTheme="majorHAnsi"/>
          <w:sz w:val="16"/>
          <w:szCs w:val="16"/>
          <w:lang w:val="pt-BR"/>
        </w:rPr>
        <w:t xml:space="preserve"> Corte IDH, Caso Dos Santos Nascimento e Ferreira Gomes v. Brasil, Exceções Preliminares, Mérito, Reparações e Custas, Acórdão de 7 de outubro de 2024, Série C Nº 539, parágrafo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987F420" w:rsidR="00A50FCF" w:rsidRDefault="005907AA" w:rsidP="00A50FCF">
    <w:pPr>
      <w:pStyle w:val="Header"/>
      <w:tabs>
        <w:tab w:val="clear" w:pos="4320"/>
        <w:tab w:val="clear" w:pos="8640"/>
      </w:tabs>
      <w:jc w:val="center"/>
      <w:rPr>
        <w:sz w:val="22"/>
        <w:szCs w:val="22"/>
      </w:rPr>
    </w:pPr>
    <w:r>
      <w:rPr>
        <w:noProof/>
      </w:rPr>
      <w:drawing>
        <wp:inline distT="0" distB="0" distL="0" distR="0" wp14:anchorId="6FAD6FD3" wp14:editId="6BA7E9C3">
          <wp:extent cx="1971675" cy="98425"/>
          <wp:effectExtent l="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1675" cy="98425"/>
                  </a:xfrm>
                  <a:prstGeom prst="rect">
                    <a:avLst/>
                  </a:prstGeom>
                  <a:noFill/>
                  <a:ln>
                    <a:noFill/>
                  </a:ln>
                </pic:spPr>
              </pic:pic>
            </a:graphicData>
          </a:graphic>
        </wp:inline>
      </w:drawing>
    </w:r>
  </w:p>
  <w:p w14:paraId="1CF3204D" w14:textId="77777777" w:rsidR="00040C3A" w:rsidRPr="00EC7D62" w:rsidRDefault="00DD68F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B5CE85C"/>
    <w:lvl w:ilvl="0" w:tplc="D550FE04">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833"/>
    <w:rsid w:val="00006E1F"/>
    <w:rsid w:val="000070D7"/>
    <w:rsid w:val="0001788C"/>
    <w:rsid w:val="000226F7"/>
    <w:rsid w:val="0002339B"/>
    <w:rsid w:val="00024FA4"/>
    <w:rsid w:val="00027372"/>
    <w:rsid w:val="000337EF"/>
    <w:rsid w:val="00040C3A"/>
    <w:rsid w:val="000419AD"/>
    <w:rsid w:val="000433C9"/>
    <w:rsid w:val="000524CE"/>
    <w:rsid w:val="000716C5"/>
    <w:rsid w:val="00075E23"/>
    <w:rsid w:val="000838CA"/>
    <w:rsid w:val="000862E1"/>
    <w:rsid w:val="00090A2F"/>
    <w:rsid w:val="0009344A"/>
    <w:rsid w:val="00097224"/>
    <w:rsid w:val="0009761B"/>
    <w:rsid w:val="00097A4F"/>
    <w:rsid w:val="00097B81"/>
    <w:rsid w:val="000A1974"/>
    <w:rsid w:val="000A392E"/>
    <w:rsid w:val="000A47E0"/>
    <w:rsid w:val="000A575F"/>
    <w:rsid w:val="000A6AFF"/>
    <w:rsid w:val="000B062C"/>
    <w:rsid w:val="000B65EC"/>
    <w:rsid w:val="000B6A18"/>
    <w:rsid w:val="000D05CB"/>
    <w:rsid w:val="000D10DB"/>
    <w:rsid w:val="000E28CD"/>
    <w:rsid w:val="000E3DF6"/>
    <w:rsid w:val="000E5EB5"/>
    <w:rsid w:val="000F35ED"/>
    <w:rsid w:val="000F4463"/>
    <w:rsid w:val="00107131"/>
    <w:rsid w:val="0010736F"/>
    <w:rsid w:val="00113F73"/>
    <w:rsid w:val="00121CC2"/>
    <w:rsid w:val="00122DF3"/>
    <w:rsid w:val="001230AC"/>
    <w:rsid w:val="00126EE5"/>
    <w:rsid w:val="00131425"/>
    <w:rsid w:val="00133EE5"/>
    <w:rsid w:val="001342CC"/>
    <w:rsid w:val="00134DFC"/>
    <w:rsid w:val="0014068B"/>
    <w:rsid w:val="00143E8B"/>
    <w:rsid w:val="00151A65"/>
    <w:rsid w:val="001521BB"/>
    <w:rsid w:val="00167A34"/>
    <w:rsid w:val="00187D07"/>
    <w:rsid w:val="00190AD6"/>
    <w:rsid w:val="0019566B"/>
    <w:rsid w:val="001A0E47"/>
    <w:rsid w:val="001A158D"/>
    <w:rsid w:val="001A2653"/>
    <w:rsid w:val="001A3A04"/>
    <w:rsid w:val="001A7870"/>
    <w:rsid w:val="001B3A00"/>
    <w:rsid w:val="001B5335"/>
    <w:rsid w:val="001C1B41"/>
    <w:rsid w:val="001C7456"/>
    <w:rsid w:val="001D65EF"/>
    <w:rsid w:val="001D7945"/>
    <w:rsid w:val="001D794B"/>
    <w:rsid w:val="001E44DB"/>
    <w:rsid w:val="001E49E7"/>
    <w:rsid w:val="001E6BA8"/>
    <w:rsid w:val="001F6B6B"/>
    <w:rsid w:val="001F7201"/>
    <w:rsid w:val="001F76B8"/>
    <w:rsid w:val="0020456B"/>
    <w:rsid w:val="00211B66"/>
    <w:rsid w:val="002175E9"/>
    <w:rsid w:val="00223A29"/>
    <w:rsid w:val="002250A3"/>
    <w:rsid w:val="00234CD1"/>
    <w:rsid w:val="00235217"/>
    <w:rsid w:val="002370C3"/>
    <w:rsid w:val="002469D2"/>
    <w:rsid w:val="00246D1F"/>
    <w:rsid w:val="00247403"/>
    <w:rsid w:val="00247542"/>
    <w:rsid w:val="0026020D"/>
    <w:rsid w:val="00261C42"/>
    <w:rsid w:val="00266B61"/>
    <w:rsid w:val="0026712A"/>
    <w:rsid w:val="002704DB"/>
    <w:rsid w:val="002707EE"/>
    <w:rsid w:val="00271FC9"/>
    <w:rsid w:val="00274898"/>
    <w:rsid w:val="002809D8"/>
    <w:rsid w:val="00287813"/>
    <w:rsid w:val="002A0AAE"/>
    <w:rsid w:val="002A3555"/>
    <w:rsid w:val="002A5820"/>
    <w:rsid w:val="002A7CA6"/>
    <w:rsid w:val="002B1D7B"/>
    <w:rsid w:val="002B29BD"/>
    <w:rsid w:val="002B388E"/>
    <w:rsid w:val="002B4B34"/>
    <w:rsid w:val="002B6258"/>
    <w:rsid w:val="002B7D0B"/>
    <w:rsid w:val="002C18BD"/>
    <w:rsid w:val="002D0309"/>
    <w:rsid w:val="002D0975"/>
    <w:rsid w:val="002D1349"/>
    <w:rsid w:val="002D2B26"/>
    <w:rsid w:val="002D7EA2"/>
    <w:rsid w:val="002E187C"/>
    <w:rsid w:val="002E7CBB"/>
    <w:rsid w:val="002F4335"/>
    <w:rsid w:val="002F6D66"/>
    <w:rsid w:val="00302733"/>
    <w:rsid w:val="00314078"/>
    <w:rsid w:val="0031535D"/>
    <w:rsid w:val="00316FEA"/>
    <w:rsid w:val="003239B8"/>
    <w:rsid w:val="0033169F"/>
    <w:rsid w:val="00344977"/>
    <w:rsid w:val="00345A64"/>
    <w:rsid w:val="00345D1C"/>
    <w:rsid w:val="00346C95"/>
    <w:rsid w:val="00356185"/>
    <w:rsid w:val="00360380"/>
    <w:rsid w:val="00365E7D"/>
    <w:rsid w:val="00374398"/>
    <w:rsid w:val="0037519E"/>
    <w:rsid w:val="003759E4"/>
    <w:rsid w:val="0038473C"/>
    <w:rsid w:val="00386CF0"/>
    <w:rsid w:val="00394B19"/>
    <w:rsid w:val="003A10BF"/>
    <w:rsid w:val="003A4070"/>
    <w:rsid w:val="003B1B44"/>
    <w:rsid w:val="003B70FB"/>
    <w:rsid w:val="003C2239"/>
    <w:rsid w:val="003C676B"/>
    <w:rsid w:val="003D3BC2"/>
    <w:rsid w:val="003E6CA1"/>
    <w:rsid w:val="003F2DFD"/>
    <w:rsid w:val="00401013"/>
    <w:rsid w:val="004030B1"/>
    <w:rsid w:val="00405478"/>
    <w:rsid w:val="004056A1"/>
    <w:rsid w:val="00405F9C"/>
    <w:rsid w:val="004065A8"/>
    <w:rsid w:val="004131A9"/>
    <w:rsid w:val="00414892"/>
    <w:rsid w:val="00415515"/>
    <w:rsid w:val="004165C2"/>
    <w:rsid w:val="0041778B"/>
    <w:rsid w:val="00420BF2"/>
    <w:rsid w:val="00422A51"/>
    <w:rsid w:val="00434E85"/>
    <w:rsid w:val="00436B39"/>
    <w:rsid w:val="00441524"/>
    <w:rsid w:val="00441E0D"/>
    <w:rsid w:val="00441ECB"/>
    <w:rsid w:val="00442E66"/>
    <w:rsid w:val="00445193"/>
    <w:rsid w:val="00462C1B"/>
    <w:rsid w:val="00467B7E"/>
    <w:rsid w:val="00471BF2"/>
    <w:rsid w:val="00473BB4"/>
    <w:rsid w:val="00473E44"/>
    <w:rsid w:val="00477592"/>
    <w:rsid w:val="0048027D"/>
    <w:rsid w:val="004822BF"/>
    <w:rsid w:val="00486F1C"/>
    <w:rsid w:val="00487BCD"/>
    <w:rsid w:val="00490DC2"/>
    <w:rsid w:val="0049419D"/>
    <w:rsid w:val="004951E5"/>
    <w:rsid w:val="004A6A54"/>
    <w:rsid w:val="004B02D0"/>
    <w:rsid w:val="004B6177"/>
    <w:rsid w:val="004C20D2"/>
    <w:rsid w:val="004C2312"/>
    <w:rsid w:val="004C4B62"/>
    <w:rsid w:val="004C54C9"/>
    <w:rsid w:val="004D4ABA"/>
    <w:rsid w:val="004D6025"/>
    <w:rsid w:val="004E2649"/>
    <w:rsid w:val="004F626F"/>
    <w:rsid w:val="004F7408"/>
    <w:rsid w:val="00501399"/>
    <w:rsid w:val="0050633D"/>
    <w:rsid w:val="00507BC4"/>
    <w:rsid w:val="005128E4"/>
    <w:rsid w:val="00512F5D"/>
    <w:rsid w:val="005133DB"/>
    <w:rsid w:val="00514031"/>
    <w:rsid w:val="00514413"/>
    <w:rsid w:val="00514504"/>
    <w:rsid w:val="0052527A"/>
    <w:rsid w:val="00525560"/>
    <w:rsid w:val="00544C49"/>
    <w:rsid w:val="005516A1"/>
    <w:rsid w:val="00554691"/>
    <w:rsid w:val="005559EF"/>
    <w:rsid w:val="00555D4A"/>
    <w:rsid w:val="005564B7"/>
    <w:rsid w:val="00563557"/>
    <w:rsid w:val="00563A4F"/>
    <w:rsid w:val="0057402A"/>
    <w:rsid w:val="00575E1C"/>
    <w:rsid w:val="005771D0"/>
    <w:rsid w:val="005907AA"/>
    <w:rsid w:val="0059191A"/>
    <w:rsid w:val="005921FF"/>
    <w:rsid w:val="005A24ED"/>
    <w:rsid w:val="005A254F"/>
    <w:rsid w:val="005A6D0E"/>
    <w:rsid w:val="005B16AB"/>
    <w:rsid w:val="005B217D"/>
    <w:rsid w:val="005B3A39"/>
    <w:rsid w:val="005B52B0"/>
    <w:rsid w:val="005B6806"/>
    <w:rsid w:val="005C4225"/>
    <w:rsid w:val="005D38F9"/>
    <w:rsid w:val="005F0DAD"/>
    <w:rsid w:val="005F0F33"/>
    <w:rsid w:val="00600DEB"/>
    <w:rsid w:val="006014E5"/>
    <w:rsid w:val="0061062C"/>
    <w:rsid w:val="00622A30"/>
    <w:rsid w:val="006242A6"/>
    <w:rsid w:val="0062783E"/>
    <w:rsid w:val="00627C9F"/>
    <w:rsid w:val="006311E9"/>
    <w:rsid w:val="00632354"/>
    <w:rsid w:val="00635421"/>
    <w:rsid w:val="00642810"/>
    <w:rsid w:val="00652333"/>
    <w:rsid w:val="00656844"/>
    <w:rsid w:val="0068009E"/>
    <w:rsid w:val="00685725"/>
    <w:rsid w:val="00692219"/>
    <w:rsid w:val="006979BE"/>
    <w:rsid w:val="006A05B8"/>
    <w:rsid w:val="006A17D2"/>
    <w:rsid w:val="006A73E6"/>
    <w:rsid w:val="006B2D5C"/>
    <w:rsid w:val="006C4EB1"/>
    <w:rsid w:val="006C51D0"/>
    <w:rsid w:val="006D5B19"/>
    <w:rsid w:val="006E0166"/>
    <w:rsid w:val="006E2FFB"/>
    <w:rsid w:val="006E3E06"/>
    <w:rsid w:val="006E6165"/>
    <w:rsid w:val="006E7A37"/>
    <w:rsid w:val="006E7B34"/>
    <w:rsid w:val="006F5570"/>
    <w:rsid w:val="007004F2"/>
    <w:rsid w:val="0070697F"/>
    <w:rsid w:val="0071674E"/>
    <w:rsid w:val="0072199C"/>
    <w:rsid w:val="00722C9F"/>
    <w:rsid w:val="007239FB"/>
    <w:rsid w:val="007253B8"/>
    <w:rsid w:val="0073741F"/>
    <w:rsid w:val="00747E8C"/>
    <w:rsid w:val="00750E02"/>
    <w:rsid w:val="00756520"/>
    <w:rsid w:val="007573E4"/>
    <w:rsid w:val="007601B2"/>
    <w:rsid w:val="00760A49"/>
    <w:rsid w:val="0076643F"/>
    <w:rsid w:val="00772FDD"/>
    <w:rsid w:val="00776C8C"/>
    <w:rsid w:val="00777F63"/>
    <w:rsid w:val="007900E2"/>
    <w:rsid w:val="00790AA3"/>
    <w:rsid w:val="00797010"/>
    <w:rsid w:val="007A5817"/>
    <w:rsid w:val="007B05C4"/>
    <w:rsid w:val="007B60E9"/>
    <w:rsid w:val="007B6CC3"/>
    <w:rsid w:val="007B76D3"/>
    <w:rsid w:val="007C3334"/>
    <w:rsid w:val="007C7E8C"/>
    <w:rsid w:val="007D2B98"/>
    <w:rsid w:val="007E21BC"/>
    <w:rsid w:val="007E6F9D"/>
    <w:rsid w:val="007E7C82"/>
    <w:rsid w:val="007F2976"/>
    <w:rsid w:val="007F2AA1"/>
    <w:rsid w:val="007F3E0E"/>
    <w:rsid w:val="007F588D"/>
    <w:rsid w:val="007F6C25"/>
    <w:rsid w:val="00803F1C"/>
    <w:rsid w:val="0080600E"/>
    <w:rsid w:val="00811F43"/>
    <w:rsid w:val="00814688"/>
    <w:rsid w:val="00815781"/>
    <w:rsid w:val="00817612"/>
    <w:rsid w:val="0083100C"/>
    <w:rsid w:val="00832B02"/>
    <w:rsid w:val="008338A4"/>
    <w:rsid w:val="00834D49"/>
    <w:rsid w:val="00837517"/>
    <w:rsid w:val="00837C45"/>
    <w:rsid w:val="00844730"/>
    <w:rsid w:val="008457C2"/>
    <w:rsid w:val="0085020D"/>
    <w:rsid w:val="00850A06"/>
    <w:rsid w:val="008549BF"/>
    <w:rsid w:val="00857A82"/>
    <w:rsid w:val="00867314"/>
    <w:rsid w:val="00873836"/>
    <w:rsid w:val="00885737"/>
    <w:rsid w:val="00890650"/>
    <w:rsid w:val="00897E12"/>
    <w:rsid w:val="008A6097"/>
    <w:rsid w:val="008A78E4"/>
    <w:rsid w:val="008A7E0F"/>
    <w:rsid w:val="008B12F5"/>
    <w:rsid w:val="008B57A2"/>
    <w:rsid w:val="008B5FD1"/>
    <w:rsid w:val="008C5E2D"/>
    <w:rsid w:val="008D768D"/>
    <w:rsid w:val="008E3759"/>
    <w:rsid w:val="008E3BFE"/>
    <w:rsid w:val="008E5E89"/>
    <w:rsid w:val="008F1912"/>
    <w:rsid w:val="008F5418"/>
    <w:rsid w:val="0090122B"/>
    <w:rsid w:val="0090270B"/>
    <w:rsid w:val="009037A2"/>
    <w:rsid w:val="009041DC"/>
    <w:rsid w:val="00911DD6"/>
    <w:rsid w:val="00917B5A"/>
    <w:rsid w:val="00920A58"/>
    <w:rsid w:val="00920A8C"/>
    <w:rsid w:val="00934A2C"/>
    <w:rsid w:val="00943E8D"/>
    <w:rsid w:val="00944DBB"/>
    <w:rsid w:val="00946779"/>
    <w:rsid w:val="00954B16"/>
    <w:rsid w:val="00955CCE"/>
    <w:rsid w:val="0096706E"/>
    <w:rsid w:val="00974491"/>
    <w:rsid w:val="00975C4E"/>
    <w:rsid w:val="00981FBA"/>
    <w:rsid w:val="009928FB"/>
    <w:rsid w:val="00997BC5"/>
    <w:rsid w:val="009A3C58"/>
    <w:rsid w:val="009A4F41"/>
    <w:rsid w:val="009A73F6"/>
    <w:rsid w:val="009B381B"/>
    <w:rsid w:val="009B3DE6"/>
    <w:rsid w:val="009B6763"/>
    <w:rsid w:val="009C5DA7"/>
    <w:rsid w:val="009D1753"/>
    <w:rsid w:val="009D1F69"/>
    <w:rsid w:val="009D7611"/>
    <w:rsid w:val="009E0B61"/>
    <w:rsid w:val="009E151F"/>
    <w:rsid w:val="009E23FE"/>
    <w:rsid w:val="009E53DE"/>
    <w:rsid w:val="009E591A"/>
    <w:rsid w:val="009F2D8C"/>
    <w:rsid w:val="00A04962"/>
    <w:rsid w:val="00A05426"/>
    <w:rsid w:val="00A105F1"/>
    <w:rsid w:val="00A11212"/>
    <w:rsid w:val="00A11E44"/>
    <w:rsid w:val="00A1531E"/>
    <w:rsid w:val="00A211A1"/>
    <w:rsid w:val="00A23907"/>
    <w:rsid w:val="00A30100"/>
    <w:rsid w:val="00A328B3"/>
    <w:rsid w:val="00A50FCF"/>
    <w:rsid w:val="00A528D1"/>
    <w:rsid w:val="00A52EC8"/>
    <w:rsid w:val="00A53350"/>
    <w:rsid w:val="00A610CD"/>
    <w:rsid w:val="00A73476"/>
    <w:rsid w:val="00A758AA"/>
    <w:rsid w:val="00AA09A2"/>
    <w:rsid w:val="00AA1B2C"/>
    <w:rsid w:val="00AA52AC"/>
    <w:rsid w:val="00AA66A5"/>
    <w:rsid w:val="00AA7996"/>
    <w:rsid w:val="00AC19CB"/>
    <w:rsid w:val="00AC53DF"/>
    <w:rsid w:val="00AE5488"/>
    <w:rsid w:val="00AE6120"/>
    <w:rsid w:val="00AE6F91"/>
    <w:rsid w:val="00AF5571"/>
    <w:rsid w:val="00AF7347"/>
    <w:rsid w:val="00B0045C"/>
    <w:rsid w:val="00B07341"/>
    <w:rsid w:val="00B076E5"/>
    <w:rsid w:val="00B11747"/>
    <w:rsid w:val="00B2610B"/>
    <w:rsid w:val="00B30539"/>
    <w:rsid w:val="00B314DB"/>
    <w:rsid w:val="00B361F2"/>
    <w:rsid w:val="00B36E2D"/>
    <w:rsid w:val="00B3718B"/>
    <w:rsid w:val="00B3745F"/>
    <w:rsid w:val="00B4632A"/>
    <w:rsid w:val="00B530F1"/>
    <w:rsid w:val="00B56DB5"/>
    <w:rsid w:val="00B670E7"/>
    <w:rsid w:val="00B71ABE"/>
    <w:rsid w:val="00B71FE1"/>
    <w:rsid w:val="00B947A1"/>
    <w:rsid w:val="00B95335"/>
    <w:rsid w:val="00BA276C"/>
    <w:rsid w:val="00BA6084"/>
    <w:rsid w:val="00BA66A0"/>
    <w:rsid w:val="00BA6F42"/>
    <w:rsid w:val="00BA7FA9"/>
    <w:rsid w:val="00BB1C4D"/>
    <w:rsid w:val="00BB306F"/>
    <w:rsid w:val="00BD4B89"/>
    <w:rsid w:val="00BD5922"/>
    <w:rsid w:val="00BE0433"/>
    <w:rsid w:val="00BE2016"/>
    <w:rsid w:val="00BE3D7C"/>
    <w:rsid w:val="00BF02CB"/>
    <w:rsid w:val="00BF26A6"/>
    <w:rsid w:val="00BF59A9"/>
    <w:rsid w:val="00BF6524"/>
    <w:rsid w:val="00BF6FD8"/>
    <w:rsid w:val="00C003F4"/>
    <w:rsid w:val="00C03680"/>
    <w:rsid w:val="00C045DC"/>
    <w:rsid w:val="00C054DF"/>
    <w:rsid w:val="00C10340"/>
    <w:rsid w:val="00C21762"/>
    <w:rsid w:val="00C21DB3"/>
    <w:rsid w:val="00C21FEF"/>
    <w:rsid w:val="00C23BA4"/>
    <w:rsid w:val="00C24543"/>
    <w:rsid w:val="00C256A2"/>
    <w:rsid w:val="00C25ADB"/>
    <w:rsid w:val="00C30203"/>
    <w:rsid w:val="00C41E39"/>
    <w:rsid w:val="00C50CCB"/>
    <w:rsid w:val="00C51515"/>
    <w:rsid w:val="00C5660B"/>
    <w:rsid w:val="00C57987"/>
    <w:rsid w:val="00C65038"/>
    <w:rsid w:val="00C66B72"/>
    <w:rsid w:val="00C741C1"/>
    <w:rsid w:val="00C81131"/>
    <w:rsid w:val="00C87AC4"/>
    <w:rsid w:val="00C9567A"/>
    <w:rsid w:val="00CB212D"/>
    <w:rsid w:val="00CB2660"/>
    <w:rsid w:val="00CC442D"/>
    <w:rsid w:val="00CC5E90"/>
    <w:rsid w:val="00CD046C"/>
    <w:rsid w:val="00CD16B7"/>
    <w:rsid w:val="00CD3897"/>
    <w:rsid w:val="00CE076C"/>
    <w:rsid w:val="00CE13B3"/>
    <w:rsid w:val="00CE378A"/>
    <w:rsid w:val="00CE5199"/>
    <w:rsid w:val="00CE66D5"/>
    <w:rsid w:val="00CF3B90"/>
    <w:rsid w:val="00CF637A"/>
    <w:rsid w:val="00D059DE"/>
    <w:rsid w:val="00D05ABD"/>
    <w:rsid w:val="00D13530"/>
    <w:rsid w:val="00D13FCE"/>
    <w:rsid w:val="00D306D1"/>
    <w:rsid w:val="00D30800"/>
    <w:rsid w:val="00D322FE"/>
    <w:rsid w:val="00D32FFC"/>
    <w:rsid w:val="00D34786"/>
    <w:rsid w:val="00D34BF3"/>
    <w:rsid w:val="00D37BFC"/>
    <w:rsid w:val="00D47A8E"/>
    <w:rsid w:val="00D50222"/>
    <w:rsid w:val="00D52D14"/>
    <w:rsid w:val="00D6410E"/>
    <w:rsid w:val="00D712D3"/>
    <w:rsid w:val="00D71422"/>
    <w:rsid w:val="00D72DC6"/>
    <w:rsid w:val="00D736E9"/>
    <w:rsid w:val="00D74C0A"/>
    <w:rsid w:val="00D7558D"/>
    <w:rsid w:val="00D81D92"/>
    <w:rsid w:val="00D82549"/>
    <w:rsid w:val="00D839AA"/>
    <w:rsid w:val="00D863AF"/>
    <w:rsid w:val="00D876F9"/>
    <w:rsid w:val="00DA7B5F"/>
    <w:rsid w:val="00DB43A1"/>
    <w:rsid w:val="00DB6201"/>
    <w:rsid w:val="00DC008E"/>
    <w:rsid w:val="00DC11E7"/>
    <w:rsid w:val="00DC2357"/>
    <w:rsid w:val="00DC24E3"/>
    <w:rsid w:val="00DC7023"/>
    <w:rsid w:val="00DC769A"/>
    <w:rsid w:val="00DD3D86"/>
    <w:rsid w:val="00DD4AD2"/>
    <w:rsid w:val="00DD68FB"/>
    <w:rsid w:val="00DF1EC4"/>
    <w:rsid w:val="00E01E6B"/>
    <w:rsid w:val="00E0340B"/>
    <w:rsid w:val="00E04A90"/>
    <w:rsid w:val="00E0551F"/>
    <w:rsid w:val="00E063CE"/>
    <w:rsid w:val="00E10B37"/>
    <w:rsid w:val="00E219C7"/>
    <w:rsid w:val="00E25478"/>
    <w:rsid w:val="00E4118C"/>
    <w:rsid w:val="00E43157"/>
    <w:rsid w:val="00E45327"/>
    <w:rsid w:val="00E461CE"/>
    <w:rsid w:val="00E50EDB"/>
    <w:rsid w:val="00E51A8A"/>
    <w:rsid w:val="00E54D28"/>
    <w:rsid w:val="00E573E4"/>
    <w:rsid w:val="00E577E6"/>
    <w:rsid w:val="00E64C3D"/>
    <w:rsid w:val="00E67C67"/>
    <w:rsid w:val="00E720CA"/>
    <w:rsid w:val="00E74725"/>
    <w:rsid w:val="00E82DDC"/>
    <w:rsid w:val="00E84EB5"/>
    <w:rsid w:val="00E85662"/>
    <w:rsid w:val="00E85B51"/>
    <w:rsid w:val="00E860F8"/>
    <w:rsid w:val="00E8789F"/>
    <w:rsid w:val="00E93E48"/>
    <w:rsid w:val="00E95CDD"/>
    <w:rsid w:val="00E97B71"/>
    <w:rsid w:val="00EA3D34"/>
    <w:rsid w:val="00EA7A10"/>
    <w:rsid w:val="00EB197F"/>
    <w:rsid w:val="00EB454D"/>
    <w:rsid w:val="00ED2ADA"/>
    <w:rsid w:val="00ED549D"/>
    <w:rsid w:val="00ED76BE"/>
    <w:rsid w:val="00EE00E9"/>
    <w:rsid w:val="00EF1AAA"/>
    <w:rsid w:val="00EF2795"/>
    <w:rsid w:val="00EF619B"/>
    <w:rsid w:val="00EF76F5"/>
    <w:rsid w:val="00F00B55"/>
    <w:rsid w:val="00F02AD1"/>
    <w:rsid w:val="00F253CC"/>
    <w:rsid w:val="00F256A3"/>
    <w:rsid w:val="00F37106"/>
    <w:rsid w:val="00F44E25"/>
    <w:rsid w:val="00F519CF"/>
    <w:rsid w:val="00F56BA5"/>
    <w:rsid w:val="00F60E22"/>
    <w:rsid w:val="00F81395"/>
    <w:rsid w:val="00F81BB8"/>
    <w:rsid w:val="00F82367"/>
    <w:rsid w:val="00F90C64"/>
    <w:rsid w:val="00F917D1"/>
    <w:rsid w:val="00F95E5D"/>
    <w:rsid w:val="00F9653B"/>
    <w:rsid w:val="00FA12DD"/>
    <w:rsid w:val="00FA1D77"/>
    <w:rsid w:val="00FB0F4C"/>
    <w:rsid w:val="00FB29FD"/>
    <w:rsid w:val="00FB62CF"/>
    <w:rsid w:val="00FC1D37"/>
    <w:rsid w:val="00FC4BEE"/>
    <w:rsid w:val="00FD0CF2"/>
    <w:rsid w:val="00FD1C63"/>
    <w:rsid w:val="00FD3C3B"/>
    <w:rsid w:val="00FE07DD"/>
    <w:rsid w:val="00FE21C2"/>
    <w:rsid w:val="00FE6B45"/>
    <w:rsid w:val="00FE7B58"/>
    <w:rsid w:val="00FF1195"/>
    <w:rsid w:val="00FF1EB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41778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9D1F6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1230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customStyle="1" w:styleId="Heading4Char">
    <w:name w:val="Heading 4 Char"/>
    <w:basedOn w:val="DefaultParagraphFont"/>
    <w:link w:val="Heading4"/>
    <w:uiPriority w:val="9"/>
    <w:semiHidden/>
    <w:rsid w:val="0041778B"/>
    <w:rPr>
      <w:rFonts w:asciiTheme="majorHAnsi" w:eastAsiaTheme="majorEastAsia" w:hAnsiTheme="majorHAnsi" w:cstheme="majorBidi"/>
      <w:i/>
      <w:iCs/>
      <w:color w:val="365F91" w:themeColor="accent1" w:themeShade="BF"/>
      <w:sz w:val="24"/>
      <w:szCs w:val="24"/>
      <w:lang w:val="en-US" w:eastAsia="en-US"/>
    </w:rPr>
  </w:style>
  <w:style w:type="character" w:styleId="CommentReference">
    <w:name w:val="annotation reference"/>
    <w:basedOn w:val="DefaultParagraphFont"/>
    <w:uiPriority w:val="99"/>
    <w:semiHidden/>
    <w:unhideWhenUsed/>
    <w:rsid w:val="00A04962"/>
    <w:rPr>
      <w:sz w:val="16"/>
      <w:szCs w:val="16"/>
    </w:rPr>
  </w:style>
  <w:style w:type="paragraph" w:styleId="CommentText">
    <w:name w:val="annotation text"/>
    <w:basedOn w:val="Normal"/>
    <w:link w:val="CommentTextChar"/>
    <w:uiPriority w:val="99"/>
    <w:unhideWhenUsed/>
    <w:rsid w:val="00A04962"/>
    <w:rPr>
      <w:sz w:val="20"/>
      <w:szCs w:val="20"/>
    </w:rPr>
  </w:style>
  <w:style w:type="character" w:customStyle="1" w:styleId="CommentTextChar">
    <w:name w:val="Comment Text Char"/>
    <w:basedOn w:val="DefaultParagraphFont"/>
    <w:link w:val="CommentText"/>
    <w:uiPriority w:val="99"/>
    <w:rsid w:val="00A04962"/>
    <w:rPr>
      <w:lang w:val="en-US" w:eastAsia="en-US"/>
    </w:rPr>
  </w:style>
  <w:style w:type="paragraph" w:styleId="CommentSubject">
    <w:name w:val="annotation subject"/>
    <w:basedOn w:val="CommentText"/>
    <w:next w:val="CommentText"/>
    <w:link w:val="CommentSubjectChar"/>
    <w:uiPriority w:val="99"/>
    <w:semiHidden/>
    <w:unhideWhenUsed/>
    <w:rsid w:val="00A04962"/>
    <w:rPr>
      <w:b/>
      <w:bCs/>
    </w:rPr>
  </w:style>
  <w:style w:type="character" w:customStyle="1" w:styleId="CommentSubjectChar">
    <w:name w:val="Comment Subject Char"/>
    <w:basedOn w:val="CommentTextChar"/>
    <w:link w:val="CommentSubject"/>
    <w:uiPriority w:val="99"/>
    <w:semiHidden/>
    <w:rsid w:val="00A04962"/>
    <w:rPr>
      <w:b/>
      <w:bCs/>
      <w:lang w:val="en-US" w:eastAsia="en-US"/>
    </w:rPr>
  </w:style>
  <w:style w:type="character" w:styleId="PlaceholderText">
    <w:name w:val="Placeholder Text"/>
    <w:basedOn w:val="DefaultParagraphFont"/>
    <w:uiPriority w:val="99"/>
    <w:semiHidden/>
    <w:rsid w:val="001E6BA8"/>
    <w:rPr>
      <w:color w:val="666666"/>
    </w:rPr>
  </w:style>
  <w:style w:type="character" w:customStyle="1" w:styleId="normaltextrun">
    <w:name w:val="normaltextrun"/>
    <w:basedOn w:val="DefaultParagraphFont"/>
    <w:rsid w:val="00F25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7008">
      <w:bodyDiv w:val="1"/>
      <w:marLeft w:val="0"/>
      <w:marRight w:val="0"/>
      <w:marTop w:val="0"/>
      <w:marBottom w:val="0"/>
      <w:divBdr>
        <w:top w:val="none" w:sz="0" w:space="0" w:color="auto"/>
        <w:left w:val="none" w:sz="0" w:space="0" w:color="auto"/>
        <w:bottom w:val="none" w:sz="0" w:space="0" w:color="auto"/>
        <w:right w:val="none" w:sz="0" w:space="0" w:color="auto"/>
      </w:divBdr>
    </w:div>
    <w:div w:id="158693543">
      <w:bodyDiv w:val="1"/>
      <w:marLeft w:val="0"/>
      <w:marRight w:val="0"/>
      <w:marTop w:val="0"/>
      <w:marBottom w:val="0"/>
      <w:divBdr>
        <w:top w:val="none" w:sz="0" w:space="0" w:color="auto"/>
        <w:left w:val="none" w:sz="0" w:space="0" w:color="auto"/>
        <w:bottom w:val="none" w:sz="0" w:space="0" w:color="auto"/>
        <w:right w:val="none" w:sz="0" w:space="0" w:color="auto"/>
      </w:divBdr>
    </w:div>
    <w:div w:id="250705413">
      <w:bodyDiv w:val="1"/>
      <w:marLeft w:val="0"/>
      <w:marRight w:val="0"/>
      <w:marTop w:val="0"/>
      <w:marBottom w:val="0"/>
      <w:divBdr>
        <w:top w:val="none" w:sz="0" w:space="0" w:color="auto"/>
        <w:left w:val="none" w:sz="0" w:space="0" w:color="auto"/>
        <w:bottom w:val="none" w:sz="0" w:space="0" w:color="auto"/>
        <w:right w:val="none" w:sz="0" w:space="0" w:color="auto"/>
      </w:divBdr>
    </w:div>
    <w:div w:id="300038575">
      <w:bodyDiv w:val="1"/>
      <w:marLeft w:val="0"/>
      <w:marRight w:val="0"/>
      <w:marTop w:val="0"/>
      <w:marBottom w:val="0"/>
      <w:divBdr>
        <w:top w:val="none" w:sz="0" w:space="0" w:color="auto"/>
        <w:left w:val="none" w:sz="0" w:space="0" w:color="auto"/>
        <w:bottom w:val="none" w:sz="0" w:space="0" w:color="auto"/>
        <w:right w:val="none" w:sz="0" w:space="0" w:color="auto"/>
      </w:divBdr>
    </w:div>
    <w:div w:id="378405099">
      <w:bodyDiv w:val="1"/>
      <w:marLeft w:val="0"/>
      <w:marRight w:val="0"/>
      <w:marTop w:val="0"/>
      <w:marBottom w:val="0"/>
      <w:divBdr>
        <w:top w:val="none" w:sz="0" w:space="0" w:color="auto"/>
        <w:left w:val="none" w:sz="0" w:space="0" w:color="auto"/>
        <w:bottom w:val="none" w:sz="0" w:space="0" w:color="auto"/>
        <w:right w:val="none" w:sz="0" w:space="0" w:color="auto"/>
      </w:divBdr>
    </w:div>
    <w:div w:id="404451491">
      <w:bodyDiv w:val="1"/>
      <w:marLeft w:val="0"/>
      <w:marRight w:val="0"/>
      <w:marTop w:val="0"/>
      <w:marBottom w:val="0"/>
      <w:divBdr>
        <w:top w:val="none" w:sz="0" w:space="0" w:color="auto"/>
        <w:left w:val="none" w:sz="0" w:space="0" w:color="auto"/>
        <w:bottom w:val="none" w:sz="0" w:space="0" w:color="auto"/>
        <w:right w:val="none" w:sz="0" w:space="0" w:color="auto"/>
      </w:divBdr>
    </w:div>
    <w:div w:id="488981335">
      <w:bodyDiv w:val="1"/>
      <w:marLeft w:val="0"/>
      <w:marRight w:val="0"/>
      <w:marTop w:val="0"/>
      <w:marBottom w:val="0"/>
      <w:divBdr>
        <w:top w:val="none" w:sz="0" w:space="0" w:color="auto"/>
        <w:left w:val="none" w:sz="0" w:space="0" w:color="auto"/>
        <w:bottom w:val="none" w:sz="0" w:space="0" w:color="auto"/>
        <w:right w:val="none" w:sz="0" w:space="0" w:color="auto"/>
      </w:divBdr>
    </w:div>
    <w:div w:id="590355440">
      <w:bodyDiv w:val="1"/>
      <w:marLeft w:val="0"/>
      <w:marRight w:val="0"/>
      <w:marTop w:val="0"/>
      <w:marBottom w:val="0"/>
      <w:divBdr>
        <w:top w:val="none" w:sz="0" w:space="0" w:color="auto"/>
        <w:left w:val="none" w:sz="0" w:space="0" w:color="auto"/>
        <w:bottom w:val="none" w:sz="0" w:space="0" w:color="auto"/>
        <w:right w:val="none" w:sz="0" w:space="0" w:color="auto"/>
      </w:divBdr>
    </w:div>
    <w:div w:id="593244654">
      <w:bodyDiv w:val="1"/>
      <w:marLeft w:val="0"/>
      <w:marRight w:val="0"/>
      <w:marTop w:val="0"/>
      <w:marBottom w:val="0"/>
      <w:divBdr>
        <w:top w:val="none" w:sz="0" w:space="0" w:color="auto"/>
        <w:left w:val="none" w:sz="0" w:space="0" w:color="auto"/>
        <w:bottom w:val="none" w:sz="0" w:space="0" w:color="auto"/>
        <w:right w:val="none" w:sz="0" w:space="0" w:color="auto"/>
      </w:divBdr>
    </w:div>
    <w:div w:id="666789102">
      <w:bodyDiv w:val="1"/>
      <w:marLeft w:val="0"/>
      <w:marRight w:val="0"/>
      <w:marTop w:val="0"/>
      <w:marBottom w:val="0"/>
      <w:divBdr>
        <w:top w:val="none" w:sz="0" w:space="0" w:color="auto"/>
        <w:left w:val="none" w:sz="0" w:space="0" w:color="auto"/>
        <w:bottom w:val="none" w:sz="0" w:space="0" w:color="auto"/>
        <w:right w:val="none" w:sz="0" w:space="0" w:color="auto"/>
      </w:divBdr>
      <w:divsChild>
        <w:div w:id="1959947399">
          <w:marLeft w:val="0"/>
          <w:marRight w:val="0"/>
          <w:marTop w:val="0"/>
          <w:marBottom w:val="0"/>
          <w:divBdr>
            <w:top w:val="none" w:sz="0" w:space="0" w:color="auto"/>
            <w:left w:val="none" w:sz="0" w:space="0" w:color="auto"/>
            <w:bottom w:val="none" w:sz="0" w:space="0" w:color="auto"/>
            <w:right w:val="none" w:sz="0" w:space="0" w:color="auto"/>
          </w:divBdr>
        </w:div>
      </w:divsChild>
    </w:div>
    <w:div w:id="685447801">
      <w:bodyDiv w:val="1"/>
      <w:marLeft w:val="0"/>
      <w:marRight w:val="0"/>
      <w:marTop w:val="0"/>
      <w:marBottom w:val="0"/>
      <w:divBdr>
        <w:top w:val="none" w:sz="0" w:space="0" w:color="auto"/>
        <w:left w:val="none" w:sz="0" w:space="0" w:color="auto"/>
        <w:bottom w:val="none" w:sz="0" w:space="0" w:color="auto"/>
        <w:right w:val="none" w:sz="0" w:space="0" w:color="auto"/>
      </w:divBdr>
    </w:div>
    <w:div w:id="746458485">
      <w:bodyDiv w:val="1"/>
      <w:marLeft w:val="0"/>
      <w:marRight w:val="0"/>
      <w:marTop w:val="0"/>
      <w:marBottom w:val="0"/>
      <w:divBdr>
        <w:top w:val="none" w:sz="0" w:space="0" w:color="auto"/>
        <w:left w:val="none" w:sz="0" w:space="0" w:color="auto"/>
        <w:bottom w:val="none" w:sz="0" w:space="0" w:color="auto"/>
        <w:right w:val="none" w:sz="0" w:space="0" w:color="auto"/>
      </w:divBdr>
      <w:divsChild>
        <w:div w:id="140775907">
          <w:marLeft w:val="0"/>
          <w:marRight w:val="0"/>
          <w:marTop w:val="0"/>
          <w:marBottom w:val="0"/>
          <w:divBdr>
            <w:top w:val="none" w:sz="0" w:space="0" w:color="auto"/>
            <w:left w:val="none" w:sz="0" w:space="0" w:color="auto"/>
            <w:bottom w:val="none" w:sz="0" w:space="0" w:color="auto"/>
            <w:right w:val="none" w:sz="0" w:space="0" w:color="auto"/>
          </w:divBdr>
        </w:div>
      </w:divsChild>
    </w:div>
    <w:div w:id="115529326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9024068">
      <w:bodyDiv w:val="1"/>
      <w:marLeft w:val="0"/>
      <w:marRight w:val="0"/>
      <w:marTop w:val="0"/>
      <w:marBottom w:val="0"/>
      <w:divBdr>
        <w:top w:val="none" w:sz="0" w:space="0" w:color="auto"/>
        <w:left w:val="none" w:sz="0" w:space="0" w:color="auto"/>
        <w:bottom w:val="none" w:sz="0" w:space="0" w:color="auto"/>
        <w:right w:val="none" w:sz="0" w:space="0" w:color="auto"/>
      </w:divBdr>
    </w:div>
    <w:div w:id="1382559044">
      <w:bodyDiv w:val="1"/>
      <w:marLeft w:val="0"/>
      <w:marRight w:val="0"/>
      <w:marTop w:val="0"/>
      <w:marBottom w:val="0"/>
      <w:divBdr>
        <w:top w:val="none" w:sz="0" w:space="0" w:color="auto"/>
        <w:left w:val="none" w:sz="0" w:space="0" w:color="auto"/>
        <w:bottom w:val="none" w:sz="0" w:space="0" w:color="auto"/>
        <w:right w:val="none" w:sz="0" w:space="0" w:color="auto"/>
      </w:divBdr>
    </w:div>
    <w:div w:id="1760982243">
      <w:bodyDiv w:val="1"/>
      <w:marLeft w:val="0"/>
      <w:marRight w:val="0"/>
      <w:marTop w:val="0"/>
      <w:marBottom w:val="0"/>
      <w:divBdr>
        <w:top w:val="none" w:sz="0" w:space="0" w:color="auto"/>
        <w:left w:val="none" w:sz="0" w:space="0" w:color="auto"/>
        <w:bottom w:val="none" w:sz="0" w:space="0" w:color="auto"/>
        <w:right w:val="none" w:sz="0" w:space="0" w:color="auto"/>
      </w:divBdr>
    </w:div>
    <w:div w:id="176491274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64920768">
      <w:bodyDiv w:val="1"/>
      <w:marLeft w:val="0"/>
      <w:marRight w:val="0"/>
      <w:marTop w:val="0"/>
      <w:marBottom w:val="0"/>
      <w:divBdr>
        <w:top w:val="none" w:sz="0" w:space="0" w:color="auto"/>
        <w:left w:val="none" w:sz="0" w:space="0" w:color="auto"/>
        <w:bottom w:val="none" w:sz="0" w:space="0" w:color="auto"/>
        <w:right w:val="none" w:sz="0" w:space="0" w:color="auto"/>
      </w:divBdr>
    </w:div>
    <w:div w:id="2001618776">
      <w:bodyDiv w:val="1"/>
      <w:marLeft w:val="0"/>
      <w:marRight w:val="0"/>
      <w:marTop w:val="0"/>
      <w:marBottom w:val="0"/>
      <w:divBdr>
        <w:top w:val="none" w:sz="0" w:space="0" w:color="auto"/>
        <w:left w:val="none" w:sz="0" w:space="0" w:color="auto"/>
        <w:bottom w:val="none" w:sz="0" w:space="0" w:color="auto"/>
        <w:right w:val="none" w:sz="0" w:space="0" w:color="auto"/>
      </w:divBdr>
    </w:div>
    <w:div w:id="2119132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9761B"/>
    <w:rsid w:val="000A6AFF"/>
    <w:rsid w:val="000B6A18"/>
    <w:rsid w:val="00136030"/>
    <w:rsid w:val="0017132E"/>
    <w:rsid w:val="001B68CE"/>
    <w:rsid w:val="00200821"/>
    <w:rsid w:val="00201CE6"/>
    <w:rsid w:val="0025245B"/>
    <w:rsid w:val="002A3923"/>
    <w:rsid w:val="002B3D66"/>
    <w:rsid w:val="00394049"/>
    <w:rsid w:val="003E4EFC"/>
    <w:rsid w:val="004B5BBB"/>
    <w:rsid w:val="004B6DE9"/>
    <w:rsid w:val="004F2DF8"/>
    <w:rsid w:val="006F24A1"/>
    <w:rsid w:val="00787C63"/>
    <w:rsid w:val="009A261B"/>
    <w:rsid w:val="009C3CB6"/>
    <w:rsid w:val="00A0716C"/>
    <w:rsid w:val="00A4418E"/>
    <w:rsid w:val="00AA1B2C"/>
    <w:rsid w:val="00AA2E17"/>
    <w:rsid w:val="00AA476A"/>
    <w:rsid w:val="00AC15A4"/>
    <w:rsid w:val="00AE0D55"/>
    <w:rsid w:val="00B0336C"/>
    <w:rsid w:val="00B30277"/>
    <w:rsid w:val="00C30203"/>
    <w:rsid w:val="00D241E9"/>
    <w:rsid w:val="00D25524"/>
    <w:rsid w:val="00D74C0A"/>
    <w:rsid w:val="00D7750D"/>
    <w:rsid w:val="00D863AF"/>
    <w:rsid w:val="00DD264E"/>
    <w:rsid w:val="00E577E6"/>
    <w:rsid w:val="00EA3B05"/>
    <w:rsid w:val="00F00D2F"/>
    <w:rsid w:val="00F128DF"/>
    <w:rsid w:val="00FE7B58"/>
    <w:rsid w:val="00FF11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16C"/>
    <w:rPr>
      <w:color w:val="666666"/>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50370-121B-4F61-8961-3C87D3C92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3.xml><?xml version="1.0" encoding="utf-8"?>
<ds:datastoreItem xmlns:ds="http://schemas.openxmlformats.org/officeDocument/2006/customXml" ds:itemID="{A84CB689-912B-4580-B6D4-13CE5F8529D1}">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58534A45-E830-4220-9B70-CA4BF2294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3167</Words>
  <Characters>18054</Characters>
  <Application>Microsoft Office Word</Application>
  <DocSecurity>0</DocSecurity>
  <Lines>150</Lines>
  <Paragraphs>42</Paragraphs>
  <ScaleCrop>false</ScaleCrop>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2025-06-17T13:17:00Z</dcterms:created>
  <dcterms:modified xsi:type="dcterms:W3CDTF">2025-06-17T13:17:00Z</dcterms:modified>
</cp:coreProperties>
</file>