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2D755D2E" w:rsidR="00040C3A" w:rsidRPr="004B25E7" w:rsidRDefault="00D306D1" w:rsidP="00627C9F">
      <w:pPr>
        <w:jc w:val="both"/>
        <w:rPr>
          <w:rFonts w:asciiTheme="majorHAnsi" w:hAnsiTheme="majorHAnsi" w:cs="Univers"/>
          <w:b/>
          <w:bCs/>
          <w:sz w:val="22"/>
          <w:szCs w:val="22"/>
          <w:lang w:val="pt-BR"/>
        </w:rPr>
      </w:pPr>
      <w:r w:rsidRPr="004B25E7">
        <w:rPr>
          <w:rFonts w:asciiTheme="majorHAnsi" w:hAnsiTheme="majorHAnsi"/>
          <w:noProof/>
          <w:sz w:val="22"/>
          <w:szCs w:val="22"/>
          <w:lang w:val="pt-BR" w:eastAsia="es-419"/>
        </w:rPr>
        <mc:AlternateContent>
          <mc:Choice Requires="wps">
            <w:drawing>
              <wp:anchor distT="0" distB="0" distL="114300" distR="114300" simplePos="0" relativeHeight="251661311" behindDoc="0" locked="0" layoutInCell="1" allowOverlap="1" wp14:anchorId="179A3F0F" wp14:editId="7184250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43459A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" fillcolor="#ffc000" stroked="f" strokeweight="2pt"/>
            </w:pict>
          </mc:Fallback>
        </mc:AlternateContent>
      </w:r>
      <w:r w:rsidR="003E6CA1" w:rsidRPr="004B25E7">
        <w:rPr>
          <w:rFonts w:asciiTheme="majorHAnsi" w:hAnsiTheme="majorHAnsi"/>
          <w:noProof/>
          <w:sz w:val="22"/>
          <w:szCs w:val="22"/>
          <w:lang w:val="pt-BR"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3EC251" w:rsidR="00CB2660" w:rsidRDefault="00180472" w:rsidP="00AE5488">
                            <w:r>
                              <w:rPr>
                                <w:noProof/>
                              </w:rPr>
                              <w:drawing>
                                <wp:inline distT="0" distB="0" distL="0" distR="0" wp14:anchorId="3CB15001" wp14:editId="79570124">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3EC251" w:rsidR="00CB2660" w:rsidRDefault="00180472" w:rsidP="00AE5488">
                      <w:r>
                        <w:rPr>
                          <w:noProof/>
                        </w:rPr>
                        <w:drawing>
                          <wp:inline distT="0" distB="0" distL="0" distR="0" wp14:anchorId="3CB15001" wp14:editId="79570124">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4B25E7" w:rsidRDefault="00040C3A" w:rsidP="00040C3A">
      <w:pPr>
        <w:tabs>
          <w:tab w:val="center" w:pos="5400"/>
        </w:tabs>
        <w:suppressAutoHyphens/>
        <w:jc w:val="both"/>
        <w:rPr>
          <w:rFonts w:asciiTheme="majorHAnsi" w:hAnsiTheme="majorHAnsi"/>
          <w:sz w:val="22"/>
          <w:szCs w:val="22"/>
          <w:lang w:val="pt-BR"/>
        </w:rPr>
      </w:pPr>
    </w:p>
    <w:p w14:paraId="5A87E141" w14:textId="77777777" w:rsidR="00040C3A" w:rsidRPr="004B25E7" w:rsidRDefault="00040C3A" w:rsidP="00040C3A">
      <w:pPr>
        <w:tabs>
          <w:tab w:val="center" w:pos="5400"/>
        </w:tabs>
        <w:suppressAutoHyphens/>
        <w:jc w:val="both"/>
        <w:rPr>
          <w:rFonts w:asciiTheme="majorHAnsi" w:hAnsiTheme="majorHAnsi"/>
          <w:sz w:val="22"/>
          <w:szCs w:val="22"/>
          <w:lang w:val="pt-BR"/>
        </w:rPr>
      </w:pPr>
    </w:p>
    <w:p w14:paraId="29D95BCC" w14:textId="77777777" w:rsidR="005128E4" w:rsidRPr="004B25E7" w:rsidRDefault="005128E4" w:rsidP="00040C3A">
      <w:pPr>
        <w:tabs>
          <w:tab w:val="center" w:pos="5400"/>
        </w:tabs>
        <w:suppressAutoHyphens/>
        <w:rPr>
          <w:rFonts w:asciiTheme="majorHAnsi" w:hAnsiTheme="majorHAnsi"/>
          <w:sz w:val="22"/>
          <w:szCs w:val="22"/>
          <w:lang w:val="pt-BR"/>
        </w:rPr>
      </w:pPr>
    </w:p>
    <w:p w14:paraId="12A36B24" w14:textId="77777777" w:rsidR="005128E4" w:rsidRPr="004B25E7" w:rsidRDefault="005128E4" w:rsidP="00040C3A">
      <w:pPr>
        <w:tabs>
          <w:tab w:val="center" w:pos="5400"/>
        </w:tabs>
        <w:suppressAutoHyphens/>
        <w:rPr>
          <w:rFonts w:asciiTheme="majorHAnsi" w:hAnsiTheme="majorHAnsi"/>
          <w:sz w:val="22"/>
          <w:szCs w:val="22"/>
          <w:lang w:val="pt-BR"/>
        </w:rPr>
      </w:pPr>
    </w:p>
    <w:p w14:paraId="2252093D" w14:textId="77777777" w:rsidR="005128E4" w:rsidRPr="004B25E7" w:rsidRDefault="005128E4" w:rsidP="00040C3A">
      <w:pPr>
        <w:tabs>
          <w:tab w:val="center" w:pos="5400"/>
        </w:tabs>
        <w:suppressAutoHyphens/>
        <w:rPr>
          <w:rFonts w:asciiTheme="majorHAnsi" w:hAnsiTheme="majorHAnsi"/>
          <w:sz w:val="22"/>
          <w:szCs w:val="22"/>
          <w:lang w:val="pt-BR"/>
        </w:rPr>
      </w:pPr>
    </w:p>
    <w:p w14:paraId="403935BD" w14:textId="77777777" w:rsidR="00040C3A" w:rsidRPr="004B25E7" w:rsidRDefault="00040C3A" w:rsidP="005128E4">
      <w:pPr>
        <w:tabs>
          <w:tab w:val="center" w:pos="5400"/>
        </w:tabs>
        <w:suppressAutoHyphens/>
        <w:jc w:val="center"/>
        <w:rPr>
          <w:rFonts w:asciiTheme="majorHAnsi" w:hAnsiTheme="majorHAnsi"/>
          <w:sz w:val="22"/>
          <w:szCs w:val="22"/>
          <w:lang w:val="pt-BR"/>
        </w:rPr>
      </w:pPr>
    </w:p>
    <w:p w14:paraId="6DCF5F8F" w14:textId="77777777" w:rsidR="00040C3A" w:rsidRPr="004B25E7" w:rsidRDefault="00040C3A" w:rsidP="005128E4">
      <w:pPr>
        <w:tabs>
          <w:tab w:val="center" w:pos="5400"/>
        </w:tabs>
        <w:suppressAutoHyphens/>
        <w:jc w:val="center"/>
        <w:rPr>
          <w:rFonts w:asciiTheme="majorHAnsi" w:hAnsiTheme="majorHAnsi"/>
          <w:sz w:val="22"/>
          <w:szCs w:val="22"/>
          <w:lang w:val="pt-BR"/>
        </w:rPr>
      </w:pPr>
    </w:p>
    <w:p w14:paraId="4791F13A" w14:textId="77777777" w:rsidR="005B52B0" w:rsidRPr="004B25E7" w:rsidRDefault="005B52B0" w:rsidP="005128E4">
      <w:pPr>
        <w:tabs>
          <w:tab w:val="center" w:pos="5400"/>
        </w:tabs>
        <w:suppressAutoHyphens/>
        <w:jc w:val="center"/>
        <w:rPr>
          <w:rFonts w:asciiTheme="majorHAnsi" w:hAnsiTheme="majorHAnsi"/>
          <w:sz w:val="22"/>
          <w:szCs w:val="22"/>
          <w:lang w:val="pt-BR"/>
        </w:rPr>
      </w:pPr>
    </w:p>
    <w:p w14:paraId="44E016B6" w14:textId="77777777" w:rsidR="005B52B0" w:rsidRPr="004B25E7" w:rsidRDefault="005B52B0" w:rsidP="005128E4">
      <w:pPr>
        <w:tabs>
          <w:tab w:val="center" w:pos="5400"/>
        </w:tabs>
        <w:suppressAutoHyphens/>
        <w:jc w:val="center"/>
        <w:rPr>
          <w:rFonts w:asciiTheme="majorHAnsi" w:hAnsiTheme="majorHAnsi"/>
          <w:sz w:val="22"/>
          <w:szCs w:val="22"/>
          <w:lang w:val="pt-BR"/>
        </w:rPr>
      </w:pPr>
    </w:p>
    <w:p w14:paraId="63D41962" w14:textId="77777777" w:rsidR="005B52B0" w:rsidRPr="004B25E7" w:rsidRDefault="005B52B0" w:rsidP="005128E4">
      <w:pPr>
        <w:tabs>
          <w:tab w:val="center" w:pos="5400"/>
        </w:tabs>
        <w:suppressAutoHyphens/>
        <w:jc w:val="center"/>
        <w:rPr>
          <w:rFonts w:asciiTheme="majorHAnsi" w:hAnsiTheme="majorHAnsi"/>
          <w:sz w:val="22"/>
          <w:szCs w:val="22"/>
          <w:lang w:val="pt-BR"/>
        </w:rPr>
      </w:pPr>
    </w:p>
    <w:p w14:paraId="5ADEB990" w14:textId="77777777" w:rsidR="00040C3A" w:rsidRPr="004B25E7" w:rsidRDefault="00040C3A" w:rsidP="00040C3A">
      <w:pPr>
        <w:tabs>
          <w:tab w:val="center" w:pos="5400"/>
        </w:tabs>
        <w:suppressAutoHyphens/>
        <w:jc w:val="center"/>
        <w:rPr>
          <w:rFonts w:asciiTheme="majorHAnsi" w:hAnsiTheme="majorHAnsi"/>
          <w:sz w:val="22"/>
          <w:szCs w:val="22"/>
          <w:lang w:val="pt-BR"/>
        </w:rPr>
      </w:pPr>
    </w:p>
    <w:p w14:paraId="2D81B7E8" w14:textId="77777777" w:rsidR="00040C3A" w:rsidRPr="004B25E7" w:rsidRDefault="00040C3A" w:rsidP="00040C3A">
      <w:pPr>
        <w:tabs>
          <w:tab w:val="center" w:pos="5400"/>
        </w:tabs>
        <w:suppressAutoHyphens/>
        <w:jc w:val="center"/>
        <w:rPr>
          <w:rFonts w:asciiTheme="majorHAnsi" w:hAnsiTheme="majorHAnsi"/>
          <w:sz w:val="22"/>
          <w:szCs w:val="22"/>
          <w:lang w:val="pt-BR"/>
        </w:rPr>
      </w:pPr>
    </w:p>
    <w:p w14:paraId="64791D04" w14:textId="77777777" w:rsidR="00040C3A" w:rsidRPr="004B25E7" w:rsidRDefault="003D3BC2" w:rsidP="00040C3A">
      <w:pPr>
        <w:tabs>
          <w:tab w:val="center" w:pos="5400"/>
        </w:tabs>
        <w:suppressAutoHyphens/>
        <w:jc w:val="center"/>
        <w:rPr>
          <w:rFonts w:asciiTheme="majorHAnsi" w:hAnsiTheme="majorHAnsi"/>
          <w:sz w:val="22"/>
          <w:szCs w:val="22"/>
          <w:lang w:val="pt-BR"/>
        </w:rPr>
      </w:pPr>
      <w:r w:rsidRPr="004B25E7">
        <w:rPr>
          <w:rFonts w:asciiTheme="majorHAnsi" w:hAnsiTheme="majorHAnsi"/>
          <w:noProof/>
          <w:sz w:val="22"/>
          <w:szCs w:val="22"/>
          <w:lang w:val="pt-BR"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ED5CE8E" w:rsidR="005B52B0" w:rsidRPr="004C2EB0" w:rsidRDefault="005B52B0" w:rsidP="00997BC5">
                            <w:pPr>
                              <w:spacing w:line="276" w:lineRule="auto"/>
                              <w:rPr>
                                <w:rFonts w:asciiTheme="majorHAnsi" w:hAnsiTheme="majorHAnsi" w:cs="Arial"/>
                                <w:b/>
                                <w:bCs/>
                                <w:color w:val="0D0D0D" w:themeColor="text1" w:themeTint="F2"/>
                                <w:sz w:val="36"/>
                                <w:szCs w:val="22"/>
                                <w:lang w:val="pt-BR"/>
                              </w:rPr>
                            </w:pPr>
                            <w:r w:rsidRPr="004C2EB0">
                              <w:rPr>
                                <w:rFonts w:asciiTheme="majorHAnsi" w:hAnsiTheme="majorHAnsi" w:cs="Arial"/>
                                <w:b/>
                                <w:bCs/>
                                <w:color w:val="0D0D0D" w:themeColor="text1" w:themeTint="F2"/>
                                <w:sz w:val="36"/>
                                <w:szCs w:val="22"/>
                                <w:lang w:val="pt-BR"/>
                              </w:rPr>
                              <w:t xml:space="preserve">RELATÓRIO </w:t>
                            </w:r>
                            <w:r w:rsidR="00477592" w:rsidRPr="004C2EB0">
                              <w:rPr>
                                <w:rFonts w:asciiTheme="majorHAnsi" w:hAnsiTheme="majorHAnsi" w:cs="Arial"/>
                                <w:b/>
                                <w:bCs/>
                                <w:color w:val="0D0D0D" w:themeColor="text1" w:themeTint="F2"/>
                                <w:sz w:val="36"/>
                                <w:szCs w:val="40"/>
                                <w:lang w:val="pt-BR"/>
                              </w:rPr>
                              <w:t>Nº</w:t>
                            </w:r>
                            <w:r w:rsidR="007B05C4" w:rsidRPr="004C2EB0">
                              <w:rPr>
                                <w:rFonts w:asciiTheme="majorHAnsi" w:hAnsiTheme="majorHAnsi" w:cs="Arial"/>
                                <w:b/>
                                <w:bCs/>
                                <w:color w:val="0D0D0D" w:themeColor="text1" w:themeTint="F2"/>
                                <w:sz w:val="36"/>
                                <w:szCs w:val="22"/>
                                <w:lang w:val="pt-BR"/>
                              </w:rPr>
                              <w:t xml:space="preserve"> </w:t>
                            </w:r>
                            <w:r w:rsidR="005503D1">
                              <w:rPr>
                                <w:rFonts w:asciiTheme="majorHAnsi" w:hAnsiTheme="majorHAnsi" w:cs="Arial"/>
                                <w:b/>
                                <w:bCs/>
                                <w:color w:val="0D0D0D" w:themeColor="text1" w:themeTint="F2"/>
                                <w:sz w:val="36"/>
                                <w:szCs w:val="22"/>
                                <w:lang w:val="pt-BR"/>
                              </w:rPr>
                              <w:t>71</w:t>
                            </w:r>
                            <w:r w:rsidR="007B05C4" w:rsidRPr="004C2EB0">
                              <w:rPr>
                                <w:rFonts w:asciiTheme="majorHAnsi" w:hAnsiTheme="majorHAnsi" w:cs="Arial"/>
                                <w:b/>
                                <w:bCs/>
                                <w:color w:val="0D0D0D" w:themeColor="text1" w:themeTint="F2"/>
                                <w:sz w:val="36"/>
                                <w:szCs w:val="22"/>
                                <w:lang w:val="pt-BR"/>
                              </w:rPr>
                              <w:t>/25</w:t>
                            </w:r>
                          </w:p>
                          <w:p w14:paraId="09C54AB3" w14:textId="4D7A77D7" w:rsidR="007B05C4" w:rsidRPr="004C2EB0" w:rsidRDefault="005B52B0" w:rsidP="00997BC5">
                            <w:pPr>
                              <w:spacing w:line="276" w:lineRule="auto"/>
                              <w:rPr>
                                <w:rFonts w:asciiTheme="majorHAnsi" w:hAnsiTheme="majorHAnsi" w:cs="Arial"/>
                                <w:b/>
                                <w:color w:val="0D0D0D" w:themeColor="text1" w:themeTint="F2"/>
                                <w:sz w:val="36"/>
                                <w:szCs w:val="22"/>
                                <w:lang w:val="pt-BR"/>
                              </w:rPr>
                            </w:pPr>
                            <w:r w:rsidRPr="004C2EB0">
                              <w:rPr>
                                <w:rFonts w:asciiTheme="majorHAnsi" w:hAnsiTheme="majorHAnsi" w:cs="Arial"/>
                                <w:b/>
                                <w:color w:val="0D0D0D" w:themeColor="text1" w:themeTint="F2"/>
                                <w:sz w:val="36"/>
                                <w:szCs w:val="22"/>
                                <w:lang w:val="pt-BR"/>
                              </w:rPr>
                              <w:t>PETIÇÃO 777-21</w:t>
                            </w:r>
                          </w:p>
                          <w:p w14:paraId="70CF6833" w14:textId="0C479302" w:rsidR="00CD046C" w:rsidRPr="004C2EB0" w:rsidRDefault="005B52B0" w:rsidP="00997BC5">
                            <w:pPr>
                              <w:spacing w:line="276" w:lineRule="auto"/>
                              <w:rPr>
                                <w:rFonts w:asciiTheme="majorHAnsi" w:hAnsiTheme="majorHAnsi" w:cs="Arial"/>
                                <w:color w:val="0D0D0D" w:themeColor="text1" w:themeTint="F2"/>
                                <w:szCs w:val="22"/>
                                <w:lang w:val="pt-BR"/>
                              </w:rPr>
                            </w:pPr>
                            <w:r w:rsidRPr="004C2EB0">
                              <w:rPr>
                                <w:rFonts w:asciiTheme="majorHAnsi" w:hAnsiTheme="majorHAnsi" w:cs="Arial"/>
                                <w:color w:val="0D0D0D" w:themeColor="text1" w:themeTint="F2"/>
                                <w:szCs w:val="22"/>
                                <w:lang w:val="pt-BR"/>
                              </w:rPr>
                              <w:t xml:space="preserve">RELATÓRIO DE ADMISSIBILIDADE </w:t>
                            </w:r>
                          </w:p>
                          <w:p w14:paraId="5FDD6F0D" w14:textId="77777777" w:rsidR="008F1912" w:rsidRPr="004C2EB0" w:rsidRDefault="008F1912" w:rsidP="00997BC5">
                            <w:pPr>
                              <w:spacing w:line="276" w:lineRule="auto"/>
                              <w:rPr>
                                <w:rFonts w:asciiTheme="majorHAnsi" w:hAnsiTheme="majorHAnsi" w:cs="Arial"/>
                                <w:color w:val="0D0D0D" w:themeColor="text1" w:themeTint="F2"/>
                                <w:szCs w:val="22"/>
                                <w:lang w:val="pt-BR"/>
                              </w:rPr>
                            </w:pPr>
                            <w:bookmarkStart w:id="0" w:name="_ftnref1"/>
                          </w:p>
                          <w:bookmarkEnd w:id="0"/>
                          <w:p w14:paraId="01E3C4E2" w14:textId="3294A7BD" w:rsidR="00EB197F" w:rsidRPr="004C2EB0" w:rsidRDefault="001F3909" w:rsidP="00997BC5">
                            <w:pPr>
                              <w:spacing w:line="276" w:lineRule="auto"/>
                              <w:rPr>
                                <w:rFonts w:asciiTheme="majorHAnsi" w:hAnsiTheme="majorHAnsi" w:cs="Arial"/>
                                <w:color w:val="0D0D0D" w:themeColor="text1" w:themeTint="F2"/>
                                <w:szCs w:val="22"/>
                                <w:lang w:val="pt-BR"/>
                              </w:rPr>
                            </w:pPr>
                            <w:r w:rsidRPr="004C2EB0">
                              <w:rPr>
                                <w:rFonts w:asciiTheme="majorHAnsi" w:hAnsiTheme="majorHAnsi" w:cs="Arial"/>
                                <w:color w:val="0D0D0D" w:themeColor="text1" w:themeTint="F2"/>
                                <w:szCs w:val="22"/>
                                <w:lang w:val="pt-BR"/>
                              </w:rPr>
                              <w:t>PAULO ALEXANDRE GOMES E FAMILIARES</w:t>
                            </w:r>
                          </w:p>
                          <w:p w14:paraId="575DFD52" w14:textId="368938BD" w:rsidR="005B52B0" w:rsidRPr="001F3909" w:rsidRDefault="003569F2" w:rsidP="007A5817">
                            <w:pPr>
                              <w:rPr>
                                <w:color w:val="0D0D0D" w:themeColor="text1" w:themeTint="F2"/>
                                <w:lang w:val="pt-BR"/>
                              </w:rPr>
                            </w:pPr>
                            <w:r w:rsidRPr="006510D2">
                              <w:rPr>
                                <w:rFonts w:asciiTheme="majorHAnsi" w:hAnsiTheme="majorHAnsi" w:cs="Arial"/>
                                <w:color w:val="0D0D0D" w:themeColor="text1" w:themeTint="F2"/>
                                <w:szCs w:val="22"/>
                                <w:lang w:val="pt-BR"/>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0ED5CE8E" w:rsidR="005B52B0" w:rsidRPr="004C2EB0" w:rsidRDefault="005B52B0" w:rsidP="00997BC5">
                      <w:pPr>
                        <w:spacing w:line="276" w:lineRule="auto"/>
                        <w:rPr>
                          <w:rFonts w:asciiTheme="majorHAnsi" w:hAnsiTheme="majorHAnsi" w:cs="Arial"/>
                          <w:b/>
                          <w:bCs/>
                          <w:color w:val="0D0D0D" w:themeColor="text1" w:themeTint="F2"/>
                          <w:sz w:val="36"/>
                          <w:szCs w:val="22"/>
                          <w:lang w:val="pt-BR"/>
                        </w:rPr>
                      </w:pPr>
                      <w:r w:rsidRPr="004C2EB0">
                        <w:rPr>
                          <w:rFonts w:asciiTheme="majorHAnsi" w:hAnsiTheme="majorHAnsi" w:cs="Arial"/>
                          <w:b/>
                          <w:bCs/>
                          <w:color w:val="0D0D0D" w:themeColor="text1" w:themeTint="F2"/>
                          <w:sz w:val="36"/>
                          <w:szCs w:val="22"/>
                          <w:lang w:val="pt-BR"/>
                        </w:rPr>
                        <w:t xml:space="preserve">RELATÓRIO </w:t>
                      </w:r>
                      <w:r w:rsidR="00477592" w:rsidRPr="004C2EB0">
                        <w:rPr>
                          <w:rFonts w:asciiTheme="majorHAnsi" w:hAnsiTheme="majorHAnsi" w:cs="Arial"/>
                          <w:b/>
                          <w:bCs/>
                          <w:color w:val="0D0D0D" w:themeColor="text1" w:themeTint="F2"/>
                          <w:sz w:val="36"/>
                          <w:szCs w:val="40"/>
                          <w:lang w:val="pt-BR"/>
                        </w:rPr>
                        <w:t>Nº</w:t>
                      </w:r>
                      <w:r w:rsidR="007B05C4" w:rsidRPr="004C2EB0">
                        <w:rPr>
                          <w:rFonts w:asciiTheme="majorHAnsi" w:hAnsiTheme="majorHAnsi" w:cs="Arial"/>
                          <w:b/>
                          <w:bCs/>
                          <w:color w:val="0D0D0D" w:themeColor="text1" w:themeTint="F2"/>
                          <w:sz w:val="36"/>
                          <w:szCs w:val="22"/>
                          <w:lang w:val="pt-BR"/>
                        </w:rPr>
                        <w:t xml:space="preserve"> </w:t>
                      </w:r>
                      <w:r w:rsidR="005503D1">
                        <w:rPr>
                          <w:rFonts w:asciiTheme="majorHAnsi" w:hAnsiTheme="majorHAnsi" w:cs="Arial"/>
                          <w:b/>
                          <w:bCs/>
                          <w:color w:val="0D0D0D" w:themeColor="text1" w:themeTint="F2"/>
                          <w:sz w:val="36"/>
                          <w:szCs w:val="22"/>
                          <w:lang w:val="pt-BR"/>
                        </w:rPr>
                        <w:t>71</w:t>
                      </w:r>
                      <w:r w:rsidR="007B05C4" w:rsidRPr="004C2EB0">
                        <w:rPr>
                          <w:rFonts w:asciiTheme="majorHAnsi" w:hAnsiTheme="majorHAnsi" w:cs="Arial"/>
                          <w:b/>
                          <w:bCs/>
                          <w:color w:val="0D0D0D" w:themeColor="text1" w:themeTint="F2"/>
                          <w:sz w:val="36"/>
                          <w:szCs w:val="22"/>
                          <w:lang w:val="pt-BR"/>
                        </w:rPr>
                        <w:t>/25</w:t>
                      </w:r>
                    </w:p>
                    <w:p w14:paraId="09C54AB3" w14:textId="4D7A77D7" w:rsidR="007B05C4" w:rsidRPr="004C2EB0" w:rsidRDefault="005B52B0" w:rsidP="00997BC5">
                      <w:pPr>
                        <w:spacing w:line="276" w:lineRule="auto"/>
                        <w:rPr>
                          <w:rFonts w:asciiTheme="majorHAnsi" w:hAnsiTheme="majorHAnsi" w:cs="Arial"/>
                          <w:b/>
                          <w:color w:val="0D0D0D" w:themeColor="text1" w:themeTint="F2"/>
                          <w:sz w:val="36"/>
                          <w:szCs w:val="22"/>
                          <w:lang w:val="pt-BR"/>
                        </w:rPr>
                      </w:pPr>
                      <w:r w:rsidRPr="004C2EB0">
                        <w:rPr>
                          <w:rFonts w:asciiTheme="majorHAnsi" w:hAnsiTheme="majorHAnsi" w:cs="Arial"/>
                          <w:b/>
                          <w:color w:val="0D0D0D" w:themeColor="text1" w:themeTint="F2"/>
                          <w:sz w:val="36"/>
                          <w:szCs w:val="22"/>
                          <w:lang w:val="pt-BR"/>
                        </w:rPr>
                        <w:t>PETIÇÃO 777-21</w:t>
                      </w:r>
                    </w:p>
                    <w:p w14:paraId="70CF6833" w14:textId="0C479302" w:rsidR="00CD046C" w:rsidRPr="004C2EB0" w:rsidRDefault="005B52B0" w:rsidP="00997BC5">
                      <w:pPr>
                        <w:spacing w:line="276" w:lineRule="auto"/>
                        <w:rPr>
                          <w:rFonts w:asciiTheme="majorHAnsi" w:hAnsiTheme="majorHAnsi" w:cs="Arial"/>
                          <w:color w:val="0D0D0D" w:themeColor="text1" w:themeTint="F2"/>
                          <w:szCs w:val="22"/>
                          <w:lang w:val="pt-BR"/>
                        </w:rPr>
                      </w:pPr>
                      <w:r w:rsidRPr="004C2EB0">
                        <w:rPr>
                          <w:rFonts w:asciiTheme="majorHAnsi" w:hAnsiTheme="majorHAnsi" w:cs="Arial"/>
                          <w:color w:val="0D0D0D" w:themeColor="text1" w:themeTint="F2"/>
                          <w:szCs w:val="22"/>
                          <w:lang w:val="pt-BR"/>
                        </w:rPr>
                        <w:t xml:space="preserve">RELATÓRIO DE ADMISSIBILIDADE </w:t>
                      </w:r>
                    </w:p>
                    <w:p w14:paraId="5FDD6F0D" w14:textId="77777777" w:rsidR="008F1912" w:rsidRPr="004C2EB0" w:rsidRDefault="008F1912" w:rsidP="00997BC5">
                      <w:pPr>
                        <w:spacing w:line="276" w:lineRule="auto"/>
                        <w:rPr>
                          <w:rFonts w:asciiTheme="majorHAnsi" w:hAnsiTheme="majorHAnsi" w:cs="Arial"/>
                          <w:color w:val="0D0D0D" w:themeColor="text1" w:themeTint="F2"/>
                          <w:szCs w:val="22"/>
                          <w:lang w:val="pt-BR"/>
                        </w:rPr>
                      </w:pPr>
                      <w:bookmarkStart w:id="1" w:name="_ftnref1"/>
                    </w:p>
                    <w:bookmarkEnd w:id="1"/>
                    <w:p w14:paraId="01E3C4E2" w14:textId="3294A7BD" w:rsidR="00EB197F" w:rsidRPr="004C2EB0" w:rsidRDefault="001F3909" w:rsidP="00997BC5">
                      <w:pPr>
                        <w:spacing w:line="276" w:lineRule="auto"/>
                        <w:rPr>
                          <w:rFonts w:asciiTheme="majorHAnsi" w:hAnsiTheme="majorHAnsi" w:cs="Arial"/>
                          <w:color w:val="0D0D0D" w:themeColor="text1" w:themeTint="F2"/>
                          <w:szCs w:val="22"/>
                          <w:lang w:val="pt-BR"/>
                        </w:rPr>
                      </w:pPr>
                      <w:r w:rsidRPr="004C2EB0">
                        <w:rPr>
                          <w:rFonts w:asciiTheme="majorHAnsi" w:hAnsiTheme="majorHAnsi" w:cs="Arial"/>
                          <w:color w:val="0D0D0D" w:themeColor="text1" w:themeTint="F2"/>
                          <w:szCs w:val="22"/>
                          <w:lang w:val="pt-BR"/>
                        </w:rPr>
                        <w:t>PAULO ALEXANDRE GOMES E FAMILIARES</w:t>
                      </w:r>
                    </w:p>
                    <w:p w14:paraId="575DFD52" w14:textId="368938BD" w:rsidR="005B52B0" w:rsidRPr="001F3909" w:rsidRDefault="003569F2" w:rsidP="007A5817">
                      <w:pPr>
                        <w:rPr>
                          <w:color w:val="0D0D0D" w:themeColor="text1" w:themeTint="F2"/>
                          <w:lang w:val="pt-BR"/>
                        </w:rPr>
                      </w:pPr>
                      <w:r w:rsidRPr="006510D2">
                        <w:rPr>
                          <w:rFonts w:asciiTheme="majorHAnsi" w:hAnsiTheme="majorHAnsi" w:cs="Arial"/>
                          <w:color w:val="0D0D0D" w:themeColor="text1" w:themeTint="F2"/>
                          <w:szCs w:val="22"/>
                          <w:lang w:val="pt-BR"/>
                        </w:rPr>
                        <w:t>BRASIL</w:t>
                      </w:r>
                    </w:p>
                  </w:txbxContent>
                </v:textbox>
              </v:shape>
            </w:pict>
          </mc:Fallback>
        </mc:AlternateContent>
      </w:r>
      <w:r w:rsidR="004E2649" w:rsidRPr="004B25E7">
        <w:rPr>
          <w:rFonts w:asciiTheme="majorHAnsi" w:hAnsiTheme="majorHAnsi"/>
          <w:noProof/>
          <w:sz w:val="22"/>
          <w:szCs w:val="22"/>
          <w:lang w:val="pt-BR"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54A5223" w:rsidR="00627C9F" w:rsidRPr="00647814" w:rsidRDefault="00834D49" w:rsidP="007A5817">
                            <w:pPr>
                              <w:spacing w:line="276" w:lineRule="auto"/>
                              <w:jc w:val="right"/>
                              <w:rPr>
                                <w:rFonts w:asciiTheme="minorHAnsi" w:hAnsiTheme="minorHAnsi"/>
                                <w:sz w:val="22"/>
                                <w:lang w:val="pt-BR"/>
                              </w:rPr>
                            </w:pPr>
                            <w:r w:rsidRPr="00647814">
                              <w:rPr>
                                <w:rFonts w:asciiTheme="minorHAnsi" w:hAnsiTheme="minorHAnsi"/>
                                <w:sz w:val="22"/>
                                <w:lang w:val="pt-BR"/>
                              </w:rPr>
                              <w:t>OEA/Ser.L/V/II</w:t>
                            </w:r>
                          </w:p>
                          <w:p w14:paraId="6A41611B" w14:textId="78454ECD" w:rsidR="00627C9F" w:rsidRPr="00647814" w:rsidRDefault="00627C9F" w:rsidP="007A5817">
                            <w:pPr>
                              <w:spacing w:line="276" w:lineRule="auto"/>
                              <w:jc w:val="right"/>
                              <w:rPr>
                                <w:rFonts w:asciiTheme="minorHAnsi" w:hAnsiTheme="minorHAnsi"/>
                                <w:sz w:val="22"/>
                                <w:lang w:val="pt-BR"/>
                              </w:rPr>
                            </w:pPr>
                            <w:r w:rsidRPr="00647814">
                              <w:rPr>
                                <w:rFonts w:asciiTheme="minorHAnsi" w:hAnsiTheme="minorHAnsi"/>
                                <w:sz w:val="22"/>
                                <w:lang w:val="pt-BR"/>
                              </w:rPr>
                              <w:t xml:space="preserve">Doc. </w:t>
                            </w:r>
                            <w:r w:rsidR="00B115BE">
                              <w:rPr>
                                <w:rFonts w:asciiTheme="minorHAnsi" w:hAnsiTheme="minorHAnsi"/>
                                <w:sz w:val="22"/>
                                <w:lang w:val="pt-BR"/>
                              </w:rPr>
                              <w:t>74</w:t>
                            </w:r>
                          </w:p>
                          <w:p w14:paraId="69373ED2" w14:textId="48EF0441" w:rsidR="00627C9F" w:rsidRPr="005314DB" w:rsidRDefault="00B115BE" w:rsidP="007A5817">
                            <w:pPr>
                              <w:spacing w:line="276" w:lineRule="auto"/>
                              <w:jc w:val="right"/>
                              <w:rPr>
                                <w:rFonts w:asciiTheme="minorHAnsi" w:hAnsiTheme="minorHAnsi"/>
                                <w:sz w:val="22"/>
                                <w:lang w:val="pt-PT"/>
                              </w:rPr>
                            </w:pPr>
                            <w:r w:rsidRPr="005314DB">
                              <w:rPr>
                                <w:rFonts w:asciiTheme="minorHAnsi" w:hAnsiTheme="minorHAnsi"/>
                                <w:sz w:val="22"/>
                                <w:lang w:val="pt-PT"/>
                              </w:rPr>
                              <w:t>28 abril</w:t>
                            </w:r>
                            <w:r w:rsidR="00627C9F" w:rsidRPr="005314DB">
                              <w:rPr>
                                <w:rFonts w:asciiTheme="minorHAnsi" w:hAnsiTheme="minorHAnsi"/>
                                <w:sz w:val="22"/>
                                <w:lang w:val="pt-PT"/>
                              </w:rPr>
                              <w:t xml:space="preserve"> 2025</w:t>
                            </w:r>
                          </w:p>
                          <w:p w14:paraId="0771DB5B" w14:textId="2A18EC6E" w:rsidR="00627C9F" w:rsidRPr="00647814" w:rsidRDefault="00E0340B" w:rsidP="007A5817">
                            <w:pPr>
                              <w:spacing w:line="276" w:lineRule="auto"/>
                              <w:jc w:val="right"/>
                              <w:rPr>
                                <w:rFonts w:asciiTheme="minorHAnsi" w:hAnsiTheme="minorHAnsi"/>
                                <w:sz w:val="22"/>
                                <w:lang w:val="pt-BR"/>
                              </w:rPr>
                            </w:pPr>
                            <w:r w:rsidRPr="00647814">
                              <w:rPr>
                                <w:rFonts w:asciiTheme="minorHAnsi" w:hAnsiTheme="minorHAnsi"/>
                                <w:sz w:val="22"/>
                                <w:lang w:val="pt-BR"/>
                              </w:rPr>
                              <w:t xml:space="preserve">Original: </w:t>
                            </w:r>
                            <w:r w:rsidR="004C2EB0" w:rsidRPr="00647814">
                              <w:rPr>
                                <w:rFonts w:asciiTheme="minorHAnsi" w:hAnsiTheme="minorHAnsi"/>
                                <w:sz w:val="22"/>
                                <w:lang w:val="pt-BR"/>
                              </w:rPr>
                              <w:t>portuguese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54A5223" w:rsidR="00627C9F" w:rsidRPr="00647814" w:rsidRDefault="00834D49" w:rsidP="007A5817">
                      <w:pPr>
                        <w:spacing w:line="276" w:lineRule="auto"/>
                        <w:jc w:val="right"/>
                        <w:rPr>
                          <w:rFonts w:asciiTheme="minorHAnsi" w:hAnsiTheme="minorHAnsi"/>
                          <w:sz w:val="22"/>
                          <w:lang w:val="pt-BR"/>
                        </w:rPr>
                      </w:pPr>
                      <w:r w:rsidRPr="00647814">
                        <w:rPr>
                          <w:rFonts w:asciiTheme="minorHAnsi" w:hAnsiTheme="minorHAnsi"/>
                          <w:sz w:val="22"/>
                          <w:lang w:val="pt-BR"/>
                        </w:rPr>
                        <w:t>OEA/Ser.L/V/II</w:t>
                      </w:r>
                    </w:p>
                    <w:p w14:paraId="6A41611B" w14:textId="78454ECD" w:rsidR="00627C9F" w:rsidRPr="00647814" w:rsidRDefault="00627C9F" w:rsidP="007A5817">
                      <w:pPr>
                        <w:spacing w:line="276" w:lineRule="auto"/>
                        <w:jc w:val="right"/>
                        <w:rPr>
                          <w:rFonts w:asciiTheme="minorHAnsi" w:hAnsiTheme="minorHAnsi"/>
                          <w:sz w:val="22"/>
                          <w:lang w:val="pt-BR"/>
                        </w:rPr>
                      </w:pPr>
                      <w:r w:rsidRPr="00647814">
                        <w:rPr>
                          <w:rFonts w:asciiTheme="minorHAnsi" w:hAnsiTheme="minorHAnsi"/>
                          <w:sz w:val="22"/>
                          <w:lang w:val="pt-BR"/>
                        </w:rPr>
                        <w:t xml:space="preserve">Doc. </w:t>
                      </w:r>
                      <w:r w:rsidR="00B115BE">
                        <w:rPr>
                          <w:rFonts w:asciiTheme="minorHAnsi" w:hAnsiTheme="minorHAnsi"/>
                          <w:sz w:val="22"/>
                          <w:lang w:val="pt-BR"/>
                        </w:rPr>
                        <w:t>74</w:t>
                      </w:r>
                    </w:p>
                    <w:p w14:paraId="69373ED2" w14:textId="48EF0441" w:rsidR="00627C9F" w:rsidRPr="005314DB" w:rsidRDefault="00B115BE" w:rsidP="007A5817">
                      <w:pPr>
                        <w:spacing w:line="276" w:lineRule="auto"/>
                        <w:jc w:val="right"/>
                        <w:rPr>
                          <w:rFonts w:asciiTheme="minorHAnsi" w:hAnsiTheme="minorHAnsi"/>
                          <w:sz w:val="22"/>
                          <w:lang w:val="pt-PT"/>
                        </w:rPr>
                      </w:pPr>
                      <w:r w:rsidRPr="005314DB">
                        <w:rPr>
                          <w:rFonts w:asciiTheme="minorHAnsi" w:hAnsiTheme="minorHAnsi"/>
                          <w:sz w:val="22"/>
                          <w:lang w:val="pt-PT"/>
                        </w:rPr>
                        <w:t>28 abril</w:t>
                      </w:r>
                      <w:r w:rsidR="00627C9F" w:rsidRPr="005314DB">
                        <w:rPr>
                          <w:rFonts w:asciiTheme="minorHAnsi" w:hAnsiTheme="minorHAnsi"/>
                          <w:sz w:val="22"/>
                          <w:lang w:val="pt-PT"/>
                        </w:rPr>
                        <w:t xml:space="preserve"> 2025</w:t>
                      </w:r>
                    </w:p>
                    <w:p w14:paraId="0771DB5B" w14:textId="2A18EC6E" w:rsidR="00627C9F" w:rsidRPr="00647814" w:rsidRDefault="00E0340B" w:rsidP="007A5817">
                      <w:pPr>
                        <w:spacing w:line="276" w:lineRule="auto"/>
                        <w:jc w:val="right"/>
                        <w:rPr>
                          <w:rFonts w:asciiTheme="minorHAnsi" w:hAnsiTheme="minorHAnsi"/>
                          <w:sz w:val="22"/>
                          <w:lang w:val="pt-BR"/>
                        </w:rPr>
                      </w:pPr>
                      <w:r w:rsidRPr="00647814">
                        <w:rPr>
                          <w:rFonts w:asciiTheme="minorHAnsi" w:hAnsiTheme="minorHAnsi"/>
                          <w:sz w:val="22"/>
                          <w:lang w:val="pt-BR"/>
                        </w:rPr>
                        <w:t xml:space="preserve">Original: </w:t>
                      </w:r>
                      <w:r w:rsidR="004C2EB0" w:rsidRPr="00647814">
                        <w:rPr>
                          <w:rFonts w:asciiTheme="minorHAnsi" w:hAnsiTheme="minorHAnsi"/>
                          <w:sz w:val="22"/>
                          <w:lang w:val="pt-BR"/>
                        </w:rPr>
                        <w:t>portuguese</w:t>
                      </w:r>
                    </w:p>
                  </w:txbxContent>
                </v:textbox>
              </v:shape>
            </w:pict>
          </mc:Fallback>
        </mc:AlternateContent>
      </w:r>
    </w:p>
    <w:p w14:paraId="155B0536" w14:textId="77777777" w:rsidR="00040C3A" w:rsidRPr="004B25E7" w:rsidRDefault="00040C3A" w:rsidP="00040C3A">
      <w:pPr>
        <w:tabs>
          <w:tab w:val="center" w:pos="5400"/>
        </w:tabs>
        <w:suppressAutoHyphens/>
        <w:jc w:val="center"/>
        <w:rPr>
          <w:rFonts w:asciiTheme="majorHAnsi" w:hAnsiTheme="majorHAnsi"/>
          <w:sz w:val="22"/>
          <w:szCs w:val="22"/>
          <w:lang w:val="pt-BR"/>
        </w:rPr>
      </w:pPr>
    </w:p>
    <w:p w14:paraId="5FE3AB87" w14:textId="77777777" w:rsidR="00040C3A" w:rsidRPr="004B25E7" w:rsidRDefault="00040C3A" w:rsidP="00040C3A">
      <w:pPr>
        <w:tabs>
          <w:tab w:val="center" w:pos="5400"/>
        </w:tabs>
        <w:suppressAutoHyphens/>
        <w:jc w:val="center"/>
        <w:rPr>
          <w:rFonts w:asciiTheme="majorHAnsi" w:hAnsiTheme="majorHAnsi"/>
          <w:sz w:val="22"/>
          <w:szCs w:val="22"/>
          <w:lang w:val="pt-BR"/>
        </w:rPr>
      </w:pPr>
    </w:p>
    <w:p w14:paraId="3C383BC0" w14:textId="77777777" w:rsidR="00040C3A" w:rsidRPr="004B25E7" w:rsidRDefault="00040C3A" w:rsidP="00040C3A">
      <w:pPr>
        <w:tabs>
          <w:tab w:val="center" w:pos="5400"/>
        </w:tabs>
        <w:suppressAutoHyphens/>
        <w:jc w:val="center"/>
        <w:rPr>
          <w:rFonts w:asciiTheme="majorHAnsi" w:hAnsiTheme="majorHAnsi" w:cs="Arial"/>
          <w:sz w:val="22"/>
          <w:szCs w:val="22"/>
          <w:lang w:val="pt-BR"/>
        </w:rPr>
      </w:pPr>
    </w:p>
    <w:p w14:paraId="54590931" w14:textId="77777777" w:rsidR="00040C3A" w:rsidRPr="004B25E7" w:rsidRDefault="00040C3A" w:rsidP="00040C3A">
      <w:pPr>
        <w:tabs>
          <w:tab w:val="center" w:pos="5400"/>
        </w:tabs>
        <w:suppressAutoHyphens/>
        <w:jc w:val="center"/>
        <w:rPr>
          <w:rFonts w:asciiTheme="majorHAnsi" w:hAnsiTheme="majorHAnsi"/>
          <w:sz w:val="22"/>
          <w:szCs w:val="22"/>
          <w:lang w:val="pt-BR"/>
        </w:rPr>
      </w:pPr>
    </w:p>
    <w:p w14:paraId="76C291D6" w14:textId="77777777" w:rsidR="00040C3A" w:rsidRPr="004B25E7" w:rsidRDefault="00040C3A" w:rsidP="00040C3A">
      <w:pPr>
        <w:tabs>
          <w:tab w:val="center" w:pos="5400"/>
        </w:tabs>
        <w:suppressAutoHyphens/>
        <w:jc w:val="center"/>
        <w:rPr>
          <w:rFonts w:asciiTheme="majorHAnsi" w:hAnsiTheme="majorHAnsi"/>
          <w:sz w:val="22"/>
          <w:szCs w:val="22"/>
          <w:lang w:val="pt-BR"/>
        </w:rPr>
      </w:pPr>
    </w:p>
    <w:p w14:paraId="2161B44F" w14:textId="77777777" w:rsidR="00040C3A" w:rsidRPr="004B25E7" w:rsidRDefault="00040C3A" w:rsidP="00040C3A">
      <w:pPr>
        <w:tabs>
          <w:tab w:val="center" w:pos="5400"/>
        </w:tabs>
        <w:suppressAutoHyphens/>
        <w:jc w:val="center"/>
        <w:rPr>
          <w:rFonts w:asciiTheme="majorHAnsi" w:hAnsiTheme="majorHAnsi"/>
          <w:sz w:val="22"/>
          <w:szCs w:val="22"/>
          <w:lang w:val="pt-BR"/>
        </w:rPr>
      </w:pPr>
    </w:p>
    <w:p w14:paraId="3C4EEE07" w14:textId="77777777" w:rsidR="00040C3A" w:rsidRPr="004B25E7" w:rsidRDefault="00040C3A" w:rsidP="00040C3A">
      <w:pPr>
        <w:tabs>
          <w:tab w:val="center" w:pos="5400"/>
        </w:tabs>
        <w:suppressAutoHyphens/>
        <w:jc w:val="center"/>
        <w:rPr>
          <w:rFonts w:asciiTheme="majorHAnsi" w:hAnsiTheme="majorHAnsi"/>
          <w:sz w:val="22"/>
          <w:szCs w:val="22"/>
          <w:lang w:val="pt-BR"/>
        </w:rPr>
      </w:pPr>
    </w:p>
    <w:p w14:paraId="3B0E4647" w14:textId="77777777" w:rsidR="005128E4" w:rsidRPr="004B25E7" w:rsidRDefault="005128E4" w:rsidP="00040C3A">
      <w:pPr>
        <w:tabs>
          <w:tab w:val="center" w:pos="5400"/>
        </w:tabs>
        <w:suppressAutoHyphens/>
        <w:jc w:val="center"/>
        <w:rPr>
          <w:rFonts w:asciiTheme="majorHAnsi" w:hAnsiTheme="majorHAnsi"/>
          <w:sz w:val="22"/>
          <w:szCs w:val="22"/>
          <w:lang w:val="pt-BR"/>
        </w:rPr>
      </w:pPr>
    </w:p>
    <w:p w14:paraId="2DAAF36D" w14:textId="77777777" w:rsidR="00040C3A" w:rsidRPr="004B25E7" w:rsidRDefault="00040C3A" w:rsidP="00040C3A">
      <w:pPr>
        <w:tabs>
          <w:tab w:val="center" w:pos="5400"/>
        </w:tabs>
        <w:suppressAutoHyphens/>
        <w:jc w:val="center"/>
        <w:rPr>
          <w:rFonts w:asciiTheme="majorHAnsi" w:hAnsiTheme="majorHAnsi"/>
          <w:sz w:val="22"/>
          <w:szCs w:val="22"/>
          <w:lang w:val="pt-BR"/>
        </w:rPr>
      </w:pPr>
    </w:p>
    <w:p w14:paraId="12496A14" w14:textId="77777777" w:rsidR="005128E4" w:rsidRPr="004B25E7" w:rsidRDefault="005128E4" w:rsidP="00040C3A">
      <w:pPr>
        <w:tabs>
          <w:tab w:val="center" w:pos="5400"/>
        </w:tabs>
        <w:suppressAutoHyphens/>
        <w:jc w:val="center"/>
        <w:rPr>
          <w:rFonts w:asciiTheme="majorHAnsi" w:hAnsiTheme="majorHAnsi"/>
          <w:sz w:val="22"/>
          <w:szCs w:val="22"/>
          <w:lang w:val="pt-BR"/>
        </w:rPr>
      </w:pPr>
    </w:p>
    <w:p w14:paraId="25772DB3" w14:textId="77777777" w:rsidR="005128E4" w:rsidRPr="004B25E7" w:rsidRDefault="005128E4" w:rsidP="00040C3A">
      <w:pPr>
        <w:tabs>
          <w:tab w:val="center" w:pos="5400"/>
        </w:tabs>
        <w:suppressAutoHyphens/>
        <w:jc w:val="center"/>
        <w:rPr>
          <w:rFonts w:asciiTheme="majorHAnsi" w:hAnsiTheme="majorHAnsi"/>
          <w:sz w:val="22"/>
          <w:szCs w:val="22"/>
          <w:lang w:val="pt-BR"/>
        </w:rPr>
      </w:pPr>
    </w:p>
    <w:p w14:paraId="6820FADA" w14:textId="77777777" w:rsidR="005128E4" w:rsidRPr="004B25E7" w:rsidRDefault="005128E4" w:rsidP="00040C3A">
      <w:pPr>
        <w:tabs>
          <w:tab w:val="center" w:pos="5400"/>
        </w:tabs>
        <w:suppressAutoHyphens/>
        <w:jc w:val="center"/>
        <w:rPr>
          <w:rFonts w:asciiTheme="majorHAnsi" w:hAnsiTheme="majorHAnsi"/>
          <w:sz w:val="22"/>
          <w:szCs w:val="22"/>
          <w:lang w:val="pt-BR"/>
        </w:rPr>
      </w:pPr>
    </w:p>
    <w:p w14:paraId="54445A55" w14:textId="77777777" w:rsidR="00040C3A" w:rsidRPr="004B25E7" w:rsidRDefault="00040C3A" w:rsidP="00040C3A">
      <w:pPr>
        <w:tabs>
          <w:tab w:val="center" w:pos="5400"/>
        </w:tabs>
        <w:suppressAutoHyphens/>
        <w:jc w:val="center"/>
        <w:rPr>
          <w:rFonts w:asciiTheme="majorHAnsi" w:hAnsiTheme="majorHAnsi"/>
          <w:sz w:val="22"/>
          <w:szCs w:val="22"/>
          <w:lang w:val="pt-BR"/>
        </w:rPr>
      </w:pPr>
    </w:p>
    <w:p w14:paraId="5D4A4040" w14:textId="77777777" w:rsidR="00040C3A" w:rsidRPr="004B25E7" w:rsidRDefault="00040C3A" w:rsidP="00040C3A">
      <w:pPr>
        <w:tabs>
          <w:tab w:val="center" w:pos="5400"/>
        </w:tabs>
        <w:suppressAutoHyphens/>
        <w:jc w:val="center"/>
        <w:rPr>
          <w:rFonts w:asciiTheme="majorHAnsi" w:hAnsiTheme="majorHAnsi"/>
          <w:sz w:val="22"/>
          <w:szCs w:val="22"/>
          <w:lang w:val="pt-BR"/>
        </w:rPr>
      </w:pPr>
    </w:p>
    <w:p w14:paraId="048FBB22" w14:textId="77777777" w:rsidR="00A50FCF" w:rsidRPr="004B25E7" w:rsidRDefault="00A50FCF" w:rsidP="00040C3A">
      <w:pPr>
        <w:tabs>
          <w:tab w:val="center" w:pos="5400"/>
        </w:tabs>
        <w:suppressAutoHyphens/>
        <w:jc w:val="center"/>
        <w:rPr>
          <w:rFonts w:asciiTheme="majorHAnsi" w:hAnsiTheme="majorHAnsi"/>
          <w:sz w:val="18"/>
          <w:szCs w:val="22"/>
          <w:lang w:val="pt-BR"/>
        </w:rPr>
      </w:pPr>
    </w:p>
    <w:p w14:paraId="190ABFB3" w14:textId="77777777" w:rsidR="00A50FCF" w:rsidRPr="004B25E7" w:rsidRDefault="00A50FCF" w:rsidP="00040C3A">
      <w:pPr>
        <w:tabs>
          <w:tab w:val="center" w:pos="5400"/>
        </w:tabs>
        <w:suppressAutoHyphens/>
        <w:jc w:val="center"/>
        <w:rPr>
          <w:rFonts w:asciiTheme="majorHAnsi" w:hAnsiTheme="majorHAnsi"/>
          <w:sz w:val="18"/>
          <w:szCs w:val="22"/>
          <w:lang w:val="pt-BR"/>
        </w:rPr>
      </w:pPr>
    </w:p>
    <w:p w14:paraId="4C690048" w14:textId="77777777" w:rsidR="00A50FCF" w:rsidRPr="004B25E7" w:rsidRDefault="00A50FCF" w:rsidP="00040C3A">
      <w:pPr>
        <w:tabs>
          <w:tab w:val="center" w:pos="5400"/>
        </w:tabs>
        <w:suppressAutoHyphens/>
        <w:jc w:val="center"/>
        <w:rPr>
          <w:rFonts w:asciiTheme="majorHAnsi" w:hAnsiTheme="majorHAnsi"/>
          <w:sz w:val="18"/>
          <w:szCs w:val="22"/>
          <w:lang w:val="pt-BR"/>
        </w:rPr>
      </w:pPr>
    </w:p>
    <w:p w14:paraId="733CA438" w14:textId="77777777" w:rsidR="00A50FCF" w:rsidRPr="004B25E7" w:rsidRDefault="00A50FCF" w:rsidP="00040C3A">
      <w:pPr>
        <w:tabs>
          <w:tab w:val="center" w:pos="5400"/>
        </w:tabs>
        <w:suppressAutoHyphens/>
        <w:jc w:val="center"/>
        <w:rPr>
          <w:rFonts w:asciiTheme="majorHAnsi" w:hAnsiTheme="majorHAnsi"/>
          <w:sz w:val="18"/>
          <w:szCs w:val="22"/>
          <w:lang w:val="pt-BR"/>
        </w:rPr>
      </w:pPr>
    </w:p>
    <w:p w14:paraId="7874DEEB" w14:textId="77777777" w:rsidR="00A50FCF" w:rsidRPr="004B25E7" w:rsidRDefault="00A50FCF" w:rsidP="00040C3A">
      <w:pPr>
        <w:tabs>
          <w:tab w:val="center" w:pos="5400"/>
        </w:tabs>
        <w:suppressAutoHyphens/>
        <w:jc w:val="center"/>
        <w:rPr>
          <w:rFonts w:asciiTheme="majorHAnsi" w:hAnsiTheme="majorHAnsi"/>
          <w:sz w:val="18"/>
          <w:szCs w:val="22"/>
          <w:lang w:val="pt-BR"/>
        </w:rPr>
      </w:pPr>
    </w:p>
    <w:p w14:paraId="3698D0D6" w14:textId="77777777" w:rsidR="00A50FCF" w:rsidRPr="004B25E7" w:rsidRDefault="00A50FCF" w:rsidP="00040C3A">
      <w:pPr>
        <w:tabs>
          <w:tab w:val="center" w:pos="5400"/>
        </w:tabs>
        <w:suppressAutoHyphens/>
        <w:jc w:val="center"/>
        <w:rPr>
          <w:rFonts w:asciiTheme="majorHAnsi" w:hAnsiTheme="majorHAnsi"/>
          <w:sz w:val="18"/>
          <w:szCs w:val="22"/>
          <w:lang w:val="pt-BR"/>
        </w:rPr>
      </w:pPr>
    </w:p>
    <w:p w14:paraId="1F907823" w14:textId="77777777" w:rsidR="00A50FCF" w:rsidRPr="004B25E7" w:rsidRDefault="00A50FCF" w:rsidP="00040C3A">
      <w:pPr>
        <w:tabs>
          <w:tab w:val="center" w:pos="5400"/>
        </w:tabs>
        <w:suppressAutoHyphens/>
        <w:jc w:val="center"/>
        <w:rPr>
          <w:rFonts w:asciiTheme="majorHAnsi" w:hAnsiTheme="majorHAnsi"/>
          <w:sz w:val="18"/>
          <w:szCs w:val="22"/>
          <w:lang w:val="pt-BR"/>
        </w:rPr>
      </w:pPr>
    </w:p>
    <w:p w14:paraId="045D9AC1" w14:textId="77777777" w:rsidR="00A50FCF" w:rsidRPr="004B25E7" w:rsidRDefault="00A50FCF" w:rsidP="00040C3A">
      <w:pPr>
        <w:tabs>
          <w:tab w:val="center" w:pos="5400"/>
        </w:tabs>
        <w:suppressAutoHyphens/>
        <w:jc w:val="center"/>
        <w:rPr>
          <w:rFonts w:asciiTheme="majorHAnsi" w:hAnsiTheme="majorHAnsi"/>
          <w:sz w:val="18"/>
          <w:szCs w:val="22"/>
          <w:lang w:val="pt-BR"/>
        </w:rPr>
      </w:pPr>
    </w:p>
    <w:p w14:paraId="16068EE5" w14:textId="77777777" w:rsidR="00A50FCF" w:rsidRPr="004B25E7" w:rsidRDefault="00A50FCF" w:rsidP="00040C3A">
      <w:pPr>
        <w:tabs>
          <w:tab w:val="center" w:pos="5400"/>
        </w:tabs>
        <w:suppressAutoHyphens/>
        <w:jc w:val="center"/>
        <w:rPr>
          <w:rFonts w:asciiTheme="majorHAnsi" w:hAnsiTheme="majorHAnsi"/>
          <w:sz w:val="18"/>
          <w:szCs w:val="22"/>
          <w:lang w:val="pt-BR"/>
        </w:rPr>
      </w:pPr>
    </w:p>
    <w:p w14:paraId="14A4A430" w14:textId="77777777" w:rsidR="00A50FCF" w:rsidRPr="004B25E7" w:rsidRDefault="00A50FCF" w:rsidP="00040C3A">
      <w:pPr>
        <w:tabs>
          <w:tab w:val="center" w:pos="5400"/>
        </w:tabs>
        <w:suppressAutoHyphens/>
        <w:jc w:val="center"/>
        <w:rPr>
          <w:rFonts w:asciiTheme="majorHAnsi" w:hAnsiTheme="majorHAnsi"/>
          <w:sz w:val="18"/>
          <w:szCs w:val="22"/>
          <w:lang w:val="pt-BR"/>
        </w:rPr>
      </w:pPr>
    </w:p>
    <w:p w14:paraId="0B3B735F" w14:textId="77777777" w:rsidR="00A50FCF" w:rsidRPr="004B25E7" w:rsidRDefault="00A50FCF" w:rsidP="00040C3A">
      <w:pPr>
        <w:tabs>
          <w:tab w:val="center" w:pos="5400"/>
        </w:tabs>
        <w:suppressAutoHyphens/>
        <w:jc w:val="center"/>
        <w:rPr>
          <w:rFonts w:asciiTheme="majorHAnsi" w:hAnsiTheme="majorHAnsi"/>
          <w:sz w:val="18"/>
          <w:szCs w:val="22"/>
          <w:lang w:val="pt-BR"/>
        </w:rPr>
      </w:pPr>
    </w:p>
    <w:p w14:paraId="02C5C441" w14:textId="77777777" w:rsidR="00A50FCF" w:rsidRPr="004B25E7" w:rsidRDefault="00A50FCF" w:rsidP="00040C3A">
      <w:pPr>
        <w:tabs>
          <w:tab w:val="center" w:pos="5400"/>
        </w:tabs>
        <w:suppressAutoHyphens/>
        <w:jc w:val="center"/>
        <w:rPr>
          <w:rFonts w:asciiTheme="majorHAnsi" w:hAnsiTheme="majorHAnsi"/>
          <w:sz w:val="18"/>
          <w:szCs w:val="22"/>
          <w:lang w:val="pt-BR"/>
        </w:rPr>
      </w:pPr>
    </w:p>
    <w:p w14:paraId="7806A2B0" w14:textId="77777777" w:rsidR="00A50FCF" w:rsidRPr="004B25E7" w:rsidRDefault="00A50FCF" w:rsidP="00040C3A">
      <w:pPr>
        <w:tabs>
          <w:tab w:val="center" w:pos="5400"/>
        </w:tabs>
        <w:suppressAutoHyphens/>
        <w:jc w:val="center"/>
        <w:rPr>
          <w:rFonts w:asciiTheme="majorHAnsi" w:hAnsiTheme="majorHAnsi"/>
          <w:sz w:val="18"/>
          <w:szCs w:val="22"/>
          <w:lang w:val="pt-BR"/>
        </w:rPr>
      </w:pPr>
    </w:p>
    <w:p w14:paraId="319C392B" w14:textId="77777777" w:rsidR="00A50FCF" w:rsidRPr="004B25E7" w:rsidRDefault="00A50FCF" w:rsidP="00040C3A">
      <w:pPr>
        <w:tabs>
          <w:tab w:val="center" w:pos="5400"/>
        </w:tabs>
        <w:suppressAutoHyphens/>
        <w:jc w:val="center"/>
        <w:rPr>
          <w:rFonts w:asciiTheme="majorHAnsi" w:hAnsiTheme="majorHAnsi"/>
          <w:sz w:val="18"/>
          <w:szCs w:val="22"/>
          <w:lang w:val="pt-BR"/>
        </w:rPr>
      </w:pPr>
    </w:p>
    <w:p w14:paraId="514A0182" w14:textId="77777777" w:rsidR="00A50FCF" w:rsidRPr="004B25E7" w:rsidRDefault="0090270B" w:rsidP="00040C3A">
      <w:pPr>
        <w:tabs>
          <w:tab w:val="center" w:pos="5400"/>
        </w:tabs>
        <w:suppressAutoHyphens/>
        <w:jc w:val="center"/>
        <w:rPr>
          <w:rFonts w:asciiTheme="majorHAnsi" w:hAnsiTheme="majorHAnsi"/>
          <w:sz w:val="18"/>
          <w:szCs w:val="22"/>
          <w:lang w:val="pt-BR"/>
        </w:rPr>
      </w:pPr>
      <w:r w:rsidRPr="004B25E7">
        <w:rPr>
          <w:rFonts w:asciiTheme="majorHAnsi" w:hAnsiTheme="majorHAnsi"/>
          <w:noProof/>
          <w:sz w:val="22"/>
          <w:szCs w:val="22"/>
          <w:lang w:val="pt-BR"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0A23E50D" w:rsidR="00DD3D86" w:rsidRPr="004C2EB0" w:rsidRDefault="00DD3D86" w:rsidP="00247403">
                            <w:pPr>
                              <w:tabs>
                                <w:tab w:val="center" w:pos="5400"/>
                              </w:tabs>
                              <w:suppressAutoHyphens/>
                              <w:spacing w:before="60"/>
                              <w:rPr>
                                <w:rFonts w:asciiTheme="majorHAnsi" w:hAnsiTheme="majorHAnsi"/>
                                <w:color w:val="0D0D0D" w:themeColor="text1" w:themeTint="F2"/>
                                <w:sz w:val="18"/>
                                <w:szCs w:val="22"/>
                                <w:lang w:val="pt-BR"/>
                              </w:rPr>
                            </w:pPr>
                            <w:r w:rsidRPr="004C2EB0">
                              <w:rPr>
                                <w:rFonts w:asciiTheme="majorHAnsi" w:hAnsiTheme="majorHAnsi"/>
                                <w:color w:val="0D0D0D" w:themeColor="text1" w:themeTint="F2"/>
                                <w:sz w:val="18"/>
                                <w:szCs w:val="22"/>
                                <w:lang w:val="pt-BR"/>
                              </w:rPr>
                              <w:t xml:space="preserve">Aprovado eletronicamente pela Comissão em </w:t>
                            </w:r>
                            <w:r w:rsidR="005503D1">
                              <w:rPr>
                                <w:rFonts w:asciiTheme="majorHAnsi" w:hAnsiTheme="majorHAnsi"/>
                                <w:color w:val="0D0D0D" w:themeColor="text1" w:themeTint="F2"/>
                                <w:sz w:val="18"/>
                                <w:szCs w:val="22"/>
                                <w:lang w:val="pt-BR"/>
                              </w:rPr>
                              <w:t>28 de abril</w:t>
                            </w:r>
                            <w:r w:rsidRPr="004C2EB0">
                              <w:rPr>
                                <w:rFonts w:asciiTheme="majorHAnsi" w:hAnsiTheme="majorHAnsi"/>
                                <w:color w:val="0D0D0D" w:themeColor="text1" w:themeTint="F2"/>
                                <w:sz w:val="18"/>
                                <w:szCs w:val="22"/>
                                <w:lang w:val="pt-BR"/>
                              </w:rPr>
                              <w:t xml:space="preserve"> de </w:t>
                            </w:r>
                            <w:r w:rsidR="005503D1">
                              <w:rPr>
                                <w:rFonts w:asciiTheme="majorHAnsi" w:hAnsiTheme="majorHAnsi"/>
                                <w:color w:val="0D0D0D" w:themeColor="text1" w:themeTint="F2"/>
                                <w:sz w:val="18"/>
                                <w:szCs w:val="22"/>
                                <w:lang w:val="pt-BR"/>
                              </w:rPr>
                              <w:t>2</w:t>
                            </w:r>
                            <w:r w:rsidRPr="004C2EB0">
                              <w:rPr>
                                <w:rFonts w:asciiTheme="majorHAnsi" w:hAnsiTheme="majorHAnsi"/>
                                <w:color w:val="0D0D0D" w:themeColor="text1" w:themeTint="F2"/>
                                <w:sz w:val="18"/>
                                <w:szCs w:val="22"/>
                                <w:lang w:val="pt-BR"/>
                              </w:rPr>
                              <w:t>025</w:t>
                            </w:r>
                            <w:r w:rsidR="005503D1">
                              <w:rPr>
                                <w:rFonts w:asciiTheme="majorHAnsi" w:hAnsiTheme="majorHAnsi"/>
                                <w:color w:val="0D0D0D" w:themeColor="text1" w:themeTint="F2"/>
                                <w:sz w:val="18"/>
                                <w:szCs w:val="22"/>
                                <w:lang w:val="pt-BR"/>
                              </w:rPr>
                              <w:t>.</w:t>
                            </w:r>
                          </w:p>
                          <w:p w14:paraId="4D148488" w14:textId="77777777" w:rsidR="005B52B0" w:rsidRPr="004C2EB0"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0A23E50D" w:rsidR="00DD3D86" w:rsidRPr="004C2EB0" w:rsidRDefault="00DD3D86" w:rsidP="00247403">
                      <w:pPr>
                        <w:tabs>
                          <w:tab w:val="center" w:pos="5400"/>
                        </w:tabs>
                        <w:suppressAutoHyphens/>
                        <w:spacing w:before="60"/>
                        <w:rPr>
                          <w:rFonts w:asciiTheme="majorHAnsi" w:hAnsiTheme="majorHAnsi"/>
                          <w:color w:val="0D0D0D" w:themeColor="text1" w:themeTint="F2"/>
                          <w:sz w:val="18"/>
                          <w:szCs w:val="22"/>
                          <w:lang w:val="pt-BR"/>
                        </w:rPr>
                      </w:pPr>
                      <w:r w:rsidRPr="004C2EB0">
                        <w:rPr>
                          <w:rFonts w:asciiTheme="majorHAnsi" w:hAnsiTheme="majorHAnsi"/>
                          <w:color w:val="0D0D0D" w:themeColor="text1" w:themeTint="F2"/>
                          <w:sz w:val="18"/>
                          <w:szCs w:val="22"/>
                          <w:lang w:val="pt-BR"/>
                        </w:rPr>
                        <w:t xml:space="preserve">Aprovado eletronicamente pela Comissão em </w:t>
                      </w:r>
                      <w:r w:rsidR="005503D1">
                        <w:rPr>
                          <w:rFonts w:asciiTheme="majorHAnsi" w:hAnsiTheme="majorHAnsi"/>
                          <w:color w:val="0D0D0D" w:themeColor="text1" w:themeTint="F2"/>
                          <w:sz w:val="18"/>
                          <w:szCs w:val="22"/>
                          <w:lang w:val="pt-BR"/>
                        </w:rPr>
                        <w:t>28 de abril</w:t>
                      </w:r>
                      <w:r w:rsidRPr="004C2EB0">
                        <w:rPr>
                          <w:rFonts w:asciiTheme="majorHAnsi" w:hAnsiTheme="majorHAnsi"/>
                          <w:color w:val="0D0D0D" w:themeColor="text1" w:themeTint="F2"/>
                          <w:sz w:val="18"/>
                          <w:szCs w:val="22"/>
                          <w:lang w:val="pt-BR"/>
                        </w:rPr>
                        <w:t xml:space="preserve"> de </w:t>
                      </w:r>
                      <w:r w:rsidR="005503D1">
                        <w:rPr>
                          <w:rFonts w:asciiTheme="majorHAnsi" w:hAnsiTheme="majorHAnsi"/>
                          <w:color w:val="0D0D0D" w:themeColor="text1" w:themeTint="F2"/>
                          <w:sz w:val="18"/>
                          <w:szCs w:val="22"/>
                          <w:lang w:val="pt-BR"/>
                        </w:rPr>
                        <w:t>2</w:t>
                      </w:r>
                      <w:r w:rsidRPr="004C2EB0">
                        <w:rPr>
                          <w:rFonts w:asciiTheme="majorHAnsi" w:hAnsiTheme="majorHAnsi"/>
                          <w:color w:val="0D0D0D" w:themeColor="text1" w:themeTint="F2"/>
                          <w:sz w:val="18"/>
                          <w:szCs w:val="22"/>
                          <w:lang w:val="pt-BR"/>
                        </w:rPr>
                        <w:t>025</w:t>
                      </w:r>
                      <w:r w:rsidR="005503D1">
                        <w:rPr>
                          <w:rFonts w:asciiTheme="majorHAnsi" w:hAnsiTheme="majorHAnsi"/>
                          <w:color w:val="0D0D0D" w:themeColor="text1" w:themeTint="F2"/>
                          <w:sz w:val="18"/>
                          <w:szCs w:val="22"/>
                          <w:lang w:val="pt-BR"/>
                        </w:rPr>
                        <w:t>.</w:t>
                      </w:r>
                    </w:p>
                    <w:p w14:paraId="4D148488" w14:textId="77777777" w:rsidR="005B52B0" w:rsidRPr="004C2EB0"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4B25E7" w:rsidRDefault="00A50FCF" w:rsidP="00040C3A">
      <w:pPr>
        <w:tabs>
          <w:tab w:val="center" w:pos="5400"/>
        </w:tabs>
        <w:suppressAutoHyphens/>
        <w:jc w:val="center"/>
        <w:rPr>
          <w:rFonts w:asciiTheme="majorHAnsi" w:hAnsiTheme="majorHAnsi"/>
          <w:sz w:val="18"/>
          <w:szCs w:val="22"/>
          <w:lang w:val="pt-BR"/>
        </w:rPr>
      </w:pPr>
    </w:p>
    <w:p w14:paraId="7929D1FD" w14:textId="77777777" w:rsidR="00A50FCF" w:rsidRPr="004B25E7" w:rsidRDefault="00A50FCF" w:rsidP="00040C3A">
      <w:pPr>
        <w:tabs>
          <w:tab w:val="center" w:pos="5400"/>
        </w:tabs>
        <w:suppressAutoHyphens/>
        <w:jc w:val="center"/>
        <w:rPr>
          <w:rFonts w:asciiTheme="majorHAnsi" w:hAnsiTheme="majorHAnsi"/>
          <w:sz w:val="18"/>
          <w:szCs w:val="22"/>
          <w:lang w:val="pt-BR"/>
        </w:rPr>
      </w:pPr>
    </w:p>
    <w:p w14:paraId="5469D0BE" w14:textId="77777777" w:rsidR="00A50FCF" w:rsidRPr="004B25E7" w:rsidRDefault="00A50FCF" w:rsidP="00040C3A">
      <w:pPr>
        <w:tabs>
          <w:tab w:val="center" w:pos="5400"/>
        </w:tabs>
        <w:suppressAutoHyphens/>
        <w:jc w:val="center"/>
        <w:rPr>
          <w:rFonts w:asciiTheme="majorHAnsi" w:hAnsiTheme="majorHAnsi"/>
          <w:sz w:val="18"/>
          <w:szCs w:val="22"/>
          <w:lang w:val="pt-BR"/>
        </w:rPr>
      </w:pPr>
    </w:p>
    <w:p w14:paraId="7A79F059" w14:textId="77777777" w:rsidR="00A50FCF" w:rsidRPr="004B25E7" w:rsidRDefault="00A50FCF" w:rsidP="00040C3A">
      <w:pPr>
        <w:tabs>
          <w:tab w:val="center" w:pos="5400"/>
        </w:tabs>
        <w:suppressAutoHyphens/>
        <w:jc w:val="center"/>
        <w:rPr>
          <w:rFonts w:asciiTheme="majorHAnsi" w:hAnsiTheme="majorHAnsi"/>
          <w:sz w:val="18"/>
          <w:szCs w:val="22"/>
          <w:lang w:val="pt-BR"/>
        </w:rPr>
      </w:pPr>
    </w:p>
    <w:p w14:paraId="330672AE" w14:textId="77777777" w:rsidR="00A50FCF" w:rsidRPr="004B25E7" w:rsidRDefault="0090270B" w:rsidP="00040C3A">
      <w:pPr>
        <w:tabs>
          <w:tab w:val="center" w:pos="5400"/>
        </w:tabs>
        <w:suppressAutoHyphens/>
        <w:jc w:val="center"/>
        <w:rPr>
          <w:rFonts w:asciiTheme="majorHAnsi" w:hAnsiTheme="majorHAnsi"/>
          <w:sz w:val="18"/>
          <w:szCs w:val="22"/>
          <w:lang w:val="pt-BR"/>
        </w:rPr>
      </w:pPr>
      <w:r w:rsidRPr="004B25E7">
        <w:rPr>
          <w:rFonts w:asciiTheme="majorHAnsi" w:hAnsiTheme="majorHAnsi"/>
          <w:noProof/>
          <w:sz w:val="18"/>
          <w:szCs w:val="22"/>
          <w:lang w:val="pt-BR"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9635D99" w:rsidR="00113F73" w:rsidRPr="00E130E0" w:rsidRDefault="00113F73" w:rsidP="00113F73">
                            <w:pPr>
                              <w:spacing w:line="276" w:lineRule="auto"/>
                              <w:rPr>
                                <w:rFonts w:asciiTheme="majorHAnsi" w:hAnsiTheme="majorHAnsi"/>
                                <w:color w:val="595959" w:themeColor="text1" w:themeTint="A6"/>
                                <w:sz w:val="18"/>
                                <w:szCs w:val="18"/>
                                <w:lang w:val="pt-BR"/>
                              </w:rPr>
                            </w:pPr>
                            <w:r w:rsidRPr="004C2EB0">
                              <w:rPr>
                                <w:rFonts w:asciiTheme="majorHAnsi" w:hAnsiTheme="majorHAnsi"/>
                                <w:b/>
                                <w:color w:val="595959" w:themeColor="text1" w:themeTint="A6"/>
                                <w:sz w:val="18"/>
                                <w:szCs w:val="18"/>
                                <w:lang w:val="pt-BR"/>
                              </w:rPr>
                              <w:t>Cite as:</w:t>
                            </w:r>
                            <w:r w:rsidRPr="004C2EB0">
                              <w:rPr>
                                <w:rFonts w:asciiTheme="majorHAnsi" w:hAnsiTheme="majorHAnsi"/>
                                <w:color w:val="595959" w:themeColor="text1" w:themeTint="A6"/>
                                <w:sz w:val="18"/>
                                <w:szCs w:val="18"/>
                                <w:lang w:val="pt-BR"/>
                              </w:rPr>
                              <w:t xml:space="preserve"> CIDH, Relatório No. </w:t>
                            </w:r>
                            <w:r w:rsidR="00E130E0">
                              <w:rPr>
                                <w:rFonts w:asciiTheme="majorHAnsi" w:hAnsiTheme="majorHAnsi"/>
                                <w:color w:val="595959" w:themeColor="text1" w:themeTint="A6"/>
                                <w:sz w:val="18"/>
                                <w:szCs w:val="18"/>
                                <w:lang w:val="pt-BR"/>
                              </w:rPr>
                              <w:t>71</w:t>
                            </w:r>
                            <w:r w:rsidRPr="004C2EB0">
                              <w:rPr>
                                <w:rFonts w:asciiTheme="majorHAnsi" w:hAnsiTheme="majorHAnsi"/>
                                <w:color w:val="595959" w:themeColor="text1" w:themeTint="A6"/>
                                <w:sz w:val="18"/>
                                <w:szCs w:val="18"/>
                                <w:lang w:val="pt-BR"/>
                              </w:rPr>
                              <w:t>/</w:t>
                            </w:r>
                            <w:r w:rsidR="00E130E0">
                              <w:rPr>
                                <w:rFonts w:asciiTheme="majorHAnsi" w:hAnsiTheme="majorHAnsi"/>
                                <w:color w:val="595959" w:themeColor="text1" w:themeTint="A6"/>
                                <w:sz w:val="18"/>
                                <w:szCs w:val="18"/>
                                <w:lang w:val="pt-BR"/>
                              </w:rPr>
                              <w:t>25</w:t>
                            </w:r>
                            <w:r w:rsidRPr="004C2EB0">
                              <w:rPr>
                                <w:rFonts w:asciiTheme="majorHAnsi" w:hAnsiTheme="majorHAnsi"/>
                                <w:color w:val="595959" w:themeColor="text1" w:themeTint="A6"/>
                                <w:sz w:val="18"/>
                                <w:szCs w:val="18"/>
                                <w:lang w:val="pt-BR"/>
                              </w:rPr>
                              <w:t>. Petição 777-21. Admissibilidade. Paulo Alexandre Gomes e</w:t>
                            </w:r>
                            <w:r w:rsidR="00E130E0">
                              <w:rPr>
                                <w:rFonts w:asciiTheme="majorHAnsi" w:hAnsiTheme="majorHAnsi"/>
                                <w:color w:val="595959" w:themeColor="text1" w:themeTint="A6"/>
                                <w:sz w:val="18"/>
                                <w:szCs w:val="18"/>
                                <w:lang w:val="pt-BR"/>
                              </w:rPr>
                              <w:t xml:space="preserve"> </w:t>
                            </w:r>
                            <w:r w:rsidRPr="004C2EB0">
                              <w:rPr>
                                <w:rFonts w:asciiTheme="majorHAnsi" w:hAnsiTheme="majorHAnsi"/>
                                <w:color w:val="595959" w:themeColor="text1" w:themeTint="A6"/>
                                <w:sz w:val="18"/>
                                <w:szCs w:val="18"/>
                                <w:lang w:val="pt-BR"/>
                              </w:rPr>
                              <w:t xml:space="preserve">familiares. </w:t>
                            </w:r>
                            <w:r w:rsidRPr="00E130E0">
                              <w:rPr>
                                <w:rFonts w:asciiTheme="majorHAnsi" w:hAnsiTheme="majorHAnsi"/>
                                <w:color w:val="595959" w:themeColor="text1" w:themeTint="A6"/>
                                <w:sz w:val="18"/>
                                <w:szCs w:val="18"/>
                                <w:lang w:val="pt-BR"/>
                              </w:rPr>
                              <w:t xml:space="preserve">Brasil. </w:t>
                            </w:r>
                            <w:r w:rsidR="00E130E0">
                              <w:rPr>
                                <w:rFonts w:asciiTheme="majorHAnsi" w:hAnsiTheme="majorHAnsi"/>
                                <w:color w:val="595959" w:themeColor="text1" w:themeTint="A6"/>
                                <w:sz w:val="18"/>
                                <w:szCs w:val="18"/>
                                <w:lang w:val="pt-BR"/>
                              </w:rPr>
                              <w:t>28 de abril de 2025</w:t>
                            </w:r>
                            <w:r w:rsidRPr="00E130E0">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49635D99" w:rsidR="00113F73" w:rsidRPr="00E130E0" w:rsidRDefault="00113F73" w:rsidP="00113F73">
                      <w:pPr>
                        <w:spacing w:line="276" w:lineRule="auto"/>
                        <w:rPr>
                          <w:rFonts w:asciiTheme="majorHAnsi" w:hAnsiTheme="majorHAnsi"/>
                          <w:color w:val="595959" w:themeColor="text1" w:themeTint="A6"/>
                          <w:sz w:val="18"/>
                          <w:szCs w:val="18"/>
                          <w:lang w:val="pt-BR"/>
                        </w:rPr>
                      </w:pPr>
                      <w:r w:rsidRPr="004C2EB0">
                        <w:rPr>
                          <w:rFonts w:asciiTheme="majorHAnsi" w:hAnsiTheme="majorHAnsi"/>
                          <w:b/>
                          <w:color w:val="595959" w:themeColor="text1" w:themeTint="A6"/>
                          <w:sz w:val="18"/>
                          <w:szCs w:val="18"/>
                          <w:lang w:val="pt-BR"/>
                        </w:rPr>
                        <w:t>Cite as:</w:t>
                      </w:r>
                      <w:r w:rsidRPr="004C2EB0">
                        <w:rPr>
                          <w:rFonts w:asciiTheme="majorHAnsi" w:hAnsiTheme="majorHAnsi"/>
                          <w:color w:val="595959" w:themeColor="text1" w:themeTint="A6"/>
                          <w:sz w:val="18"/>
                          <w:szCs w:val="18"/>
                          <w:lang w:val="pt-BR"/>
                        </w:rPr>
                        <w:t xml:space="preserve"> CIDH, Relatório No. </w:t>
                      </w:r>
                      <w:r w:rsidR="00E130E0">
                        <w:rPr>
                          <w:rFonts w:asciiTheme="majorHAnsi" w:hAnsiTheme="majorHAnsi"/>
                          <w:color w:val="595959" w:themeColor="text1" w:themeTint="A6"/>
                          <w:sz w:val="18"/>
                          <w:szCs w:val="18"/>
                          <w:lang w:val="pt-BR"/>
                        </w:rPr>
                        <w:t>71</w:t>
                      </w:r>
                      <w:r w:rsidRPr="004C2EB0">
                        <w:rPr>
                          <w:rFonts w:asciiTheme="majorHAnsi" w:hAnsiTheme="majorHAnsi"/>
                          <w:color w:val="595959" w:themeColor="text1" w:themeTint="A6"/>
                          <w:sz w:val="18"/>
                          <w:szCs w:val="18"/>
                          <w:lang w:val="pt-BR"/>
                        </w:rPr>
                        <w:t>/</w:t>
                      </w:r>
                      <w:r w:rsidR="00E130E0">
                        <w:rPr>
                          <w:rFonts w:asciiTheme="majorHAnsi" w:hAnsiTheme="majorHAnsi"/>
                          <w:color w:val="595959" w:themeColor="text1" w:themeTint="A6"/>
                          <w:sz w:val="18"/>
                          <w:szCs w:val="18"/>
                          <w:lang w:val="pt-BR"/>
                        </w:rPr>
                        <w:t>25</w:t>
                      </w:r>
                      <w:r w:rsidRPr="004C2EB0">
                        <w:rPr>
                          <w:rFonts w:asciiTheme="majorHAnsi" w:hAnsiTheme="majorHAnsi"/>
                          <w:color w:val="595959" w:themeColor="text1" w:themeTint="A6"/>
                          <w:sz w:val="18"/>
                          <w:szCs w:val="18"/>
                          <w:lang w:val="pt-BR"/>
                        </w:rPr>
                        <w:t>. Petição 777-21. Admissibilidade. Paulo Alexandre Gomes e</w:t>
                      </w:r>
                      <w:r w:rsidR="00E130E0">
                        <w:rPr>
                          <w:rFonts w:asciiTheme="majorHAnsi" w:hAnsiTheme="majorHAnsi"/>
                          <w:color w:val="595959" w:themeColor="text1" w:themeTint="A6"/>
                          <w:sz w:val="18"/>
                          <w:szCs w:val="18"/>
                          <w:lang w:val="pt-BR"/>
                        </w:rPr>
                        <w:t xml:space="preserve"> </w:t>
                      </w:r>
                      <w:r w:rsidRPr="004C2EB0">
                        <w:rPr>
                          <w:rFonts w:asciiTheme="majorHAnsi" w:hAnsiTheme="majorHAnsi"/>
                          <w:color w:val="595959" w:themeColor="text1" w:themeTint="A6"/>
                          <w:sz w:val="18"/>
                          <w:szCs w:val="18"/>
                          <w:lang w:val="pt-BR"/>
                        </w:rPr>
                        <w:t xml:space="preserve">familiares. </w:t>
                      </w:r>
                      <w:r w:rsidRPr="00E130E0">
                        <w:rPr>
                          <w:rFonts w:asciiTheme="majorHAnsi" w:hAnsiTheme="majorHAnsi"/>
                          <w:color w:val="595959" w:themeColor="text1" w:themeTint="A6"/>
                          <w:sz w:val="18"/>
                          <w:szCs w:val="18"/>
                          <w:lang w:val="pt-BR"/>
                        </w:rPr>
                        <w:t xml:space="preserve">Brasil. </w:t>
                      </w:r>
                      <w:r w:rsidR="00E130E0">
                        <w:rPr>
                          <w:rFonts w:asciiTheme="majorHAnsi" w:hAnsiTheme="majorHAnsi"/>
                          <w:color w:val="595959" w:themeColor="text1" w:themeTint="A6"/>
                          <w:sz w:val="18"/>
                          <w:szCs w:val="18"/>
                          <w:lang w:val="pt-BR"/>
                        </w:rPr>
                        <w:t>28 de abril de 2025</w:t>
                      </w:r>
                      <w:r w:rsidRPr="00E130E0">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4B25E7" w:rsidRDefault="00A50FCF" w:rsidP="00040C3A">
      <w:pPr>
        <w:tabs>
          <w:tab w:val="center" w:pos="5400"/>
        </w:tabs>
        <w:suppressAutoHyphens/>
        <w:jc w:val="center"/>
        <w:rPr>
          <w:rFonts w:asciiTheme="majorHAnsi" w:hAnsiTheme="majorHAnsi"/>
          <w:sz w:val="18"/>
          <w:szCs w:val="22"/>
          <w:lang w:val="pt-BR"/>
        </w:rPr>
      </w:pPr>
    </w:p>
    <w:p w14:paraId="1DA07629" w14:textId="38F4892B" w:rsidR="0090270B" w:rsidRPr="004B25E7" w:rsidRDefault="00D306D1" w:rsidP="005516A1">
      <w:pPr>
        <w:tabs>
          <w:tab w:val="center" w:pos="5400"/>
        </w:tabs>
        <w:suppressAutoHyphens/>
        <w:jc w:val="center"/>
        <w:rPr>
          <w:rFonts w:asciiTheme="majorHAnsi" w:hAnsiTheme="majorHAnsi"/>
          <w:b/>
          <w:sz w:val="20"/>
          <w:lang w:val="pt-BR"/>
        </w:rPr>
      </w:pPr>
      <w:r w:rsidRPr="004B25E7">
        <w:rPr>
          <w:rFonts w:asciiTheme="majorHAnsi" w:hAnsiTheme="majorHAnsi"/>
          <w:noProof/>
          <w:sz w:val="22"/>
          <w:szCs w:val="22"/>
          <w:lang w:val="pt-BR" w:eastAsia="es-419"/>
        </w:rPr>
        <mc:AlternateContent>
          <mc:Choice Requires="wps">
            <w:drawing>
              <wp:anchor distT="0" distB="0" distL="114300" distR="114300" simplePos="0" relativeHeight="251682816" behindDoc="0" locked="0" layoutInCell="1" allowOverlap="1" wp14:anchorId="02EDA5EE" wp14:editId="0065E4D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DF018B" w14:textId="77777777" w:rsidR="00647814" w:rsidRPr="00A75CC3" w:rsidRDefault="00647814" w:rsidP="00647814">
                            <w:pPr>
                              <w:jc w:val="center"/>
                              <w:rPr>
                                <w:rFonts w:asciiTheme="minorHAnsi" w:hAnsiTheme="minorHAnsi"/>
                                <w:b/>
                              </w:rPr>
                            </w:pPr>
                            <w:r w:rsidRPr="00A75CC3">
                              <w:rPr>
                                <w:rFonts w:asciiTheme="minorHAnsi" w:hAnsiTheme="minorHAnsi"/>
                                <w:b/>
                                <w:lang w:val="pt-BR"/>
                              </w:rPr>
                              <w:t>www.cidh.org</w:t>
                            </w:r>
                          </w:p>
                          <w:p w14:paraId="6EA0DBC3" w14:textId="666EDB46" w:rsidR="00D306D1" w:rsidRPr="004B7EB6" w:rsidRDefault="00D306D1" w:rsidP="00D306D1">
                            <w:pPr>
                              <w:jc w:val="center"/>
                              <w:rPr>
                                <w:rFonts w:asciiTheme="minorHAnsi" w:hAnsiTheme="minorHAnsi"/>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45DF018B" w14:textId="77777777" w:rsidR="00647814" w:rsidRPr="00A75CC3" w:rsidRDefault="00647814" w:rsidP="00647814">
                      <w:pPr>
                        <w:jc w:val="center"/>
                        <w:rPr>
                          <w:rFonts w:asciiTheme="minorHAnsi" w:hAnsiTheme="minorHAnsi"/>
                          <w:b/>
                        </w:rPr>
                      </w:pPr>
                      <w:r w:rsidRPr="00A75CC3">
                        <w:rPr>
                          <w:rFonts w:asciiTheme="minorHAnsi" w:hAnsiTheme="minorHAnsi"/>
                          <w:b/>
                          <w:lang w:val="pt-BR"/>
                        </w:rPr>
                        <w:t>www.cidh.org</w:t>
                      </w:r>
                    </w:p>
                    <w:p w14:paraId="6EA0DBC3" w14:textId="666EDB46" w:rsidR="00D306D1" w:rsidRPr="004B7EB6" w:rsidRDefault="00D306D1" w:rsidP="00D306D1">
                      <w:pPr>
                        <w:jc w:val="center"/>
                        <w:rPr>
                          <w:rFonts w:asciiTheme="minorHAnsi" w:hAnsiTheme="minorHAnsi"/>
                          <w:b/>
                          <w:color w:val="FFFFFF" w:themeColor="background1"/>
                        </w:rPr>
                      </w:pPr>
                    </w:p>
                  </w:txbxContent>
                </v:textbox>
              </v:shape>
            </w:pict>
          </mc:Fallback>
        </mc:AlternateContent>
      </w:r>
    </w:p>
    <w:p w14:paraId="2FE1B253" w14:textId="183EFB7C" w:rsidR="0070697F" w:rsidRPr="004B25E7" w:rsidRDefault="005503D1" w:rsidP="005516A1">
      <w:pPr>
        <w:tabs>
          <w:tab w:val="center" w:pos="5400"/>
        </w:tabs>
        <w:suppressAutoHyphens/>
        <w:jc w:val="center"/>
        <w:rPr>
          <w:rFonts w:asciiTheme="majorHAnsi" w:hAnsiTheme="majorHAnsi"/>
          <w:b/>
          <w:sz w:val="20"/>
          <w:lang w:val="pt-BR"/>
        </w:rPr>
        <w:sectPr w:rsidR="0070697F" w:rsidRPr="004B25E7"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4B25E7">
        <w:rPr>
          <w:rFonts w:asciiTheme="majorHAnsi" w:hAnsiTheme="majorHAnsi"/>
          <w:noProof/>
          <w:sz w:val="18"/>
          <w:szCs w:val="22"/>
          <w:lang w:val="pt-BR" w:eastAsia="es-419"/>
        </w:rPr>
        <mc:AlternateContent>
          <mc:Choice Requires="wps">
            <w:drawing>
              <wp:anchor distT="0" distB="0" distL="114300" distR="114300" simplePos="0" relativeHeight="251680768" behindDoc="0" locked="0" layoutInCell="1" allowOverlap="1" wp14:anchorId="50472543" wp14:editId="0704A6DA">
                <wp:simplePos x="0" y="0"/>
                <wp:positionH relativeFrom="column">
                  <wp:posOffset>1333500</wp:posOffset>
                </wp:positionH>
                <wp:positionV relativeFrom="paragraph">
                  <wp:posOffset>490220</wp:posOffset>
                </wp:positionV>
                <wp:extent cx="4096385" cy="6191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4096385"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8BE15BB" w:rsidR="00D72DC6" w:rsidRPr="00D72DC6" w:rsidRDefault="0041694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F547143" wp14:editId="1E12E039">
                                  <wp:extent cx="1897695" cy="51943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903861" cy="5211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5pt;margin-top:38.6pt;width:322.55pt;height:4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" fillcolor="white [3201]" stroked="f" strokeweight=".5pt">
                <v:textbox>
                  <w:txbxContent>
                    <w:p w14:paraId="2A1ECD3C" w14:textId="48BE15BB" w:rsidR="00D72DC6" w:rsidRPr="00D72DC6" w:rsidRDefault="0041694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F547143" wp14:editId="1E12E039">
                            <wp:extent cx="1897695" cy="51943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903861" cy="521118"/>
                                    </a:xfrm>
                                    <a:prstGeom prst="rect">
                                      <a:avLst/>
                                    </a:prstGeom>
                                    <a:noFill/>
                                    <a:ln>
                                      <a:noFill/>
                                    </a:ln>
                                  </pic:spPr>
                                </pic:pic>
                              </a:graphicData>
                            </a:graphic>
                          </wp:inline>
                        </w:drawing>
                      </w:r>
                    </w:p>
                  </w:txbxContent>
                </v:textbox>
              </v:shape>
            </w:pict>
          </mc:Fallback>
        </mc:AlternateContent>
      </w:r>
      <w:r w:rsidR="004A6A54" w:rsidRPr="004B25E7">
        <w:rPr>
          <w:rFonts w:asciiTheme="majorHAnsi" w:hAnsiTheme="majorHAnsi"/>
          <w:b/>
          <w:sz w:val="20"/>
          <w:lang w:val="pt-BR"/>
        </w:rPr>
        <w:tab/>
      </w:r>
    </w:p>
    <w:p w14:paraId="376DDC8B" w14:textId="42AF248F" w:rsidR="003239B8" w:rsidRPr="004B25E7" w:rsidRDefault="001E1C59" w:rsidP="004A6A54">
      <w:pPr>
        <w:spacing w:after="240"/>
        <w:ind w:firstLine="720"/>
        <w:jc w:val="both"/>
        <w:rPr>
          <w:rFonts w:asciiTheme="majorHAnsi" w:hAnsiTheme="majorHAnsi"/>
          <w:b/>
          <w:bCs/>
          <w:sz w:val="20"/>
          <w:szCs w:val="20"/>
          <w:lang w:val="pt-BR"/>
        </w:rPr>
      </w:pPr>
      <w:r w:rsidRPr="004B25E7">
        <w:rPr>
          <w:rFonts w:asciiTheme="majorHAnsi" w:hAnsiTheme="majorHAnsi"/>
          <w:b/>
          <w:bCs/>
          <w:sz w:val="20"/>
          <w:szCs w:val="20"/>
          <w:lang w:val="pt-BR"/>
        </w:rPr>
        <w:lastRenderedPageBreak/>
        <w:t>I</w:t>
      </w:r>
      <w:r w:rsidR="003239B8" w:rsidRPr="004B25E7">
        <w:rPr>
          <w:rFonts w:asciiTheme="majorHAnsi" w:hAnsiTheme="majorHAnsi"/>
          <w:b/>
          <w:bCs/>
          <w:sz w:val="20"/>
          <w:szCs w:val="20"/>
          <w:lang w:val="pt-BR"/>
        </w:rPr>
        <w:t>.</w:t>
      </w:r>
      <w:r w:rsidR="003239B8" w:rsidRPr="004B25E7">
        <w:rPr>
          <w:rFonts w:asciiTheme="majorHAnsi" w:hAnsiTheme="majorHAnsi"/>
          <w:b/>
          <w:bCs/>
          <w:sz w:val="20"/>
          <w:szCs w:val="20"/>
          <w:lang w:val="pt-BR"/>
        </w:rPr>
        <w:tab/>
        <w:t xml:space="preserve">DETALHES DA PETIÇÃO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733E6E" w:rsidRPr="005314DB" w14:paraId="5A79D1F7" w14:textId="77777777" w:rsidTr="001E1C59">
        <w:tc>
          <w:tcPr>
            <w:tcW w:w="3600" w:type="dxa"/>
            <w:tcBorders>
              <w:top w:val="single" w:sz="4" w:space="0" w:color="auto"/>
              <w:bottom w:val="single" w:sz="6" w:space="0" w:color="auto"/>
            </w:tcBorders>
            <w:shd w:val="clear" w:color="auto" w:fill="FFC000"/>
            <w:vAlign w:val="center"/>
          </w:tcPr>
          <w:p w14:paraId="0CB2A43B" w14:textId="72534C89" w:rsidR="00733E6E" w:rsidRPr="004B25E7" w:rsidRDefault="00733E6E" w:rsidP="00733E6E">
            <w:pPr>
              <w:jc w:val="center"/>
              <w:rPr>
                <w:rFonts w:ascii="Cambria" w:hAnsi="Cambria"/>
                <w:b/>
                <w:bCs/>
                <w:sz w:val="20"/>
                <w:szCs w:val="20"/>
                <w:lang w:val="pt-BR"/>
              </w:rPr>
            </w:pPr>
            <w:r w:rsidRPr="004B25E7">
              <w:rPr>
                <w:rFonts w:ascii="Cambria" w:hAnsi="Cambria"/>
                <w:b/>
                <w:bCs/>
                <w:color w:val="000000" w:themeColor="text1"/>
                <w:sz w:val="20"/>
                <w:szCs w:val="20"/>
                <w:lang w:val="pt-BR"/>
              </w:rPr>
              <w:t>Parte peticionária:</w:t>
            </w:r>
          </w:p>
        </w:tc>
        <w:tc>
          <w:tcPr>
            <w:tcW w:w="5760" w:type="dxa"/>
            <w:vAlign w:val="center"/>
          </w:tcPr>
          <w:p w14:paraId="3C5315D8" w14:textId="21E95E99" w:rsidR="00733E6E" w:rsidRPr="004B25E7" w:rsidRDefault="00733E6E" w:rsidP="00733E6E">
            <w:pPr>
              <w:jc w:val="both"/>
              <w:rPr>
                <w:rFonts w:ascii="Cambria" w:hAnsi="Cambria"/>
                <w:bCs/>
                <w:sz w:val="20"/>
                <w:szCs w:val="20"/>
                <w:lang w:val="pt-BR"/>
              </w:rPr>
            </w:pPr>
            <w:r w:rsidRPr="004B25E7">
              <w:rPr>
                <w:rFonts w:ascii="Cambria" w:hAnsi="Cambria"/>
                <w:bCs/>
                <w:sz w:val="20"/>
                <w:szCs w:val="20"/>
                <w:lang w:val="pt-BR"/>
              </w:rPr>
              <w:t>Conectas Direitos Humanos, Mães de Maio, Defensor</w:t>
            </w:r>
            <w:r w:rsidR="006510D2" w:rsidRPr="004B25E7">
              <w:rPr>
                <w:rFonts w:ascii="Cambria" w:hAnsi="Cambria"/>
                <w:bCs/>
                <w:sz w:val="20"/>
                <w:szCs w:val="20"/>
                <w:lang w:val="pt-BR"/>
              </w:rPr>
              <w:t>i</w:t>
            </w:r>
            <w:r w:rsidRPr="004B25E7">
              <w:rPr>
                <w:rFonts w:ascii="Cambria" w:hAnsi="Cambria"/>
                <w:bCs/>
                <w:sz w:val="20"/>
                <w:szCs w:val="20"/>
                <w:lang w:val="pt-BR"/>
              </w:rPr>
              <w:t>a Públic</w:t>
            </w:r>
            <w:r w:rsidR="006510D2" w:rsidRPr="004B25E7">
              <w:rPr>
                <w:rFonts w:ascii="Cambria" w:hAnsi="Cambria"/>
                <w:bCs/>
                <w:sz w:val="20"/>
                <w:szCs w:val="20"/>
                <w:lang w:val="pt-BR"/>
              </w:rPr>
              <w:t>a</w:t>
            </w:r>
            <w:r w:rsidRPr="004B25E7">
              <w:rPr>
                <w:rFonts w:ascii="Cambria" w:hAnsi="Cambria"/>
                <w:bCs/>
                <w:sz w:val="20"/>
                <w:szCs w:val="20"/>
                <w:lang w:val="pt-BR"/>
              </w:rPr>
              <w:t xml:space="preserve"> </w:t>
            </w:r>
            <w:r w:rsidR="006510D2" w:rsidRPr="004B25E7">
              <w:rPr>
                <w:rFonts w:ascii="Cambria" w:hAnsi="Cambria"/>
                <w:bCs/>
                <w:sz w:val="20"/>
                <w:szCs w:val="20"/>
                <w:lang w:val="pt-BR"/>
              </w:rPr>
              <w:t>do</w:t>
            </w:r>
            <w:r w:rsidRPr="004B25E7">
              <w:rPr>
                <w:rFonts w:ascii="Cambria" w:hAnsi="Cambria"/>
                <w:bCs/>
                <w:sz w:val="20"/>
                <w:szCs w:val="20"/>
                <w:lang w:val="pt-BR"/>
              </w:rPr>
              <w:t xml:space="preserve"> Estado de São Paulo e Núcleo Especializado de Cidadania e Direitos</w:t>
            </w:r>
          </w:p>
        </w:tc>
      </w:tr>
      <w:tr w:rsidR="00684995" w:rsidRPr="005314DB" w14:paraId="593A7E45" w14:textId="77777777" w:rsidTr="001E1C59">
        <w:tc>
          <w:tcPr>
            <w:tcW w:w="3600" w:type="dxa"/>
            <w:tcBorders>
              <w:top w:val="single" w:sz="6" w:space="0" w:color="auto"/>
              <w:bottom w:val="single" w:sz="6" w:space="0" w:color="auto"/>
            </w:tcBorders>
            <w:shd w:val="clear" w:color="auto" w:fill="FFC000"/>
            <w:vAlign w:val="center"/>
          </w:tcPr>
          <w:p w14:paraId="0E78CA0C" w14:textId="7808FA83" w:rsidR="00684995" w:rsidRPr="004B25E7" w:rsidRDefault="00684995" w:rsidP="00684995">
            <w:pPr>
              <w:jc w:val="center"/>
              <w:rPr>
                <w:rFonts w:ascii="Cambria" w:hAnsi="Cambria"/>
                <w:b/>
                <w:bCs/>
                <w:sz w:val="20"/>
                <w:szCs w:val="20"/>
                <w:lang w:val="pt-BR"/>
              </w:rPr>
            </w:pPr>
            <w:r w:rsidRPr="004B25E7">
              <w:rPr>
                <w:rFonts w:ascii="Cambria" w:hAnsi="Cambria"/>
                <w:b/>
                <w:bCs/>
                <w:color w:val="000000" w:themeColor="text1"/>
                <w:sz w:val="20"/>
                <w:szCs w:val="20"/>
                <w:lang w:val="pt-BR"/>
              </w:rPr>
              <w:t>Possíveis vítimas:</w:t>
            </w:r>
          </w:p>
        </w:tc>
        <w:tc>
          <w:tcPr>
            <w:tcW w:w="5760" w:type="dxa"/>
            <w:vAlign w:val="center"/>
          </w:tcPr>
          <w:p w14:paraId="4AEBF59E" w14:textId="5AA6BCF1" w:rsidR="00684995" w:rsidRPr="004B25E7" w:rsidRDefault="00684995" w:rsidP="00684995">
            <w:pPr>
              <w:jc w:val="both"/>
              <w:rPr>
                <w:rFonts w:ascii="Cambria" w:hAnsi="Cambria"/>
                <w:bCs/>
                <w:sz w:val="20"/>
                <w:szCs w:val="20"/>
                <w:lang w:val="pt-BR"/>
              </w:rPr>
            </w:pPr>
            <w:r w:rsidRPr="004B25E7">
              <w:rPr>
                <w:rFonts w:ascii="Cambria" w:hAnsi="Cambria"/>
                <w:bCs/>
                <w:sz w:val="20"/>
                <w:szCs w:val="20"/>
                <w:lang w:val="pt-BR"/>
              </w:rPr>
              <w:t xml:space="preserve">Paulo Alexandre Gomes e </w:t>
            </w:r>
            <w:r w:rsidR="006510D2" w:rsidRPr="004B25E7">
              <w:rPr>
                <w:rFonts w:ascii="Cambria" w:hAnsi="Cambria"/>
                <w:bCs/>
                <w:sz w:val="20"/>
                <w:szCs w:val="20"/>
                <w:lang w:val="pt-BR"/>
              </w:rPr>
              <w:t>familiares</w:t>
            </w:r>
            <w:r w:rsidRPr="004B25E7">
              <w:rPr>
                <w:rStyle w:val="FootnoteReference"/>
                <w:rFonts w:ascii="Cambria" w:hAnsi="Cambria"/>
                <w:bCs/>
                <w:sz w:val="20"/>
                <w:szCs w:val="20"/>
                <w:lang w:val="pt-BR"/>
              </w:rPr>
              <w:footnoteReference w:id="2"/>
            </w:r>
          </w:p>
        </w:tc>
      </w:tr>
      <w:tr w:rsidR="00700EE2" w:rsidRPr="004B25E7" w14:paraId="3E62E1D3" w14:textId="77777777" w:rsidTr="001E1C59">
        <w:tc>
          <w:tcPr>
            <w:tcW w:w="3600" w:type="dxa"/>
            <w:tcBorders>
              <w:top w:val="single" w:sz="6" w:space="0" w:color="auto"/>
              <w:bottom w:val="single" w:sz="6" w:space="0" w:color="auto"/>
            </w:tcBorders>
            <w:shd w:val="clear" w:color="auto" w:fill="FFC000"/>
            <w:vAlign w:val="center"/>
          </w:tcPr>
          <w:p w14:paraId="340B0F09" w14:textId="0C96BF1A" w:rsidR="00700EE2" w:rsidRPr="004B25E7" w:rsidRDefault="00700EE2" w:rsidP="00700EE2">
            <w:pPr>
              <w:jc w:val="center"/>
              <w:rPr>
                <w:rFonts w:ascii="Cambria" w:hAnsi="Cambria"/>
                <w:b/>
                <w:bCs/>
                <w:sz w:val="20"/>
                <w:szCs w:val="20"/>
                <w:lang w:val="pt-BR"/>
              </w:rPr>
            </w:pPr>
            <w:r w:rsidRPr="004B25E7">
              <w:rPr>
                <w:rFonts w:ascii="Cambria" w:hAnsi="Cambria"/>
                <w:b/>
                <w:bCs/>
                <w:color w:val="000000" w:themeColor="text1"/>
                <w:sz w:val="20"/>
                <w:szCs w:val="20"/>
                <w:lang w:val="pt-BR"/>
              </w:rPr>
              <w:t>Estado denunciado:</w:t>
            </w:r>
          </w:p>
        </w:tc>
        <w:tc>
          <w:tcPr>
            <w:tcW w:w="5760" w:type="dxa"/>
            <w:vAlign w:val="center"/>
          </w:tcPr>
          <w:p w14:paraId="274C8A50" w14:textId="4C1900E4" w:rsidR="00700EE2" w:rsidRPr="004B25E7" w:rsidRDefault="00700EE2" w:rsidP="00700EE2">
            <w:pPr>
              <w:jc w:val="both"/>
              <w:rPr>
                <w:rFonts w:ascii="Cambria" w:hAnsi="Cambria"/>
                <w:bCs/>
                <w:sz w:val="20"/>
                <w:szCs w:val="20"/>
                <w:lang w:val="pt-BR"/>
              </w:rPr>
            </w:pPr>
            <w:r w:rsidRPr="004B25E7">
              <w:rPr>
                <w:rFonts w:ascii="Cambria" w:hAnsi="Cambria"/>
                <w:bCs/>
                <w:sz w:val="20"/>
                <w:szCs w:val="20"/>
                <w:lang w:val="pt-BR"/>
              </w:rPr>
              <w:t>Brasil</w:t>
            </w:r>
          </w:p>
        </w:tc>
      </w:tr>
      <w:tr w:rsidR="001E1C59" w:rsidRPr="005314DB" w14:paraId="632511BC" w14:textId="77777777" w:rsidTr="001E1C59">
        <w:tc>
          <w:tcPr>
            <w:tcW w:w="3600" w:type="dxa"/>
            <w:tcBorders>
              <w:top w:val="single" w:sz="6" w:space="0" w:color="auto"/>
              <w:bottom w:val="single" w:sz="6" w:space="0" w:color="auto"/>
            </w:tcBorders>
            <w:shd w:val="clear" w:color="auto" w:fill="FFC000"/>
            <w:vAlign w:val="center"/>
          </w:tcPr>
          <w:p w14:paraId="727E2F6B" w14:textId="60AEE329" w:rsidR="00223A29" w:rsidRPr="004B25E7" w:rsidRDefault="001B3A00" w:rsidP="00E4118C">
            <w:pPr>
              <w:jc w:val="center"/>
              <w:rPr>
                <w:rFonts w:ascii="Cambria" w:hAnsi="Cambria"/>
                <w:b/>
                <w:bCs/>
                <w:sz w:val="20"/>
                <w:szCs w:val="20"/>
                <w:lang w:val="pt-BR"/>
              </w:rPr>
            </w:pPr>
            <w:r w:rsidRPr="004B25E7">
              <w:rPr>
                <w:rFonts w:ascii="Cambria" w:hAnsi="Cambria"/>
                <w:b/>
                <w:bCs/>
                <w:sz w:val="20"/>
                <w:szCs w:val="20"/>
                <w:lang w:val="pt-BR"/>
              </w:rPr>
              <w:t>Direitos invocados:</w:t>
            </w:r>
          </w:p>
        </w:tc>
        <w:tc>
          <w:tcPr>
            <w:tcW w:w="5760" w:type="dxa"/>
            <w:vAlign w:val="center"/>
          </w:tcPr>
          <w:p w14:paraId="6DEE1EEB" w14:textId="5D28E4DF" w:rsidR="00223A29" w:rsidRPr="004B25E7" w:rsidRDefault="006510D2">
            <w:pPr>
              <w:jc w:val="both"/>
              <w:rPr>
                <w:rFonts w:ascii="Cambria" w:hAnsi="Cambria"/>
                <w:bCs/>
                <w:sz w:val="20"/>
                <w:szCs w:val="20"/>
                <w:lang w:val="pt-BR"/>
              </w:rPr>
            </w:pPr>
            <w:r w:rsidRPr="004B25E7">
              <w:rPr>
                <w:rFonts w:ascii="Cambria" w:eastAsia="Cambria" w:hAnsi="Cambria" w:cs="Cambria"/>
                <w:sz w:val="20"/>
                <w:szCs w:val="20"/>
                <w:lang w:val="pt-BR"/>
              </w:rPr>
              <w:t>A</w:t>
            </w:r>
            <w:r w:rsidR="00B531CE" w:rsidRPr="004B25E7">
              <w:rPr>
                <w:rFonts w:ascii="Cambria" w:eastAsia="Cambria" w:hAnsi="Cambria" w:cs="Cambria"/>
                <w:sz w:val="20"/>
                <w:szCs w:val="20"/>
                <w:lang w:val="pt-BR"/>
              </w:rPr>
              <w:t>rtigos 3 (reconhecimento da personalidade jurídica), 4 (vida), 5 (integridade pessoal), 7 (liberdade pessoal), 8 (garantias judiciais), 13 (liberdade de pensamento e expressão) e 25 (proteção judicial) da Convenção Americana sobre Direitos Humanos</w:t>
            </w:r>
            <w:r w:rsidR="00AF4C35" w:rsidRPr="004B25E7">
              <w:rPr>
                <w:rFonts w:ascii="Cambria" w:eastAsia="Cambria" w:hAnsi="Cambria" w:cs="Cambria"/>
                <w:sz w:val="20"/>
                <w:szCs w:val="20"/>
                <w:vertAlign w:val="superscript"/>
                <w:lang w:val="pt-BR"/>
              </w:rPr>
              <w:footnoteReference w:id="3"/>
            </w:r>
            <w:r w:rsidR="004C6FD7" w:rsidRPr="004B25E7">
              <w:rPr>
                <w:rFonts w:ascii="Cambria" w:eastAsia="Cambria" w:hAnsi="Cambria" w:cs="Cambria"/>
                <w:sz w:val="20"/>
                <w:szCs w:val="20"/>
                <w:lang w:val="pt-BR"/>
              </w:rPr>
              <w:t xml:space="preserve">; </w:t>
            </w:r>
            <w:r w:rsidRPr="004B25E7">
              <w:rPr>
                <w:rFonts w:ascii="Cambria" w:eastAsia="Cambria" w:hAnsi="Cambria" w:cs="Cambria"/>
                <w:sz w:val="20"/>
                <w:szCs w:val="20"/>
                <w:lang w:val="pt-BR"/>
              </w:rPr>
              <w:t>artigos</w:t>
            </w:r>
            <w:r w:rsidR="004C6FD7" w:rsidRPr="004B25E7">
              <w:rPr>
                <w:rFonts w:ascii="Cambria" w:eastAsia="Cambria" w:hAnsi="Cambria" w:cs="Cambria"/>
                <w:sz w:val="20"/>
                <w:szCs w:val="20"/>
                <w:lang w:val="pt-BR"/>
              </w:rPr>
              <w:t xml:space="preserve"> 1, 6 e 8 da Convenção Interamericana para Prevenir e Punir a Tortura; artigos I e III da Convenção Interamericana sobre Desaparecimento Forçado de Pessoas</w:t>
            </w:r>
          </w:p>
        </w:tc>
      </w:tr>
    </w:tbl>
    <w:p w14:paraId="20263696" w14:textId="04E11A5A" w:rsidR="003239B8" w:rsidRPr="004B25E7" w:rsidRDefault="003239B8" w:rsidP="003239B8">
      <w:pPr>
        <w:spacing w:before="240" w:after="240"/>
        <w:ind w:firstLine="720"/>
        <w:jc w:val="both"/>
        <w:rPr>
          <w:rFonts w:asciiTheme="majorHAnsi" w:hAnsiTheme="majorHAnsi"/>
          <w:b/>
          <w:bCs/>
          <w:sz w:val="20"/>
          <w:szCs w:val="20"/>
          <w:lang w:val="pt-BR"/>
        </w:rPr>
      </w:pPr>
      <w:r w:rsidRPr="004B25E7">
        <w:rPr>
          <w:rFonts w:asciiTheme="majorHAnsi" w:hAnsiTheme="majorHAnsi"/>
          <w:b/>
          <w:bCs/>
          <w:sz w:val="20"/>
          <w:szCs w:val="20"/>
          <w:lang w:val="pt-BR"/>
        </w:rPr>
        <w:t>II.</w:t>
      </w:r>
      <w:r w:rsidRPr="004B25E7">
        <w:rPr>
          <w:rFonts w:asciiTheme="majorHAnsi" w:hAnsiTheme="majorHAnsi"/>
          <w:b/>
          <w:bCs/>
          <w:sz w:val="20"/>
          <w:szCs w:val="20"/>
          <w:lang w:val="pt-BR"/>
        </w:rPr>
        <w:tab/>
        <w:t>TRÂMITE PERANTE A CIDH</w:t>
      </w:r>
      <w:r w:rsidR="008E3BFE" w:rsidRPr="004B25E7">
        <w:rPr>
          <w:rStyle w:val="FootnoteReference"/>
          <w:rFonts w:ascii="Cambria" w:hAnsi="Cambria"/>
          <w:b/>
          <w:sz w:val="20"/>
          <w:szCs w:val="20"/>
          <w:lang w:val="pt-BR"/>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1E1C59" w:rsidRPr="004B25E7" w14:paraId="306EFCB0" w14:textId="77777777" w:rsidTr="001E1C59">
        <w:tc>
          <w:tcPr>
            <w:tcW w:w="3600" w:type="dxa"/>
            <w:tcBorders>
              <w:top w:val="single" w:sz="6" w:space="0" w:color="auto"/>
              <w:bottom w:val="single" w:sz="6" w:space="0" w:color="auto"/>
            </w:tcBorders>
            <w:shd w:val="clear" w:color="auto" w:fill="FFC000"/>
            <w:vAlign w:val="center"/>
          </w:tcPr>
          <w:p w14:paraId="7508D16F" w14:textId="653461D7" w:rsidR="004C2312" w:rsidRPr="004B25E7" w:rsidRDefault="004A6A54" w:rsidP="004A6A54">
            <w:pPr>
              <w:jc w:val="center"/>
              <w:rPr>
                <w:rFonts w:ascii="Cambria" w:hAnsi="Cambria"/>
                <w:b/>
                <w:bCs/>
                <w:sz w:val="20"/>
                <w:szCs w:val="20"/>
                <w:lang w:val="pt-BR"/>
              </w:rPr>
            </w:pPr>
            <w:r w:rsidRPr="004B25E7">
              <w:rPr>
                <w:rFonts w:ascii="Cambria" w:hAnsi="Cambria"/>
                <w:b/>
                <w:bCs/>
                <w:sz w:val="20"/>
                <w:szCs w:val="20"/>
                <w:lang w:val="pt-BR"/>
              </w:rPr>
              <w:t>Apresentação da petição:</w:t>
            </w:r>
          </w:p>
        </w:tc>
        <w:tc>
          <w:tcPr>
            <w:tcW w:w="5760" w:type="dxa"/>
            <w:vAlign w:val="center"/>
          </w:tcPr>
          <w:p w14:paraId="6E579153" w14:textId="5482E6E5" w:rsidR="004C2312" w:rsidRPr="004B25E7" w:rsidRDefault="009768E0">
            <w:pPr>
              <w:jc w:val="both"/>
              <w:rPr>
                <w:rFonts w:ascii="Cambria" w:hAnsi="Cambria"/>
                <w:bCs/>
                <w:sz w:val="20"/>
                <w:szCs w:val="20"/>
                <w:lang w:val="pt-BR"/>
              </w:rPr>
            </w:pPr>
            <w:r w:rsidRPr="004B25E7">
              <w:rPr>
                <w:rFonts w:ascii="Cambria" w:hAnsi="Cambria"/>
                <w:bCs/>
                <w:sz w:val="20"/>
                <w:szCs w:val="20"/>
                <w:lang w:val="pt-BR"/>
              </w:rPr>
              <w:t>12 de maio de 2021</w:t>
            </w:r>
          </w:p>
        </w:tc>
      </w:tr>
      <w:tr w:rsidR="001E1C59" w:rsidRPr="005314DB" w14:paraId="337129E8" w14:textId="77777777" w:rsidTr="001E1C59">
        <w:tc>
          <w:tcPr>
            <w:tcW w:w="3600" w:type="dxa"/>
            <w:tcBorders>
              <w:top w:val="single" w:sz="6" w:space="0" w:color="auto"/>
              <w:bottom w:val="single" w:sz="6" w:space="0" w:color="auto"/>
            </w:tcBorders>
            <w:shd w:val="clear" w:color="auto" w:fill="FFC000"/>
            <w:vAlign w:val="center"/>
          </w:tcPr>
          <w:p w14:paraId="3D52E482" w14:textId="0FA8B3B3" w:rsidR="00131425" w:rsidRPr="004B25E7" w:rsidRDefault="00131425" w:rsidP="004A6A54">
            <w:pPr>
              <w:jc w:val="center"/>
              <w:rPr>
                <w:rFonts w:ascii="Cambria" w:hAnsi="Cambria"/>
                <w:b/>
                <w:bCs/>
                <w:sz w:val="20"/>
                <w:szCs w:val="20"/>
                <w:lang w:val="pt-BR"/>
              </w:rPr>
            </w:pPr>
            <w:r w:rsidRPr="004B25E7">
              <w:rPr>
                <w:rFonts w:ascii="Cambria" w:hAnsi="Cambria"/>
                <w:b/>
                <w:bCs/>
                <w:sz w:val="20"/>
                <w:szCs w:val="20"/>
                <w:lang w:val="pt-BR"/>
              </w:rPr>
              <w:t>Informações adicionais recebidas durante a fase de estudo:</w:t>
            </w:r>
          </w:p>
        </w:tc>
        <w:tc>
          <w:tcPr>
            <w:tcW w:w="5760" w:type="dxa"/>
            <w:vAlign w:val="center"/>
          </w:tcPr>
          <w:p w14:paraId="30151270" w14:textId="7015EB76" w:rsidR="00131425" w:rsidRPr="004B25E7" w:rsidRDefault="00CD09B2">
            <w:pPr>
              <w:jc w:val="both"/>
              <w:rPr>
                <w:rFonts w:ascii="Cambria" w:hAnsi="Cambria"/>
                <w:bCs/>
                <w:sz w:val="20"/>
                <w:szCs w:val="20"/>
                <w:lang w:val="pt-BR"/>
              </w:rPr>
            </w:pPr>
            <w:r w:rsidRPr="004B25E7">
              <w:rPr>
                <w:rFonts w:ascii="Cambria" w:hAnsi="Cambria"/>
                <w:bCs/>
                <w:sz w:val="20"/>
                <w:szCs w:val="20"/>
                <w:lang w:val="pt-BR"/>
              </w:rPr>
              <w:t>22 de junho de 2021 e 11 de agosto de 2021</w:t>
            </w:r>
          </w:p>
        </w:tc>
      </w:tr>
      <w:tr w:rsidR="001E1C59" w:rsidRPr="004B25E7" w14:paraId="1BDCD5C6" w14:textId="77777777" w:rsidTr="001E1C59">
        <w:tc>
          <w:tcPr>
            <w:tcW w:w="3600" w:type="dxa"/>
            <w:tcBorders>
              <w:top w:val="single" w:sz="6" w:space="0" w:color="auto"/>
              <w:bottom w:val="single" w:sz="6" w:space="0" w:color="auto"/>
            </w:tcBorders>
            <w:shd w:val="clear" w:color="auto" w:fill="FFC000"/>
            <w:vAlign w:val="center"/>
          </w:tcPr>
          <w:p w14:paraId="7A18664F" w14:textId="73FE510C" w:rsidR="004C2312" w:rsidRPr="004B25E7" w:rsidRDefault="004A6A54" w:rsidP="004A6A54">
            <w:pPr>
              <w:jc w:val="center"/>
              <w:rPr>
                <w:rFonts w:ascii="Cambria" w:hAnsi="Cambria"/>
                <w:b/>
                <w:bCs/>
                <w:sz w:val="20"/>
                <w:szCs w:val="20"/>
                <w:lang w:val="pt-BR"/>
              </w:rPr>
            </w:pPr>
            <w:r w:rsidRPr="004B25E7">
              <w:rPr>
                <w:rFonts w:ascii="Cambria" w:hAnsi="Cambria"/>
                <w:b/>
                <w:sz w:val="20"/>
                <w:szCs w:val="20"/>
                <w:lang w:val="pt-BR"/>
              </w:rPr>
              <w:t>Notificação da petição ao Estado:</w:t>
            </w:r>
          </w:p>
        </w:tc>
        <w:tc>
          <w:tcPr>
            <w:tcW w:w="5760" w:type="dxa"/>
            <w:vAlign w:val="center"/>
          </w:tcPr>
          <w:p w14:paraId="1519DA6A" w14:textId="655AC978" w:rsidR="004C2312" w:rsidRPr="004B25E7" w:rsidRDefault="00CC5616">
            <w:pPr>
              <w:jc w:val="both"/>
              <w:rPr>
                <w:rFonts w:ascii="Cambria" w:hAnsi="Cambria"/>
                <w:bCs/>
                <w:sz w:val="20"/>
                <w:szCs w:val="20"/>
                <w:lang w:val="pt-BR"/>
              </w:rPr>
            </w:pPr>
            <w:r w:rsidRPr="004B25E7">
              <w:rPr>
                <w:rFonts w:ascii="Cambria" w:hAnsi="Cambria"/>
                <w:bCs/>
                <w:sz w:val="20"/>
                <w:szCs w:val="20"/>
                <w:lang w:val="pt-BR"/>
              </w:rPr>
              <w:t>1 de novembro de 2022</w:t>
            </w:r>
          </w:p>
        </w:tc>
      </w:tr>
      <w:tr w:rsidR="001E1C59" w:rsidRPr="004B25E7" w14:paraId="6147A8D5" w14:textId="77777777" w:rsidTr="001E1C59">
        <w:tc>
          <w:tcPr>
            <w:tcW w:w="3600" w:type="dxa"/>
            <w:tcBorders>
              <w:top w:val="single" w:sz="6" w:space="0" w:color="auto"/>
              <w:bottom w:val="single" w:sz="6" w:space="0" w:color="auto"/>
            </w:tcBorders>
            <w:shd w:val="clear" w:color="auto" w:fill="FFC000"/>
            <w:vAlign w:val="center"/>
          </w:tcPr>
          <w:p w14:paraId="0201C86D" w14:textId="4A5EC6F9" w:rsidR="004C2312" w:rsidRPr="004B25E7" w:rsidRDefault="004A6A54" w:rsidP="004A6A54">
            <w:pPr>
              <w:jc w:val="center"/>
              <w:rPr>
                <w:rFonts w:ascii="Cambria" w:hAnsi="Cambria"/>
                <w:b/>
                <w:bCs/>
                <w:sz w:val="20"/>
                <w:szCs w:val="20"/>
                <w:lang w:val="pt-BR"/>
              </w:rPr>
            </w:pPr>
            <w:r w:rsidRPr="004B25E7">
              <w:rPr>
                <w:rFonts w:ascii="Cambria" w:hAnsi="Cambria"/>
                <w:b/>
                <w:sz w:val="20"/>
                <w:szCs w:val="20"/>
                <w:lang w:val="pt-BR"/>
              </w:rPr>
              <w:t>A primeira resposta do estado:</w:t>
            </w:r>
          </w:p>
        </w:tc>
        <w:tc>
          <w:tcPr>
            <w:tcW w:w="5760" w:type="dxa"/>
            <w:vAlign w:val="center"/>
          </w:tcPr>
          <w:p w14:paraId="1972B99E" w14:textId="3F04F0C8" w:rsidR="004C2312" w:rsidRPr="004B25E7" w:rsidRDefault="00007AF6">
            <w:pPr>
              <w:jc w:val="both"/>
              <w:rPr>
                <w:rFonts w:ascii="Cambria" w:hAnsi="Cambria"/>
                <w:bCs/>
                <w:sz w:val="20"/>
                <w:szCs w:val="20"/>
                <w:lang w:val="pt-BR"/>
              </w:rPr>
            </w:pPr>
            <w:r w:rsidRPr="004B25E7">
              <w:rPr>
                <w:rFonts w:ascii="Cambria" w:hAnsi="Cambria"/>
                <w:bCs/>
                <w:sz w:val="20"/>
                <w:szCs w:val="20"/>
                <w:lang w:val="pt-BR"/>
              </w:rPr>
              <w:t>28 de fevereiro de 2023</w:t>
            </w:r>
          </w:p>
        </w:tc>
      </w:tr>
      <w:tr w:rsidR="001E1C59" w:rsidRPr="004B25E7" w14:paraId="322668B6" w14:textId="77777777" w:rsidTr="001E1C59">
        <w:tc>
          <w:tcPr>
            <w:tcW w:w="3600" w:type="dxa"/>
            <w:tcBorders>
              <w:top w:val="single" w:sz="6" w:space="0" w:color="auto"/>
              <w:bottom w:val="single" w:sz="6" w:space="0" w:color="auto"/>
            </w:tcBorders>
            <w:shd w:val="clear" w:color="auto" w:fill="FFC000"/>
            <w:vAlign w:val="center"/>
          </w:tcPr>
          <w:p w14:paraId="1524DA55" w14:textId="77777777" w:rsidR="004C2312" w:rsidRPr="004B25E7" w:rsidRDefault="008E3BFE" w:rsidP="008E3BFE">
            <w:pPr>
              <w:jc w:val="center"/>
              <w:rPr>
                <w:rFonts w:ascii="Cambria" w:hAnsi="Cambria"/>
                <w:b/>
                <w:bCs/>
                <w:sz w:val="20"/>
                <w:szCs w:val="20"/>
                <w:lang w:val="pt-BR"/>
              </w:rPr>
            </w:pPr>
            <w:r w:rsidRPr="004B25E7">
              <w:rPr>
                <w:rFonts w:ascii="Cambria" w:hAnsi="Cambria"/>
                <w:b/>
                <w:bCs/>
                <w:sz w:val="20"/>
                <w:szCs w:val="20"/>
                <w:lang w:val="pt-BR"/>
              </w:rPr>
              <w:t>Observações adicionais do peticionário:</w:t>
            </w:r>
          </w:p>
        </w:tc>
        <w:tc>
          <w:tcPr>
            <w:tcW w:w="5760" w:type="dxa"/>
            <w:vAlign w:val="center"/>
          </w:tcPr>
          <w:p w14:paraId="41D8B862" w14:textId="48D126A1" w:rsidR="004C2312" w:rsidRPr="004B25E7" w:rsidRDefault="005C6C2E">
            <w:pPr>
              <w:jc w:val="both"/>
              <w:rPr>
                <w:rFonts w:ascii="Cambria" w:hAnsi="Cambria"/>
                <w:bCs/>
                <w:sz w:val="20"/>
                <w:szCs w:val="20"/>
                <w:lang w:val="pt-BR"/>
              </w:rPr>
            </w:pPr>
            <w:r w:rsidRPr="004B25E7">
              <w:rPr>
                <w:rFonts w:ascii="Cambria" w:hAnsi="Cambria"/>
                <w:bCs/>
                <w:sz w:val="20"/>
                <w:szCs w:val="20"/>
                <w:lang w:val="pt-BR"/>
              </w:rPr>
              <w:t>5 de fevereiro de 2024</w:t>
            </w:r>
          </w:p>
        </w:tc>
      </w:tr>
    </w:tbl>
    <w:p w14:paraId="21DAA666" w14:textId="77777777" w:rsidR="003239B8" w:rsidRPr="004B25E7" w:rsidRDefault="003239B8" w:rsidP="003239B8">
      <w:pPr>
        <w:spacing w:before="240" w:after="240"/>
        <w:ind w:firstLine="720"/>
        <w:jc w:val="both"/>
        <w:rPr>
          <w:rFonts w:asciiTheme="majorHAnsi" w:hAnsiTheme="majorHAnsi"/>
          <w:b/>
          <w:bCs/>
          <w:sz w:val="20"/>
          <w:szCs w:val="20"/>
          <w:lang w:val="pt-BR"/>
        </w:rPr>
      </w:pPr>
      <w:r w:rsidRPr="004B25E7">
        <w:rPr>
          <w:rFonts w:asciiTheme="majorHAnsi" w:hAnsiTheme="majorHAnsi"/>
          <w:b/>
          <w:bCs/>
          <w:sz w:val="20"/>
          <w:szCs w:val="20"/>
          <w:lang w:val="pt-BR"/>
        </w:rPr>
        <w:t xml:space="preserve">III. </w:t>
      </w:r>
      <w:r w:rsidRPr="004B25E7">
        <w:rPr>
          <w:rFonts w:asciiTheme="majorHAnsi" w:hAnsiTheme="majorHAnsi"/>
          <w:b/>
          <w:bCs/>
          <w:sz w:val="20"/>
          <w:szCs w:val="20"/>
          <w:lang w:val="pt-BR"/>
        </w:rPr>
        <w:tab/>
        <w:t xml:space="preserve">COMPETÊNCIA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59"/>
        <w:gridCol w:w="5683"/>
      </w:tblGrid>
      <w:tr w:rsidR="003239B8" w:rsidRPr="005314DB" w14:paraId="072532AD" w14:textId="77777777" w:rsidTr="001E1C59">
        <w:trPr>
          <w:cantSplit/>
        </w:trPr>
        <w:tc>
          <w:tcPr>
            <w:tcW w:w="3600" w:type="dxa"/>
            <w:tcBorders>
              <w:top w:val="single" w:sz="4" w:space="0" w:color="auto"/>
              <w:bottom w:val="single" w:sz="6" w:space="0" w:color="auto"/>
            </w:tcBorders>
            <w:shd w:val="clear" w:color="auto" w:fill="FFC000"/>
            <w:vAlign w:val="center"/>
          </w:tcPr>
          <w:p w14:paraId="5C2E4B34" w14:textId="0EA2A751" w:rsidR="003239B8" w:rsidRPr="004B25E7" w:rsidRDefault="003239B8">
            <w:pPr>
              <w:jc w:val="center"/>
              <w:rPr>
                <w:rFonts w:ascii="Cambria" w:hAnsi="Cambria"/>
                <w:b/>
                <w:bCs/>
                <w:i/>
                <w:sz w:val="20"/>
                <w:szCs w:val="20"/>
                <w:lang w:val="pt-BR"/>
              </w:rPr>
            </w:pPr>
            <w:r w:rsidRPr="004B25E7">
              <w:rPr>
                <w:rFonts w:ascii="Cambria" w:hAnsi="Cambria"/>
                <w:b/>
                <w:bCs/>
                <w:sz w:val="20"/>
                <w:szCs w:val="20"/>
                <w:lang w:val="pt-BR"/>
              </w:rPr>
              <w:t>Compet</w:t>
            </w:r>
            <w:r w:rsidR="004B25E7">
              <w:rPr>
                <w:rFonts w:ascii="Cambria" w:hAnsi="Cambria"/>
                <w:b/>
                <w:bCs/>
                <w:sz w:val="20"/>
                <w:szCs w:val="20"/>
                <w:lang w:val="pt-BR"/>
              </w:rPr>
              <w:t>ê</w:t>
            </w:r>
            <w:r w:rsidRPr="004B25E7">
              <w:rPr>
                <w:rFonts w:ascii="Cambria" w:hAnsi="Cambria"/>
                <w:b/>
                <w:bCs/>
                <w:sz w:val="20"/>
                <w:szCs w:val="20"/>
                <w:lang w:val="pt-BR"/>
              </w:rPr>
              <w:t>ncia</w:t>
            </w:r>
            <w:r w:rsidRPr="004B25E7">
              <w:rPr>
                <w:rFonts w:ascii="Cambria" w:hAnsi="Cambria"/>
                <w:b/>
                <w:bCs/>
                <w:i/>
                <w:sz w:val="20"/>
                <w:szCs w:val="20"/>
                <w:lang w:val="pt-BR"/>
              </w:rPr>
              <w:t xml:space="preserve"> Ratione personae:</w:t>
            </w:r>
          </w:p>
        </w:tc>
        <w:tc>
          <w:tcPr>
            <w:tcW w:w="5760" w:type="dxa"/>
            <w:vAlign w:val="center"/>
          </w:tcPr>
          <w:p w14:paraId="7707F3E9" w14:textId="4B2841FC" w:rsidR="003239B8" w:rsidRPr="004B25E7" w:rsidRDefault="00B531CE">
            <w:pPr>
              <w:rPr>
                <w:rFonts w:ascii="Cambria" w:hAnsi="Cambria"/>
                <w:bCs/>
                <w:sz w:val="20"/>
                <w:szCs w:val="20"/>
                <w:lang w:val="pt-BR"/>
              </w:rPr>
            </w:pPr>
            <w:r w:rsidRPr="004B25E7">
              <w:rPr>
                <w:rFonts w:ascii="Cambria" w:hAnsi="Cambria"/>
                <w:bCs/>
                <w:sz w:val="20"/>
                <w:szCs w:val="20"/>
                <w:lang w:val="pt-BR"/>
              </w:rPr>
              <w:t>Sim, nos termos da Secção VI</w:t>
            </w:r>
          </w:p>
        </w:tc>
      </w:tr>
      <w:tr w:rsidR="003239B8" w:rsidRPr="004B25E7" w14:paraId="4B8802DA" w14:textId="77777777" w:rsidTr="001E1C59">
        <w:trPr>
          <w:cantSplit/>
        </w:trPr>
        <w:tc>
          <w:tcPr>
            <w:tcW w:w="3600" w:type="dxa"/>
            <w:tcBorders>
              <w:top w:val="single" w:sz="6" w:space="0" w:color="auto"/>
              <w:bottom w:val="single" w:sz="6" w:space="0" w:color="auto"/>
            </w:tcBorders>
            <w:shd w:val="clear" w:color="auto" w:fill="FFC000"/>
            <w:vAlign w:val="center"/>
          </w:tcPr>
          <w:p w14:paraId="3915C23B" w14:textId="19912E8D" w:rsidR="003239B8" w:rsidRPr="004B25E7" w:rsidRDefault="003239B8">
            <w:pPr>
              <w:jc w:val="center"/>
              <w:rPr>
                <w:rFonts w:ascii="Cambria" w:hAnsi="Cambria"/>
                <w:b/>
                <w:bCs/>
                <w:sz w:val="20"/>
                <w:szCs w:val="20"/>
                <w:lang w:val="pt-BR"/>
              </w:rPr>
            </w:pPr>
            <w:r w:rsidRPr="004B25E7">
              <w:rPr>
                <w:rFonts w:ascii="Cambria" w:hAnsi="Cambria"/>
                <w:b/>
                <w:bCs/>
                <w:sz w:val="20"/>
                <w:szCs w:val="20"/>
                <w:lang w:val="pt-BR"/>
              </w:rPr>
              <w:t>Compet</w:t>
            </w:r>
            <w:r w:rsidR="004B25E7">
              <w:rPr>
                <w:rFonts w:ascii="Cambria" w:hAnsi="Cambria"/>
                <w:b/>
                <w:bCs/>
                <w:sz w:val="20"/>
                <w:szCs w:val="20"/>
                <w:lang w:val="pt-BR"/>
              </w:rPr>
              <w:t>ê</w:t>
            </w:r>
            <w:r w:rsidRPr="004B25E7">
              <w:rPr>
                <w:rFonts w:ascii="Cambria" w:hAnsi="Cambria"/>
                <w:b/>
                <w:bCs/>
                <w:sz w:val="20"/>
                <w:szCs w:val="20"/>
                <w:lang w:val="pt-BR"/>
              </w:rPr>
              <w:t>ncia</w:t>
            </w:r>
            <w:r w:rsidRPr="004B25E7">
              <w:rPr>
                <w:rFonts w:ascii="Cambria" w:hAnsi="Cambria"/>
                <w:b/>
                <w:bCs/>
                <w:i/>
                <w:sz w:val="20"/>
                <w:szCs w:val="20"/>
                <w:lang w:val="pt-BR"/>
              </w:rPr>
              <w:t xml:space="preserve"> Ratione loci</w:t>
            </w:r>
            <w:r w:rsidRPr="004B25E7">
              <w:rPr>
                <w:rFonts w:ascii="Cambria" w:hAnsi="Cambria"/>
                <w:b/>
                <w:bCs/>
                <w:sz w:val="20"/>
                <w:szCs w:val="20"/>
                <w:lang w:val="pt-BR"/>
              </w:rPr>
              <w:t>:</w:t>
            </w:r>
          </w:p>
        </w:tc>
        <w:tc>
          <w:tcPr>
            <w:tcW w:w="5760" w:type="dxa"/>
            <w:vAlign w:val="center"/>
          </w:tcPr>
          <w:p w14:paraId="12C931CB" w14:textId="407F348A" w:rsidR="003239B8" w:rsidRPr="004B25E7" w:rsidRDefault="00B531CE">
            <w:pPr>
              <w:rPr>
                <w:rFonts w:ascii="Cambria" w:hAnsi="Cambria"/>
                <w:bCs/>
                <w:sz w:val="20"/>
                <w:szCs w:val="20"/>
                <w:lang w:val="pt-BR"/>
              </w:rPr>
            </w:pPr>
            <w:r w:rsidRPr="004B25E7">
              <w:rPr>
                <w:rFonts w:ascii="Cambria" w:hAnsi="Cambria"/>
                <w:bCs/>
                <w:sz w:val="20"/>
                <w:szCs w:val="20"/>
                <w:lang w:val="pt-BR"/>
              </w:rPr>
              <w:t>Sim</w:t>
            </w:r>
          </w:p>
        </w:tc>
      </w:tr>
      <w:tr w:rsidR="003239B8" w:rsidRPr="004B25E7" w14:paraId="4362FDF3" w14:textId="77777777" w:rsidTr="001E1C59">
        <w:trPr>
          <w:cantSplit/>
        </w:trPr>
        <w:tc>
          <w:tcPr>
            <w:tcW w:w="3600" w:type="dxa"/>
            <w:tcBorders>
              <w:top w:val="single" w:sz="6" w:space="0" w:color="auto"/>
              <w:bottom w:val="single" w:sz="6" w:space="0" w:color="auto"/>
            </w:tcBorders>
            <w:shd w:val="clear" w:color="auto" w:fill="FFC000"/>
            <w:vAlign w:val="center"/>
          </w:tcPr>
          <w:p w14:paraId="3BE23153" w14:textId="77777777" w:rsidR="003239B8" w:rsidRPr="004B25E7" w:rsidRDefault="003239B8">
            <w:pPr>
              <w:jc w:val="center"/>
              <w:rPr>
                <w:rFonts w:ascii="Cambria" w:hAnsi="Cambria"/>
                <w:b/>
                <w:bCs/>
                <w:sz w:val="20"/>
                <w:szCs w:val="20"/>
                <w:lang w:val="pt-BR"/>
              </w:rPr>
            </w:pPr>
            <w:r w:rsidRPr="004B25E7">
              <w:rPr>
                <w:rFonts w:ascii="Cambria" w:hAnsi="Cambria"/>
                <w:b/>
                <w:bCs/>
                <w:sz w:val="20"/>
                <w:szCs w:val="20"/>
                <w:lang w:val="pt-BR"/>
              </w:rPr>
              <w:t>Competência</w:t>
            </w:r>
            <w:r w:rsidRPr="004B25E7">
              <w:rPr>
                <w:rFonts w:ascii="Cambria" w:hAnsi="Cambria"/>
                <w:b/>
                <w:bCs/>
                <w:i/>
                <w:sz w:val="20"/>
                <w:szCs w:val="20"/>
                <w:lang w:val="pt-BR"/>
              </w:rPr>
              <w:t xml:space="preserve"> ratione temporis</w:t>
            </w:r>
            <w:r w:rsidRPr="004B25E7">
              <w:rPr>
                <w:rFonts w:ascii="Cambria" w:hAnsi="Cambria"/>
                <w:b/>
                <w:bCs/>
                <w:sz w:val="20"/>
                <w:szCs w:val="20"/>
                <w:lang w:val="pt-BR"/>
              </w:rPr>
              <w:t>:</w:t>
            </w:r>
          </w:p>
        </w:tc>
        <w:tc>
          <w:tcPr>
            <w:tcW w:w="5760" w:type="dxa"/>
            <w:vAlign w:val="center"/>
          </w:tcPr>
          <w:p w14:paraId="6F8B059B" w14:textId="58A9AA0B" w:rsidR="003239B8" w:rsidRPr="004B25E7" w:rsidRDefault="00B531CE">
            <w:pPr>
              <w:rPr>
                <w:rFonts w:ascii="Cambria" w:hAnsi="Cambria"/>
                <w:bCs/>
                <w:sz w:val="20"/>
                <w:szCs w:val="20"/>
                <w:lang w:val="pt-BR"/>
              </w:rPr>
            </w:pPr>
            <w:r w:rsidRPr="004B25E7">
              <w:rPr>
                <w:rFonts w:ascii="Cambria" w:hAnsi="Cambria"/>
                <w:bCs/>
                <w:sz w:val="20"/>
                <w:szCs w:val="20"/>
                <w:lang w:val="pt-BR"/>
              </w:rPr>
              <w:t>Sim</w:t>
            </w:r>
          </w:p>
        </w:tc>
      </w:tr>
      <w:tr w:rsidR="003239B8" w:rsidRPr="005314DB" w14:paraId="30ABEC3E" w14:textId="77777777" w:rsidTr="001E1C59">
        <w:trPr>
          <w:cantSplit/>
        </w:trPr>
        <w:tc>
          <w:tcPr>
            <w:tcW w:w="3600" w:type="dxa"/>
            <w:tcBorders>
              <w:top w:val="single" w:sz="6" w:space="0" w:color="auto"/>
              <w:bottom w:val="single" w:sz="6" w:space="0" w:color="auto"/>
            </w:tcBorders>
            <w:shd w:val="clear" w:color="auto" w:fill="FFC000"/>
            <w:vAlign w:val="center"/>
          </w:tcPr>
          <w:p w14:paraId="47B529D2" w14:textId="77777777" w:rsidR="003239B8" w:rsidRPr="004B25E7" w:rsidRDefault="003239B8">
            <w:pPr>
              <w:jc w:val="center"/>
              <w:rPr>
                <w:rFonts w:ascii="Cambria" w:hAnsi="Cambria"/>
                <w:b/>
                <w:bCs/>
                <w:sz w:val="20"/>
                <w:szCs w:val="20"/>
                <w:lang w:val="pt-BR"/>
              </w:rPr>
            </w:pPr>
            <w:r w:rsidRPr="004B25E7">
              <w:rPr>
                <w:rFonts w:ascii="Cambria" w:hAnsi="Cambria"/>
                <w:b/>
                <w:bCs/>
                <w:sz w:val="20"/>
                <w:szCs w:val="20"/>
                <w:lang w:val="pt-BR"/>
              </w:rPr>
              <w:t>Competência</w:t>
            </w:r>
            <w:r w:rsidRPr="004B25E7">
              <w:rPr>
                <w:rFonts w:ascii="Cambria" w:hAnsi="Cambria"/>
                <w:b/>
                <w:bCs/>
                <w:i/>
                <w:sz w:val="20"/>
                <w:szCs w:val="20"/>
                <w:lang w:val="pt-BR"/>
              </w:rPr>
              <w:t xml:space="preserve"> ratione materiae</w:t>
            </w:r>
            <w:r w:rsidRPr="004B25E7">
              <w:rPr>
                <w:rFonts w:ascii="Cambria" w:hAnsi="Cambria"/>
                <w:b/>
                <w:bCs/>
                <w:sz w:val="20"/>
                <w:szCs w:val="20"/>
                <w:lang w:val="pt-BR"/>
              </w:rPr>
              <w:t>:</w:t>
            </w:r>
          </w:p>
        </w:tc>
        <w:tc>
          <w:tcPr>
            <w:tcW w:w="5760" w:type="dxa"/>
            <w:vAlign w:val="center"/>
          </w:tcPr>
          <w:p w14:paraId="0C122F44" w14:textId="7622E758" w:rsidR="003239B8" w:rsidRPr="004B25E7" w:rsidRDefault="00B069B8">
            <w:pPr>
              <w:jc w:val="both"/>
              <w:rPr>
                <w:rFonts w:ascii="Cambria" w:hAnsi="Cambria"/>
                <w:bCs/>
                <w:sz w:val="20"/>
                <w:szCs w:val="20"/>
                <w:lang w:val="pt-BR"/>
              </w:rPr>
            </w:pPr>
            <w:r w:rsidRPr="004B25E7">
              <w:rPr>
                <w:rFonts w:ascii="Cambria" w:hAnsi="Cambria"/>
                <w:bCs/>
                <w:sz w:val="20"/>
                <w:szCs w:val="20"/>
                <w:lang w:val="pt-BR"/>
              </w:rPr>
              <w:t>Sim, Convenção Americana, Convenção Interamericana para Prevenir e Punir a Tortura e Convenção Interamericana sobre Desaparecimento Forçado de Pessoas (depósito</w:t>
            </w:r>
            <w:r w:rsidR="00C32A3B">
              <w:rPr>
                <w:rFonts w:ascii="Cambria" w:hAnsi="Cambria"/>
                <w:bCs/>
                <w:sz w:val="20"/>
                <w:szCs w:val="20"/>
                <w:lang w:val="pt-BR"/>
              </w:rPr>
              <w:t xml:space="preserve"> dos instrumentos de ratificação</w:t>
            </w:r>
            <w:r w:rsidRPr="004B25E7">
              <w:rPr>
                <w:rFonts w:ascii="Cambria" w:hAnsi="Cambria"/>
                <w:bCs/>
                <w:sz w:val="20"/>
                <w:szCs w:val="20"/>
                <w:lang w:val="pt-BR"/>
              </w:rPr>
              <w:t xml:space="preserve"> </w:t>
            </w:r>
            <w:r w:rsidR="006510D2" w:rsidRPr="004B25E7">
              <w:rPr>
                <w:rFonts w:ascii="Cambria" w:hAnsi="Cambria"/>
                <w:bCs/>
                <w:sz w:val="20"/>
                <w:szCs w:val="20"/>
                <w:lang w:val="pt-BR"/>
              </w:rPr>
              <w:t>realizado</w:t>
            </w:r>
            <w:r w:rsidRPr="004B25E7">
              <w:rPr>
                <w:rFonts w:ascii="Cambria" w:hAnsi="Cambria"/>
                <w:bCs/>
                <w:sz w:val="20"/>
                <w:szCs w:val="20"/>
                <w:lang w:val="pt-BR"/>
              </w:rPr>
              <w:t xml:space="preserve"> em 25 de setembro de 1992, 20 de julho de 1989 e 3 de fevereiro de 2014, respectivamente)</w:t>
            </w:r>
          </w:p>
        </w:tc>
      </w:tr>
    </w:tbl>
    <w:p w14:paraId="4E92C444" w14:textId="79E436C3" w:rsidR="003239B8" w:rsidRPr="004B25E7" w:rsidRDefault="003239B8" w:rsidP="003239B8">
      <w:pPr>
        <w:spacing w:before="240" w:after="240"/>
        <w:ind w:firstLine="720"/>
        <w:jc w:val="both"/>
        <w:rPr>
          <w:rFonts w:asciiTheme="majorHAnsi" w:hAnsiTheme="majorHAnsi"/>
          <w:b/>
          <w:bCs/>
          <w:sz w:val="20"/>
          <w:szCs w:val="20"/>
          <w:lang w:val="pt-BR"/>
        </w:rPr>
      </w:pPr>
      <w:r w:rsidRPr="004B25E7">
        <w:rPr>
          <w:rFonts w:asciiTheme="majorHAnsi" w:hAnsiTheme="majorHAnsi"/>
          <w:b/>
          <w:bCs/>
          <w:sz w:val="20"/>
          <w:szCs w:val="20"/>
          <w:lang w:val="pt-BR"/>
        </w:rPr>
        <w:t xml:space="preserve">IV. </w:t>
      </w:r>
      <w:r w:rsidRPr="004B25E7">
        <w:rPr>
          <w:rFonts w:asciiTheme="majorHAnsi" w:hAnsiTheme="majorHAnsi"/>
          <w:b/>
          <w:bCs/>
          <w:sz w:val="20"/>
          <w:szCs w:val="20"/>
          <w:lang w:val="pt-BR"/>
        </w:rPr>
        <w:tab/>
      </w:r>
      <w:r w:rsidR="00CD020D" w:rsidRPr="004B25E7">
        <w:rPr>
          <w:rFonts w:asciiTheme="majorHAnsi" w:hAnsiTheme="majorHAnsi"/>
          <w:b/>
          <w:bCs/>
          <w:color w:val="000000" w:themeColor="text1"/>
          <w:sz w:val="20"/>
          <w:szCs w:val="20"/>
          <w:lang w:val="pt-BR"/>
        </w:rPr>
        <w:t>DUPLICAÇÃO DE PROCEDIMENTOS E COISA JULGADA</w:t>
      </w:r>
      <w:r w:rsidR="00CD020D" w:rsidRPr="004B25E7">
        <w:rPr>
          <w:rFonts w:asciiTheme="majorHAnsi" w:hAnsiTheme="majorHAnsi"/>
          <w:b/>
          <w:bCs/>
          <w:i/>
          <w:color w:val="000000" w:themeColor="text1"/>
          <w:sz w:val="20"/>
          <w:szCs w:val="20"/>
          <w:lang w:val="pt-BR"/>
        </w:rPr>
        <w:t xml:space="preserve"> </w:t>
      </w:r>
      <w:r w:rsidR="00CD020D" w:rsidRPr="004B25E7">
        <w:rPr>
          <w:rFonts w:asciiTheme="majorHAnsi" w:hAnsiTheme="majorHAnsi"/>
          <w:b/>
          <w:bCs/>
          <w:color w:val="000000" w:themeColor="text1"/>
          <w:sz w:val="20"/>
          <w:szCs w:val="20"/>
          <w:lang w:val="pt-BR"/>
        </w:rPr>
        <w:t xml:space="preserve">INTERNACIONAL, CARACTERIZAÇÃO, </w:t>
      </w:r>
      <w:r w:rsidR="00CD020D" w:rsidRPr="004B25E7">
        <w:rPr>
          <w:rFonts w:asciiTheme="majorHAnsi" w:hAnsiTheme="majorHAnsi"/>
          <w:b/>
          <w:color w:val="000000" w:themeColor="text1"/>
          <w:sz w:val="20"/>
          <w:szCs w:val="20"/>
          <w:lang w:val="pt-BR"/>
        </w:rPr>
        <w:t>ESGOTAMENTO DOS RECURSOS INTERNOS E PRAZO DE 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4B25E7" w14:paraId="1231C988" w14:textId="77777777" w:rsidTr="00BC13CB">
        <w:trPr>
          <w:cantSplit/>
        </w:trPr>
        <w:tc>
          <w:tcPr>
            <w:tcW w:w="3562" w:type="dxa"/>
            <w:tcBorders>
              <w:top w:val="single" w:sz="4" w:space="0" w:color="auto"/>
              <w:bottom w:val="single" w:sz="6" w:space="0" w:color="auto"/>
            </w:tcBorders>
            <w:shd w:val="clear" w:color="auto" w:fill="FFC000"/>
            <w:vAlign w:val="center"/>
          </w:tcPr>
          <w:p w14:paraId="6F8031F4" w14:textId="77777777" w:rsidR="00EE00E9" w:rsidRPr="004B25E7" w:rsidRDefault="00EE00E9">
            <w:pPr>
              <w:jc w:val="center"/>
              <w:rPr>
                <w:rFonts w:ascii="Cambria" w:hAnsi="Cambria"/>
                <w:b/>
                <w:bCs/>
                <w:sz w:val="20"/>
                <w:szCs w:val="20"/>
                <w:lang w:val="pt-BR"/>
              </w:rPr>
            </w:pPr>
            <w:r w:rsidRPr="004B25E7">
              <w:rPr>
                <w:rFonts w:ascii="Cambria" w:hAnsi="Cambria"/>
                <w:b/>
                <w:bCs/>
                <w:sz w:val="20"/>
                <w:szCs w:val="20"/>
                <w:lang w:val="pt-BR"/>
              </w:rPr>
              <w:t>Duplicação de procedimentos e coisa julgada internacional:</w:t>
            </w:r>
          </w:p>
        </w:tc>
        <w:tc>
          <w:tcPr>
            <w:tcW w:w="5680" w:type="dxa"/>
            <w:vAlign w:val="center"/>
          </w:tcPr>
          <w:p w14:paraId="240941E6" w14:textId="26925BFD" w:rsidR="00EE00E9" w:rsidRPr="004B25E7" w:rsidRDefault="00261BD7">
            <w:pPr>
              <w:jc w:val="both"/>
              <w:rPr>
                <w:rFonts w:ascii="Cambria" w:hAnsi="Cambria"/>
                <w:bCs/>
                <w:sz w:val="20"/>
                <w:szCs w:val="20"/>
                <w:lang w:val="pt-BR"/>
              </w:rPr>
            </w:pPr>
            <w:r w:rsidRPr="004B25E7">
              <w:rPr>
                <w:rFonts w:ascii="Cambria" w:hAnsi="Cambria"/>
                <w:bCs/>
                <w:sz w:val="20"/>
                <w:szCs w:val="20"/>
                <w:lang w:val="pt-BR"/>
              </w:rPr>
              <w:t>Não</w:t>
            </w:r>
          </w:p>
        </w:tc>
      </w:tr>
      <w:tr w:rsidR="003239B8" w:rsidRPr="005314DB" w14:paraId="15FAA7D1" w14:textId="77777777" w:rsidTr="00BC13CB">
        <w:trPr>
          <w:cantSplit/>
        </w:trPr>
        <w:tc>
          <w:tcPr>
            <w:tcW w:w="3562" w:type="dxa"/>
            <w:tcBorders>
              <w:top w:val="single" w:sz="4" w:space="0" w:color="auto"/>
              <w:bottom w:val="single" w:sz="6" w:space="0" w:color="auto"/>
            </w:tcBorders>
            <w:shd w:val="clear" w:color="auto" w:fill="FFC000"/>
            <w:vAlign w:val="center"/>
          </w:tcPr>
          <w:p w14:paraId="1B0D29FF" w14:textId="77777777" w:rsidR="003239B8" w:rsidRPr="004B25E7" w:rsidRDefault="003239B8">
            <w:pPr>
              <w:jc w:val="center"/>
              <w:rPr>
                <w:rFonts w:ascii="Cambria" w:hAnsi="Cambria"/>
                <w:b/>
                <w:bCs/>
                <w:i/>
                <w:sz w:val="20"/>
                <w:szCs w:val="20"/>
                <w:lang w:val="pt-BR"/>
              </w:rPr>
            </w:pPr>
            <w:r w:rsidRPr="004B25E7">
              <w:rPr>
                <w:rFonts w:ascii="Cambria" w:hAnsi="Cambria"/>
                <w:b/>
                <w:bCs/>
                <w:sz w:val="20"/>
                <w:szCs w:val="20"/>
                <w:lang w:val="pt-BR"/>
              </w:rPr>
              <w:t>Direitos declarados admissíveis</w:t>
            </w:r>
            <w:r w:rsidRPr="004B25E7">
              <w:rPr>
                <w:rFonts w:ascii="Cambria" w:hAnsi="Cambria"/>
                <w:b/>
                <w:bCs/>
                <w:i/>
                <w:sz w:val="20"/>
                <w:szCs w:val="20"/>
                <w:lang w:val="pt-BR"/>
              </w:rPr>
              <w:t>:</w:t>
            </w:r>
          </w:p>
        </w:tc>
        <w:tc>
          <w:tcPr>
            <w:tcW w:w="5680" w:type="dxa"/>
            <w:vAlign w:val="center"/>
          </w:tcPr>
          <w:p w14:paraId="6310C8F7" w14:textId="48CB5D84" w:rsidR="003239B8" w:rsidRPr="004B25E7" w:rsidRDefault="001E1C59">
            <w:pPr>
              <w:jc w:val="both"/>
              <w:rPr>
                <w:rFonts w:ascii="Cambria" w:hAnsi="Cambria"/>
                <w:bCs/>
                <w:sz w:val="20"/>
                <w:szCs w:val="20"/>
                <w:lang w:val="pt-BR"/>
              </w:rPr>
            </w:pPr>
            <w:r w:rsidRPr="004B25E7">
              <w:rPr>
                <w:rFonts w:ascii="Cambria" w:eastAsia="Cambria" w:hAnsi="Cambria" w:cs="Cambria"/>
                <w:sz w:val="20"/>
                <w:szCs w:val="20"/>
                <w:lang w:val="pt-BR"/>
              </w:rPr>
              <w:t>A</w:t>
            </w:r>
            <w:r w:rsidR="00261BD7" w:rsidRPr="004B25E7">
              <w:rPr>
                <w:rFonts w:ascii="Cambria" w:eastAsia="Cambria" w:hAnsi="Cambria" w:cs="Cambria"/>
                <w:sz w:val="20"/>
                <w:szCs w:val="20"/>
                <w:lang w:val="pt-BR"/>
              </w:rPr>
              <w:t xml:space="preserve">rtigos 3 (reconhecimento da personalidade jurídica), 4 (vida), 5 (integridade pessoal), 7 (liberdade pessoal), 8 (garantias judiciais), 13 (liberdade de pensamento e expressão) e 25 (proteção judicial) da Convenção Americana; </w:t>
            </w:r>
            <w:r w:rsidR="006510D2" w:rsidRPr="004B25E7">
              <w:rPr>
                <w:rFonts w:ascii="Cambria" w:eastAsia="Cambria" w:hAnsi="Cambria" w:cs="Cambria"/>
                <w:sz w:val="20"/>
                <w:szCs w:val="20"/>
                <w:lang w:val="pt-BR"/>
              </w:rPr>
              <w:t>artigos</w:t>
            </w:r>
            <w:r w:rsidR="00261BD7" w:rsidRPr="004B25E7">
              <w:rPr>
                <w:rFonts w:ascii="Cambria" w:eastAsia="Cambria" w:hAnsi="Cambria" w:cs="Cambria"/>
                <w:sz w:val="20"/>
                <w:szCs w:val="20"/>
                <w:lang w:val="pt-BR"/>
              </w:rPr>
              <w:t xml:space="preserve"> 1, 6 e 8 da Convenção Interamericana para Prevenir e Punir a Tortura;</w:t>
            </w:r>
            <w:r w:rsidR="006510D2" w:rsidRPr="004B25E7">
              <w:rPr>
                <w:rFonts w:ascii="Cambria" w:eastAsia="Cambria" w:hAnsi="Cambria" w:cs="Cambria"/>
                <w:sz w:val="20"/>
                <w:szCs w:val="20"/>
                <w:lang w:val="pt-BR"/>
              </w:rPr>
              <w:t xml:space="preserve"> </w:t>
            </w:r>
            <w:r w:rsidR="00261BD7" w:rsidRPr="004B25E7">
              <w:rPr>
                <w:rFonts w:ascii="Cambria" w:eastAsia="Cambria" w:hAnsi="Cambria" w:cs="Cambria"/>
                <w:sz w:val="20"/>
                <w:szCs w:val="20"/>
                <w:lang w:val="pt-BR"/>
              </w:rPr>
              <w:t>artigos I e III da Convenção Interamericana sobre Desaparecimento Forçado de Pessoas</w:t>
            </w:r>
          </w:p>
        </w:tc>
      </w:tr>
      <w:tr w:rsidR="007C56EC" w:rsidRPr="005314DB" w14:paraId="4EFD141E" w14:textId="77777777" w:rsidTr="00BC13CB">
        <w:trPr>
          <w:cantSplit/>
        </w:trPr>
        <w:tc>
          <w:tcPr>
            <w:tcW w:w="3562" w:type="dxa"/>
            <w:tcBorders>
              <w:top w:val="single" w:sz="6" w:space="0" w:color="auto"/>
              <w:bottom w:val="single" w:sz="6" w:space="0" w:color="auto"/>
            </w:tcBorders>
            <w:shd w:val="clear" w:color="auto" w:fill="FFC000"/>
            <w:vAlign w:val="center"/>
          </w:tcPr>
          <w:p w14:paraId="4C04A89C" w14:textId="502ADD26" w:rsidR="007C56EC" w:rsidRPr="004B25E7" w:rsidRDefault="007C56EC" w:rsidP="007C56EC">
            <w:pPr>
              <w:jc w:val="center"/>
              <w:rPr>
                <w:rFonts w:ascii="Cambria" w:hAnsi="Cambria"/>
                <w:b/>
                <w:bCs/>
                <w:sz w:val="20"/>
                <w:szCs w:val="20"/>
                <w:lang w:val="pt-BR"/>
              </w:rPr>
            </w:pPr>
            <w:r w:rsidRPr="004B25E7">
              <w:rPr>
                <w:rFonts w:ascii="Cambria" w:hAnsi="Cambria"/>
                <w:b/>
                <w:bCs/>
                <w:color w:val="000000" w:themeColor="text1"/>
                <w:sz w:val="20"/>
                <w:szCs w:val="20"/>
                <w:lang w:val="pt-BR"/>
              </w:rPr>
              <w:lastRenderedPageBreak/>
              <w:t>Esgotamento dos recursos internos ou procedência de uma exceção:</w:t>
            </w:r>
          </w:p>
        </w:tc>
        <w:tc>
          <w:tcPr>
            <w:tcW w:w="5680" w:type="dxa"/>
            <w:vAlign w:val="center"/>
          </w:tcPr>
          <w:p w14:paraId="69C53E8A" w14:textId="31B7042D" w:rsidR="007C56EC" w:rsidRPr="004B25E7" w:rsidRDefault="007C56EC" w:rsidP="007C56EC">
            <w:pPr>
              <w:rPr>
                <w:rFonts w:ascii="Cambria" w:hAnsi="Cambria"/>
                <w:bCs/>
                <w:sz w:val="20"/>
                <w:szCs w:val="20"/>
                <w:lang w:val="pt-BR"/>
              </w:rPr>
            </w:pPr>
            <w:r w:rsidRPr="004B25E7">
              <w:rPr>
                <w:rFonts w:ascii="Cambria" w:hAnsi="Cambria"/>
                <w:bCs/>
                <w:sz w:val="20"/>
                <w:szCs w:val="20"/>
                <w:lang w:val="pt-BR"/>
              </w:rPr>
              <w:t>Sim, nos termos da Secção VII</w:t>
            </w:r>
          </w:p>
        </w:tc>
      </w:tr>
      <w:tr w:rsidR="00BC13CB" w:rsidRPr="005314DB" w14:paraId="52B5BA17" w14:textId="77777777" w:rsidTr="00BC13CB">
        <w:trPr>
          <w:cantSplit/>
        </w:trPr>
        <w:tc>
          <w:tcPr>
            <w:tcW w:w="3562" w:type="dxa"/>
            <w:tcBorders>
              <w:top w:val="single" w:sz="6" w:space="0" w:color="auto"/>
              <w:bottom w:val="single" w:sz="6" w:space="0" w:color="auto"/>
            </w:tcBorders>
            <w:shd w:val="clear" w:color="auto" w:fill="FFC000"/>
            <w:vAlign w:val="center"/>
          </w:tcPr>
          <w:p w14:paraId="5DF99086" w14:textId="2B8978DD" w:rsidR="00BC13CB" w:rsidRPr="004B25E7" w:rsidRDefault="00BC13CB" w:rsidP="00BC13CB">
            <w:pPr>
              <w:jc w:val="center"/>
              <w:rPr>
                <w:rFonts w:ascii="Cambria" w:hAnsi="Cambria"/>
                <w:b/>
                <w:bCs/>
                <w:sz w:val="20"/>
                <w:szCs w:val="20"/>
                <w:lang w:val="pt-BR"/>
              </w:rPr>
            </w:pPr>
            <w:r w:rsidRPr="004B25E7">
              <w:rPr>
                <w:rFonts w:ascii="Cambria" w:hAnsi="Cambria"/>
                <w:b/>
                <w:bCs/>
                <w:color w:val="000000" w:themeColor="text1"/>
                <w:sz w:val="20"/>
                <w:szCs w:val="20"/>
                <w:lang w:val="pt-BR"/>
              </w:rPr>
              <w:t>Apresentação dentro do prazo:</w:t>
            </w:r>
          </w:p>
        </w:tc>
        <w:tc>
          <w:tcPr>
            <w:tcW w:w="5680" w:type="dxa"/>
            <w:vAlign w:val="center"/>
          </w:tcPr>
          <w:p w14:paraId="4A2A4569" w14:textId="00E819CB" w:rsidR="00BC13CB" w:rsidRPr="004B25E7" w:rsidRDefault="00BC13CB" w:rsidP="00BC13CB">
            <w:pPr>
              <w:rPr>
                <w:rFonts w:ascii="Cambria" w:hAnsi="Cambria"/>
                <w:bCs/>
                <w:sz w:val="20"/>
                <w:szCs w:val="20"/>
                <w:lang w:val="pt-BR"/>
              </w:rPr>
            </w:pPr>
            <w:r w:rsidRPr="004B25E7">
              <w:rPr>
                <w:rFonts w:ascii="Cambria" w:hAnsi="Cambria"/>
                <w:bCs/>
                <w:sz w:val="20"/>
                <w:szCs w:val="20"/>
                <w:lang w:val="pt-BR"/>
              </w:rPr>
              <w:t>Sim, nos termos da Secção VII</w:t>
            </w:r>
          </w:p>
        </w:tc>
      </w:tr>
    </w:tbl>
    <w:p w14:paraId="18E6423B" w14:textId="0107F3A7" w:rsidR="003239B8" w:rsidRPr="004B25E7" w:rsidRDefault="00223A29" w:rsidP="00705EEE">
      <w:pPr>
        <w:spacing w:before="240" w:after="240"/>
        <w:ind w:firstLine="720"/>
        <w:jc w:val="both"/>
        <w:rPr>
          <w:rFonts w:asciiTheme="majorHAnsi" w:hAnsiTheme="majorHAnsi"/>
          <w:b/>
          <w:sz w:val="20"/>
          <w:szCs w:val="20"/>
          <w:lang w:val="pt-BR"/>
        </w:rPr>
      </w:pPr>
      <w:r w:rsidRPr="004B25E7">
        <w:rPr>
          <w:rFonts w:asciiTheme="majorHAnsi" w:hAnsiTheme="majorHAnsi"/>
          <w:b/>
          <w:sz w:val="20"/>
          <w:szCs w:val="20"/>
          <w:lang w:val="pt-BR"/>
        </w:rPr>
        <w:t xml:space="preserve">V. </w:t>
      </w:r>
      <w:r w:rsidRPr="004B25E7">
        <w:rPr>
          <w:rFonts w:asciiTheme="majorHAnsi" w:hAnsiTheme="majorHAnsi"/>
          <w:b/>
          <w:sz w:val="20"/>
          <w:szCs w:val="20"/>
          <w:lang w:val="pt-BR"/>
        </w:rPr>
        <w:tab/>
      </w:r>
      <w:r w:rsidR="00867314" w:rsidRPr="004B25E7">
        <w:rPr>
          <w:rFonts w:asciiTheme="majorHAnsi" w:hAnsiTheme="majorHAnsi"/>
          <w:b/>
          <w:sz w:val="20"/>
          <w:szCs w:val="20"/>
          <w:lang w:val="pt-BR"/>
        </w:rPr>
        <w:t>POSIÇÃO DAS PARTES</w:t>
      </w:r>
    </w:p>
    <w:p w14:paraId="16FB6418" w14:textId="4A7373EA" w:rsidR="0083100C" w:rsidRPr="004B25E7" w:rsidRDefault="006510D2" w:rsidP="00705EEE">
      <w:pPr>
        <w:spacing w:before="240" w:after="240"/>
        <w:ind w:firstLine="720"/>
        <w:jc w:val="both"/>
        <w:rPr>
          <w:rFonts w:asciiTheme="majorHAnsi" w:hAnsiTheme="majorHAnsi"/>
          <w:b/>
          <w:sz w:val="20"/>
          <w:szCs w:val="20"/>
          <w:lang w:val="pt-BR"/>
        </w:rPr>
      </w:pPr>
      <w:r w:rsidRPr="004B25E7">
        <w:rPr>
          <w:rFonts w:asciiTheme="majorHAnsi" w:hAnsiTheme="majorHAnsi"/>
          <w:b/>
          <w:sz w:val="20"/>
          <w:szCs w:val="20"/>
          <w:lang w:val="pt-BR"/>
        </w:rPr>
        <w:t>A parte peticionária</w:t>
      </w:r>
    </w:p>
    <w:p w14:paraId="1A2E486E" w14:textId="491F4564" w:rsidR="00EF67F0" w:rsidRPr="004B25E7" w:rsidRDefault="003359BB" w:rsidP="0010476D">
      <w:pPr>
        <w:pStyle w:val="ListParagraph"/>
        <w:numPr>
          <w:ilvl w:val="0"/>
          <w:numId w:val="103"/>
        </w:numPr>
        <w:spacing w:before="240" w:after="240"/>
        <w:jc w:val="both"/>
        <w:rPr>
          <w:rFonts w:eastAsia="Arial Unicode MS" w:cs="Times New Roman"/>
          <w:color w:val="auto"/>
          <w:sz w:val="20"/>
          <w:szCs w:val="20"/>
          <w:lang w:val="pt-BR" w:eastAsia="en-US"/>
        </w:rPr>
      </w:pPr>
      <w:r>
        <w:rPr>
          <w:rFonts w:eastAsia="Arial Unicode MS" w:cs="Times New Roman"/>
          <w:color w:val="auto"/>
          <w:sz w:val="20"/>
          <w:szCs w:val="20"/>
          <w:lang w:val="pt-BR" w:eastAsia="en-US"/>
        </w:rPr>
        <w:t>A parte peticionária</w:t>
      </w:r>
      <w:r w:rsidR="002757E8" w:rsidRPr="004B25E7">
        <w:rPr>
          <w:rFonts w:eastAsia="Arial Unicode MS" w:cs="Times New Roman"/>
          <w:color w:val="auto"/>
          <w:sz w:val="20"/>
          <w:szCs w:val="20"/>
          <w:lang w:val="pt-BR" w:eastAsia="en-US"/>
        </w:rPr>
        <w:t xml:space="preserve"> alega que o Estado brasileiro é responsável pelo desaparecimento forçado de Paulo Alexandre Gomes, de 23 anos, ocorrido em maio de 2006, no contexto dos chamados "Crimes de Maio". </w:t>
      </w:r>
      <w:r>
        <w:rPr>
          <w:rFonts w:eastAsia="Arial Unicode MS" w:cs="Times New Roman"/>
          <w:color w:val="auto"/>
          <w:sz w:val="20"/>
          <w:szCs w:val="20"/>
          <w:lang w:val="pt-BR" w:eastAsia="en-US"/>
        </w:rPr>
        <w:t>O caso seria</w:t>
      </w:r>
      <w:r w:rsidR="002757E8" w:rsidRPr="004B25E7">
        <w:rPr>
          <w:rFonts w:eastAsia="Arial Unicode MS" w:cs="Times New Roman"/>
          <w:color w:val="auto"/>
          <w:sz w:val="20"/>
          <w:szCs w:val="20"/>
          <w:lang w:val="pt-BR" w:eastAsia="en-US"/>
        </w:rPr>
        <w:t xml:space="preserve"> parte de um padrão sistemático de violência estatal, caracterizado por execuções extrajudiciais e desaparecimentos forçados em resposta a ataques de organizações criminosas. Além disso, alega que o Estado </w:t>
      </w:r>
      <w:r>
        <w:rPr>
          <w:rFonts w:eastAsia="Arial Unicode MS" w:cs="Times New Roman"/>
          <w:color w:val="auto"/>
          <w:sz w:val="20"/>
          <w:szCs w:val="20"/>
          <w:lang w:val="pt-BR" w:eastAsia="en-US"/>
        </w:rPr>
        <w:t>des</w:t>
      </w:r>
      <w:r w:rsidR="002757E8" w:rsidRPr="004B25E7">
        <w:rPr>
          <w:rFonts w:eastAsia="Arial Unicode MS" w:cs="Times New Roman"/>
          <w:color w:val="auto"/>
          <w:sz w:val="20"/>
          <w:szCs w:val="20"/>
          <w:lang w:val="pt-BR" w:eastAsia="en-US"/>
        </w:rPr>
        <w:t>cumpriu com suas obrigações de investigar os fatos e punir os responsáveis.</w:t>
      </w:r>
    </w:p>
    <w:p w14:paraId="36CE5B1C" w14:textId="5E72F685" w:rsidR="002E1578" w:rsidRPr="004B25E7" w:rsidRDefault="003359BB" w:rsidP="0010476D">
      <w:pPr>
        <w:pStyle w:val="ListParagraph"/>
        <w:numPr>
          <w:ilvl w:val="0"/>
          <w:numId w:val="103"/>
        </w:numPr>
        <w:spacing w:before="240" w:after="240"/>
        <w:jc w:val="both"/>
        <w:rPr>
          <w:rFonts w:eastAsia="Arial Unicode MS" w:cs="Times New Roman"/>
          <w:color w:val="auto"/>
          <w:sz w:val="20"/>
          <w:szCs w:val="20"/>
          <w:lang w:val="pt-BR" w:eastAsia="en-US"/>
        </w:rPr>
      </w:pPr>
      <w:r>
        <w:rPr>
          <w:rFonts w:eastAsia="Arial Unicode MS" w:cs="Times New Roman"/>
          <w:color w:val="auto"/>
          <w:sz w:val="20"/>
          <w:szCs w:val="20"/>
          <w:lang w:val="pt-BR" w:eastAsia="en-US"/>
        </w:rPr>
        <w:t>A parte peticionária explica</w:t>
      </w:r>
      <w:r w:rsidR="00821EC4" w:rsidRPr="004B25E7">
        <w:rPr>
          <w:rFonts w:eastAsia="Arial Unicode MS" w:cs="Times New Roman"/>
          <w:color w:val="auto"/>
          <w:sz w:val="20"/>
          <w:szCs w:val="20"/>
          <w:lang w:val="pt-BR" w:eastAsia="en-US"/>
        </w:rPr>
        <w:t xml:space="preserve"> que os "Crimes de Maio" referem-se a uma série de represálias perpetradas por agentes do Estado após ataques da organização criminosa </w:t>
      </w:r>
      <w:r w:rsidR="00EF67F0" w:rsidRPr="004B25E7">
        <w:rPr>
          <w:rFonts w:eastAsia="Arial Unicode MS" w:cs="Times New Roman"/>
          <w:i/>
          <w:iCs/>
          <w:color w:val="auto"/>
          <w:sz w:val="20"/>
          <w:szCs w:val="20"/>
          <w:lang w:val="pt-BR" w:eastAsia="en-US"/>
        </w:rPr>
        <w:t>Primeiro Comando da Capital</w:t>
      </w:r>
      <w:r w:rsidR="00EF67F0" w:rsidRPr="004B25E7">
        <w:rPr>
          <w:rFonts w:eastAsia="Arial Unicode MS" w:cs="Times New Roman"/>
          <w:color w:val="auto"/>
          <w:sz w:val="20"/>
          <w:szCs w:val="20"/>
          <w:lang w:val="pt-BR" w:eastAsia="en-US"/>
        </w:rPr>
        <w:t xml:space="preserve"> (PCC) em maio de 2006. Durante esses eventos, foram registradas mais de 560 mortes, 110 feridos e pelo menos quatro desaparecimentos forçados, incluindo o de Paulo Alexandre Gomes. As vítimas eram, em sua maioria, jovens de comunidades empobrecidas e afrodescendentes, o que </w:t>
      </w:r>
      <w:r>
        <w:rPr>
          <w:rFonts w:eastAsia="Arial Unicode MS" w:cs="Times New Roman"/>
          <w:color w:val="auto"/>
          <w:sz w:val="20"/>
          <w:szCs w:val="20"/>
          <w:lang w:val="pt-BR" w:eastAsia="en-US"/>
        </w:rPr>
        <w:t>evidenciaria</w:t>
      </w:r>
      <w:r w:rsidR="00EF67F0" w:rsidRPr="004B25E7">
        <w:rPr>
          <w:rFonts w:eastAsia="Arial Unicode MS" w:cs="Times New Roman"/>
          <w:color w:val="auto"/>
          <w:sz w:val="20"/>
          <w:szCs w:val="20"/>
          <w:lang w:val="pt-BR" w:eastAsia="en-US"/>
        </w:rPr>
        <w:t xml:space="preserve"> um viés racial e socioeconômico na ação policial.</w:t>
      </w:r>
    </w:p>
    <w:p w14:paraId="4AE589AD" w14:textId="497BE50C" w:rsidR="00A761BF" w:rsidRPr="004B25E7" w:rsidRDefault="00A761BF" w:rsidP="00705E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i/>
          <w:iCs/>
          <w:sz w:val="20"/>
          <w:szCs w:val="20"/>
          <w:lang w:val="pt-BR"/>
        </w:rPr>
      </w:pPr>
      <w:r w:rsidRPr="004B25E7">
        <w:rPr>
          <w:rFonts w:ascii="Cambria" w:hAnsi="Cambria"/>
          <w:i/>
          <w:iCs/>
          <w:sz w:val="20"/>
          <w:szCs w:val="20"/>
          <w:lang w:val="pt-BR"/>
        </w:rPr>
        <w:t xml:space="preserve">Sobre o desaparecimento da suposta vítima e </w:t>
      </w:r>
      <w:r w:rsidR="004B25E7" w:rsidRPr="004B25E7">
        <w:rPr>
          <w:rFonts w:ascii="Cambria" w:hAnsi="Cambria"/>
          <w:i/>
          <w:iCs/>
          <w:sz w:val="20"/>
          <w:szCs w:val="20"/>
          <w:lang w:val="pt-BR"/>
        </w:rPr>
        <w:t>a alegada</w:t>
      </w:r>
      <w:r w:rsidRPr="004B25E7">
        <w:rPr>
          <w:rFonts w:ascii="Cambria" w:hAnsi="Cambria"/>
          <w:i/>
          <w:iCs/>
          <w:sz w:val="20"/>
          <w:szCs w:val="20"/>
          <w:lang w:val="pt-BR"/>
        </w:rPr>
        <w:t xml:space="preserve"> responsabilidade da Polícia Militar</w:t>
      </w:r>
    </w:p>
    <w:p w14:paraId="0F3F8489" w14:textId="2068DE31" w:rsidR="00A761BF" w:rsidRPr="004B25E7" w:rsidRDefault="00801DC6"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4B25E7">
        <w:rPr>
          <w:rFonts w:ascii="Cambria" w:hAnsi="Cambria"/>
          <w:sz w:val="20"/>
          <w:szCs w:val="20"/>
          <w:lang w:val="pt-BR"/>
        </w:rPr>
        <w:t xml:space="preserve">No contexto descrito, no dia 16 de maio de 2006, Paulo Alexandre Gomes saiu de casa por volta das 21h00 com a intenção de visitar </w:t>
      </w:r>
      <w:r w:rsidR="003359BB">
        <w:rPr>
          <w:rFonts w:ascii="Cambria" w:hAnsi="Cambria"/>
          <w:sz w:val="20"/>
          <w:szCs w:val="20"/>
          <w:lang w:val="pt-BR"/>
        </w:rPr>
        <w:t>su</w:t>
      </w:r>
      <w:r w:rsidRPr="004B25E7">
        <w:rPr>
          <w:rFonts w:ascii="Cambria" w:hAnsi="Cambria"/>
          <w:sz w:val="20"/>
          <w:szCs w:val="20"/>
          <w:lang w:val="pt-BR"/>
        </w:rPr>
        <w:t xml:space="preserve">a namorada, mas nunca chegou ao seu destino. Sua irmã, percebendo sua ausência, percorreu os lugares por onde ele teria passado, sem obter nenhuma informação sobre seu paradeiro. Mais tarde, um amigo seu afirmou que o havia deixado em um ponto próximo ao bairro Vila </w:t>
      </w:r>
      <w:r w:rsidR="00A761BF" w:rsidRPr="004B25E7">
        <w:rPr>
          <w:rFonts w:ascii="Cambria" w:hAnsi="Cambria"/>
          <w:i/>
          <w:iCs/>
          <w:sz w:val="20"/>
          <w:szCs w:val="20"/>
          <w:lang w:val="pt-BR"/>
        </w:rPr>
        <w:t>Progresso</w:t>
      </w:r>
      <w:r w:rsidR="00A761BF" w:rsidRPr="004B25E7">
        <w:rPr>
          <w:rFonts w:ascii="Cambria" w:hAnsi="Cambria"/>
          <w:sz w:val="20"/>
          <w:szCs w:val="20"/>
          <w:lang w:val="pt-BR"/>
        </w:rPr>
        <w:t xml:space="preserve">, em uma área onde havia uma forte presença policial naquela noite. </w:t>
      </w:r>
    </w:p>
    <w:p w14:paraId="47E18E3E" w14:textId="6F5CB300" w:rsidR="00733641" w:rsidRPr="004B25E7" w:rsidRDefault="001176C1"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4B25E7">
        <w:rPr>
          <w:rFonts w:ascii="Cambria" w:hAnsi="Cambria"/>
          <w:sz w:val="20"/>
          <w:szCs w:val="20"/>
          <w:lang w:val="pt-BR"/>
        </w:rPr>
        <w:t xml:space="preserve">De acordo com as investigações, a última pessoa que viu Paulo Alexandre Gomes antes de seu desaparecimento foi Leandro Rogério da Silva. Ele contou que, após conversar com um grupo ao redor de uma fogueira, levou a suposta vítima em uma motocicleta até uma escadaria que liga a Estrada de Itaquera à Avenida Radial Leste. Paulo Alexandre Gomes atravessou a avenida e entrou em uma rua que dá acesso a uma favela. Leandro </w:t>
      </w:r>
      <w:r w:rsidR="003359BB">
        <w:rPr>
          <w:rFonts w:ascii="Cambria" w:hAnsi="Cambria"/>
          <w:sz w:val="20"/>
          <w:szCs w:val="20"/>
          <w:lang w:val="pt-BR"/>
        </w:rPr>
        <w:t xml:space="preserve">o </w:t>
      </w:r>
      <w:r w:rsidRPr="004B25E7">
        <w:rPr>
          <w:rFonts w:ascii="Cambria" w:hAnsi="Cambria"/>
          <w:sz w:val="20"/>
          <w:szCs w:val="20"/>
          <w:lang w:val="pt-BR"/>
        </w:rPr>
        <w:t>esperou por ele por 40 a 50 minutos, mas no final ele saiu por medo, devido ao seu histórico policial e à violência na área. No dia seguinte, ela perguntou por Paulo na favela, mas ninguém conseguiu dar informações.</w:t>
      </w:r>
    </w:p>
    <w:p w14:paraId="24F391F6" w14:textId="01A1A66C" w:rsidR="0066035D" w:rsidRPr="004B25E7" w:rsidRDefault="003359BB"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Pr>
          <w:rFonts w:ascii="Cambria" w:hAnsi="Cambria"/>
          <w:sz w:val="20"/>
          <w:szCs w:val="20"/>
          <w:lang w:val="pt-BR"/>
        </w:rPr>
        <w:t>A parte peticionária</w:t>
      </w:r>
      <w:r w:rsidR="00B804F9" w:rsidRPr="004B25E7">
        <w:rPr>
          <w:rFonts w:ascii="Cambria" w:hAnsi="Cambria"/>
          <w:sz w:val="20"/>
          <w:szCs w:val="20"/>
          <w:lang w:val="pt-BR"/>
        </w:rPr>
        <w:t xml:space="preserve"> alega que existem múltiplos indícios de que membros da Polícia Militar do Estado de São Paulo interceptaram e desapareceram Paulo Alexandre Gomes. Primeiro, testemunhas relataram que naquela noite agentes policiais realizaram prisões na área onde ele </w:t>
      </w:r>
      <w:r>
        <w:rPr>
          <w:rFonts w:ascii="Cambria" w:hAnsi="Cambria"/>
          <w:sz w:val="20"/>
          <w:szCs w:val="20"/>
          <w:lang w:val="pt-BR"/>
        </w:rPr>
        <w:t>se encontrava</w:t>
      </w:r>
      <w:r w:rsidR="00B804F9" w:rsidRPr="004B25E7">
        <w:rPr>
          <w:rFonts w:ascii="Cambria" w:hAnsi="Cambria"/>
          <w:sz w:val="20"/>
          <w:szCs w:val="20"/>
          <w:lang w:val="pt-BR"/>
        </w:rPr>
        <w:t xml:space="preserve"> e que várias dessas pessoas nunca mais foram vistas. Em segundo lugar, relatórios subsequentes revelaram que não havia registros oficiais das operações </w:t>
      </w:r>
      <w:r>
        <w:rPr>
          <w:rFonts w:ascii="Cambria" w:hAnsi="Cambria"/>
          <w:sz w:val="20"/>
          <w:szCs w:val="20"/>
          <w:lang w:val="pt-BR"/>
        </w:rPr>
        <w:t>desencadeadas</w:t>
      </w:r>
      <w:r w:rsidR="00B804F9" w:rsidRPr="004B25E7">
        <w:rPr>
          <w:rFonts w:ascii="Cambria" w:hAnsi="Cambria"/>
          <w:sz w:val="20"/>
          <w:szCs w:val="20"/>
          <w:lang w:val="pt-BR"/>
        </w:rPr>
        <w:t xml:space="preserve"> na área na noite de 16 de maio de 2006, sugerindo que as evidências foram deliberadamente alteradas ou excluídas. Em terceiro lugar, as características da operação, na qual participaram agentes encapuzados e veículos não identificados, coincidem com padrões de ação previamente documentados em outros desaparecimentos forçados atribuídos às forças policiais. Por fim, as famílias das vítimas, incluindo os parentes de Paulo, têm sido sistematicamente ignoradas ou revitimizadas quando tentam obter informações sobre seu paradeiro, o que reforçaria a hipótese de uma ação encoberta do Estado.</w:t>
      </w:r>
    </w:p>
    <w:p w14:paraId="6AA70510" w14:textId="310ECB36" w:rsidR="00A761BF" w:rsidRPr="004B25E7" w:rsidRDefault="00A761BF" w:rsidP="00705E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i/>
          <w:iCs/>
          <w:sz w:val="20"/>
          <w:szCs w:val="20"/>
          <w:lang w:val="pt-BR"/>
        </w:rPr>
      </w:pPr>
      <w:r w:rsidRPr="004B25E7">
        <w:rPr>
          <w:rFonts w:ascii="Cambria" w:hAnsi="Cambria"/>
          <w:i/>
          <w:iCs/>
          <w:sz w:val="20"/>
          <w:szCs w:val="20"/>
          <w:lang w:val="pt-BR"/>
        </w:rPr>
        <w:t xml:space="preserve">Sobre a investigação criminal e suas deficiências </w:t>
      </w:r>
    </w:p>
    <w:p w14:paraId="7E2D76AD" w14:textId="07B45E88" w:rsidR="00A761BF" w:rsidRPr="004B25E7" w:rsidRDefault="003359BB"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Pr>
          <w:rFonts w:ascii="Cambria" w:hAnsi="Cambria"/>
          <w:sz w:val="20"/>
          <w:szCs w:val="20"/>
          <w:lang w:val="pt-BR"/>
        </w:rPr>
        <w:t>A parte peticionária</w:t>
      </w:r>
      <w:r w:rsidR="00673FBE" w:rsidRPr="004B25E7">
        <w:rPr>
          <w:rFonts w:ascii="Cambria" w:hAnsi="Cambria"/>
          <w:sz w:val="20"/>
          <w:szCs w:val="20"/>
          <w:lang w:val="pt-BR"/>
        </w:rPr>
        <w:t xml:space="preserve"> afirma que a investigação sobre o desaparecimento de Paulo Alexandre Gomes foi marcada por negligência, omissões e falta de vontade por parte do Estado em esclarecer os fatos. Inicialmente, sua família registrou um boletim de ocorrência, mas as autoridades não iniciaram uma </w:t>
      </w:r>
      <w:r w:rsidR="00673FBE" w:rsidRPr="004B25E7">
        <w:rPr>
          <w:rFonts w:ascii="Cambria" w:hAnsi="Cambria"/>
          <w:sz w:val="20"/>
          <w:szCs w:val="20"/>
          <w:lang w:val="pt-BR"/>
        </w:rPr>
        <w:lastRenderedPageBreak/>
        <w:t>investigação imediata. Na verdade, as investigações só começaram após pressão do pai da suposta vítima, que denunciou o caso na mídia. No entanto, em 2006, o escritório de controle interno da polícia militar arquivou o caso, argumentando o seguinte:</w:t>
      </w:r>
    </w:p>
    <w:p w14:paraId="2FABA6E8" w14:textId="52B00108" w:rsidR="004F763F" w:rsidRPr="004B25E7" w:rsidRDefault="0006373C" w:rsidP="00705E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Cambria" w:hAnsi="Cambria"/>
          <w:sz w:val="18"/>
          <w:szCs w:val="18"/>
          <w:lang w:val="pt-BR"/>
        </w:rPr>
      </w:pPr>
      <w:r w:rsidRPr="004B25E7">
        <w:rPr>
          <w:rFonts w:ascii="Cambria" w:hAnsi="Cambria"/>
          <w:sz w:val="18"/>
          <w:szCs w:val="18"/>
          <w:lang w:val="pt-BR"/>
        </w:rPr>
        <w:t>Após a apresentação dos fatos, avaliados à luz das provas coletadas, as provas fornecidas aos autos são consistentes em confirmar que houve uma abordagem por uma equipe [policial] nas proximidades da favela onde P</w:t>
      </w:r>
      <w:r w:rsidR="00863189">
        <w:rPr>
          <w:rFonts w:ascii="Cambria" w:hAnsi="Cambria"/>
          <w:sz w:val="18"/>
          <w:szCs w:val="18"/>
          <w:lang w:val="pt-BR"/>
        </w:rPr>
        <w:t>AULO</w:t>
      </w:r>
      <w:r w:rsidRPr="004B25E7">
        <w:rPr>
          <w:rFonts w:ascii="Cambria" w:hAnsi="Cambria"/>
          <w:sz w:val="18"/>
          <w:szCs w:val="18"/>
          <w:lang w:val="pt-BR"/>
        </w:rPr>
        <w:t xml:space="preserve"> teria ido comprar 'drogas'. No entanto, eles não fornecem evidências suficientes para vincular seu desaparecimento à polícia militar, uma vez que há uma inconsistência entre os depoimentos coletados.</w:t>
      </w:r>
    </w:p>
    <w:p w14:paraId="592B8422" w14:textId="5EC8195B" w:rsidR="005A6D4B" w:rsidRPr="004B25E7" w:rsidRDefault="004B6856"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4B25E7">
        <w:rPr>
          <w:rFonts w:ascii="Cambria" w:hAnsi="Cambria"/>
          <w:sz w:val="20"/>
          <w:szCs w:val="20"/>
          <w:lang w:val="pt-BR"/>
        </w:rPr>
        <w:t xml:space="preserve">Nesse contexto, foi somente em 21 de maio de 2007 que a Polícia Civil iniciou uma investigação, após a Secretaria de Segurança Pública se reunir com a família de Paulo Alexandre Gomes e organizações de direitos humanos. No entanto, questiona que as autoridades não tenham realizado procedimentos essenciais. Eles denunciam que a polícia não interrogou testemunhas-chave ou realizou inspeções em locais onde se suspeitava que </w:t>
      </w:r>
      <w:r w:rsidR="00A654A5">
        <w:rPr>
          <w:rFonts w:ascii="Cambria" w:hAnsi="Cambria"/>
          <w:sz w:val="20"/>
          <w:szCs w:val="20"/>
          <w:lang w:val="pt-BR"/>
        </w:rPr>
        <w:t xml:space="preserve">poderiam ser encontrados os </w:t>
      </w:r>
      <w:r w:rsidRPr="004B25E7">
        <w:rPr>
          <w:rFonts w:ascii="Cambria" w:hAnsi="Cambria"/>
          <w:sz w:val="20"/>
          <w:szCs w:val="20"/>
          <w:lang w:val="pt-BR"/>
        </w:rPr>
        <w:t xml:space="preserve">restos </w:t>
      </w:r>
      <w:r w:rsidR="00A654A5">
        <w:rPr>
          <w:rFonts w:ascii="Cambria" w:hAnsi="Cambria"/>
          <w:sz w:val="20"/>
          <w:szCs w:val="20"/>
          <w:lang w:val="pt-BR"/>
        </w:rPr>
        <w:t>mortais</w:t>
      </w:r>
      <w:r w:rsidRPr="004B25E7">
        <w:rPr>
          <w:rFonts w:ascii="Cambria" w:hAnsi="Cambria"/>
          <w:sz w:val="20"/>
          <w:szCs w:val="20"/>
          <w:lang w:val="pt-BR"/>
        </w:rPr>
        <w:t xml:space="preserve">. </w:t>
      </w:r>
    </w:p>
    <w:p w14:paraId="63F20EA5" w14:textId="698401F7" w:rsidR="004F763F" w:rsidRPr="004B25E7" w:rsidRDefault="00B74F68"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4B25E7">
        <w:rPr>
          <w:rFonts w:ascii="Cambria" w:hAnsi="Cambria"/>
          <w:sz w:val="20"/>
          <w:szCs w:val="20"/>
          <w:lang w:val="pt-BR"/>
        </w:rPr>
        <w:t xml:space="preserve">Em consequência, </w:t>
      </w:r>
      <w:r w:rsidR="003359BB">
        <w:rPr>
          <w:rFonts w:ascii="Cambria" w:hAnsi="Cambria"/>
          <w:sz w:val="20"/>
          <w:szCs w:val="20"/>
          <w:lang w:val="pt-BR"/>
        </w:rPr>
        <w:t>a parte peticionária questiona</w:t>
      </w:r>
      <w:r w:rsidRPr="004B25E7">
        <w:rPr>
          <w:rFonts w:ascii="Cambria" w:hAnsi="Cambria"/>
          <w:sz w:val="20"/>
          <w:szCs w:val="20"/>
          <w:lang w:val="pt-BR"/>
        </w:rPr>
        <w:t xml:space="preserve"> que</w:t>
      </w:r>
      <w:r w:rsidR="00800929" w:rsidRPr="00800929">
        <w:rPr>
          <w:rFonts w:ascii="Cambria" w:hAnsi="Cambria"/>
          <w:sz w:val="20"/>
          <w:szCs w:val="20"/>
          <w:lang w:val="pt-BR"/>
        </w:rPr>
        <w:t>, em 4 de setembro de 2008, o representante do Ministério Público concluiu novamente não estarem comprovadas a materialidade e a autoria do delito, nem a participação de policiais militares no desaparecimento de Paulo. Consequentemente, em 9 de setembro de 2008, o juízo de primeira instância especializado em Tribunal do Júri acolheu tal parecer e determinou o arquivamento do inquérito, encerrando a possibilidade de uma investigação efetiva sobre os fatos.</w:t>
      </w:r>
    </w:p>
    <w:p w14:paraId="0FA3ABA1" w14:textId="27750C39" w:rsidR="00D67EC2" w:rsidRPr="004B25E7" w:rsidRDefault="00D67EC2" w:rsidP="00705EE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i/>
          <w:iCs/>
          <w:sz w:val="20"/>
          <w:szCs w:val="20"/>
          <w:lang w:val="pt-BR"/>
        </w:rPr>
      </w:pPr>
      <w:r w:rsidRPr="004B25E7">
        <w:rPr>
          <w:i/>
          <w:iCs/>
          <w:sz w:val="20"/>
          <w:szCs w:val="20"/>
          <w:lang w:val="pt-BR"/>
        </w:rPr>
        <w:t>Demanda civil</w:t>
      </w:r>
    </w:p>
    <w:p w14:paraId="3C935FEE" w14:textId="20A73FF3" w:rsidR="00C234CD" w:rsidRPr="004B25E7" w:rsidRDefault="00800929"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00929">
        <w:rPr>
          <w:rFonts w:ascii="Cambria" w:hAnsi="Cambria"/>
          <w:sz w:val="20"/>
          <w:szCs w:val="20"/>
          <w:lang w:val="pt-BR"/>
        </w:rPr>
        <w:t>A parte peticionária explica que a falta de investigação adequada e de informações sobre o desaparecimento da suposta vítima, juntamente com as evidências do possível envolvimento da polícia militar de São Paulo, levaram os familiares a ajuizar uma ação cível contra o Estado de São Paulo. Nela, solicitaram indenização por danos morais e materiais, bem como a obrigação de que o Chefe do Poder Executivo estadual apresentasse desculpas formais à família de Paulo por seu desaparecimento e pela investigação insuficiente dos fatos. Os peticionários aduzem que, apesar das claras violações de direitos humanos, a ação indenizatória foi julgada improcedente em primeira instância sob o argumento de prescrição do caso, decisão que foi confirmada pelo Tribunal de Justiça de São Paulo em 11 de fevereiro de 2020. Esta última decisão teria sido publicada em 10 de novembro de 2020.</w:t>
      </w:r>
    </w:p>
    <w:p w14:paraId="77DD1F36" w14:textId="2D1D92F2" w:rsidR="00364983" w:rsidRPr="004B25E7" w:rsidRDefault="00364983" w:rsidP="00705E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i/>
          <w:iCs/>
          <w:sz w:val="20"/>
          <w:szCs w:val="20"/>
          <w:lang w:val="pt-BR"/>
        </w:rPr>
      </w:pPr>
      <w:r w:rsidRPr="004B25E7">
        <w:rPr>
          <w:rFonts w:ascii="Cambria" w:hAnsi="Cambria"/>
          <w:i/>
          <w:iCs/>
          <w:sz w:val="20"/>
          <w:szCs w:val="20"/>
          <w:lang w:val="pt-BR"/>
        </w:rPr>
        <w:t>Ações de busca realizadas pelos familiares e em decorrência do desaparecimento</w:t>
      </w:r>
    </w:p>
    <w:p w14:paraId="3DC06D25" w14:textId="21D49EBE" w:rsidR="00BA02A8" w:rsidRPr="004B25E7" w:rsidRDefault="00C90E14"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4B25E7">
        <w:rPr>
          <w:rFonts w:ascii="Cambria" w:hAnsi="Cambria"/>
          <w:sz w:val="20"/>
          <w:szCs w:val="20"/>
          <w:lang w:val="pt-BR"/>
        </w:rPr>
        <w:t xml:space="preserve">Além disso, indica </w:t>
      </w:r>
      <w:r w:rsidR="003359BB">
        <w:rPr>
          <w:rFonts w:ascii="Cambria" w:hAnsi="Cambria"/>
          <w:sz w:val="20"/>
          <w:szCs w:val="20"/>
          <w:lang w:val="pt-BR"/>
        </w:rPr>
        <w:t>a parte peticionária</w:t>
      </w:r>
      <w:r w:rsidRPr="004B25E7">
        <w:rPr>
          <w:rFonts w:ascii="Cambria" w:hAnsi="Cambria"/>
          <w:sz w:val="20"/>
          <w:szCs w:val="20"/>
          <w:lang w:val="pt-BR"/>
        </w:rPr>
        <w:t xml:space="preserve">, </w:t>
      </w:r>
      <w:r w:rsidR="00B8073E" w:rsidRPr="00B8073E">
        <w:rPr>
          <w:rFonts w:ascii="Cambria" w:hAnsi="Cambria"/>
          <w:sz w:val="20"/>
          <w:szCs w:val="20"/>
          <w:lang w:val="pt-BR"/>
        </w:rPr>
        <w:t>os familiares da suposta vítima concentraram seus esforços em encontrar seu corpo para dar-lhe um enterro digno. Eles recorreram à Defensoria Pública, de onde foram expedidos ofícios na tentativa de obter informações sobre o paradeiro de Paulo. Além disso, visitaram repetidamente o Instituto Médico Legal (IML) e vários cemitérios. No entanto, até o momento, o paradeiro dele permanece desconhecido, o que levou a família a suspeitar que seu corpo possa ter sido lançado em uma antiga pedreira, atualmente inundada e sem previsão de esvaziamento.</w:t>
      </w:r>
    </w:p>
    <w:p w14:paraId="1FD014EF" w14:textId="174C8802" w:rsidR="00A761BF" w:rsidRPr="004B25E7" w:rsidRDefault="003359BB"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Pr>
          <w:rFonts w:ascii="Cambria" w:hAnsi="Cambria"/>
          <w:sz w:val="20"/>
          <w:szCs w:val="20"/>
          <w:lang w:val="pt-BR"/>
        </w:rPr>
        <w:t>A parte peticionária denuncia</w:t>
      </w:r>
      <w:r w:rsidR="00013FAF" w:rsidRPr="004B25E7">
        <w:rPr>
          <w:rFonts w:ascii="Cambria" w:hAnsi="Cambria"/>
          <w:sz w:val="20"/>
          <w:szCs w:val="20"/>
          <w:lang w:val="pt-BR"/>
        </w:rPr>
        <w:t xml:space="preserve"> que, mais de quinze anos após o desaparecimento de Paulo Alexandre Gomes, esse fato permanece impune e sem resposta das autoridades. Seus parentes enfrentaram a dupla dor da incerteza e da inação do Estado, sem acesso a uma investigação efetiva ou recursos judiciais adequados.</w:t>
      </w:r>
    </w:p>
    <w:p w14:paraId="255CA41A" w14:textId="3A57CFE8" w:rsidR="002F0576" w:rsidRPr="004B25E7" w:rsidRDefault="00601B5B"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4B25E7">
        <w:rPr>
          <w:rFonts w:ascii="Cambria" w:hAnsi="Cambria"/>
          <w:sz w:val="20"/>
          <w:szCs w:val="20"/>
          <w:lang w:val="pt-BR"/>
        </w:rPr>
        <w:t>Nes</w:t>
      </w:r>
      <w:r w:rsidR="00B8073E">
        <w:rPr>
          <w:rFonts w:ascii="Cambria" w:hAnsi="Cambria"/>
          <w:sz w:val="20"/>
          <w:szCs w:val="20"/>
          <w:lang w:val="pt-BR"/>
        </w:rPr>
        <w:t>t</w:t>
      </w:r>
      <w:r w:rsidRPr="004B25E7">
        <w:rPr>
          <w:rFonts w:ascii="Cambria" w:hAnsi="Cambria"/>
          <w:sz w:val="20"/>
          <w:szCs w:val="20"/>
          <w:lang w:val="pt-BR"/>
        </w:rPr>
        <w:t xml:space="preserve">e sentido, </w:t>
      </w:r>
      <w:r w:rsidR="00B8073E" w:rsidRPr="00B8073E">
        <w:rPr>
          <w:rFonts w:ascii="Cambria" w:hAnsi="Cambria"/>
          <w:sz w:val="20"/>
          <w:szCs w:val="20"/>
          <w:lang w:val="pt-BR"/>
        </w:rPr>
        <w:t>o relatório técnico-social da Defensoria Pública do Estado de São Paulo conclui que este caso constitui um processo de tortura física e moral para os familiares da suposta vítima. A participação da Polícia Militar e a negligência na investigação geraram desconfiança nas instituições, além de humilhação e discriminação em sua busca por respostas. Da mesma forma, o impacto na saúde dos familiares deteriorou sua qualidade de vida, especialmente no caso de sua irmã Francilene, que desenvolveu uma doença oncológica em decorrência do estresse e sofrimento prolongado.</w:t>
      </w:r>
    </w:p>
    <w:p w14:paraId="3626101E" w14:textId="1B7CE313" w:rsidR="00A761BF" w:rsidRPr="004B25E7" w:rsidRDefault="0012445E" w:rsidP="00705E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i/>
          <w:iCs/>
          <w:sz w:val="20"/>
          <w:szCs w:val="20"/>
          <w:lang w:val="pt-BR"/>
        </w:rPr>
      </w:pPr>
      <w:r w:rsidRPr="004B25E7">
        <w:rPr>
          <w:rFonts w:ascii="Cambria" w:hAnsi="Cambria"/>
          <w:i/>
          <w:iCs/>
          <w:sz w:val="20"/>
          <w:szCs w:val="20"/>
          <w:lang w:val="pt-BR"/>
        </w:rPr>
        <w:lastRenderedPageBreak/>
        <w:t>Argumentos finais</w:t>
      </w:r>
    </w:p>
    <w:p w14:paraId="652253D7" w14:textId="19C0D2C4" w:rsidR="00027BDE" w:rsidRPr="004B25E7" w:rsidRDefault="00944324"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4B25E7">
        <w:rPr>
          <w:rFonts w:ascii="Cambria" w:hAnsi="Cambria"/>
          <w:sz w:val="20"/>
          <w:szCs w:val="20"/>
          <w:lang w:val="pt-BR"/>
        </w:rPr>
        <w:t xml:space="preserve">Com base nas considerações de fato, </w:t>
      </w:r>
      <w:r w:rsidR="003359BB">
        <w:rPr>
          <w:rFonts w:ascii="Cambria" w:hAnsi="Cambria"/>
          <w:sz w:val="20"/>
          <w:szCs w:val="20"/>
          <w:lang w:val="pt-BR"/>
        </w:rPr>
        <w:t>a parte peticionária</w:t>
      </w:r>
      <w:r w:rsidRPr="004B25E7">
        <w:rPr>
          <w:rFonts w:ascii="Cambria" w:hAnsi="Cambria"/>
          <w:sz w:val="20"/>
          <w:szCs w:val="20"/>
          <w:lang w:val="pt-BR"/>
        </w:rPr>
        <w:t xml:space="preserve"> </w:t>
      </w:r>
      <w:r w:rsidR="00D44236" w:rsidRPr="00D44236">
        <w:rPr>
          <w:rFonts w:ascii="Cambria" w:hAnsi="Cambria"/>
          <w:sz w:val="20"/>
          <w:szCs w:val="20"/>
          <w:lang w:val="pt-BR"/>
        </w:rPr>
        <w:t>denuncia que o Estado é responsável pelo desaparecimento forçado da suposta vítima. Além disso, a investigação teria sido marcada por diversas irregularidades, omissões e falhas que evidenciam a falta de vontade do Estado em esclarecer os fatos. Apesar de seu desaparecimento ter sido comunicado e de ter sido registrado um Boletim de Ocorrência, a investigação só foi iniciada um ano depois, devido à pressão de sua família e de organizações de direitos humanos. Durante o processo, as autoridades não interrogaram testemunhas-chave que estiveram com Paulo antes de seu desaparecimento, nem realizaram diligências essenciais como a coleta de imagens de câmeras de segurança na área, a identificação e tomada de depoimentos dos policiais que patrulhavam a área, a reconstituição dos fatos por meio de perícias forenses e a busca exaustiva de restos mortais ou evidências em possíveis locais de ocultação de corpos. Além disso, omitiu-se o registro de relatórios oficiais indicando a presença de policiais no local dos fatos e sua participação em agressões a civis, sugerindo um encobrimento institucional. Por fim, também não foi investigada a possível conexão do caso com outros desaparecidos em circunstâncias semelhantes durante os chamados "Crimes de Maio" de 2006, perdendo-se assim a oportunidade de estabelecer um padrão de atuação por parte de agentes do Estado</w:t>
      </w:r>
      <w:r w:rsidR="00D44236">
        <w:rPr>
          <w:rFonts w:ascii="Cambria" w:hAnsi="Cambria"/>
          <w:sz w:val="20"/>
          <w:szCs w:val="20"/>
          <w:lang w:val="pt-BR"/>
        </w:rPr>
        <w:t>.</w:t>
      </w:r>
    </w:p>
    <w:p w14:paraId="546EFAAF" w14:textId="74B2D163" w:rsidR="002F0576" w:rsidRPr="004B25E7" w:rsidRDefault="00944324"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4B25E7">
        <w:rPr>
          <w:rFonts w:ascii="Cambria" w:hAnsi="Cambria"/>
          <w:sz w:val="20"/>
          <w:szCs w:val="20"/>
          <w:lang w:val="pt-BR"/>
        </w:rPr>
        <w:t xml:space="preserve">Por fim, afirma que o Brasil também violou os deveres estipulados nas disposições </w:t>
      </w:r>
      <w:r w:rsidRPr="004B25E7">
        <w:rPr>
          <w:rFonts w:ascii="Cambria" w:eastAsia="Cambria" w:hAnsi="Cambria" w:cs="Cambria"/>
          <w:sz w:val="20"/>
          <w:szCs w:val="20"/>
          <w:lang w:val="pt-BR"/>
        </w:rPr>
        <w:t>1, 6 e 8 da Convenção Interamericana para Prevenir e Punir a Tortura, uma vez que</w:t>
      </w:r>
      <w:r w:rsidR="00CA7C1D" w:rsidRPr="004B25E7">
        <w:rPr>
          <w:rFonts w:ascii="Cambria" w:hAnsi="Cambria"/>
          <w:sz w:val="20"/>
          <w:szCs w:val="20"/>
          <w:lang w:val="pt-BR"/>
        </w:rPr>
        <w:t xml:space="preserve"> os pais e a irmã de Paulo Alexandre Gomes seriam vítimas de tortura por parte do Estado brasileiro devido aos fatos relacionados ao seu desaparecimento e ao constante sentimento de medo e vulnerabilidade que vivenciaram durante quinze anos de busca incessante de respostas que lhes foram sistematicamente negad</w:t>
      </w:r>
      <w:r w:rsidR="004B25E7" w:rsidRPr="004B25E7">
        <w:rPr>
          <w:rFonts w:ascii="Cambria" w:hAnsi="Cambria"/>
          <w:sz w:val="20"/>
          <w:szCs w:val="20"/>
          <w:lang w:val="pt-BR"/>
        </w:rPr>
        <w:t>a</w:t>
      </w:r>
      <w:r w:rsidR="00CA7C1D" w:rsidRPr="004B25E7">
        <w:rPr>
          <w:rFonts w:ascii="Cambria" w:hAnsi="Cambria"/>
          <w:sz w:val="20"/>
          <w:szCs w:val="20"/>
          <w:lang w:val="pt-BR"/>
        </w:rPr>
        <w:t>s.</w:t>
      </w:r>
    </w:p>
    <w:p w14:paraId="129AF6A6" w14:textId="0BC2937D" w:rsidR="00EF76F5" w:rsidRPr="004B25E7" w:rsidRDefault="00F60CC1" w:rsidP="00705E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b/>
          <w:bCs/>
          <w:sz w:val="20"/>
          <w:szCs w:val="20"/>
          <w:lang w:val="pt-BR"/>
        </w:rPr>
      </w:pPr>
      <w:r w:rsidRPr="004B25E7">
        <w:rPr>
          <w:rFonts w:ascii="Cambria" w:hAnsi="Cambria"/>
          <w:b/>
          <w:bCs/>
          <w:sz w:val="20"/>
          <w:szCs w:val="20"/>
          <w:lang w:val="pt-BR"/>
        </w:rPr>
        <w:t>O Estado brasileiro</w:t>
      </w:r>
    </w:p>
    <w:p w14:paraId="08CE2955" w14:textId="08AEEBF3" w:rsidR="002250AB" w:rsidRPr="004B25E7" w:rsidRDefault="00D44236"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Pr>
          <w:rFonts w:ascii="Cambria" w:hAnsi="Cambria"/>
          <w:sz w:val="20"/>
          <w:szCs w:val="20"/>
          <w:lang w:val="pt-BR"/>
        </w:rPr>
        <w:t>De sua parte</w:t>
      </w:r>
      <w:r w:rsidR="002250AB" w:rsidRPr="004B25E7">
        <w:rPr>
          <w:rFonts w:ascii="Cambria" w:hAnsi="Cambria"/>
          <w:sz w:val="20"/>
          <w:szCs w:val="20"/>
          <w:lang w:val="pt-BR"/>
        </w:rPr>
        <w:t xml:space="preserve">, o Estado </w:t>
      </w:r>
      <w:r>
        <w:rPr>
          <w:rFonts w:ascii="Cambria" w:hAnsi="Cambria"/>
          <w:sz w:val="20"/>
          <w:szCs w:val="20"/>
          <w:lang w:val="pt-BR"/>
        </w:rPr>
        <w:t xml:space="preserve">argumenta </w:t>
      </w:r>
      <w:r w:rsidR="002250AB" w:rsidRPr="004B25E7">
        <w:rPr>
          <w:rFonts w:ascii="Cambria" w:hAnsi="Cambria"/>
          <w:sz w:val="20"/>
          <w:szCs w:val="20"/>
          <w:lang w:val="pt-BR"/>
        </w:rPr>
        <w:t xml:space="preserve">que a CIDH não tem competência </w:t>
      </w:r>
      <w:r w:rsidR="00256F99" w:rsidRPr="004B25E7">
        <w:rPr>
          <w:rFonts w:ascii="Cambria" w:hAnsi="Cambria"/>
          <w:i/>
          <w:iCs/>
          <w:sz w:val="20"/>
          <w:szCs w:val="20"/>
          <w:lang w:val="pt-BR"/>
        </w:rPr>
        <w:t>ratione materiae</w:t>
      </w:r>
      <w:r w:rsidR="00256F99" w:rsidRPr="004B25E7">
        <w:rPr>
          <w:rFonts w:ascii="Cambria" w:hAnsi="Cambria"/>
          <w:sz w:val="20"/>
          <w:szCs w:val="20"/>
          <w:lang w:val="pt-BR"/>
        </w:rPr>
        <w:t xml:space="preserve"> para analisar o suposto descumprimento da Convenção Interamericana sobre Desaparecimento Forçado de Pessoas. Alega que o Brasil só ratificou o tratado em 2013 e que sua promulgação no âmbito doméstico ocorreu em 2016, enquanto os fatos denunciados ocorreram em 2006. Com base neste argumento, sustenta que a CIDH não pode examinar supostas violações deste instrumento neste caso, uma vez que não estava em vigor para o Brasil no momento dos fatos denunciados.</w:t>
      </w:r>
    </w:p>
    <w:p w14:paraId="22F4C7B6" w14:textId="309D4E9D" w:rsidR="00C452AA" w:rsidRPr="004B25E7" w:rsidRDefault="00914B43"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4B25E7">
        <w:rPr>
          <w:rFonts w:ascii="Cambria" w:hAnsi="Cambria"/>
          <w:sz w:val="20"/>
          <w:szCs w:val="20"/>
          <w:lang w:val="pt-BR"/>
        </w:rPr>
        <w:t xml:space="preserve">Além disso, alega que a petição é inadmissível por falta de esgotamento dos recursos internos. </w:t>
      </w:r>
      <w:r w:rsidR="00D44236" w:rsidRPr="00D44236">
        <w:rPr>
          <w:rFonts w:ascii="Cambria" w:hAnsi="Cambria"/>
          <w:sz w:val="20"/>
          <w:szCs w:val="20"/>
          <w:lang w:val="pt-BR"/>
        </w:rPr>
        <w:t>Sustenta que o sistema de justiça brasileiro dispôs de múltiplos mecanismos para investigar e processar os fatos denunciados. Em particular, assinala que várias investigações foram iniciadas tanto pela Polícia Militar quanto pela Polícia Civil, com o objetivo de esclarecer o paradeiro de Paulo Alexandre Gomes e a possível participação de agentes do Estado em seu desaparecimento. Ressalta ainda que o Ministério Público também teve papel ativo na investigação dos chamados "Crimes de Maio", promovendo a reabertura das investigações e realizando diligências adicionais para apurar a responsabilidade dos envolvidos.</w:t>
      </w:r>
    </w:p>
    <w:p w14:paraId="239E6231" w14:textId="29526EF0" w:rsidR="00C452AA" w:rsidRPr="004B25E7" w:rsidRDefault="00C452AA"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4B25E7">
        <w:rPr>
          <w:rFonts w:ascii="Cambria" w:hAnsi="Cambria"/>
          <w:sz w:val="20"/>
          <w:szCs w:val="20"/>
          <w:lang w:val="pt-BR"/>
        </w:rPr>
        <w:t xml:space="preserve">O Estado alega que, </w:t>
      </w:r>
      <w:r w:rsidR="00D44236" w:rsidRPr="00D44236">
        <w:rPr>
          <w:rFonts w:ascii="Cambria" w:hAnsi="Cambria"/>
          <w:sz w:val="20"/>
          <w:szCs w:val="20"/>
          <w:lang w:val="pt-BR"/>
        </w:rPr>
        <w:t>apesar da existência destes procedimentos, os peticionários não demonstraram ter esgotado todos os recursos internos disponíveis antes de recorrer ao sistema interamericano. Sustenta que, neste caso, as autoridades brasileiras mantiveram as investigações abertas e ofereceram garantias de acesso à justiça para os familiares da vítima. Em particular, destaca que as autoridades promoveram reuniões entre altos funcionários de segurança e os familiares de Paulo Alexandre Gomes, instando-os a apresentar qualquer nova informação que pudesse contribuir para o esclarecimento do caso. Em virtude destes elementos, considera que não foi demonstrado ser impossível obter justiça em âmbito interno, o que, a seu critério, impede a Comissão de intervir nesta fase.</w:t>
      </w:r>
    </w:p>
    <w:p w14:paraId="6D162A6E" w14:textId="65C618D5" w:rsidR="007025B6" w:rsidRPr="004B25E7" w:rsidRDefault="00074FA5"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4B25E7">
        <w:rPr>
          <w:rFonts w:ascii="Cambria" w:hAnsi="Cambria"/>
          <w:sz w:val="20"/>
          <w:szCs w:val="20"/>
          <w:lang w:val="pt-BR"/>
        </w:rPr>
        <w:t xml:space="preserve">Não obstante o anterior, </w:t>
      </w:r>
      <w:r w:rsidR="00D0794E" w:rsidRPr="00D0794E">
        <w:rPr>
          <w:rFonts w:ascii="Cambria" w:hAnsi="Cambria"/>
          <w:sz w:val="20"/>
          <w:szCs w:val="20"/>
          <w:lang w:val="pt-BR"/>
        </w:rPr>
        <w:t xml:space="preserve">caso a CIDH determine que a referida regra de admissibilidade foi cumprida, o Estado considera que a petição continuaria sendo inadmissível por falta de caracterização. Ressalta que os fatos denunciados não podem ser atribuídos à sua responsabilidade, uma vez que a segurança pública é um mandamento constitucional e os órgãos policiais atuaram dentro do marco legal para restabelecer a ordem em resposta à crise de violência gerada pela facção criminosa PCC em maio de 2006. Nessa linha, aduz que não há provas suficientes para imputar o desaparecimento de Paulo Alexandre Gomes a agentes do Estado. Além </w:t>
      </w:r>
      <w:r w:rsidR="00D0794E" w:rsidRPr="00D0794E">
        <w:rPr>
          <w:rFonts w:ascii="Cambria" w:hAnsi="Cambria"/>
          <w:sz w:val="20"/>
          <w:szCs w:val="20"/>
          <w:lang w:val="pt-BR"/>
        </w:rPr>
        <w:lastRenderedPageBreak/>
        <w:t>disso, invoca a jurisprudência da Comissão para sustentar que o uso da força pública em si não é contrário à Convenção Americana, desde que exercido dentro de limites razoáveis.</w:t>
      </w:r>
    </w:p>
    <w:p w14:paraId="6D2AD675" w14:textId="19F7CCD3" w:rsidR="00914B43" w:rsidRPr="004B25E7" w:rsidRDefault="00D0794E"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Pr>
          <w:rFonts w:ascii="Cambria" w:hAnsi="Cambria"/>
          <w:sz w:val="20"/>
          <w:szCs w:val="20"/>
          <w:lang w:val="pt-BR"/>
        </w:rPr>
        <w:t xml:space="preserve">Por fim, </w:t>
      </w:r>
      <w:r w:rsidRPr="00D0794E">
        <w:rPr>
          <w:rFonts w:ascii="Cambria" w:hAnsi="Cambria"/>
          <w:sz w:val="20"/>
          <w:szCs w:val="20"/>
          <w:lang w:val="pt-BR"/>
        </w:rPr>
        <w:t>o Brasil garante que tanto a Polícia Militar quanto a Polícia Civil e o Ministério Público realizaram investigações, procedimentos administrativos e ações judiciais. Menciona que foram realizadas múltiplas diligências, incluindo a coleta de depoimentos, análises periciais e reuniões com familiares das vítimas. Consequentemente, argumenta que a atuação das autoridades demonstra compromisso com o esclarecimento dos fatos e com a punição dos responsáveis pelos atos de violência ocorridos durante o período mencionado.</w:t>
      </w:r>
    </w:p>
    <w:p w14:paraId="64B543F2" w14:textId="3F9B4761" w:rsidR="0026338F" w:rsidRPr="004B25E7" w:rsidRDefault="007C56EC" w:rsidP="00705EEE">
      <w:pPr>
        <w:pStyle w:val="ListParagraph"/>
        <w:spacing w:before="240" w:after="240"/>
        <w:jc w:val="both"/>
        <w:rPr>
          <w:rFonts w:asciiTheme="majorHAnsi" w:hAnsiTheme="majorHAnsi"/>
          <w:b/>
          <w:bCs/>
          <w:i/>
          <w:iCs/>
          <w:sz w:val="20"/>
          <w:szCs w:val="20"/>
          <w:lang w:val="pt-BR"/>
        </w:rPr>
      </w:pPr>
      <w:r w:rsidRPr="004B25E7">
        <w:rPr>
          <w:rFonts w:asciiTheme="majorHAnsi" w:hAnsiTheme="majorHAnsi"/>
          <w:b/>
          <w:bCs/>
          <w:sz w:val="20"/>
          <w:szCs w:val="20"/>
          <w:lang w:val="pt-BR"/>
        </w:rPr>
        <w:t>VI</w:t>
      </w:r>
      <w:r w:rsidR="00F60CC1" w:rsidRPr="004B25E7">
        <w:rPr>
          <w:rFonts w:asciiTheme="majorHAnsi" w:hAnsiTheme="majorHAnsi"/>
          <w:b/>
          <w:bCs/>
          <w:sz w:val="20"/>
          <w:szCs w:val="20"/>
          <w:lang w:val="pt-BR"/>
        </w:rPr>
        <w:t xml:space="preserve">. </w:t>
      </w:r>
      <w:r w:rsidR="00F60CC1" w:rsidRPr="004B25E7">
        <w:rPr>
          <w:rFonts w:asciiTheme="majorHAnsi" w:hAnsiTheme="majorHAnsi"/>
          <w:b/>
          <w:bCs/>
          <w:sz w:val="20"/>
          <w:szCs w:val="20"/>
          <w:lang w:val="pt-BR"/>
        </w:rPr>
        <w:tab/>
      </w:r>
      <w:r w:rsidR="0026338F" w:rsidRPr="004B25E7">
        <w:rPr>
          <w:rFonts w:asciiTheme="majorHAnsi" w:hAnsiTheme="majorHAnsi"/>
          <w:b/>
          <w:bCs/>
          <w:sz w:val="20"/>
          <w:szCs w:val="20"/>
          <w:lang w:val="pt-BR"/>
        </w:rPr>
        <w:t>ANÁLISE DA C</w:t>
      </w:r>
      <w:r w:rsidRPr="004B25E7">
        <w:rPr>
          <w:rFonts w:asciiTheme="majorHAnsi" w:hAnsiTheme="majorHAnsi"/>
          <w:b/>
          <w:bCs/>
          <w:sz w:val="20"/>
          <w:szCs w:val="20"/>
          <w:lang w:val="pt-BR"/>
        </w:rPr>
        <w:t>OMPET</w:t>
      </w:r>
      <w:r w:rsidR="00B53556" w:rsidRPr="004B25E7">
        <w:rPr>
          <w:rFonts w:asciiTheme="majorHAnsi" w:hAnsiTheme="majorHAnsi"/>
          <w:b/>
          <w:bCs/>
          <w:color w:val="000000" w:themeColor="text1"/>
          <w:sz w:val="20"/>
          <w:szCs w:val="20"/>
          <w:lang w:val="pt-BR"/>
        </w:rPr>
        <w:t>Ê</w:t>
      </w:r>
      <w:r w:rsidRPr="004B25E7">
        <w:rPr>
          <w:rFonts w:asciiTheme="majorHAnsi" w:hAnsiTheme="majorHAnsi"/>
          <w:b/>
          <w:bCs/>
          <w:sz w:val="20"/>
          <w:szCs w:val="20"/>
          <w:lang w:val="pt-BR"/>
        </w:rPr>
        <w:t>NCIA</w:t>
      </w:r>
      <w:r w:rsidR="0026338F" w:rsidRPr="004B25E7">
        <w:rPr>
          <w:rFonts w:asciiTheme="majorHAnsi" w:hAnsiTheme="majorHAnsi"/>
          <w:b/>
          <w:bCs/>
          <w:sz w:val="20"/>
          <w:szCs w:val="20"/>
          <w:lang w:val="pt-BR"/>
        </w:rPr>
        <w:t xml:space="preserve"> </w:t>
      </w:r>
      <w:r w:rsidR="0026338F" w:rsidRPr="004B25E7">
        <w:rPr>
          <w:rFonts w:asciiTheme="majorHAnsi" w:hAnsiTheme="majorHAnsi"/>
          <w:b/>
          <w:bCs/>
          <w:i/>
          <w:iCs/>
          <w:sz w:val="20"/>
          <w:szCs w:val="20"/>
          <w:lang w:val="pt-BR"/>
        </w:rPr>
        <w:t>RATIONE TEMPORIS</w:t>
      </w:r>
    </w:p>
    <w:p w14:paraId="46D7DA32" w14:textId="0F0A6624" w:rsidR="005744E7" w:rsidRPr="004B25E7" w:rsidRDefault="00D0794E"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D0794E">
        <w:rPr>
          <w:rFonts w:ascii="Cambria" w:hAnsi="Cambria"/>
          <w:sz w:val="20"/>
          <w:szCs w:val="20"/>
          <w:lang w:val="pt-BR"/>
        </w:rPr>
        <w:t xml:space="preserve">O Brasil alega que a CIDH carece de competência </w:t>
      </w:r>
      <w:r w:rsidRPr="00D0794E">
        <w:rPr>
          <w:rFonts w:ascii="Cambria" w:hAnsi="Cambria"/>
          <w:i/>
          <w:iCs/>
          <w:sz w:val="20"/>
          <w:szCs w:val="20"/>
          <w:lang w:val="pt-BR"/>
        </w:rPr>
        <w:t>ratione materiae</w:t>
      </w:r>
      <w:r w:rsidRPr="00D0794E">
        <w:rPr>
          <w:rFonts w:ascii="Cambria" w:hAnsi="Cambria"/>
          <w:sz w:val="20"/>
          <w:szCs w:val="20"/>
          <w:lang w:val="pt-BR"/>
        </w:rPr>
        <w:t xml:space="preserve"> para analisar o suposto descumprimento da Convenção Interamericana sobre o Desaparecimento Forçado de Pessoas, uma vez que ratificou esse tratado apenas em 2013, enquanto os fatos denunciados ocorreram em 2006. No entanto, a Comissão observa que este argumento visa, na realidade, questionar a sua competência </w:t>
      </w:r>
      <w:r w:rsidRPr="00D0794E">
        <w:rPr>
          <w:rFonts w:ascii="Cambria" w:hAnsi="Cambria"/>
          <w:i/>
          <w:iCs/>
          <w:sz w:val="20"/>
          <w:szCs w:val="20"/>
          <w:lang w:val="pt-BR"/>
        </w:rPr>
        <w:t>ratione temporis</w:t>
      </w:r>
      <w:r w:rsidRPr="00D0794E">
        <w:rPr>
          <w:rFonts w:ascii="Cambria" w:hAnsi="Cambria"/>
          <w:sz w:val="20"/>
          <w:szCs w:val="20"/>
          <w:lang w:val="pt-BR"/>
        </w:rPr>
        <w:t xml:space="preserve"> e, portanto, o analisará nesses termos.</w:t>
      </w:r>
    </w:p>
    <w:p w14:paraId="19740873" w14:textId="167D6F12" w:rsidR="005744E7" w:rsidRPr="004B25E7" w:rsidRDefault="005744E7"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4B25E7">
        <w:rPr>
          <w:rFonts w:ascii="Cambria" w:hAnsi="Cambria"/>
          <w:sz w:val="20"/>
          <w:szCs w:val="20"/>
          <w:lang w:val="pt-BR"/>
        </w:rPr>
        <w:t xml:space="preserve">A este respeito, </w:t>
      </w:r>
      <w:r w:rsidR="00D0794E" w:rsidRPr="00D0794E">
        <w:rPr>
          <w:rFonts w:ascii="Cambria" w:hAnsi="Cambria"/>
          <w:sz w:val="20"/>
          <w:szCs w:val="20"/>
          <w:lang w:val="pt-BR"/>
        </w:rPr>
        <w:t>a Comissão recorda que a jurisprudência constante do sistema interamericano estabeleceu que os atos de caráter contínuo ou permanente se estendem no tempo enquanto persistir a situação que os configura, mantendo sua incompatibilidade com as obrigações internacionais do Estado. Em consonância com o exposto, o caráter contínuo ou permanente do desaparecimento forçado tem sido reiteradamente reconhecido no Direito Internacional dos Direitos Humanos, considerando que este ato começa com a privação de liberdade da pessoa e a subsequente falta de informação sobre seu paradeiro, e se prolonga até que seu destino seja esclarecido e o ocorrido seja determinado.</w:t>
      </w:r>
    </w:p>
    <w:p w14:paraId="61A0BDE3" w14:textId="1068A3E4" w:rsidR="00E533CC" w:rsidRPr="004B25E7" w:rsidRDefault="005744E7"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4B25E7">
        <w:rPr>
          <w:rFonts w:ascii="Cambria" w:hAnsi="Cambria"/>
          <w:sz w:val="20"/>
          <w:szCs w:val="20"/>
          <w:lang w:val="pt-BR"/>
        </w:rPr>
        <w:t xml:space="preserve">Consequentemente, </w:t>
      </w:r>
      <w:r w:rsidR="00D0794E" w:rsidRPr="00D0794E">
        <w:rPr>
          <w:rFonts w:ascii="Cambria" w:hAnsi="Cambria"/>
          <w:sz w:val="20"/>
          <w:szCs w:val="20"/>
          <w:lang w:val="pt-BR"/>
        </w:rPr>
        <w:t>tendo em vista que os fatos alegados constituem uma violação de caráter continuado que persiste até a data do presente relatório, a Comissão é competente para analisar o suposto descumprimento da Convenção Interamericana sobre o Desaparecimento Forçado de Pessoas</w:t>
      </w:r>
      <w:r w:rsidR="00C8089E" w:rsidRPr="004B25E7">
        <w:rPr>
          <w:rStyle w:val="FootnoteReference"/>
          <w:rFonts w:ascii="Cambria" w:hAnsi="Cambria"/>
          <w:sz w:val="20"/>
          <w:szCs w:val="20"/>
          <w:lang w:val="pt-BR"/>
        </w:rPr>
        <w:footnoteReference w:id="5"/>
      </w:r>
      <w:r w:rsidR="00E0409B" w:rsidRPr="004B25E7">
        <w:rPr>
          <w:rFonts w:ascii="Cambria" w:hAnsi="Cambria"/>
          <w:sz w:val="20"/>
          <w:szCs w:val="20"/>
          <w:lang w:val="pt-BR"/>
        </w:rPr>
        <w:t>.</w:t>
      </w:r>
    </w:p>
    <w:p w14:paraId="47183E44" w14:textId="6656F791" w:rsidR="00E533CC" w:rsidRPr="004B25E7" w:rsidRDefault="007C56EC" w:rsidP="00705EEE">
      <w:pPr>
        <w:pStyle w:val="ListParagraph"/>
        <w:spacing w:before="240" w:after="240"/>
        <w:jc w:val="both"/>
        <w:rPr>
          <w:sz w:val="20"/>
          <w:szCs w:val="20"/>
          <w:lang w:val="pt-BR"/>
        </w:rPr>
      </w:pPr>
      <w:r w:rsidRPr="004B25E7">
        <w:rPr>
          <w:rFonts w:asciiTheme="majorHAnsi" w:hAnsiTheme="majorHAnsi"/>
          <w:b/>
          <w:bCs/>
          <w:sz w:val="20"/>
          <w:szCs w:val="20"/>
          <w:lang w:val="pt-BR"/>
        </w:rPr>
        <w:t>VII</w:t>
      </w:r>
      <w:r w:rsidR="00E533CC" w:rsidRPr="004B25E7">
        <w:rPr>
          <w:rFonts w:asciiTheme="majorHAnsi" w:hAnsiTheme="majorHAnsi"/>
          <w:b/>
          <w:bCs/>
          <w:sz w:val="20"/>
          <w:szCs w:val="20"/>
          <w:lang w:val="pt-BR"/>
        </w:rPr>
        <w:t>.</w:t>
      </w:r>
      <w:r w:rsidR="00E533CC" w:rsidRPr="004B25E7">
        <w:rPr>
          <w:rFonts w:asciiTheme="majorHAnsi" w:hAnsiTheme="majorHAnsi"/>
          <w:b/>
          <w:bCs/>
          <w:sz w:val="20"/>
          <w:szCs w:val="20"/>
          <w:lang w:val="pt-BR"/>
        </w:rPr>
        <w:tab/>
        <w:t xml:space="preserve">ANÁLISE DE </w:t>
      </w:r>
      <w:r w:rsidR="00E533CC" w:rsidRPr="004B25E7">
        <w:rPr>
          <w:rFonts w:asciiTheme="majorHAnsi" w:hAnsiTheme="majorHAnsi"/>
          <w:b/>
          <w:sz w:val="20"/>
          <w:szCs w:val="20"/>
          <w:lang w:val="pt-BR"/>
        </w:rPr>
        <w:t xml:space="preserve">ESGOTAMENTO DOS RECURSOS INTERNOS E PRAZO PARA APRESENTAÇÃO </w:t>
      </w:r>
    </w:p>
    <w:p w14:paraId="0CBAF834" w14:textId="29536087" w:rsidR="00F225E1" w:rsidRPr="004B25E7" w:rsidRDefault="00240362"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4B25E7">
        <w:rPr>
          <w:rFonts w:asciiTheme="majorHAnsi" w:hAnsiTheme="majorHAnsi"/>
          <w:sz w:val="20"/>
          <w:szCs w:val="20"/>
          <w:lang w:val="pt-BR"/>
        </w:rPr>
        <w:t xml:space="preserve">Em primeiro lugar, </w:t>
      </w:r>
      <w:r w:rsidR="00D0794E" w:rsidRPr="00D0794E">
        <w:rPr>
          <w:rFonts w:asciiTheme="majorHAnsi" w:hAnsiTheme="majorHAnsi"/>
          <w:sz w:val="20"/>
          <w:szCs w:val="20"/>
          <w:lang w:val="pt-BR"/>
        </w:rPr>
        <w:t xml:space="preserve">a CIDH recorda que, em casos de supostas violações graves de direitos humanos que constituam crimes passíveis </w:t>
      </w:r>
      <w:r w:rsidR="00D0794E">
        <w:rPr>
          <w:rFonts w:asciiTheme="majorHAnsi" w:hAnsiTheme="majorHAnsi"/>
          <w:sz w:val="20"/>
          <w:szCs w:val="20"/>
          <w:lang w:val="pt-BR"/>
        </w:rPr>
        <w:t>de processamento</w:t>
      </w:r>
      <w:r w:rsidR="00D0794E" w:rsidRPr="00D0794E">
        <w:rPr>
          <w:rFonts w:asciiTheme="majorHAnsi" w:hAnsiTheme="majorHAnsi"/>
          <w:sz w:val="20"/>
          <w:szCs w:val="20"/>
          <w:lang w:val="pt-BR"/>
        </w:rPr>
        <w:t xml:space="preserve"> </w:t>
      </w:r>
      <w:r w:rsidR="00D0794E" w:rsidRPr="00D0794E">
        <w:rPr>
          <w:rFonts w:asciiTheme="majorHAnsi" w:hAnsiTheme="majorHAnsi"/>
          <w:i/>
          <w:iCs/>
          <w:sz w:val="20"/>
          <w:szCs w:val="20"/>
          <w:lang w:val="pt-BR"/>
        </w:rPr>
        <w:t>ex officio</w:t>
      </w:r>
      <w:r w:rsidR="00D0794E" w:rsidRPr="00D0794E">
        <w:rPr>
          <w:rFonts w:asciiTheme="majorHAnsi" w:hAnsiTheme="majorHAnsi"/>
          <w:sz w:val="20"/>
          <w:szCs w:val="20"/>
          <w:lang w:val="pt-BR"/>
        </w:rPr>
        <w:t>, os recursos internos que devem ser levados em conta para fins de admissibilidade de uma petição são os do processo penal, pois é a via idônea para esclarecer os fatos e estabelecer as sanções penais correspondentes, além de possibilitar outras formas de reparação de natureza pecuniária</w:t>
      </w:r>
      <w:r w:rsidR="0057176E" w:rsidRPr="004B25E7">
        <w:rPr>
          <w:rFonts w:asciiTheme="majorHAnsi" w:hAnsiTheme="majorHAnsi"/>
          <w:sz w:val="20"/>
          <w:szCs w:val="20"/>
          <w:vertAlign w:val="superscript"/>
          <w:lang w:val="pt-BR"/>
        </w:rPr>
        <w:footnoteReference w:id="6"/>
      </w:r>
      <w:r w:rsidR="0057176E" w:rsidRPr="004B25E7">
        <w:rPr>
          <w:rFonts w:asciiTheme="majorHAnsi" w:hAnsiTheme="majorHAnsi"/>
          <w:sz w:val="20"/>
          <w:szCs w:val="20"/>
          <w:lang w:val="pt-BR"/>
        </w:rPr>
        <w:t xml:space="preserve">. </w:t>
      </w:r>
    </w:p>
    <w:p w14:paraId="6E92D37C" w14:textId="79CE15DA" w:rsidR="00F225E1" w:rsidRPr="004B25E7" w:rsidRDefault="00F225E1"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4B25E7">
        <w:rPr>
          <w:rFonts w:asciiTheme="majorHAnsi" w:eastAsia="Times New Roman" w:hAnsiTheme="majorHAnsi"/>
          <w:sz w:val="20"/>
          <w:szCs w:val="20"/>
          <w:bdr w:val="none" w:sz="0" w:space="0" w:color="auto"/>
          <w:lang w:val="pt-BR" w:eastAsia="es-PE"/>
        </w:rPr>
        <w:t xml:space="preserve">No presente caso, </w:t>
      </w:r>
      <w:r w:rsidR="00D0794E" w:rsidRPr="00D0794E">
        <w:rPr>
          <w:rFonts w:asciiTheme="majorHAnsi" w:eastAsia="Times New Roman" w:hAnsiTheme="majorHAnsi"/>
          <w:sz w:val="20"/>
          <w:szCs w:val="20"/>
          <w:bdr w:val="none" w:sz="0" w:space="0" w:color="auto"/>
          <w:lang w:val="pt-BR" w:eastAsia="es-PE"/>
        </w:rPr>
        <w:t>a Comissão observa que, embora tenha sido iniciada uma investigação penal em 21 de maio de 2007 para identificar e punir os responsáveis pela morte das supostas vítimas, o Ministério Público solicitou o arquivamento do caso e, em 9 de setembro de 2008, o juízo de primeira instância especializado em Tribunal do Júri homologou essa solicitação. A este respeito, o Estado não especificou se era possível interpor algum recurso adicional contra esta determinação</w:t>
      </w:r>
      <w:r w:rsidRPr="004B25E7">
        <w:rPr>
          <w:rFonts w:asciiTheme="majorHAnsi" w:eastAsia="Times New Roman" w:hAnsiTheme="majorHAnsi"/>
          <w:sz w:val="20"/>
          <w:szCs w:val="20"/>
          <w:bdr w:val="none" w:sz="0" w:space="0" w:color="auto"/>
          <w:lang w:val="pt-BR" w:eastAsia="es-PE"/>
        </w:rPr>
        <w:t>.</w:t>
      </w:r>
    </w:p>
    <w:p w14:paraId="6183EC57" w14:textId="6EC2E776" w:rsidR="00FF2FC2" w:rsidRPr="004B25E7" w:rsidRDefault="003B6ED9"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4B25E7">
        <w:rPr>
          <w:rFonts w:asciiTheme="majorHAnsi" w:eastAsia="Times New Roman" w:hAnsiTheme="majorHAnsi"/>
          <w:sz w:val="20"/>
          <w:szCs w:val="20"/>
          <w:bdr w:val="none" w:sz="0" w:space="0" w:color="auto"/>
          <w:lang w:val="pt-BR" w:eastAsia="es-PE"/>
        </w:rPr>
        <w:t xml:space="preserve">Por sua vez, </w:t>
      </w:r>
      <w:r w:rsidR="003359BB">
        <w:rPr>
          <w:rFonts w:asciiTheme="majorHAnsi" w:eastAsia="Times New Roman" w:hAnsiTheme="majorHAnsi"/>
          <w:sz w:val="20"/>
          <w:szCs w:val="20"/>
          <w:bdr w:val="none" w:sz="0" w:space="0" w:color="auto"/>
          <w:lang w:val="pt-BR" w:eastAsia="es-PE"/>
        </w:rPr>
        <w:t>a parte peticionária</w:t>
      </w:r>
      <w:r w:rsidRPr="004B25E7">
        <w:rPr>
          <w:rFonts w:asciiTheme="majorHAnsi" w:eastAsia="Times New Roman" w:hAnsiTheme="majorHAnsi"/>
          <w:sz w:val="20"/>
          <w:szCs w:val="20"/>
          <w:bdr w:val="none" w:sz="0" w:space="0" w:color="auto"/>
          <w:lang w:val="pt-BR" w:eastAsia="es-PE"/>
        </w:rPr>
        <w:t xml:space="preserve"> alegações e indícios suficientes que, em seu conjunto e sem prejulgar </w:t>
      </w:r>
      <w:r w:rsidR="00716BC0">
        <w:rPr>
          <w:rFonts w:asciiTheme="majorHAnsi" w:eastAsia="Times New Roman" w:hAnsiTheme="majorHAnsi"/>
          <w:sz w:val="20"/>
          <w:szCs w:val="20"/>
          <w:bdr w:val="none" w:sz="0" w:space="0" w:color="auto"/>
          <w:lang w:val="pt-BR" w:eastAsia="es-PE"/>
        </w:rPr>
        <w:t>eventuais aspectos de mérito</w:t>
      </w:r>
      <w:r w:rsidRPr="004B25E7">
        <w:rPr>
          <w:rFonts w:asciiTheme="majorHAnsi" w:eastAsia="Times New Roman" w:hAnsiTheme="majorHAnsi"/>
          <w:sz w:val="20"/>
          <w:szCs w:val="20"/>
          <w:bdr w:val="none" w:sz="0" w:space="0" w:color="auto"/>
          <w:lang w:val="pt-BR" w:eastAsia="es-PE"/>
        </w:rPr>
        <w:t xml:space="preserve">, sustentam o entendimento plausível de que os recursos judiciais internos não foram efetivos devido à atuação tardia e irregular tanto do Ministério Público quanto da Polícia. Em particular, apresentou documentos que demonstram, </w:t>
      </w:r>
      <w:r w:rsidR="00F225E1" w:rsidRPr="004B25E7">
        <w:rPr>
          <w:rFonts w:asciiTheme="majorHAnsi" w:eastAsia="Times New Roman" w:hAnsiTheme="majorHAnsi"/>
          <w:i/>
          <w:iCs/>
          <w:sz w:val="20"/>
          <w:szCs w:val="20"/>
          <w:bdr w:val="none" w:sz="0" w:space="0" w:color="auto"/>
          <w:lang w:val="pt-BR" w:eastAsia="es-PE"/>
        </w:rPr>
        <w:t>prima facie</w:t>
      </w:r>
      <w:r w:rsidR="00F225E1" w:rsidRPr="004B25E7">
        <w:rPr>
          <w:rFonts w:asciiTheme="majorHAnsi" w:eastAsia="Times New Roman" w:hAnsiTheme="majorHAnsi"/>
          <w:sz w:val="20"/>
          <w:szCs w:val="20"/>
          <w:bdr w:val="none" w:sz="0" w:space="0" w:color="auto"/>
          <w:lang w:val="pt-BR" w:eastAsia="es-PE"/>
        </w:rPr>
        <w:t xml:space="preserve">, que: (i) a investigação não foi iniciada imediatamente; (ii) testemunhas-chave não foram interrogadas; iii) a análise dos registros policiais para determinar quem estava na área foi omitida; e (iv) não foi estabelecida nenhuma conexão com outros casos </w:t>
      </w:r>
      <w:r w:rsidR="00F225E1" w:rsidRPr="004B25E7">
        <w:rPr>
          <w:rFonts w:asciiTheme="majorHAnsi" w:eastAsia="Times New Roman" w:hAnsiTheme="majorHAnsi"/>
          <w:sz w:val="20"/>
          <w:szCs w:val="20"/>
          <w:bdr w:val="none" w:sz="0" w:space="0" w:color="auto"/>
          <w:lang w:val="pt-BR" w:eastAsia="es-PE"/>
        </w:rPr>
        <w:lastRenderedPageBreak/>
        <w:t xml:space="preserve">semelhantes ocorridos nas mesmas datas, entre outras deficiências. Apesar disso, o Estado não apresentou argumentos concretos para </w:t>
      </w:r>
      <w:r w:rsidR="00716BC0">
        <w:rPr>
          <w:rFonts w:asciiTheme="majorHAnsi" w:eastAsia="Times New Roman" w:hAnsiTheme="majorHAnsi"/>
          <w:sz w:val="20"/>
          <w:szCs w:val="20"/>
          <w:bdr w:val="none" w:sz="0" w:space="0" w:color="auto"/>
          <w:lang w:val="pt-BR" w:eastAsia="es-PE"/>
        </w:rPr>
        <w:t>controverter</w:t>
      </w:r>
      <w:r w:rsidR="00F225E1" w:rsidRPr="004B25E7">
        <w:rPr>
          <w:rFonts w:asciiTheme="majorHAnsi" w:eastAsia="Times New Roman" w:hAnsiTheme="majorHAnsi"/>
          <w:sz w:val="20"/>
          <w:szCs w:val="20"/>
          <w:bdr w:val="none" w:sz="0" w:space="0" w:color="auto"/>
          <w:lang w:val="pt-BR" w:eastAsia="es-PE"/>
        </w:rPr>
        <w:t xml:space="preserve"> essas alegações.</w:t>
      </w:r>
    </w:p>
    <w:p w14:paraId="67657CFA" w14:textId="2AC1D1FF" w:rsidR="00F32F16" w:rsidRPr="004B25E7" w:rsidRDefault="00F225E1"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4B25E7">
        <w:rPr>
          <w:rFonts w:asciiTheme="majorHAnsi" w:eastAsia="Times New Roman" w:hAnsiTheme="majorHAnsi"/>
          <w:sz w:val="20"/>
          <w:szCs w:val="20"/>
          <w:bdr w:val="none" w:sz="0" w:space="0" w:color="auto"/>
          <w:lang w:val="pt-BR" w:eastAsia="es-PE"/>
        </w:rPr>
        <w:t xml:space="preserve">Portanto, </w:t>
      </w:r>
      <w:r w:rsidR="00716BC0" w:rsidRPr="00716BC0">
        <w:rPr>
          <w:rFonts w:asciiTheme="majorHAnsi" w:eastAsia="Times New Roman" w:hAnsiTheme="majorHAnsi"/>
          <w:sz w:val="20"/>
          <w:szCs w:val="20"/>
          <w:bdr w:val="none" w:sz="0" w:space="0" w:color="auto"/>
          <w:lang w:val="pt-BR" w:eastAsia="es-PE"/>
        </w:rPr>
        <w:t>apesar da gravidade dos fatos, a Comissão considera que no presente caso houve obstáculos que levaram ao arquivamento da denúncia apresentada pela família da suposta vítima, impedindo a realização de uma investigação diligente. Consequentemente, é aplicável a exceção prevista no artigo 46.2.b da Convenção Americana, que se refere à impossibilidade material dos peticionários de esgotar os recursos judiciais adequados e efetivos.</w:t>
      </w:r>
    </w:p>
    <w:p w14:paraId="4D63ECA0" w14:textId="2E337FAC" w:rsidR="00F32F16" w:rsidRPr="004B25E7" w:rsidRDefault="00FF2FC2"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4B25E7">
        <w:rPr>
          <w:rFonts w:asciiTheme="majorHAnsi" w:eastAsia="Times New Roman" w:hAnsiTheme="majorHAnsi"/>
          <w:sz w:val="20"/>
          <w:szCs w:val="20"/>
          <w:bdr w:val="none" w:sz="0" w:space="0" w:color="auto"/>
          <w:lang w:val="pt-BR" w:eastAsia="es-PE"/>
        </w:rPr>
        <w:t xml:space="preserve">Com relação ao prazo para apresentação, </w:t>
      </w:r>
      <w:r w:rsidR="00716BC0" w:rsidRPr="00716BC0">
        <w:rPr>
          <w:rFonts w:asciiTheme="majorHAnsi" w:eastAsia="Times New Roman" w:hAnsiTheme="majorHAnsi"/>
          <w:sz w:val="20"/>
          <w:szCs w:val="20"/>
          <w:bdr w:val="none" w:sz="0" w:space="0" w:color="auto"/>
          <w:lang w:val="pt-BR" w:eastAsia="es-PE"/>
        </w:rPr>
        <w:t>a Comissão observa que, após o arquivamento da investigação, os familiares de Paulo Alexandre Gomes continuaram a encaminhar ofícios para esclarecer o ocorrido e, ademais, ajuizaram um pedido de indenização contra o Estado. Nesse sentido, essas pessoas continuaram com as ferramentas que encontraram à sua disposição para obter algum grau de justiça, e somente quando seu último recurso foi indeferido é que apresentaram a petição à CIDH. Além disso, os efeitos dos fatos denunciados, em termos da própria natureza do desaparecimento forçado como um fato continuado e as consequências da suposta falta de investigação, persistem até os dias atuais. Consequentemente, a CIDH considera que os peticionários recorreram em prazo razoável nos termos do artigo 32.2 de seu Regulamento.</w:t>
      </w:r>
    </w:p>
    <w:p w14:paraId="4FFBE378" w14:textId="15C11800" w:rsidR="003239B8" w:rsidRPr="004B25E7" w:rsidRDefault="003239B8" w:rsidP="00705EEE">
      <w:pPr>
        <w:pStyle w:val="ListParagraph"/>
        <w:spacing w:before="240" w:after="240"/>
        <w:jc w:val="both"/>
        <w:rPr>
          <w:rFonts w:asciiTheme="majorHAnsi" w:hAnsiTheme="majorHAnsi"/>
          <w:b/>
          <w:sz w:val="20"/>
          <w:szCs w:val="20"/>
          <w:lang w:val="pt-BR"/>
        </w:rPr>
      </w:pPr>
      <w:r w:rsidRPr="004B25E7">
        <w:rPr>
          <w:rFonts w:asciiTheme="majorHAnsi" w:hAnsiTheme="majorHAnsi"/>
          <w:b/>
          <w:bCs/>
          <w:sz w:val="20"/>
          <w:szCs w:val="20"/>
          <w:lang w:val="pt-BR"/>
        </w:rPr>
        <w:t>VIII.</w:t>
      </w:r>
      <w:r w:rsidRPr="004B25E7">
        <w:rPr>
          <w:rFonts w:asciiTheme="majorHAnsi" w:hAnsiTheme="majorHAnsi"/>
          <w:b/>
          <w:bCs/>
          <w:sz w:val="20"/>
          <w:szCs w:val="20"/>
          <w:lang w:val="pt-BR"/>
        </w:rPr>
        <w:tab/>
      </w:r>
      <w:r w:rsidR="004A6A54" w:rsidRPr="004B25E7">
        <w:rPr>
          <w:rFonts w:asciiTheme="majorHAnsi" w:hAnsiTheme="majorHAnsi"/>
          <w:b/>
          <w:bCs/>
          <w:sz w:val="20"/>
          <w:szCs w:val="20"/>
          <w:lang w:val="pt-BR"/>
        </w:rPr>
        <w:t>ANÁLISE DE CARACTERIZAÇÃO DOS FATOS ALEGADOS</w:t>
      </w:r>
    </w:p>
    <w:p w14:paraId="74279DB4" w14:textId="08009FCB" w:rsidR="006F561A" w:rsidRPr="004B25E7" w:rsidRDefault="006F561A"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4B25E7">
        <w:rPr>
          <w:rFonts w:asciiTheme="majorHAnsi" w:hAnsiTheme="majorHAnsi"/>
          <w:sz w:val="20"/>
          <w:szCs w:val="20"/>
          <w:lang w:val="pt-BR"/>
        </w:rPr>
        <w:t xml:space="preserve">Em primeiro lugar, </w:t>
      </w:r>
      <w:r w:rsidR="00716BC0" w:rsidRPr="00716BC0">
        <w:rPr>
          <w:rFonts w:asciiTheme="majorHAnsi" w:hAnsiTheme="majorHAnsi"/>
          <w:sz w:val="20"/>
          <w:szCs w:val="20"/>
          <w:lang w:val="pt-BR"/>
        </w:rPr>
        <w:t>a Comissão reitera que o critério de avaliação da fase de admissibilidade difere daquele utilizado para decidir sobre o mérito de uma petição; nesta etapa, a CIDH deve realizar uma avaliação prima facie para determinar se a petição fundamenta uma possível ou potencial violação de um direito garantido pela Convenção, mas não para estabelecer a existência de uma violação de direitos. Esta determinação sobre a caracterização das violações da Convenção Americana constitui uma análise preliminar, que não implica prejulgar o mérito do caso. Para fins de admissibilidade, a Comissão deve decidir se os fatos alegados podem caracterizar uma violação de direitos, conforme estipulado no artigo 47.b da Convenção Americana, ou se a petição é "manifestamente infundada" ou "manifestamente improcedente", de acordo com o artigo 47.c da Convenção Americana.</w:t>
      </w:r>
    </w:p>
    <w:p w14:paraId="054C7ED1" w14:textId="23567B96" w:rsidR="00742CE9" w:rsidRPr="004B25E7" w:rsidRDefault="00894A9B" w:rsidP="00705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eastAsia="Cambria" w:hAnsi="Cambria" w:cs="Cambria"/>
          <w:sz w:val="20"/>
          <w:szCs w:val="20"/>
          <w:lang w:val="pt-BR"/>
        </w:rPr>
      </w:pPr>
      <w:r w:rsidRPr="004B25E7">
        <w:rPr>
          <w:rFonts w:ascii="Cambria" w:hAnsi="Cambria"/>
          <w:sz w:val="20"/>
          <w:szCs w:val="20"/>
          <w:lang w:val="pt-BR"/>
        </w:rPr>
        <w:t xml:space="preserve">O objetivo principal desta petição é determinar a possível responsabilidade do Estado pelo desaparecimento forçado da suposta vítima, bem como pela impunidade dos fatos. Assim, após examinar os elementos de fato e de direito apresentados pelas partes, a Comissão considera que as alegações </w:t>
      </w:r>
      <w:r w:rsidR="003359BB">
        <w:rPr>
          <w:rFonts w:ascii="Cambria" w:hAnsi="Cambria"/>
          <w:sz w:val="20"/>
          <w:szCs w:val="20"/>
          <w:lang w:val="pt-BR"/>
        </w:rPr>
        <w:t>da parte peticionária</w:t>
      </w:r>
      <w:r w:rsidRPr="004B25E7">
        <w:rPr>
          <w:rFonts w:ascii="Cambria" w:hAnsi="Cambria"/>
          <w:sz w:val="20"/>
          <w:szCs w:val="20"/>
          <w:lang w:val="pt-BR"/>
        </w:rPr>
        <w:t xml:space="preserve"> não são manifestamente infundadas e requerem um estudo de mérito, uma vez que os fatos alegados, se comprovados, poderiam constituir uma violação dos direitos protegidos pelos artigos </w:t>
      </w:r>
      <w:r w:rsidR="00053654" w:rsidRPr="004B25E7">
        <w:rPr>
          <w:rFonts w:ascii="Cambria" w:eastAsia="Cambria" w:hAnsi="Cambria" w:cs="Cambria"/>
          <w:sz w:val="20"/>
          <w:szCs w:val="20"/>
          <w:lang w:val="pt-BR"/>
        </w:rPr>
        <w:t xml:space="preserve">3 (reconhecimento </w:t>
      </w:r>
      <w:r w:rsidR="00716BC0">
        <w:rPr>
          <w:rFonts w:ascii="Cambria" w:eastAsia="Cambria" w:hAnsi="Cambria" w:cs="Cambria"/>
          <w:sz w:val="20"/>
          <w:szCs w:val="20"/>
          <w:lang w:val="pt-BR"/>
        </w:rPr>
        <w:t>da personalidade jurídica</w:t>
      </w:r>
      <w:r w:rsidR="00053654" w:rsidRPr="004B25E7">
        <w:rPr>
          <w:rFonts w:ascii="Cambria" w:eastAsia="Cambria" w:hAnsi="Cambria" w:cs="Cambria"/>
          <w:sz w:val="20"/>
          <w:szCs w:val="20"/>
          <w:lang w:val="pt-BR"/>
        </w:rPr>
        <w:t>)</w:t>
      </w:r>
      <w:r w:rsidR="00566683">
        <w:rPr>
          <w:rFonts w:ascii="Cambria" w:eastAsia="Cambria" w:hAnsi="Cambria" w:cs="Cambria"/>
          <w:sz w:val="20"/>
          <w:szCs w:val="20"/>
          <w:lang w:val="pt-BR"/>
        </w:rPr>
        <w:t>,</w:t>
      </w:r>
      <w:r w:rsidR="00053654" w:rsidRPr="004B25E7">
        <w:rPr>
          <w:rFonts w:ascii="Cambria" w:eastAsia="Cambria" w:hAnsi="Cambria" w:cs="Cambria"/>
          <w:sz w:val="20"/>
          <w:szCs w:val="20"/>
          <w:lang w:val="pt-BR"/>
        </w:rPr>
        <w:t xml:space="preserve"> 4 (direito à vida), 5 (direito à integridade pessoal), 7 (direito à liberdade pessoal), 8 (garantias judiciais), 13 (liberdade de pensamento e expressão) e 25 (proteção judicial) da Convenção Americana, em relação ao artigo 1(1) da mesma, em detrimento da suposta vítima e seus familiares, nos termos deste relatório. A CIDH também analisará o possível descumprimento </w:t>
      </w:r>
      <w:r w:rsidR="00716BC0">
        <w:rPr>
          <w:rFonts w:ascii="Cambria" w:eastAsia="Cambria" w:hAnsi="Cambria" w:cs="Cambria"/>
          <w:sz w:val="20"/>
          <w:szCs w:val="20"/>
          <w:lang w:val="pt-BR"/>
        </w:rPr>
        <w:t>dos artigos</w:t>
      </w:r>
      <w:r w:rsidR="00053654" w:rsidRPr="004B25E7">
        <w:rPr>
          <w:rFonts w:ascii="Cambria" w:eastAsia="Cambria" w:hAnsi="Cambria" w:cs="Cambria"/>
          <w:sz w:val="20"/>
          <w:szCs w:val="20"/>
          <w:lang w:val="pt-BR"/>
        </w:rPr>
        <w:t xml:space="preserve"> I e III da Convenção Interamericana sobre Desaparecimento Forçado de Pessoas; e </w:t>
      </w:r>
      <w:r w:rsidR="00716BC0">
        <w:rPr>
          <w:rFonts w:ascii="Cambria" w:eastAsia="Cambria" w:hAnsi="Cambria" w:cs="Cambria"/>
          <w:sz w:val="20"/>
          <w:szCs w:val="20"/>
          <w:lang w:val="pt-BR"/>
        </w:rPr>
        <w:t>d</w:t>
      </w:r>
      <w:r w:rsidR="00053654" w:rsidRPr="004B25E7">
        <w:rPr>
          <w:rFonts w:ascii="Cambria" w:eastAsia="Cambria" w:hAnsi="Cambria" w:cs="Cambria"/>
          <w:sz w:val="20"/>
          <w:szCs w:val="20"/>
          <w:lang w:val="pt-BR"/>
        </w:rPr>
        <w:t>os artigos 1, 6 e 8 da Convenção Interamericana para Prevenir e Punir a Tortura.</w:t>
      </w:r>
    </w:p>
    <w:p w14:paraId="29BB41F5" w14:textId="62A9B8E4" w:rsidR="003239B8" w:rsidRPr="004B25E7" w:rsidRDefault="0026338F" w:rsidP="00705E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pt-BR"/>
        </w:rPr>
      </w:pPr>
      <w:r w:rsidRPr="004B25E7">
        <w:rPr>
          <w:rFonts w:asciiTheme="majorHAnsi" w:hAnsiTheme="majorHAnsi"/>
          <w:b/>
          <w:bCs/>
          <w:sz w:val="20"/>
          <w:szCs w:val="20"/>
          <w:lang w:val="pt-BR"/>
        </w:rPr>
        <w:t xml:space="preserve">IX. </w:t>
      </w:r>
      <w:r w:rsidR="003239B8" w:rsidRPr="004B25E7">
        <w:rPr>
          <w:rFonts w:asciiTheme="majorHAnsi" w:hAnsiTheme="majorHAnsi"/>
          <w:b/>
          <w:bCs/>
          <w:sz w:val="20"/>
          <w:szCs w:val="20"/>
          <w:lang w:val="pt-BR"/>
        </w:rPr>
        <w:tab/>
        <w:t>DECISÃO</w:t>
      </w:r>
    </w:p>
    <w:p w14:paraId="41AA5BF6" w14:textId="657C84E7" w:rsidR="000419AD" w:rsidRPr="004B25E7" w:rsidRDefault="003239B8" w:rsidP="00E034E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4B25E7">
        <w:rPr>
          <w:rFonts w:asciiTheme="majorHAnsi" w:hAnsiTheme="majorHAnsi"/>
          <w:sz w:val="20"/>
          <w:szCs w:val="20"/>
          <w:lang w:val="pt-BR"/>
        </w:rPr>
        <w:t xml:space="preserve">Declarar admissível a presente petição em relação aos </w:t>
      </w:r>
      <w:r w:rsidR="00742CE9" w:rsidRPr="004B25E7">
        <w:rPr>
          <w:rFonts w:ascii="Cambria" w:eastAsia="Cambria" w:hAnsi="Cambria" w:cs="Cambria"/>
          <w:sz w:val="20"/>
          <w:szCs w:val="20"/>
          <w:lang w:val="pt-BR"/>
        </w:rPr>
        <w:t>artigos 3, 4, 5, 7, 8, 13 e 25 da Convenção Americana</w:t>
      </w:r>
      <w:r w:rsidR="00716BC0">
        <w:rPr>
          <w:rFonts w:ascii="Cambria" w:eastAsia="Cambria" w:hAnsi="Cambria" w:cs="Cambria"/>
          <w:sz w:val="20"/>
          <w:szCs w:val="20"/>
          <w:lang w:val="pt-BR"/>
        </w:rPr>
        <w:t>; artigos</w:t>
      </w:r>
      <w:r w:rsidR="00742CE9" w:rsidRPr="004B25E7">
        <w:rPr>
          <w:rFonts w:ascii="Cambria" w:eastAsia="Cambria" w:hAnsi="Cambria" w:cs="Cambria"/>
          <w:sz w:val="20"/>
          <w:szCs w:val="20"/>
          <w:lang w:val="pt-BR"/>
        </w:rPr>
        <w:t xml:space="preserve"> 1, 6 e 8 da Convenção Interamericana para Prevenir e Punir a Tortura e artigos I e III da Convenção Interamericana sobre Desaparecimento Forçado de Pessoas</w:t>
      </w:r>
      <w:r w:rsidR="00A758AA" w:rsidRPr="004B25E7">
        <w:rPr>
          <w:rFonts w:asciiTheme="majorHAnsi" w:hAnsiTheme="majorHAnsi"/>
          <w:sz w:val="20"/>
          <w:szCs w:val="20"/>
          <w:lang w:val="pt-BR"/>
        </w:rPr>
        <w:t>; e</w:t>
      </w:r>
    </w:p>
    <w:p w14:paraId="038EA5E7" w14:textId="1C8B2D1B" w:rsidR="003E3868" w:rsidRPr="005314DB" w:rsidRDefault="004A6A54" w:rsidP="005314D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4B25E7">
        <w:rPr>
          <w:rFonts w:asciiTheme="majorHAnsi" w:hAnsiTheme="majorHAnsi"/>
          <w:sz w:val="20"/>
          <w:szCs w:val="20"/>
          <w:lang w:val="pt-BR"/>
        </w:rPr>
        <w:t>Notificar as partes desta decisão; continuar com a análise do mérito da questão; publicar esta decisão e incluí-la em seu Relatório Anual à Assembl</w:t>
      </w:r>
      <w:r w:rsidR="00566683">
        <w:rPr>
          <w:rFonts w:asciiTheme="majorHAnsi" w:hAnsiTheme="majorHAnsi"/>
          <w:sz w:val="20"/>
          <w:szCs w:val="20"/>
          <w:lang w:val="pt-BR"/>
        </w:rPr>
        <w:t>e</w:t>
      </w:r>
      <w:r w:rsidRPr="004B25E7">
        <w:rPr>
          <w:rFonts w:asciiTheme="majorHAnsi" w:hAnsiTheme="majorHAnsi"/>
          <w:sz w:val="20"/>
          <w:szCs w:val="20"/>
          <w:lang w:val="pt-BR"/>
        </w:rPr>
        <w:t>ia Geral da Organização dos Estados Americanos.</w:t>
      </w:r>
      <w:bookmarkStart w:id="2" w:name="_Hlk89363282"/>
    </w:p>
    <w:p w14:paraId="3614BA85" w14:textId="77777777" w:rsidR="003E3868" w:rsidRDefault="003E3868" w:rsidP="003E3868">
      <w:pPr>
        <w:ind w:firstLine="720"/>
        <w:jc w:val="both"/>
        <w:rPr>
          <w:rFonts w:ascii="Cambria" w:hAnsi="Cambria"/>
          <w:sz w:val="20"/>
          <w:lang w:val="pt-BR"/>
        </w:rPr>
      </w:pPr>
    </w:p>
    <w:p w14:paraId="6AC80CA6" w14:textId="721B285B" w:rsidR="00722C9F" w:rsidRPr="005314DB" w:rsidRDefault="003E3868" w:rsidP="005314DB">
      <w:pPr>
        <w:ind w:firstLine="720"/>
        <w:jc w:val="both"/>
        <w:rPr>
          <w:rFonts w:ascii="Cambria" w:hAnsi="Cambria"/>
          <w:sz w:val="20"/>
          <w:lang w:val="pt-BR"/>
        </w:rPr>
      </w:pPr>
      <w:r w:rsidRPr="006F60BE">
        <w:rPr>
          <w:rFonts w:ascii="Cambria" w:hAnsi="Cambria"/>
          <w:sz w:val="20"/>
          <w:lang w:val="pt-BR"/>
        </w:rPr>
        <w:t>Aprovado pela Comissão Inter</w:t>
      </w:r>
      <w:r w:rsidRPr="00EF6A4F">
        <w:rPr>
          <w:rFonts w:ascii="Cambria" w:hAnsi="Cambria"/>
          <w:sz w:val="20"/>
          <w:lang w:val="pt-BR"/>
        </w:rPr>
        <w:t xml:space="preserve">americana de Direitos Humanos aos </w:t>
      </w:r>
      <w:r w:rsidR="00EF6A4F" w:rsidRPr="00EF6A4F">
        <w:rPr>
          <w:rFonts w:ascii="Cambria" w:hAnsi="Cambria"/>
          <w:sz w:val="20"/>
          <w:lang w:val="pt-BR"/>
        </w:rPr>
        <w:t>28</w:t>
      </w:r>
      <w:r w:rsidRPr="00EF6A4F">
        <w:rPr>
          <w:rFonts w:ascii="Cambria" w:hAnsi="Cambria"/>
          <w:sz w:val="20"/>
          <w:lang w:val="pt-BR"/>
        </w:rPr>
        <w:t xml:space="preserve"> dias do mês de </w:t>
      </w:r>
      <w:r w:rsidR="00EF6A4F" w:rsidRPr="00EF6A4F">
        <w:rPr>
          <w:rFonts w:ascii="Cambria" w:hAnsi="Cambria"/>
          <w:sz w:val="20"/>
          <w:lang w:val="pt-BR"/>
        </w:rPr>
        <w:t>abril</w:t>
      </w:r>
      <w:r w:rsidRPr="00EF6A4F">
        <w:rPr>
          <w:rFonts w:ascii="Cambria" w:hAnsi="Cambria"/>
          <w:sz w:val="20"/>
          <w:lang w:val="pt-BR"/>
        </w:rPr>
        <w:t xml:space="preserve"> de 20</w:t>
      </w:r>
      <w:r w:rsidR="00EF6A4F" w:rsidRPr="00EF6A4F">
        <w:rPr>
          <w:rFonts w:ascii="Cambria" w:hAnsi="Cambria"/>
          <w:sz w:val="20"/>
          <w:lang w:val="pt-BR"/>
        </w:rPr>
        <w:t>25</w:t>
      </w:r>
      <w:r w:rsidRPr="00EF6A4F">
        <w:rPr>
          <w:rFonts w:ascii="Cambria" w:hAnsi="Cambria"/>
          <w:sz w:val="20"/>
          <w:lang w:val="pt-BR"/>
        </w:rPr>
        <w:t xml:space="preserve">. (Assinado): </w:t>
      </w:r>
      <w:r w:rsidRPr="00EF6A4F">
        <w:rPr>
          <w:rStyle w:val="normaltextrun"/>
          <w:rFonts w:ascii="Cambria" w:hAnsi="Cambria" w:cs="Segoe UI"/>
          <w:sz w:val="20"/>
          <w:szCs w:val="20"/>
          <w:lang w:val="pt-BR"/>
        </w:rPr>
        <w:t>José Luis Caballero Ochoa</w:t>
      </w:r>
      <w:r w:rsidRPr="00EF6A4F">
        <w:rPr>
          <w:rFonts w:ascii="Cambria" w:hAnsi="Cambria"/>
          <w:sz w:val="20"/>
          <w:lang w:val="pt-BR"/>
        </w:rPr>
        <w:t xml:space="preserve">, Presidenta; Arif Bulkan, Segundo Vicepresidente; </w:t>
      </w:r>
      <w:r w:rsidRPr="00EF6A4F">
        <w:rPr>
          <w:rStyle w:val="normaltextrun"/>
          <w:rFonts w:ascii="Cambria" w:hAnsi="Cambria" w:cs="Segoe UI"/>
          <w:sz w:val="20"/>
          <w:szCs w:val="20"/>
          <w:lang w:val="pt-BR"/>
        </w:rPr>
        <w:t>Roberta Clarke, Carlos Bernal Pulido e Gloria Monique de Mees</w:t>
      </w:r>
      <w:r w:rsidRPr="00EF6A4F">
        <w:rPr>
          <w:rFonts w:ascii="Cambria" w:hAnsi="Cambria"/>
          <w:sz w:val="20"/>
          <w:lang w:val="pt-BR"/>
        </w:rPr>
        <w:t>, membros da Comissão.</w:t>
      </w:r>
      <w:bookmarkEnd w:id="2"/>
    </w:p>
    <w:sectPr w:rsidR="00722C9F" w:rsidRPr="005314D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81BD" w14:textId="77777777" w:rsidR="00B623BC" w:rsidRDefault="00B623BC">
      <w:r>
        <w:separator/>
      </w:r>
    </w:p>
  </w:endnote>
  <w:endnote w:type="continuationSeparator" w:id="0">
    <w:p w14:paraId="4EB8E0A5" w14:textId="77777777" w:rsidR="00B623BC" w:rsidRDefault="00B6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9378" w14:textId="77777777" w:rsidR="00B623BC" w:rsidRPr="000F35ED" w:rsidRDefault="00B623B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EC71892" w14:textId="77777777" w:rsidR="00B623BC" w:rsidRPr="000F35ED" w:rsidRDefault="00B623BC" w:rsidP="000F35ED">
      <w:pPr>
        <w:rPr>
          <w:rFonts w:asciiTheme="majorHAnsi" w:hAnsiTheme="majorHAnsi"/>
          <w:sz w:val="16"/>
          <w:szCs w:val="16"/>
        </w:rPr>
      </w:pPr>
      <w:r w:rsidRPr="000F35ED">
        <w:rPr>
          <w:rFonts w:asciiTheme="majorHAnsi" w:hAnsiTheme="majorHAnsi"/>
          <w:sz w:val="16"/>
          <w:szCs w:val="16"/>
        </w:rPr>
        <w:separator/>
      </w:r>
    </w:p>
    <w:p w14:paraId="57065BCD" w14:textId="77777777" w:rsidR="00B623BC" w:rsidRPr="000F35ED" w:rsidRDefault="00B623BC" w:rsidP="000F35ED">
      <w:pPr>
        <w:pStyle w:val="Footer"/>
        <w:rPr>
          <w:rFonts w:asciiTheme="majorHAnsi" w:hAnsiTheme="majorHAnsi"/>
          <w:sz w:val="16"/>
          <w:szCs w:val="16"/>
        </w:rPr>
      </w:pPr>
      <w:r>
        <w:rPr>
          <w:rFonts w:asciiTheme="majorHAnsi" w:hAnsiTheme="majorHAnsi"/>
          <w:sz w:val="16"/>
          <w:szCs w:val="16"/>
        </w:rPr>
        <w:t>[… continuação]</w:t>
      </w:r>
    </w:p>
  </w:footnote>
  <w:footnote w:type="continuationNotice" w:id="1">
    <w:p w14:paraId="5ADC7635" w14:textId="77777777" w:rsidR="00B623BC" w:rsidRPr="000F35ED" w:rsidRDefault="00B623BC" w:rsidP="000F35ED">
      <w:pPr>
        <w:jc w:val="right"/>
        <w:rPr>
          <w:rFonts w:asciiTheme="majorHAnsi" w:hAnsiTheme="majorHAnsi"/>
          <w:sz w:val="16"/>
          <w:szCs w:val="16"/>
          <w:lang w:val="es-ES"/>
        </w:rPr>
      </w:pPr>
      <w:r>
        <w:rPr>
          <w:rFonts w:asciiTheme="majorHAnsi" w:hAnsiTheme="majorHAnsi"/>
          <w:sz w:val="16"/>
          <w:szCs w:val="16"/>
        </w:rPr>
        <w:t>[continua...]</w:t>
      </w:r>
    </w:p>
  </w:footnote>
  <w:footnote w:id="2">
    <w:p w14:paraId="5C9DA378" w14:textId="0DC84760" w:rsidR="00684995" w:rsidRPr="004C2EB0" w:rsidRDefault="00684995" w:rsidP="007A49C0">
      <w:pPr>
        <w:pStyle w:val="FootnoteText"/>
        <w:ind w:firstLine="720"/>
        <w:jc w:val="both"/>
        <w:rPr>
          <w:rFonts w:asciiTheme="majorHAnsi" w:hAnsiTheme="majorHAnsi"/>
          <w:sz w:val="16"/>
          <w:szCs w:val="16"/>
          <w:lang w:val="pt-BR"/>
        </w:rPr>
      </w:pPr>
      <w:r w:rsidRPr="00BE3619">
        <w:rPr>
          <w:rStyle w:val="FootnoteReference"/>
          <w:rFonts w:asciiTheme="majorHAnsi" w:hAnsiTheme="majorHAnsi"/>
          <w:sz w:val="16"/>
          <w:szCs w:val="16"/>
        </w:rPr>
        <w:footnoteRef/>
      </w:r>
      <w:r w:rsidRPr="004C2EB0">
        <w:rPr>
          <w:rFonts w:asciiTheme="majorHAnsi" w:hAnsiTheme="majorHAnsi"/>
          <w:sz w:val="16"/>
          <w:szCs w:val="16"/>
          <w:lang w:val="pt-BR"/>
        </w:rPr>
        <w:t xml:space="preserve"> A petição identifica </w:t>
      </w:r>
      <w:r w:rsidR="006510D2">
        <w:rPr>
          <w:rFonts w:asciiTheme="majorHAnsi" w:hAnsiTheme="majorHAnsi"/>
          <w:sz w:val="16"/>
          <w:szCs w:val="16"/>
          <w:lang w:val="pt-BR"/>
        </w:rPr>
        <w:t>os seguintes familiares</w:t>
      </w:r>
      <w:r w:rsidRPr="004C2EB0">
        <w:rPr>
          <w:rFonts w:asciiTheme="majorHAnsi" w:hAnsiTheme="majorHAnsi"/>
          <w:sz w:val="16"/>
          <w:szCs w:val="16"/>
          <w:lang w:val="pt-BR"/>
        </w:rPr>
        <w:t>: Francisco Gomes (pai), Maria das Graças Gomes (mãe) e Francilene Gomes Fernandes (irmã)</w:t>
      </w:r>
      <w:r w:rsidR="006510D2">
        <w:rPr>
          <w:rFonts w:asciiTheme="majorHAnsi" w:hAnsiTheme="majorHAnsi"/>
          <w:sz w:val="16"/>
          <w:szCs w:val="16"/>
          <w:lang w:val="pt-BR"/>
        </w:rPr>
        <w:t>.</w:t>
      </w:r>
    </w:p>
  </w:footnote>
  <w:footnote w:id="3">
    <w:p w14:paraId="52FB5DBC" w14:textId="77777777" w:rsidR="00AF4C35" w:rsidRPr="004C2EB0" w:rsidRDefault="00AF4C35" w:rsidP="007A49C0">
      <w:pPr>
        <w:ind w:firstLine="720"/>
        <w:jc w:val="both"/>
        <w:rPr>
          <w:rFonts w:asciiTheme="majorHAnsi" w:eastAsia="Cambria" w:hAnsiTheme="majorHAnsi" w:cs="Cambria"/>
          <w:color w:val="000000"/>
          <w:sz w:val="16"/>
          <w:szCs w:val="16"/>
          <w:lang w:val="pt-BR"/>
        </w:rPr>
      </w:pPr>
      <w:r w:rsidRPr="00263374">
        <w:rPr>
          <w:rStyle w:val="FootnoteReference"/>
          <w:rFonts w:asciiTheme="majorHAnsi" w:hAnsiTheme="majorHAnsi"/>
          <w:sz w:val="16"/>
          <w:szCs w:val="16"/>
        </w:rPr>
        <w:footnoteRef/>
      </w:r>
      <w:r w:rsidRPr="004C2EB0">
        <w:rPr>
          <w:rFonts w:asciiTheme="majorHAnsi" w:eastAsia="Cambria" w:hAnsiTheme="majorHAnsi" w:cs="Cambria"/>
          <w:color w:val="000000"/>
          <w:sz w:val="16"/>
          <w:szCs w:val="16"/>
          <w:vertAlign w:val="superscript"/>
          <w:lang w:val="pt-BR"/>
        </w:rPr>
        <w:t xml:space="preserve"> </w:t>
      </w:r>
      <w:r w:rsidRPr="004C2EB0">
        <w:rPr>
          <w:rFonts w:asciiTheme="majorHAnsi" w:eastAsia="Cambria" w:hAnsiTheme="majorHAnsi" w:cs="Cambria"/>
          <w:color w:val="000000"/>
          <w:sz w:val="16"/>
          <w:szCs w:val="16"/>
          <w:lang w:val="pt-BR"/>
        </w:rPr>
        <w:t xml:space="preserve">Doravante, "a Convenção Americana" ou "a Convenção". </w:t>
      </w:r>
      <w:r w:rsidRPr="004C2EB0">
        <w:rPr>
          <w:rFonts w:asciiTheme="majorHAnsi" w:eastAsia="Cambria" w:hAnsiTheme="majorHAnsi" w:cs="Cambria"/>
          <w:color w:val="000000"/>
          <w:sz w:val="16"/>
          <w:szCs w:val="16"/>
          <w:lang w:val="pt-BR"/>
        </w:rPr>
        <w:tab/>
      </w:r>
    </w:p>
  </w:footnote>
  <w:footnote w:id="4">
    <w:p w14:paraId="79F07139" w14:textId="77777777" w:rsidR="008E3BFE" w:rsidRPr="004C2EB0" w:rsidRDefault="008E3BFE" w:rsidP="007A49C0">
      <w:pPr>
        <w:pStyle w:val="FootnoteText"/>
        <w:spacing w:after="120"/>
        <w:ind w:firstLine="720"/>
        <w:jc w:val="both"/>
        <w:rPr>
          <w:rFonts w:ascii="Cambria" w:hAnsi="Cambria"/>
          <w:sz w:val="16"/>
          <w:szCs w:val="16"/>
          <w:lang w:val="pt-BR"/>
        </w:rPr>
      </w:pPr>
      <w:r w:rsidRPr="00537490">
        <w:rPr>
          <w:rStyle w:val="FootnoteReference"/>
          <w:rFonts w:ascii="Cambria" w:hAnsi="Cambria"/>
          <w:sz w:val="16"/>
          <w:szCs w:val="16"/>
        </w:rPr>
        <w:footnoteRef/>
      </w:r>
      <w:r w:rsidRPr="004C2EB0">
        <w:rPr>
          <w:rFonts w:ascii="Cambria" w:hAnsi="Cambria"/>
          <w:sz w:val="16"/>
          <w:szCs w:val="16"/>
          <w:lang w:val="pt-BR"/>
        </w:rPr>
        <w:t xml:space="preserve"> As observações de cada parte foram devidamente encaminhadas à parte contrária.</w:t>
      </w:r>
    </w:p>
  </w:footnote>
  <w:footnote w:id="5">
    <w:p w14:paraId="5692DECC" w14:textId="77777777" w:rsidR="00C8089E" w:rsidRPr="004C2EB0" w:rsidRDefault="00C8089E" w:rsidP="007A49C0">
      <w:pPr>
        <w:pStyle w:val="FootnoteText"/>
        <w:ind w:firstLine="720"/>
        <w:jc w:val="both"/>
        <w:rPr>
          <w:rFonts w:asciiTheme="majorHAnsi" w:hAnsiTheme="majorHAnsi"/>
          <w:sz w:val="16"/>
          <w:szCs w:val="16"/>
          <w:lang w:val="pt-BR"/>
        </w:rPr>
      </w:pPr>
      <w:r w:rsidRPr="004651B5">
        <w:rPr>
          <w:rStyle w:val="FootnoteReference"/>
          <w:rFonts w:asciiTheme="majorHAnsi" w:hAnsiTheme="majorHAnsi"/>
          <w:sz w:val="16"/>
          <w:szCs w:val="16"/>
        </w:rPr>
        <w:footnoteRef/>
      </w:r>
      <w:r w:rsidRPr="004C2EB0">
        <w:rPr>
          <w:rFonts w:asciiTheme="majorHAnsi" w:hAnsiTheme="majorHAnsi"/>
          <w:sz w:val="16"/>
          <w:szCs w:val="16"/>
          <w:lang w:val="pt-BR"/>
        </w:rPr>
        <w:t xml:space="preserve"> Corte Interamericana de Direitos Humanos, Caso Gomes Lund e outros ("Guerrilha do Araguaia") vs. Brasil, Exceções Preliminares, Mérito, Reparações e Custas, Sentença de 24 de novembro de 2010, Série C Nº 219, parágrafo 17. </w:t>
      </w:r>
      <w:r w:rsidRPr="004C2EB0">
        <w:rPr>
          <w:rFonts w:asciiTheme="majorHAnsi" w:hAnsiTheme="majorHAnsi"/>
          <w:sz w:val="16"/>
          <w:szCs w:val="16"/>
          <w:lang w:val="pt-BR"/>
        </w:rPr>
        <w:tab/>
      </w:r>
    </w:p>
  </w:footnote>
  <w:footnote w:id="6">
    <w:p w14:paraId="1A131BB3" w14:textId="77777777" w:rsidR="0057176E" w:rsidRPr="004C2EB0" w:rsidRDefault="0057176E" w:rsidP="007A49C0">
      <w:pPr>
        <w:pStyle w:val="FootnoteText"/>
        <w:ind w:firstLine="720"/>
        <w:jc w:val="both"/>
        <w:rPr>
          <w:rFonts w:ascii="Cambria" w:hAnsi="Cambria"/>
          <w:sz w:val="16"/>
          <w:szCs w:val="16"/>
          <w:lang w:val="pt-BR"/>
        </w:rPr>
      </w:pPr>
      <w:r w:rsidRPr="00611873">
        <w:rPr>
          <w:rStyle w:val="FootnoteReference"/>
          <w:rFonts w:ascii="Cambria" w:hAnsi="Cambria"/>
          <w:sz w:val="16"/>
          <w:szCs w:val="16"/>
        </w:rPr>
        <w:footnoteRef/>
      </w:r>
      <w:r w:rsidRPr="004C2EB0">
        <w:rPr>
          <w:rFonts w:ascii="Cambria" w:hAnsi="Cambria"/>
          <w:sz w:val="16"/>
          <w:szCs w:val="16"/>
          <w:lang w:val="pt-BR"/>
        </w:rPr>
        <w:t xml:space="preserve"> CIDH, Relatório Nº 131/21, Petição 784-10, Admissibilidade, Wilson Mario Taborda Cardona e Família, Colômbia, 13 de maio de 2021, parágrafo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17FA6EBE" w:rsidR="00A50FCF" w:rsidRDefault="001E1C59" w:rsidP="00A50FCF">
    <w:pPr>
      <w:pStyle w:val="Header"/>
      <w:tabs>
        <w:tab w:val="clear" w:pos="4320"/>
        <w:tab w:val="clear" w:pos="8640"/>
      </w:tabs>
      <w:jc w:val="center"/>
      <w:rPr>
        <w:sz w:val="22"/>
        <w:szCs w:val="22"/>
      </w:rPr>
    </w:pPr>
    <w:r>
      <w:rPr>
        <w:noProof/>
        <w:sz w:val="22"/>
        <w:szCs w:val="22"/>
      </w:rPr>
      <w:drawing>
        <wp:inline distT="0" distB="0" distL="0" distR="0" wp14:anchorId="7D773467" wp14:editId="61225B43">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105E0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EC20772"/>
    <w:multiLevelType w:val="multilevel"/>
    <w:tmpl w:val="B060E83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3"/>
  </w:num>
  <w:num w:numId="9" w16cid:durableId="1616525600">
    <w:abstractNumId w:val="52"/>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9"/>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50"/>
  </w:num>
  <w:num w:numId="85" w16cid:durableId="507405131">
    <w:abstractNumId w:val="53"/>
  </w:num>
  <w:num w:numId="86" w16cid:durableId="147091870">
    <w:abstractNumId w:val="56"/>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2"/>
  </w:num>
  <w:num w:numId="95" w16cid:durableId="1435326325">
    <w:abstractNumId w:val="44"/>
  </w:num>
  <w:num w:numId="96" w16cid:durableId="935866318">
    <w:abstractNumId w:val="57"/>
  </w:num>
  <w:num w:numId="97" w16cid:durableId="2089502159">
    <w:abstractNumId w:val="54"/>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1"/>
  </w:num>
  <w:num w:numId="103" w16cid:durableId="1458334191">
    <w:abstractNumId w:val="6"/>
  </w:num>
  <w:num w:numId="104" w16cid:durableId="913318813">
    <w:abstractNumId w:val="66"/>
  </w:num>
  <w:num w:numId="105" w16cid:durableId="589050340">
    <w:abstractNumId w:val="55"/>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 w:numId="110" w16cid:durableId="1989363849">
    <w:abstractNumId w:val="4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0E4A"/>
    <w:rsid w:val="00006E1F"/>
    <w:rsid w:val="000070D7"/>
    <w:rsid w:val="00007AF6"/>
    <w:rsid w:val="00013FAF"/>
    <w:rsid w:val="0001788C"/>
    <w:rsid w:val="00017ED5"/>
    <w:rsid w:val="000208CE"/>
    <w:rsid w:val="00027BDE"/>
    <w:rsid w:val="00031E06"/>
    <w:rsid w:val="000321B7"/>
    <w:rsid w:val="000337EF"/>
    <w:rsid w:val="00040C3A"/>
    <w:rsid w:val="000419AD"/>
    <w:rsid w:val="000433C9"/>
    <w:rsid w:val="00053654"/>
    <w:rsid w:val="00053B49"/>
    <w:rsid w:val="00056968"/>
    <w:rsid w:val="0006373C"/>
    <w:rsid w:val="000716C5"/>
    <w:rsid w:val="00074FA5"/>
    <w:rsid w:val="00075E23"/>
    <w:rsid w:val="0009344A"/>
    <w:rsid w:val="0009761B"/>
    <w:rsid w:val="000A1974"/>
    <w:rsid w:val="000A392E"/>
    <w:rsid w:val="000A575F"/>
    <w:rsid w:val="000B062C"/>
    <w:rsid w:val="000D05CB"/>
    <w:rsid w:val="000D10DB"/>
    <w:rsid w:val="000E5EB5"/>
    <w:rsid w:val="000F3152"/>
    <w:rsid w:val="000F35ED"/>
    <w:rsid w:val="00103300"/>
    <w:rsid w:val="0010476D"/>
    <w:rsid w:val="00105E0D"/>
    <w:rsid w:val="00107131"/>
    <w:rsid w:val="0010736F"/>
    <w:rsid w:val="00113F73"/>
    <w:rsid w:val="00116816"/>
    <w:rsid w:val="001176C1"/>
    <w:rsid w:val="00121CC2"/>
    <w:rsid w:val="0012445E"/>
    <w:rsid w:val="00131425"/>
    <w:rsid w:val="00133EE5"/>
    <w:rsid w:val="00134CA8"/>
    <w:rsid w:val="00167A34"/>
    <w:rsid w:val="00180472"/>
    <w:rsid w:val="00185892"/>
    <w:rsid w:val="001867C7"/>
    <w:rsid w:val="0019566B"/>
    <w:rsid w:val="001A6212"/>
    <w:rsid w:val="001A7870"/>
    <w:rsid w:val="001B3A00"/>
    <w:rsid w:val="001C1487"/>
    <w:rsid w:val="001C1B41"/>
    <w:rsid w:val="001D65EF"/>
    <w:rsid w:val="001D7945"/>
    <w:rsid w:val="001E1C59"/>
    <w:rsid w:val="001E49E7"/>
    <w:rsid w:val="001F3909"/>
    <w:rsid w:val="001F7201"/>
    <w:rsid w:val="001F7969"/>
    <w:rsid w:val="002040C1"/>
    <w:rsid w:val="002137AA"/>
    <w:rsid w:val="00223A29"/>
    <w:rsid w:val="002250A3"/>
    <w:rsid w:val="002250AB"/>
    <w:rsid w:val="00227C1A"/>
    <w:rsid w:val="00235217"/>
    <w:rsid w:val="00240362"/>
    <w:rsid w:val="00244760"/>
    <w:rsid w:val="002469D2"/>
    <w:rsid w:val="00246D1F"/>
    <w:rsid w:val="00247403"/>
    <w:rsid w:val="00247542"/>
    <w:rsid w:val="00250096"/>
    <w:rsid w:val="00256F99"/>
    <w:rsid w:val="0026020D"/>
    <w:rsid w:val="00261BD7"/>
    <w:rsid w:val="0026338F"/>
    <w:rsid w:val="002635C7"/>
    <w:rsid w:val="00266B61"/>
    <w:rsid w:val="0026712A"/>
    <w:rsid w:val="00267A4B"/>
    <w:rsid w:val="002704DB"/>
    <w:rsid w:val="00272D22"/>
    <w:rsid w:val="002757E8"/>
    <w:rsid w:val="002A0AAE"/>
    <w:rsid w:val="002A5820"/>
    <w:rsid w:val="002B4B34"/>
    <w:rsid w:val="002D2B26"/>
    <w:rsid w:val="002D7EA2"/>
    <w:rsid w:val="002E1578"/>
    <w:rsid w:val="002E187C"/>
    <w:rsid w:val="002F0576"/>
    <w:rsid w:val="002F127A"/>
    <w:rsid w:val="00302733"/>
    <w:rsid w:val="003122F3"/>
    <w:rsid w:val="00314078"/>
    <w:rsid w:val="0031535D"/>
    <w:rsid w:val="00315BFC"/>
    <w:rsid w:val="00315E79"/>
    <w:rsid w:val="003239B8"/>
    <w:rsid w:val="00325B8B"/>
    <w:rsid w:val="0033169F"/>
    <w:rsid w:val="003359BB"/>
    <w:rsid w:val="003417A0"/>
    <w:rsid w:val="00344977"/>
    <w:rsid w:val="00346C95"/>
    <w:rsid w:val="00347ED6"/>
    <w:rsid w:val="00354F41"/>
    <w:rsid w:val="00356185"/>
    <w:rsid w:val="003569F2"/>
    <w:rsid w:val="00360380"/>
    <w:rsid w:val="00364983"/>
    <w:rsid w:val="0037519E"/>
    <w:rsid w:val="0038168E"/>
    <w:rsid w:val="00386CF0"/>
    <w:rsid w:val="003B1B44"/>
    <w:rsid w:val="003B6191"/>
    <w:rsid w:val="003B6ED9"/>
    <w:rsid w:val="003B70FB"/>
    <w:rsid w:val="003C2239"/>
    <w:rsid w:val="003C676B"/>
    <w:rsid w:val="003D063C"/>
    <w:rsid w:val="003D3BC2"/>
    <w:rsid w:val="003D6A05"/>
    <w:rsid w:val="003E1B12"/>
    <w:rsid w:val="003E3868"/>
    <w:rsid w:val="003E6CA1"/>
    <w:rsid w:val="003F05BE"/>
    <w:rsid w:val="00404E07"/>
    <w:rsid w:val="00405F9C"/>
    <w:rsid w:val="004065A8"/>
    <w:rsid w:val="004141C0"/>
    <w:rsid w:val="004165C2"/>
    <w:rsid w:val="0041694D"/>
    <w:rsid w:val="00427337"/>
    <w:rsid w:val="00436B39"/>
    <w:rsid w:val="00441524"/>
    <w:rsid w:val="00441E0D"/>
    <w:rsid w:val="00441ECB"/>
    <w:rsid w:val="00445193"/>
    <w:rsid w:val="00462C1B"/>
    <w:rsid w:val="004651B5"/>
    <w:rsid w:val="00467B7E"/>
    <w:rsid w:val="00473BB4"/>
    <w:rsid w:val="00477592"/>
    <w:rsid w:val="00486F1C"/>
    <w:rsid w:val="0049419D"/>
    <w:rsid w:val="004A425E"/>
    <w:rsid w:val="004A6A54"/>
    <w:rsid w:val="004B25E7"/>
    <w:rsid w:val="004B289C"/>
    <w:rsid w:val="004B6856"/>
    <w:rsid w:val="004C20D2"/>
    <w:rsid w:val="004C2312"/>
    <w:rsid w:val="004C2EB0"/>
    <w:rsid w:val="004C4B62"/>
    <w:rsid w:val="004C54C9"/>
    <w:rsid w:val="004C6FD7"/>
    <w:rsid w:val="004D1275"/>
    <w:rsid w:val="004D420F"/>
    <w:rsid w:val="004D4ABA"/>
    <w:rsid w:val="004D6025"/>
    <w:rsid w:val="004E2649"/>
    <w:rsid w:val="004F5E28"/>
    <w:rsid w:val="004F626F"/>
    <w:rsid w:val="004F763F"/>
    <w:rsid w:val="005004F9"/>
    <w:rsid w:val="00501399"/>
    <w:rsid w:val="00501D7E"/>
    <w:rsid w:val="00504EB7"/>
    <w:rsid w:val="0050633D"/>
    <w:rsid w:val="00507BA4"/>
    <w:rsid w:val="00507BC4"/>
    <w:rsid w:val="005128E4"/>
    <w:rsid w:val="005133DB"/>
    <w:rsid w:val="00514504"/>
    <w:rsid w:val="0052527A"/>
    <w:rsid w:val="00525560"/>
    <w:rsid w:val="005314DB"/>
    <w:rsid w:val="00533355"/>
    <w:rsid w:val="005359B8"/>
    <w:rsid w:val="00544B3A"/>
    <w:rsid w:val="00544C00"/>
    <w:rsid w:val="00544C49"/>
    <w:rsid w:val="005503D1"/>
    <w:rsid w:val="005516A1"/>
    <w:rsid w:val="005559EF"/>
    <w:rsid w:val="005564B7"/>
    <w:rsid w:val="00563557"/>
    <w:rsid w:val="00566683"/>
    <w:rsid w:val="0057176E"/>
    <w:rsid w:val="0057402A"/>
    <w:rsid w:val="005744E7"/>
    <w:rsid w:val="005771D0"/>
    <w:rsid w:val="00577A34"/>
    <w:rsid w:val="00585E83"/>
    <w:rsid w:val="0059191A"/>
    <w:rsid w:val="005921FF"/>
    <w:rsid w:val="00597BF1"/>
    <w:rsid w:val="005A10C3"/>
    <w:rsid w:val="005A24ED"/>
    <w:rsid w:val="005A254F"/>
    <w:rsid w:val="005A3490"/>
    <w:rsid w:val="005A6D0E"/>
    <w:rsid w:val="005A6D4B"/>
    <w:rsid w:val="005B52B0"/>
    <w:rsid w:val="005B6806"/>
    <w:rsid w:val="005C4225"/>
    <w:rsid w:val="005C6C2E"/>
    <w:rsid w:val="005D0AB4"/>
    <w:rsid w:val="005D292C"/>
    <w:rsid w:val="005D38F9"/>
    <w:rsid w:val="005D6CAA"/>
    <w:rsid w:val="005E49B1"/>
    <w:rsid w:val="005E6BE7"/>
    <w:rsid w:val="005F0DAD"/>
    <w:rsid w:val="005F0F33"/>
    <w:rsid w:val="005F2EDC"/>
    <w:rsid w:val="00600DEB"/>
    <w:rsid w:val="00601B5B"/>
    <w:rsid w:val="00603DAF"/>
    <w:rsid w:val="00606D91"/>
    <w:rsid w:val="00627C9F"/>
    <w:rsid w:val="006311E9"/>
    <w:rsid w:val="00632354"/>
    <w:rsid w:val="00635421"/>
    <w:rsid w:val="00642810"/>
    <w:rsid w:val="00642941"/>
    <w:rsid w:val="00647814"/>
    <w:rsid w:val="006510D2"/>
    <w:rsid w:val="00652333"/>
    <w:rsid w:val="00654433"/>
    <w:rsid w:val="0066035D"/>
    <w:rsid w:val="00673FBE"/>
    <w:rsid w:val="0068009E"/>
    <w:rsid w:val="00684995"/>
    <w:rsid w:val="00686A6E"/>
    <w:rsid w:val="00692219"/>
    <w:rsid w:val="006A05B8"/>
    <w:rsid w:val="006A17D2"/>
    <w:rsid w:val="006A73E6"/>
    <w:rsid w:val="006B211B"/>
    <w:rsid w:val="006B2D5C"/>
    <w:rsid w:val="006C3259"/>
    <w:rsid w:val="006C4EB1"/>
    <w:rsid w:val="006C6CFE"/>
    <w:rsid w:val="006D09F0"/>
    <w:rsid w:val="006D5B19"/>
    <w:rsid w:val="006D70C9"/>
    <w:rsid w:val="006D78C6"/>
    <w:rsid w:val="006E0166"/>
    <w:rsid w:val="006E2FFB"/>
    <w:rsid w:val="006E7B34"/>
    <w:rsid w:val="006F561A"/>
    <w:rsid w:val="006F7FEC"/>
    <w:rsid w:val="00700EE2"/>
    <w:rsid w:val="007025B6"/>
    <w:rsid w:val="00703EFC"/>
    <w:rsid w:val="00705EEE"/>
    <w:rsid w:val="0070697F"/>
    <w:rsid w:val="00716BC0"/>
    <w:rsid w:val="00717026"/>
    <w:rsid w:val="0072199C"/>
    <w:rsid w:val="00722C9F"/>
    <w:rsid w:val="007253B8"/>
    <w:rsid w:val="00733641"/>
    <w:rsid w:val="00733E6E"/>
    <w:rsid w:val="0073741F"/>
    <w:rsid w:val="00742CE9"/>
    <w:rsid w:val="00745EB2"/>
    <w:rsid w:val="0076643F"/>
    <w:rsid w:val="00777F63"/>
    <w:rsid w:val="0078750D"/>
    <w:rsid w:val="007A495F"/>
    <w:rsid w:val="007A49C0"/>
    <w:rsid w:val="007A5817"/>
    <w:rsid w:val="007B05C4"/>
    <w:rsid w:val="007B60E9"/>
    <w:rsid w:val="007B6CC3"/>
    <w:rsid w:val="007B76D3"/>
    <w:rsid w:val="007C3334"/>
    <w:rsid w:val="007C5183"/>
    <w:rsid w:val="007C56EC"/>
    <w:rsid w:val="007C7E8C"/>
    <w:rsid w:val="007D2B98"/>
    <w:rsid w:val="007D4F13"/>
    <w:rsid w:val="007E21BC"/>
    <w:rsid w:val="007E6A4F"/>
    <w:rsid w:val="007E7C82"/>
    <w:rsid w:val="007F2AA1"/>
    <w:rsid w:val="007F423F"/>
    <w:rsid w:val="007F588D"/>
    <w:rsid w:val="00800929"/>
    <w:rsid w:val="00801DC6"/>
    <w:rsid w:val="00803A8B"/>
    <w:rsid w:val="00803F1C"/>
    <w:rsid w:val="0080600E"/>
    <w:rsid w:val="0080698D"/>
    <w:rsid w:val="00814688"/>
    <w:rsid w:val="00817612"/>
    <w:rsid w:val="00821EC4"/>
    <w:rsid w:val="00821FC6"/>
    <w:rsid w:val="0083100C"/>
    <w:rsid w:val="008338A4"/>
    <w:rsid w:val="00834D49"/>
    <w:rsid w:val="00835E20"/>
    <w:rsid w:val="00837C45"/>
    <w:rsid w:val="00844730"/>
    <w:rsid w:val="008457C2"/>
    <w:rsid w:val="00850687"/>
    <w:rsid w:val="00857A82"/>
    <w:rsid w:val="00863189"/>
    <w:rsid w:val="00867314"/>
    <w:rsid w:val="00873836"/>
    <w:rsid w:val="008756F4"/>
    <w:rsid w:val="0087584D"/>
    <w:rsid w:val="00885737"/>
    <w:rsid w:val="00890650"/>
    <w:rsid w:val="00894A9B"/>
    <w:rsid w:val="00897E12"/>
    <w:rsid w:val="008A2E4E"/>
    <w:rsid w:val="008A7E0F"/>
    <w:rsid w:val="008B12F5"/>
    <w:rsid w:val="008C0C08"/>
    <w:rsid w:val="008C5E2D"/>
    <w:rsid w:val="008D5063"/>
    <w:rsid w:val="008D768D"/>
    <w:rsid w:val="008E3759"/>
    <w:rsid w:val="008E3BFE"/>
    <w:rsid w:val="008E5E27"/>
    <w:rsid w:val="008E7CEC"/>
    <w:rsid w:val="008E7EE1"/>
    <w:rsid w:val="008F1912"/>
    <w:rsid w:val="0090270B"/>
    <w:rsid w:val="009041DC"/>
    <w:rsid w:val="00914B43"/>
    <w:rsid w:val="00916448"/>
    <w:rsid w:val="00917B5A"/>
    <w:rsid w:val="00920A58"/>
    <w:rsid w:val="00920A8C"/>
    <w:rsid w:val="0092475D"/>
    <w:rsid w:val="009308A1"/>
    <w:rsid w:val="00934A2C"/>
    <w:rsid w:val="00936DDC"/>
    <w:rsid w:val="00944324"/>
    <w:rsid w:val="00955CCE"/>
    <w:rsid w:val="0096706E"/>
    <w:rsid w:val="00974491"/>
    <w:rsid w:val="00975C4E"/>
    <w:rsid w:val="009768E0"/>
    <w:rsid w:val="00976D8B"/>
    <w:rsid w:val="009775EA"/>
    <w:rsid w:val="00981FBA"/>
    <w:rsid w:val="0098641D"/>
    <w:rsid w:val="00993673"/>
    <w:rsid w:val="00997BC5"/>
    <w:rsid w:val="009A3E3C"/>
    <w:rsid w:val="009A4F41"/>
    <w:rsid w:val="009A530B"/>
    <w:rsid w:val="009B381B"/>
    <w:rsid w:val="009D1753"/>
    <w:rsid w:val="009D7611"/>
    <w:rsid w:val="009E0B61"/>
    <w:rsid w:val="009E4E4D"/>
    <w:rsid w:val="009E53DE"/>
    <w:rsid w:val="009F1747"/>
    <w:rsid w:val="00A075D5"/>
    <w:rsid w:val="00A11212"/>
    <w:rsid w:val="00A11E44"/>
    <w:rsid w:val="00A2386F"/>
    <w:rsid w:val="00A23907"/>
    <w:rsid w:val="00A30100"/>
    <w:rsid w:val="00A328B3"/>
    <w:rsid w:val="00A45ED2"/>
    <w:rsid w:val="00A45EFB"/>
    <w:rsid w:val="00A50FCF"/>
    <w:rsid w:val="00A528D1"/>
    <w:rsid w:val="00A610CD"/>
    <w:rsid w:val="00A654A5"/>
    <w:rsid w:val="00A74736"/>
    <w:rsid w:val="00A758AA"/>
    <w:rsid w:val="00A75C9A"/>
    <w:rsid w:val="00A761BF"/>
    <w:rsid w:val="00AA09A2"/>
    <w:rsid w:val="00AA4721"/>
    <w:rsid w:val="00AA52AC"/>
    <w:rsid w:val="00AA7996"/>
    <w:rsid w:val="00AC19CB"/>
    <w:rsid w:val="00AC3C72"/>
    <w:rsid w:val="00AD12A3"/>
    <w:rsid w:val="00AE1180"/>
    <w:rsid w:val="00AE5488"/>
    <w:rsid w:val="00AE6A80"/>
    <w:rsid w:val="00AE6F91"/>
    <w:rsid w:val="00AF4C35"/>
    <w:rsid w:val="00AF4DE1"/>
    <w:rsid w:val="00AF5571"/>
    <w:rsid w:val="00B01683"/>
    <w:rsid w:val="00B069B8"/>
    <w:rsid w:val="00B07341"/>
    <w:rsid w:val="00B1135A"/>
    <w:rsid w:val="00B115BE"/>
    <w:rsid w:val="00B11747"/>
    <w:rsid w:val="00B21BD6"/>
    <w:rsid w:val="00B22D47"/>
    <w:rsid w:val="00B30539"/>
    <w:rsid w:val="00B314DB"/>
    <w:rsid w:val="00B3195B"/>
    <w:rsid w:val="00B361F2"/>
    <w:rsid w:val="00B3718B"/>
    <w:rsid w:val="00B3745F"/>
    <w:rsid w:val="00B4632A"/>
    <w:rsid w:val="00B530F1"/>
    <w:rsid w:val="00B531CE"/>
    <w:rsid w:val="00B53556"/>
    <w:rsid w:val="00B5693C"/>
    <w:rsid w:val="00B578DF"/>
    <w:rsid w:val="00B623BC"/>
    <w:rsid w:val="00B74F68"/>
    <w:rsid w:val="00B76F71"/>
    <w:rsid w:val="00B804F9"/>
    <w:rsid w:val="00B8073E"/>
    <w:rsid w:val="00B91CB8"/>
    <w:rsid w:val="00B93478"/>
    <w:rsid w:val="00B95335"/>
    <w:rsid w:val="00B967EB"/>
    <w:rsid w:val="00BA02A8"/>
    <w:rsid w:val="00BA276C"/>
    <w:rsid w:val="00BB1845"/>
    <w:rsid w:val="00BB306F"/>
    <w:rsid w:val="00BB53D4"/>
    <w:rsid w:val="00BC13CB"/>
    <w:rsid w:val="00BD1D0B"/>
    <w:rsid w:val="00BD4B89"/>
    <w:rsid w:val="00BD5922"/>
    <w:rsid w:val="00BE3619"/>
    <w:rsid w:val="00BE6540"/>
    <w:rsid w:val="00BE7CBC"/>
    <w:rsid w:val="00BF02CB"/>
    <w:rsid w:val="00BF26A6"/>
    <w:rsid w:val="00BF6FD8"/>
    <w:rsid w:val="00BF79D2"/>
    <w:rsid w:val="00BF7F5C"/>
    <w:rsid w:val="00C03680"/>
    <w:rsid w:val="00C054DF"/>
    <w:rsid w:val="00C21762"/>
    <w:rsid w:val="00C21FEF"/>
    <w:rsid w:val="00C234CD"/>
    <w:rsid w:val="00C23BA4"/>
    <w:rsid w:val="00C24543"/>
    <w:rsid w:val="00C256A2"/>
    <w:rsid w:val="00C25ADB"/>
    <w:rsid w:val="00C32A3B"/>
    <w:rsid w:val="00C343CA"/>
    <w:rsid w:val="00C41398"/>
    <w:rsid w:val="00C414C2"/>
    <w:rsid w:val="00C452AA"/>
    <w:rsid w:val="00C51515"/>
    <w:rsid w:val="00C5660B"/>
    <w:rsid w:val="00C62A65"/>
    <w:rsid w:val="00C66065"/>
    <w:rsid w:val="00C66B72"/>
    <w:rsid w:val="00C72CB7"/>
    <w:rsid w:val="00C741C1"/>
    <w:rsid w:val="00C7680F"/>
    <w:rsid w:val="00C77088"/>
    <w:rsid w:val="00C8089E"/>
    <w:rsid w:val="00C86BE4"/>
    <w:rsid w:val="00C87AC4"/>
    <w:rsid w:val="00C90E14"/>
    <w:rsid w:val="00C910A7"/>
    <w:rsid w:val="00C9567A"/>
    <w:rsid w:val="00CA19EF"/>
    <w:rsid w:val="00CA5B58"/>
    <w:rsid w:val="00CA7C1D"/>
    <w:rsid w:val="00CB212D"/>
    <w:rsid w:val="00CB2660"/>
    <w:rsid w:val="00CB2AFF"/>
    <w:rsid w:val="00CB3A24"/>
    <w:rsid w:val="00CC442D"/>
    <w:rsid w:val="00CC5616"/>
    <w:rsid w:val="00CC5E90"/>
    <w:rsid w:val="00CD020D"/>
    <w:rsid w:val="00CD046C"/>
    <w:rsid w:val="00CD09B2"/>
    <w:rsid w:val="00CE076C"/>
    <w:rsid w:val="00CE13B3"/>
    <w:rsid w:val="00CE5199"/>
    <w:rsid w:val="00CE66D5"/>
    <w:rsid w:val="00CF2FBE"/>
    <w:rsid w:val="00CF637A"/>
    <w:rsid w:val="00CF7523"/>
    <w:rsid w:val="00D03A26"/>
    <w:rsid w:val="00D059DE"/>
    <w:rsid w:val="00D05ABD"/>
    <w:rsid w:val="00D0794E"/>
    <w:rsid w:val="00D10EF1"/>
    <w:rsid w:val="00D13530"/>
    <w:rsid w:val="00D13FCE"/>
    <w:rsid w:val="00D16BE5"/>
    <w:rsid w:val="00D17509"/>
    <w:rsid w:val="00D25565"/>
    <w:rsid w:val="00D306D1"/>
    <w:rsid w:val="00D30800"/>
    <w:rsid w:val="00D34786"/>
    <w:rsid w:val="00D37BFC"/>
    <w:rsid w:val="00D40A4F"/>
    <w:rsid w:val="00D44236"/>
    <w:rsid w:val="00D47A8E"/>
    <w:rsid w:val="00D52D14"/>
    <w:rsid w:val="00D65F3C"/>
    <w:rsid w:val="00D67EC2"/>
    <w:rsid w:val="00D712D3"/>
    <w:rsid w:val="00D71422"/>
    <w:rsid w:val="00D72DC6"/>
    <w:rsid w:val="00D74C0A"/>
    <w:rsid w:val="00D7558D"/>
    <w:rsid w:val="00D81D92"/>
    <w:rsid w:val="00D839AA"/>
    <w:rsid w:val="00D876F9"/>
    <w:rsid w:val="00DA0224"/>
    <w:rsid w:val="00DA7B5F"/>
    <w:rsid w:val="00DC11E7"/>
    <w:rsid w:val="00DC24E3"/>
    <w:rsid w:val="00DC7023"/>
    <w:rsid w:val="00DC769A"/>
    <w:rsid w:val="00DD0958"/>
    <w:rsid w:val="00DD3D86"/>
    <w:rsid w:val="00DD4AD2"/>
    <w:rsid w:val="00DD4BD0"/>
    <w:rsid w:val="00DD74B7"/>
    <w:rsid w:val="00DE7ED6"/>
    <w:rsid w:val="00DF1EC4"/>
    <w:rsid w:val="00E0340B"/>
    <w:rsid w:val="00E034EC"/>
    <w:rsid w:val="00E0409B"/>
    <w:rsid w:val="00E04A90"/>
    <w:rsid w:val="00E0551F"/>
    <w:rsid w:val="00E130E0"/>
    <w:rsid w:val="00E1787A"/>
    <w:rsid w:val="00E219C7"/>
    <w:rsid w:val="00E37183"/>
    <w:rsid w:val="00E4118C"/>
    <w:rsid w:val="00E43157"/>
    <w:rsid w:val="00E43225"/>
    <w:rsid w:val="00E44E39"/>
    <w:rsid w:val="00E461CE"/>
    <w:rsid w:val="00E533CC"/>
    <w:rsid w:val="00E54D28"/>
    <w:rsid w:val="00E573E4"/>
    <w:rsid w:val="00E64C3D"/>
    <w:rsid w:val="00E67C67"/>
    <w:rsid w:val="00E720CA"/>
    <w:rsid w:val="00E76982"/>
    <w:rsid w:val="00E82DDC"/>
    <w:rsid w:val="00E84EB5"/>
    <w:rsid w:val="00E85662"/>
    <w:rsid w:val="00E8789F"/>
    <w:rsid w:val="00E95CDD"/>
    <w:rsid w:val="00E97B71"/>
    <w:rsid w:val="00EA3D34"/>
    <w:rsid w:val="00EB197F"/>
    <w:rsid w:val="00EB454D"/>
    <w:rsid w:val="00EC212D"/>
    <w:rsid w:val="00EC3087"/>
    <w:rsid w:val="00EC7371"/>
    <w:rsid w:val="00ED549D"/>
    <w:rsid w:val="00ED76BE"/>
    <w:rsid w:val="00EE00E9"/>
    <w:rsid w:val="00EF1AAA"/>
    <w:rsid w:val="00EF23E0"/>
    <w:rsid w:val="00EF619B"/>
    <w:rsid w:val="00EF67F0"/>
    <w:rsid w:val="00EF6A4F"/>
    <w:rsid w:val="00EF76F5"/>
    <w:rsid w:val="00F00B55"/>
    <w:rsid w:val="00F02AD1"/>
    <w:rsid w:val="00F142FB"/>
    <w:rsid w:val="00F225E1"/>
    <w:rsid w:val="00F22793"/>
    <w:rsid w:val="00F253CC"/>
    <w:rsid w:val="00F32F16"/>
    <w:rsid w:val="00F37106"/>
    <w:rsid w:val="00F3742C"/>
    <w:rsid w:val="00F44A07"/>
    <w:rsid w:val="00F44E25"/>
    <w:rsid w:val="00F519CF"/>
    <w:rsid w:val="00F56BA5"/>
    <w:rsid w:val="00F60CC1"/>
    <w:rsid w:val="00F60E22"/>
    <w:rsid w:val="00F80011"/>
    <w:rsid w:val="00F81395"/>
    <w:rsid w:val="00F815F3"/>
    <w:rsid w:val="00F81BB8"/>
    <w:rsid w:val="00F90C64"/>
    <w:rsid w:val="00F912DC"/>
    <w:rsid w:val="00F917D1"/>
    <w:rsid w:val="00F94CF1"/>
    <w:rsid w:val="00F9653B"/>
    <w:rsid w:val="00FA289E"/>
    <w:rsid w:val="00FA5F86"/>
    <w:rsid w:val="00FB62CF"/>
    <w:rsid w:val="00FD3C3B"/>
    <w:rsid w:val="00FE07DD"/>
    <w:rsid w:val="00FE6B45"/>
    <w:rsid w:val="00FF0799"/>
    <w:rsid w:val="00FF2FC2"/>
    <w:rsid w:val="00FF55F3"/>
    <w:rsid w:val="00FF5851"/>
    <w:rsid w:val="00FF66D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AF4C3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semiHidden/>
    <w:unhideWhenUsed/>
    <w:rsid w:val="00C452AA"/>
  </w:style>
  <w:style w:type="character" w:styleId="Emphasis">
    <w:name w:val="Emphasis"/>
    <w:basedOn w:val="DefaultParagraphFont"/>
    <w:uiPriority w:val="20"/>
    <w:qFormat/>
    <w:rsid w:val="00F225E1"/>
    <w:rPr>
      <w:i/>
      <w:iCs/>
    </w:rPr>
  </w:style>
  <w:style w:type="character" w:styleId="PlaceholderText">
    <w:name w:val="Placeholder Text"/>
    <w:basedOn w:val="DefaultParagraphFont"/>
    <w:uiPriority w:val="99"/>
    <w:semiHidden/>
    <w:rsid w:val="004C2EB0"/>
    <w:rPr>
      <w:color w:val="666666"/>
    </w:rPr>
  </w:style>
  <w:style w:type="character" w:customStyle="1" w:styleId="normaltextrun">
    <w:name w:val="normaltextrun"/>
    <w:basedOn w:val="DefaultParagraphFont"/>
    <w:rsid w:val="003E3868"/>
  </w:style>
  <w:style w:type="paragraph" w:customStyle="1" w:styleId="paragraph">
    <w:name w:val="paragraph"/>
    <w:basedOn w:val="Normal"/>
    <w:rsid w:val="00B5693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B56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5642">
      <w:bodyDiv w:val="1"/>
      <w:marLeft w:val="0"/>
      <w:marRight w:val="0"/>
      <w:marTop w:val="0"/>
      <w:marBottom w:val="0"/>
      <w:divBdr>
        <w:top w:val="none" w:sz="0" w:space="0" w:color="auto"/>
        <w:left w:val="none" w:sz="0" w:space="0" w:color="auto"/>
        <w:bottom w:val="none" w:sz="0" w:space="0" w:color="auto"/>
        <w:right w:val="none" w:sz="0" w:space="0" w:color="auto"/>
      </w:divBdr>
    </w:div>
    <w:div w:id="120345400">
      <w:bodyDiv w:val="1"/>
      <w:marLeft w:val="0"/>
      <w:marRight w:val="0"/>
      <w:marTop w:val="0"/>
      <w:marBottom w:val="0"/>
      <w:divBdr>
        <w:top w:val="none" w:sz="0" w:space="0" w:color="auto"/>
        <w:left w:val="none" w:sz="0" w:space="0" w:color="auto"/>
        <w:bottom w:val="none" w:sz="0" w:space="0" w:color="auto"/>
        <w:right w:val="none" w:sz="0" w:space="0" w:color="auto"/>
      </w:divBdr>
    </w:div>
    <w:div w:id="325745429">
      <w:bodyDiv w:val="1"/>
      <w:marLeft w:val="0"/>
      <w:marRight w:val="0"/>
      <w:marTop w:val="0"/>
      <w:marBottom w:val="0"/>
      <w:divBdr>
        <w:top w:val="none" w:sz="0" w:space="0" w:color="auto"/>
        <w:left w:val="none" w:sz="0" w:space="0" w:color="auto"/>
        <w:bottom w:val="none" w:sz="0" w:space="0" w:color="auto"/>
        <w:right w:val="none" w:sz="0" w:space="0" w:color="auto"/>
      </w:divBdr>
    </w:div>
    <w:div w:id="644625990">
      <w:bodyDiv w:val="1"/>
      <w:marLeft w:val="0"/>
      <w:marRight w:val="0"/>
      <w:marTop w:val="0"/>
      <w:marBottom w:val="0"/>
      <w:divBdr>
        <w:top w:val="none" w:sz="0" w:space="0" w:color="auto"/>
        <w:left w:val="none" w:sz="0" w:space="0" w:color="auto"/>
        <w:bottom w:val="none" w:sz="0" w:space="0" w:color="auto"/>
        <w:right w:val="none" w:sz="0" w:space="0" w:color="auto"/>
      </w:divBdr>
    </w:div>
    <w:div w:id="690839108">
      <w:bodyDiv w:val="1"/>
      <w:marLeft w:val="0"/>
      <w:marRight w:val="0"/>
      <w:marTop w:val="0"/>
      <w:marBottom w:val="0"/>
      <w:divBdr>
        <w:top w:val="none" w:sz="0" w:space="0" w:color="auto"/>
        <w:left w:val="none" w:sz="0" w:space="0" w:color="auto"/>
        <w:bottom w:val="none" w:sz="0" w:space="0" w:color="auto"/>
        <w:right w:val="none" w:sz="0" w:space="0" w:color="auto"/>
      </w:divBdr>
    </w:div>
    <w:div w:id="809438547">
      <w:bodyDiv w:val="1"/>
      <w:marLeft w:val="0"/>
      <w:marRight w:val="0"/>
      <w:marTop w:val="0"/>
      <w:marBottom w:val="0"/>
      <w:divBdr>
        <w:top w:val="none" w:sz="0" w:space="0" w:color="auto"/>
        <w:left w:val="none" w:sz="0" w:space="0" w:color="auto"/>
        <w:bottom w:val="none" w:sz="0" w:space="0" w:color="auto"/>
        <w:right w:val="none" w:sz="0" w:space="0" w:color="auto"/>
      </w:divBdr>
    </w:div>
    <w:div w:id="823280297">
      <w:bodyDiv w:val="1"/>
      <w:marLeft w:val="0"/>
      <w:marRight w:val="0"/>
      <w:marTop w:val="0"/>
      <w:marBottom w:val="0"/>
      <w:divBdr>
        <w:top w:val="none" w:sz="0" w:space="0" w:color="auto"/>
        <w:left w:val="none" w:sz="0" w:space="0" w:color="auto"/>
        <w:bottom w:val="none" w:sz="0" w:space="0" w:color="auto"/>
        <w:right w:val="none" w:sz="0" w:space="0" w:color="auto"/>
      </w:divBdr>
    </w:div>
    <w:div w:id="932274814">
      <w:bodyDiv w:val="1"/>
      <w:marLeft w:val="0"/>
      <w:marRight w:val="0"/>
      <w:marTop w:val="0"/>
      <w:marBottom w:val="0"/>
      <w:divBdr>
        <w:top w:val="none" w:sz="0" w:space="0" w:color="auto"/>
        <w:left w:val="none" w:sz="0" w:space="0" w:color="auto"/>
        <w:bottom w:val="none" w:sz="0" w:space="0" w:color="auto"/>
        <w:right w:val="none" w:sz="0" w:space="0" w:color="auto"/>
      </w:divBdr>
      <w:divsChild>
        <w:div w:id="2127002584">
          <w:marLeft w:val="0"/>
          <w:marRight w:val="0"/>
          <w:marTop w:val="0"/>
          <w:marBottom w:val="0"/>
          <w:divBdr>
            <w:top w:val="none" w:sz="0" w:space="0" w:color="auto"/>
            <w:left w:val="none" w:sz="0" w:space="0" w:color="auto"/>
            <w:bottom w:val="none" w:sz="0" w:space="0" w:color="auto"/>
            <w:right w:val="none" w:sz="0" w:space="0" w:color="auto"/>
          </w:divBdr>
          <w:divsChild>
            <w:div w:id="1205291737">
              <w:marLeft w:val="0"/>
              <w:marRight w:val="0"/>
              <w:marTop w:val="0"/>
              <w:marBottom w:val="0"/>
              <w:divBdr>
                <w:top w:val="none" w:sz="0" w:space="0" w:color="auto"/>
                <w:left w:val="none" w:sz="0" w:space="0" w:color="auto"/>
                <w:bottom w:val="none" w:sz="0" w:space="0" w:color="auto"/>
                <w:right w:val="none" w:sz="0" w:space="0" w:color="auto"/>
              </w:divBdr>
              <w:divsChild>
                <w:div w:id="470900828">
                  <w:marLeft w:val="0"/>
                  <w:marRight w:val="0"/>
                  <w:marTop w:val="0"/>
                  <w:marBottom w:val="0"/>
                  <w:divBdr>
                    <w:top w:val="none" w:sz="0" w:space="0" w:color="auto"/>
                    <w:left w:val="none" w:sz="0" w:space="0" w:color="auto"/>
                    <w:bottom w:val="none" w:sz="0" w:space="0" w:color="auto"/>
                    <w:right w:val="none" w:sz="0" w:space="0" w:color="auto"/>
                  </w:divBdr>
                  <w:divsChild>
                    <w:div w:id="15929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26807">
      <w:bodyDiv w:val="1"/>
      <w:marLeft w:val="0"/>
      <w:marRight w:val="0"/>
      <w:marTop w:val="0"/>
      <w:marBottom w:val="0"/>
      <w:divBdr>
        <w:top w:val="none" w:sz="0" w:space="0" w:color="auto"/>
        <w:left w:val="none" w:sz="0" w:space="0" w:color="auto"/>
        <w:bottom w:val="none" w:sz="0" w:space="0" w:color="auto"/>
        <w:right w:val="none" w:sz="0" w:space="0" w:color="auto"/>
      </w:divBdr>
    </w:div>
    <w:div w:id="1064719926">
      <w:bodyDiv w:val="1"/>
      <w:marLeft w:val="0"/>
      <w:marRight w:val="0"/>
      <w:marTop w:val="0"/>
      <w:marBottom w:val="0"/>
      <w:divBdr>
        <w:top w:val="none" w:sz="0" w:space="0" w:color="auto"/>
        <w:left w:val="none" w:sz="0" w:space="0" w:color="auto"/>
        <w:bottom w:val="none" w:sz="0" w:space="0" w:color="auto"/>
        <w:right w:val="none" w:sz="0" w:space="0" w:color="auto"/>
      </w:divBdr>
    </w:div>
    <w:div w:id="1126309542">
      <w:bodyDiv w:val="1"/>
      <w:marLeft w:val="0"/>
      <w:marRight w:val="0"/>
      <w:marTop w:val="0"/>
      <w:marBottom w:val="0"/>
      <w:divBdr>
        <w:top w:val="none" w:sz="0" w:space="0" w:color="auto"/>
        <w:left w:val="none" w:sz="0" w:space="0" w:color="auto"/>
        <w:bottom w:val="none" w:sz="0" w:space="0" w:color="auto"/>
        <w:right w:val="none" w:sz="0" w:space="0" w:color="auto"/>
      </w:divBdr>
    </w:div>
    <w:div w:id="1142652426">
      <w:bodyDiv w:val="1"/>
      <w:marLeft w:val="0"/>
      <w:marRight w:val="0"/>
      <w:marTop w:val="0"/>
      <w:marBottom w:val="0"/>
      <w:divBdr>
        <w:top w:val="none" w:sz="0" w:space="0" w:color="auto"/>
        <w:left w:val="none" w:sz="0" w:space="0" w:color="auto"/>
        <w:bottom w:val="none" w:sz="0" w:space="0" w:color="auto"/>
        <w:right w:val="none" w:sz="0" w:space="0" w:color="auto"/>
      </w:divBdr>
      <w:divsChild>
        <w:div w:id="150098428">
          <w:marLeft w:val="0"/>
          <w:marRight w:val="0"/>
          <w:marTop w:val="0"/>
          <w:marBottom w:val="0"/>
          <w:divBdr>
            <w:top w:val="none" w:sz="0" w:space="0" w:color="auto"/>
            <w:left w:val="none" w:sz="0" w:space="0" w:color="auto"/>
            <w:bottom w:val="none" w:sz="0" w:space="0" w:color="auto"/>
            <w:right w:val="none" w:sz="0" w:space="0" w:color="auto"/>
          </w:divBdr>
          <w:divsChild>
            <w:div w:id="534579858">
              <w:marLeft w:val="0"/>
              <w:marRight w:val="0"/>
              <w:marTop w:val="0"/>
              <w:marBottom w:val="0"/>
              <w:divBdr>
                <w:top w:val="none" w:sz="0" w:space="0" w:color="auto"/>
                <w:left w:val="none" w:sz="0" w:space="0" w:color="auto"/>
                <w:bottom w:val="none" w:sz="0" w:space="0" w:color="auto"/>
                <w:right w:val="none" w:sz="0" w:space="0" w:color="auto"/>
              </w:divBdr>
              <w:divsChild>
                <w:div w:id="760419820">
                  <w:marLeft w:val="0"/>
                  <w:marRight w:val="0"/>
                  <w:marTop w:val="0"/>
                  <w:marBottom w:val="0"/>
                  <w:divBdr>
                    <w:top w:val="none" w:sz="0" w:space="0" w:color="auto"/>
                    <w:left w:val="none" w:sz="0" w:space="0" w:color="auto"/>
                    <w:bottom w:val="none" w:sz="0" w:space="0" w:color="auto"/>
                    <w:right w:val="none" w:sz="0" w:space="0" w:color="auto"/>
                  </w:divBdr>
                  <w:divsChild>
                    <w:div w:id="11778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46396251">
      <w:bodyDiv w:val="1"/>
      <w:marLeft w:val="0"/>
      <w:marRight w:val="0"/>
      <w:marTop w:val="0"/>
      <w:marBottom w:val="0"/>
      <w:divBdr>
        <w:top w:val="none" w:sz="0" w:space="0" w:color="auto"/>
        <w:left w:val="none" w:sz="0" w:space="0" w:color="auto"/>
        <w:bottom w:val="none" w:sz="0" w:space="0" w:color="auto"/>
        <w:right w:val="none" w:sz="0" w:space="0" w:color="auto"/>
      </w:divBdr>
    </w:div>
    <w:div w:id="174059656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4903663">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2118862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1B97FA33-49EE-4E15-A40F-46339393D3B5}">
  <ds:schemaRefs>
    <ds:schemaRef ds:uri="http://schemas.microsoft.com/sharepoint/v3/contenttype/forms"/>
  </ds:schemaRefs>
</ds:datastoreItem>
</file>

<file path=customXml/itemProps2.xml><?xml version="1.0" encoding="utf-8"?>
<ds:datastoreItem xmlns:ds="http://schemas.openxmlformats.org/officeDocument/2006/customXml" ds:itemID="{CB2B9E16-CF7C-4731-BB79-367B20044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4.xml><?xml version="1.0" encoding="utf-8"?>
<ds:datastoreItem xmlns:ds="http://schemas.openxmlformats.org/officeDocument/2006/customXml" ds:itemID="{4F0215ED-94CB-4455-A3C9-D926AB9E170C}">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3386</Words>
  <Characters>19306</Characters>
  <Application>Microsoft Office Word</Application>
  <DocSecurity>0</DocSecurity>
  <Lines>160</Lines>
  <Paragraphs>45</Paragraphs>
  <ScaleCrop>false</ScaleCrop>
  <Company/>
  <LinksUpToDate>false</LinksUpToDate>
  <CharactersWithSpaces>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2025-06-17T13:17:00Z</dcterms:created>
  <dcterms:modified xsi:type="dcterms:W3CDTF">2025-06-17T13:17:00Z</dcterms:modified>
</cp:coreProperties>
</file>