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164688"/>
    <w:p w14:paraId="67378932" w14:textId="77777777" w:rsidR="00B346EA" w:rsidRPr="00A656BB" w:rsidRDefault="00B346EA" w:rsidP="00B346EA">
      <w:pPr>
        <w:jc w:val="center"/>
        <w:rPr>
          <w:rFonts w:asciiTheme="majorHAnsi" w:hAnsiTheme="majorHAnsi" w:cs="Univers"/>
          <w:b/>
          <w:bCs/>
          <w:sz w:val="22"/>
          <w:szCs w:val="22"/>
          <w:lang w:val="pt-BR"/>
        </w:rPr>
      </w:pPr>
      <w:r w:rsidRPr="007B7EA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5EB1E16" wp14:editId="37EE11AD">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2C6FE" id="Rectangle 1" o:spid="_x0000_s1026" style="position:absolute;margin-left:-33.3pt;margin-top:-29pt;width:111pt;height:7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" fillcolor="#ffc000" stroked="f" strokeweight="1pt"/>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4328F1F7" wp14:editId="14D75B96">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4F620" w14:textId="77777777" w:rsidR="00B03A37" w:rsidRDefault="00B03A37" w:rsidP="00B346EA">
                            <w:r>
                              <w:rPr>
                                <w:noProof/>
                              </w:rPr>
                              <w:drawing>
                                <wp:inline distT="0" distB="0" distL="0" distR="0" wp14:anchorId="6344FD87" wp14:editId="68BF0FA3">
                                  <wp:extent cx="2523497" cy="485775"/>
                                  <wp:effectExtent l="0" t="0" r="0" b="0"/>
                                  <wp:docPr id="30" name="Picture 30"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8F1F7"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" filled="f" stroked="f" strokeweight=".5pt">
                <v:textbox>
                  <w:txbxContent>
                    <w:p w14:paraId="7F54F620" w14:textId="77777777" w:rsidR="00B03A37" w:rsidRDefault="00B03A37" w:rsidP="00B346EA">
                      <w:r>
                        <w:rPr>
                          <w:noProof/>
                        </w:rPr>
                        <w:drawing>
                          <wp:inline distT="0" distB="0" distL="0" distR="0" wp14:anchorId="6344FD87" wp14:editId="68BF0FA3">
                            <wp:extent cx="2523497" cy="485775"/>
                            <wp:effectExtent l="0" t="0" r="0" b="0"/>
                            <wp:docPr id="30" name="Picture 30"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v:textbox>
              </v:shape>
            </w:pict>
          </mc:Fallback>
        </mc:AlternateContent>
      </w:r>
      <w:r w:rsidRPr="00A656BB">
        <w:rPr>
          <w:rFonts w:asciiTheme="majorHAnsi" w:hAnsiTheme="majorHAnsi" w:cs="Univers"/>
          <w:b/>
          <w:bCs/>
          <w:sz w:val="22"/>
          <w:szCs w:val="22"/>
          <w:lang w:val="pt-BR"/>
        </w:rPr>
        <w:t>o</w:t>
      </w:r>
    </w:p>
    <w:p w14:paraId="589740E4"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3DA16317"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73633149"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3F66A5BF"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5FF15D56"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49969AFC"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31C4A138"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5F69BBDB"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7658AA94"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4294F0CB"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66E66D7E"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31035B22"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68CBF174"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72FAE1A1" w14:textId="519918F0" w:rsidR="00B346EA" w:rsidRPr="00A656BB" w:rsidRDefault="009D233C" w:rsidP="009D233C">
      <w:pPr>
        <w:tabs>
          <w:tab w:val="center" w:pos="4680"/>
          <w:tab w:val="center" w:pos="5400"/>
          <w:tab w:val="left" w:pos="8175"/>
        </w:tabs>
        <w:suppressAutoHyphens/>
        <w:rPr>
          <w:rFonts w:asciiTheme="majorHAnsi" w:hAnsiTheme="majorHAnsi"/>
          <w:sz w:val="22"/>
          <w:szCs w:val="22"/>
          <w:lang w:val="pt-BR"/>
        </w:rPr>
      </w:pPr>
      <w:r>
        <w:rPr>
          <w:rFonts w:asciiTheme="majorHAnsi" w:hAnsiTheme="majorHAnsi"/>
          <w:sz w:val="22"/>
          <w:szCs w:val="22"/>
          <w:lang w:val="pt-BR"/>
        </w:rPr>
        <w:tab/>
      </w:r>
      <w:r w:rsidR="00B346EA" w:rsidRPr="007B7EA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4E14E94" wp14:editId="7290495F">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7DA06" w14:textId="50147491" w:rsidR="00B03A37" w:rsidRPr="00334A28" w:rsidRDefault="00B03A37" w:rsidP="008E4EE6">
                            <w:pPr>
                              <w:spacing w:line="276" w:lineRule="auto"/>
                              <w:rPr>
                                <w:rFonts w:ascii="Cambria" w:hAnsi="Cambria" w:cs="Arial"/>
                                <w:b/>
                                <w:bCs/>
                                <w:color w:val="0D0D0D"/>
                                <w:sz w:val="36"/>
                                <w:szCs w:val="22"/>
                                <w:lang w:val="pt-BR"/>
                              </w:rPr>
                            </w:pPr>
                            <w:r>
                              <w:rPr>
                                <w:rFonts w:ascii="Cambria" w:hAnsi="Cambria" w:cs="Arial"/>
                                <w:b/>
                                <w:bCs/>
                                <w:color w:val="0D0D0D"/>
                                <w:sz w:val="36"/>
                                <w:szCs w:val="22"/>
                                <w:lang w:val="pt-BR"/>
                              </w:rPr>
                              <w:t>RELATÓRIO</w:t>
                            </w:r>
                            <w:r w:rsidRPr="00334A28">
                              <w:rPr>
                                <w:rFonts w:ascii="Cambria" w:hAnsi="Cambria" w:cs="Arial"/>
                                <w:b/>
                                <w:bCs/>
                                <w:color w:val="0D0D0D"/>
                                <w:sz w:val="36"/>
                                <w:szCs w:val="22"/>
                                <w:lang w:val="pt-BR"/>
                              </w:rPr>
                              <w:t xml:space="preserve"> N</w:t>
                            </w:r>
                            <w:r>
                              <w:rPr>
                                <w:rFonts w:ascii="Cambria" w:hAnsi="Cambria" w:cs="Arial"/>
                                <w:b/>
                                <w:bCs/>
                                <w:color w:val="0D0D0D"/>
                                <w:sz w:val="36"/>
                                <w:szCs w:val="22"/>
                                <w:lang w:val="pt-BR"/>
                              </w:rPr>
                              <w:t>º</w:t>
                            </w:r>
                            <w:r w:rsidR="003B63C2">
                              <w:rPr>
                                <w:rFonts w:ascii="Cambria" w:hAnsi="Cambria" w:cs="Arial"/>
                                <w:b/>
                                <w:bCs/>
                                <w:color w:val="0D0D0D"/>
                                <w:sz w:val="36"/>
                                <w:szCs w:val="22"/>
                                <w:lang w:val="pt-BR"/>
                              </w:rPr>
                              <w:t xml:space="preserve"> 143</w:t>
                            </w:r>
                            <w:r w:rsidRPr="00334A28">
                              <w:rPr>
                                <w:rFonts w:ascii="Cambria" w:hAnsi="Cambria" w:cs="Arial"/>
                                <w:b/>
                                <w:bCs/>
                                <w:color w:val="0D0D0D"/>
                                <w:sz w:val="36"/>
                                <w:szCs w:val="22"/>
                                <w:lang w:val="pt-BR"/>
                              </w:rPr>
                              <w:t>/</w:t>
                            </w:r>
                            <w:r>
                              <w:rPr>
                                <w:rFonts w:ascii="Cambria" w:hAnsi="Cambria" w:cs="Arial"/>
                                <w:b/>
                                <w:bCs/>
                                <w:color w:val="0D0D0D"/>
                                <w:sz w:val="36"/>
                                <w:szCs w:val="22"/>
                                <w:lang w:val="pt-BR"/>
                              </w:rPr>
                              <w:t>19</w:t>
                            </w:r>
                          </w:p>
                          <w:p w14:paraId="43F3FDDC" w14:textId="77777777" w:rsidR="00B03A37" w:rsidRPr="00334A28" w:rsidRDefault="00B03A37" w:rsidP="008E4EE6">
                            <w:pPr>
                              <w:spacing w:line="276" w:lineRule="auto"/>
                              <w:rPr>
                                <w:rFonts w:ascii="Cambria" w:hAnsi="Cambria" w:cs="Arial"/>
                                <w:b/>
                                <w:bCs/>
                                <w:color w:val="0D0D0D"/>
                                <w:sz w:val="36"/>
                                <w:szCs w:val="22"/>
                                <w:lang w:val="pt-BR"/>
                              </w:rPr>
                            </w:pPr>
                            <w:r w:rsidRPr="00334A28">
                              <w:rPr>
                                <w:rFonts w:ascii="Cambria" w:hAnsi="Cambria" w:cs="Arial"/>
                                <w:b/>
                                <w:bCs/>
                                <w:color w:val="0D0D0D"/>
                                <w:sz w:val="36"/>
                                <w:szCs w:val="22"/>
                                <w:lang w:val="pt-BR"/>
                              </w:rPr>
                              <w:t>CASO 12.</w:t>
                            </w:r>
                            <w:r>
                              <w:rPr>
                                <w:rFonts w:ascii="Cambria" w:hAnsi="Cambria" w:cs="Arial"/>
                                <w:b/>
                                <w:bCs/>
                                <w:color w:val="0D0D0D"/>
                                <w:sz w:val="36"/>
                                <w:szCs w:val="22"/>
                                <w:lang w:val="pt-BR"/>
                              </w:rPr>
                              <w:t>570</w:t>
                            </w:r>
                          </w:p>
                          <w:p w14:paraId="025EA70F" w14:textId="77777777" w:rsidR="00B03A37" w:rsidRPr="00334A28" w:rsidRDefault="00B03A37" w:rsidP="008E4EE6">
                            <w:pPr>
                              <w:spacing w:line="276" w:lineRule="auto"/>
                              <w:rPr>
                                <w:rFonts w:ascii="Cambria" w:hAnsi="Cambria" w:cs="Arial"/>
                                <w:color w:val="0D0D0D"/>
                                <w:szCs w:val="22"/>
                                <w:lang w:val="pt-BR"/>
                              </w:rPr>
                            </w:pPr>
                            <w:r>
                              <w:rPr>
                                <w:rFonts w:ascii="Cambria" w:hAnsi="Cambria" w:cs="Arial"/>
                                <w:color w:val="0D0D0D"/>
                                <w:szCs w:val="22"/>
                                <w:lang w:val="pt-BR"/>
                              </w:rPr>
                              <w:t xml:space="preserve">RELATÓRIO </w:t>
                            </w:r>
                            <w:r w:rsidRPr="00334A28">
                              <w:rPr>
                                <w:rFonts w:ascii="Cambria" w:hAnsi="Cambria" w:cs="Arial"/>
                                <w:color w:val="0D0D0D"/>
                                <w:szCs w:val="22"/>
                                <w:lang w:val="pt-BR"/>
                              </w:rPr>
                              <w:t xml:space="preserve">DE </w:t>
                            </w:r>
                            <w:r>
                              <w:rPr>
                                <w:rFonts w:ascii="Cambria" w:hAnsi="Cambria" w:cs="Arial"/>
                                <w:color w:val="0D0D0D"/>
                                <w:szCs w:val="22"/>
                                <w:lang w:val="pt-BR"/>
                              </w:rPr>
                              <w:t>MÉRITO</w:t>
                            </w:r>
                            <w:r w:rsidRPr="00334A28">
                              <w:rPr>
                                <w:rFonts w:ascii="Cambria" w:hAnsi="Cambria" w:cs="Arial"/>
                                <w:color w:val="0D0D0D"/>
                                <w:szCs w:val="22"/>
                                <w:lang w:val="pt-BR"/>
                              </w:rPr>
                              <w:t xml:space="preserve"> </w:t>
                            </w:r>
                          </w:p>
                          <w:p w14:paraId="043B9E87" w14:textId="77777777" w:rsidR="00B03A37" w:rsidRPr="00334A28" w:rsidRDefault="00B03A37" w:rsidP="008E4EE6">
                            <w:pPr>
                              <w:spacing w:line="276" w:lineRule="auto"/>
                              <w:rPr>
                                <w:rFonts w:ascii="Cambria" w:hAnsi="Cambria" w:cs="Arial"/>
                                <w:color w:val="0D0D0D"/>
                                <w:szCs w:val="22"/>
                                <w:lang w:val="pt-BR"/>
                              </w:rPr>
                            </w:pPr>
                            <w:bookmarkStart w:id="1" w:name="_ftnref1"/>
                          </w:p>
                          <w:bookmarkEnd w:id="1"/>
                          <w:p w14:paraId="7E3D5DBC" w14:textId="77777777" w:rsidR="00B03A37" w:rsidRPr="00334A28" w:rsidRDefault="00B03A37" w:rsidP="008E4EE6">
                            <w:pPr>
                              <w:rPr>
                                <w:rFonts w:ascii="Cambria" w:hAnsi="Cambria" w:cs="Arial"/>
                                <w:color w:val="0D0D0D"/>
                                <w:szCs w:val="22"/>
                                <w:lang w:val="pt-BR"/>
                              </w:rPr>
                            </w:pPr>
                            <w:r>
                              <w:rPr>
                                <w:rFonts w:ascii="Cambria" w:hAnsi="Cambria" w:cs="Arial"/>
                                <w:color w:val="0D0D0D"/>
                                <w:szCs w:val="22"/>
                                <w:lang w:val="pt-BR"/>
                              </w:rPr>
                              <w:t>MANOEL LUIZ DA SILVA E FAMILIARES</w:t>
                            </w:r>
                          </w:p>
                          <w:p w14:paraId="1341EB14" w14:textId="77777777" w:rsidR="00B03A37" w:rsidRPr="00334A28" w:rsidRDefault="00B03A37" w:rsidP="008E4EE6">
                            <w:pPr>
                              <w:rPr>
                                <w:rFonts w:ascii="Cambria" w:hAnsi="Cambria" w:cs="Arial"/>
                                <w:color w:val="0D0D0D"/>
                                <w:szCs w:val="22"/>
                                <w:lang w:val="pt-BR"/>
                              </w:rPr>
                            </w:pPr>
                            <w:r w:rsidRPr="00334A28">
                              <w:rPr>
                                <w:rFonts w:ascii="Cambria" w:hAnsi="Cambria" w:cs="Arial"/>
                                <w:color w:val="0D0D0D"/>
                                <w:szCs w:val="22"/>
                                <w:lang w:val="pt-BR"/>
                              </w:rPr>
                              <w:t>BRASIL</w:t>
                            </w:r>
                          </w:p>
                          <w:p w14:paraId="62E41749" w14:textId="77777777" w:rsidR="00B03A37" w:rsidRPr="00412D8D" w:rsidRDefault="00B03A37" w:rsidP="00B346EA">
                            <w:pPr>
                              <w:spacing w:line="276" w:lineRule="auto"/>
                              <w:rPr>
                                <w:rFonts w:asciiTheme="majorHAnsi" w:hAnsiTheme="majorHAnsi"/>
                                <w:color w:val="0D0D0D" w:themeColor="text1" w:themeTint="F2"/>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4E94" id="Text Box 5" o:spid="_x0000_s1027" type="#_x0000_t202" style="position:absolute;margin-left:96.75pt;margin-top:6.25pt;width:404.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" filled="f" stroked="f" strokeweight=".5pt">
                <v:textbox>
                  <w:txbxContent>
                    <w:p w14:paraId="4F77DA06" w14:textId="50147491" w:rsidR="00B03A37" w:rsidRPr="00334A28" w:rsidRDefault="00B03A37" w:rsidP="008E4EE6">
                      <w:pPr>
                        <w:spacing w:line="276" w:lineRule="auto"/>
                        <w:rPr>
                          <w:rFonts w:ascii="Cambria" w:hAnsi="Cambria" w:cs="Arial"/>
                          <w:b/>
                          <w:bCs/>
                          <w:color w:val="0D0D0D"/>
                          <w:sz w:val="36"/>
                          <w:szCs w:val="22"/>
                          <w:lang w:val="pt-BR"/>
                        </w:rPr>
                      </w:pPr>
                      <w:r>
                        <w:rPr>
                          <w:rFonts w:ascii="Cambria" w:hAnsi="Cambria" w:cs="Arial"/>
                          <w:b/>
                          <w:bCs/>
                          <w:color w:val="0D0D0D"/>
                          <w:sz w:val="36"/>
                          <w:szCs w:val="22"/>
                          <w:lang w:val="pt-BR"/>
                        </w:rPr>
                        <w:t>RELATÓRIO</w:t>
                      </w:r>
                      <w:r w:rsidRPr="00334A28">
                        <w:rPr>
                          <w:rFonts w:ascii="Cambria" w:hAnsi="Cambria" w:cs="Arial"/>
                          <w:b/>
                          <w:bCs/>
                          <w:color w:val="0D0D0D"/>
                          <w:sz w:val="36"/>
                          <w:szCs w:val="22"/>
                          <w:lang w:val="pt-BR"/>
                        </w:rPr>
                        <w:t xml:space="preserve"> N</w:t>
                      </w:r>
                      <w:r>
                        <w:rPr>
                          <w:rFonts w:ascii="Cambria" w:hAnsi="Cambria" w:cs="Arial"/>
                          <w:b/>
                          <w:bCs/>
                          <w:color w:val="0D0D0D"/>
                          <w:sz w:val="36"/>
                          <w:szCs w:val="22"/>
                          <w:lang w:val="pt-BR"/>
                        </w:rPr>
                        <w:t>º</w:t>
                      </w:r>
                      <w:r w:rsidR="003B63C2">
                        <w:rPr>
                          <w:rFonts w:ascii="Cambria" w:hAnsi="Cambria" w:cs="Arial"/>
                          <w:b/>
                          <w:bCs/>
                          <w:color w:val="0D0D0D"/>
                          <w:sz w:val="36"/>
                          <w:szCs w:val="22"/>
                          <w:lang w:val="pt-BR"/>
                        </w:rPr>
                        <w:t xml:space="preserve"> 143</w:t>
                      </w:r>
                      <w:r w:rsidRPr="00334A28">
                        <w:rPr>
                          <w:rFonts w:ascii="Cambria" w:hAnsi="Cambria" w:cs="Arial"/>
                          <w:b/>
                          <w:bCs/>
                          <w:color w:val="0D0D0D"/>
                          <w:sz w:val="36"/>
                          <w:szCs w:val="22"/>
                          <w:lang w:val="pt-BR"/>
                        </w:rPr>
                        <w:t>/</w:t>
                      </w:r>
                      <w:r>
                        <w:rPr>
                          <w:rFonts w:ascii="Cambria" w:hAnsi="Cambria" w:cs="Arial"/>
                          <w:b/>
                          <w:bCs/>
                          <w:color w:val="0D0D0D"/>
                          <w:sz w:val="36"/>
                          <w:szCs w:val="22"/>
                          <w:lang w:val="pt-BR"/>
                        </w:rPr>
                        <w:t>19</w:t>
                      </w:r>
                    </w:p>
                    <w:p w14:paraId="43F3FDDC" w14:textId="77777777" w:rsidR="00B03A37" w:rsidRPr="00334A28" w:rsidRDefault="00B03A37" w:rsidP="008E4EE6">
                      <w:pPr>
                        <w:spacing w:line="276" w:lineRule="auto"/>
                        <w:rPr>
                          <w:rFonts w:ascii="Cambria" w:hAnsi="Cambria" w:cs="Arial"/>
                          <w:b/>
                          <w:bCs/>
                          <w:color w:val="0D0D0D"/>
                          <w:sz w:val="36"/>
                          <w:szCs w:val="22"/>
                          <w:lang w:val="pt-BR"/>
                        </w:rPr>
                      </w:pPr>
                      <w:r w:rsidRPr="00334A28">
                        <w:rPr>
                          <w:rFonts w:ascii="Cambria" w:hAnsi="Cambria" w:cs="Arial"/>
                          <w:b/>
                          <w:bCs/>
                          <w:color w:val="0D0D0D"/>
                          <w:sz w:val="36"/>
                          <w:szCs w:val="22"/>
                          <w:lang w:val="pt-BR"/>
                        </w:rPr>
                        <w:t>CASO 12.</w:t>
                      </w:r>
                      <w:r>
                        <w:rPr>
                          <w:rFonts w:ascii="Cambria" w:hAnsi="Cambria" w:cs="Arial"/>
                          <w:b/>
                          <w:bCs/>
                          <w:color w:val="0D0D0D"/>
                          <w:sz w:val="36"/>
                          <w:szCs w:val="22"/>
                          <w:lang w:val="pt-BR"/>
                        </w:rPr>
                        <w:t>570</w:t>
                      </w:r>
                    </w:p>
                    <w:p w14:paraId="025EA70F" w14:textId="77777777" w:rsidR="00B03A37" w:rsidRPr="00334A28" w:rsidRDefault="00B03A37" w:rsidP="008E4EE6">
                      <w:pPr>
                        <w:spacing w:line="276" w:lineRule="auto"/>
                        <w:rPr>
                          <w:rFonts w:ascii="Cambria" w:hAnsi="Cambria" w:cs="Arial"/>
                          <w:color w:val="0D0D0D"/>
                          <w:szCs w:val="22"/>
                          <w:lang w:val="pt-BR"/>
                        </w:rPr>
                      </w:pPr>
                      <w:r>
                        <w:rPr>
                          <w:rFonts w:ascii="Cambria" w:hAnsi="Cambria" w:cs="Arial"/>
                          <w:color w:val="0D0D0D"/>
                          <w:szCs w:val="22"/>
                          <w:lang w:val="pt-BR"/>
                        </w:rPr>
                        <w:t xml:space="preserve">RELATÓRIO </w:t>
                      </w:r>
                      <w:r w:rsidRPr="00334A28">
                        <w:rPr>
                          <w:rFonts w:ascii="Cambria" w:hAnsi="Cambria" w:cs="Arial"/>
                          <w:color w:val="0D0D0D"/>
                          <w:szCs w:val="22"/>
                          <w:lang w:val="pt-BR"/>
                        </w:rPr>
                        <w:t xml:space="preserve">DE </w:t>
                      </w:r>
                      <w:r>
                        <w:rPr>
                          <w:rFonts w:ascii="Cambria" w:hAnsi="Cambria" w:cs="Arial"/>
                          <w:color w:val="0D0D0D"/>
                          <w:szCs w:val="22"/>
                          <w:lang w:val="pt-BR"/>
                        </w:rPr>
                        <w:t>MÉRITO</w:t>
                      </w:r>
                      <w:r w:rsidRPr="00334A28">
                        <w:rPr>
                          <w:rFonts w:ascii="Cambria" w:hAnsi="Cambria" w:cs="Arial"/>
                          <w:color w:val="0D0D0D"/>
                          <w:szCs w:val="22"/>
                          <w:lang w:val="pt-BR"/>
                        </w:rPr>
                        <w:t xml:space="preserve"> </w:t>
                      </w:r>
                    </w:p>
                    <w:p w14:paraId="043B9E87" w14:textId="77777777" w:rsidR="00B03A37" w:rsidRPr="00334A28" w:rsidRDefault="00B03A37" w:rsidP="008E4EE6">
                      <w:pPr>
                        <w:spacing w:line="276" w:lineRule="auto"/>
                        <w:rPr>
                          <w:rFonts w:ascii="Cambria" w:hAnsi="Cambria" w:cs="Arial"/>
                          <w:color w:val="0D0D0D"/>
                          <w:szCs w:val="22"/>
                          <w:lang w:val="pt-BR"/>
                        </w:rPr>
                      </w:pPr>
                      <w:bookmarkStart w:id="2" w:name="_ftnref1"/>
                    </w:p>
                    <w:bookmarkEnd w:id="2"/>
                    <w:p w14:paraId="7E3D5DBC" w14:textId="77777777" w:rsidR="00B03A37" w:rsidRPr="00334A28" w:rsidRDefault="00B03A37" w:rsidP="008E4EE6">
                      <w:pPr>
                        <w:rPr>
                          <w:rFonts w:ascii="Cambria" w:hAnsi="Cambria" w:cs="Arial"/>
                          <w:color w:val="0D0D0D"/>
                          <w:szCs w:val="22"/>
                          <w:lang w:val="pt-BR"/>
                        </w:rPr>
                      </w:pPr>
                      <w:r>
                        <w:rPr>
                          <w:rFonts w:ascii="Cambria" w:hAnsi="Cambria" w:cs="Arial"/>
                          <w:color w:val="0D0D0D"/>
                          <w:szCs w:val="22"/>
                          <w:lang w:val="pt-BR"/>
                        </w:rPr>
                        <w:t>MANOEL LUIZ DA SILVA E FAMILIARES</w:t>
                      </w:r>
                    </w:p>
                    <w:p w14:paraId="1341EB14" w14:textId="77777777" w:rsidR="00B03A37" w:rsidRPr="00334A28" w:rsidRDefault="00B03A37" w:rsidP="008E4EE6">
                      <w:pPr>
                        <w:rPr>
                          <w:rFonts w:ascii="Cambria" w:hAnsi="Cambria" w:cs="Arial"/>
                          <w:color w:val="0D0D0D"/>
                          <w:szCs w:val="22"/>
                          <w:lang w:val="pt-BR"/>
                        </w:rPr>
                      </w:pPr>
                      <w:r w:rsidRPr="00334A28">
                        <w:rPr>
                          <w:rFonts w:ascii="Cambria" w:hAnsi="Cambria" w:cs="Arial"/>
                          <w:color w:val="0D0D0D"/>
                          <w:szCs w:val="22"/>
                          <w:lang w:val="pt-BR"/>
                        </w:rPr>
                        <w:t>BRASIL</w:t>
                      </w:r>
                    </w:p>
                    <w:p w14:paraId="62E41749" w14:textId="77777777" w:rsidR="00B03A37" w:rsidRPr="00412D8D" w:rsidRDefault="00B03A37" w:rsidP="00B346EA">
                      <w:pPr>
                        <w:spacing w:line="276" w:lineRule="auto"/>
                        <w:rPr>
                          <w:rFonts w:asciiTheme="majorHAnsi" w:hAnsiTheme="majorHAnsi"/>
                          <w:color w:val="0D0D0D" w:themeColor="text1" w:themeTint="F2"/>
                          <w:sz w:val="18"/>
                          <w:lang w:val="pt-BR"/>
                        </w:rPr>
                      </w:pPr>
                    </w:p>
                  </w:txbxContent>
                </v:textbox>
              </v:shape>
            </w:pict>
          </mc:Fallback>
        </mc:AlternateContent>
      </w:r>
      <w:r w:rsidR="00B346EA" w:rsidRPr="007B7EA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245BB7E7" wp14:editId="6DAACC1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73350" w14:textId="3E11B415" w:rsidR="00B03A37" w:rsidRPr="00DA1159" w:rsidRDefault="003B63C2" w:rsidP="008E4EE6">
                            <w:pPr>
                              <w:jc w:val="right"/>
                              <w:rPr>
                                <w:rFonts w:asciiTheme="minorHAnsi" w:hAnsiTheme="minorHAnsi"/>
                                <w:sz w:val="22"/>
                                <w:lang w:val="pt-BR"/>
                              </w:rPr>
                            </w:pPr>
                            <w:r>
                              <w:rPr>
                                <w:rFonts w:asciiTheme="minorHAnsi" w:hAnsiTheme="minorHAnsi"/>
                                <w:sz w:val="22"/>
                                <w:lang w:val="pt-BR"/>
                              </w:rPr>
                              <w:t>OEA/Ser.L/V/II.1</w:t>
                            </w:r>
                            <w:r w:rsidR="002E1010">
                              <w:rPr>
                                <w:rFonts w:asciiTheme="minorHAnsi" w:hAnsiTheme="minorHAnsi"/>
                                <w:sz w:val="22"/>
                                <w:lang w:val="pt-BR"/>
                              </w:rPr>
                              <w:t>73</w:t>
                            </w:r>
                            <w:r w:rsidR="00B03A37" w:rsidRPr="00DA1159">
                              <w:rPr>
                                <w:rFonts w:asciiTheme="minorHAnsi" w:hAnsiTheme="minorHAnsi"/>
                                <w:sz w:val="22"/>
                                <w:lang w:val="pt-BR"/>
                              </w:rPr>
                              <w:t xml:space="preserve">Doc. </w:t>
                            </w:r>
                            <w:r>
                              <w:rPr>
                                <w:rFonts w:asciiTheme="minorHAnsi" w:hAnsiTheme="minorHAnsi"/>
                                <w:sz w:val="22"/>
                                <w:lang w:val="pt-BR"/>
                              </w:rPr>
                              <w:t>158</w:t>
                            </w:r>
                          </w:p>
                          <w:p w14:paraId="70E87E1E" w14:textId="4E30D153" w:rsidR="00B03A37" w:rsidRPr="00DA1159" w:rsidRDefault="003B63C2" w:rsidP="008E4EE6">
                            <w:pPr>
                              <w:jc w:val="right"/>
                              <w:rPr>
                                <w:rFonts w:asciiTheme="minorHAnsi" w:hAnsiTheme="minorHAnsi"/>
                                <w:sz w:val="22"/>
                                <w:lang w:val="pt-BR"/>
                              </w:rPr>
                            </w:pPr>
                            <w:r>
                              <w:rPr>
                                <w:rFonts w:asciiTheme="minorHAnsi" w:hAnsiTheme="minorHAnsi"/>
                                <w:sz w:val="22"/>
                                <w:lang w:val="pt-BR"/>
                              </w:rPr>
                              <w:t>28 setembro</w:t>
                            </w:r>
                            <w:r w:rsidR="00B03A37" w:rsidRPr="00DA1159">
                              <w:rPr>
                                <w:rFonts w:asciiTheme="minorHAnsi" w:hAnsiTheme="minorHAnsi"/>
                                <w:sz w:val="22"/>
                                <w:lang w:val="pt-BR"/>
                              </w:rPr>
                              <w:t xml:space="preserve"> 201</w:t>
                            </w:r>
                            <w:r w:rsidR="00B03A37">
                              <w:rPr>
                                <w:rFonts w:asciiTheme="minorHAnsi" w:hAnsiTheme="minorHAnsi"/>
                                <w:sz w:val="22"/>
                                <w:lang w:val="pt-BR"/>
                              </w:rPr>
                              <w:t>9</w:t>
                            </w:r>
                          </w:p>
                          <w:p w14:paraId="223B410F" w14:textId="77777777" w:rsidR="00B03A37" w:rsidRPr="00DA1159" w:rsidRDefault="00B03A37" w:rsidP="008E4EE6">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B7E7" id="Text Box 8" o:spid="_x0000_s1028" type="#_x0000_t202" style="position:absolute;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E273350" w14:textId="3E11B415" w:rsidR="00B03A37" w:rsidRPr="00DA1159" w:rsidRDefault="003B63C2" w:rsidP="008E4EE6">
                      <w:pPr>
                        <w:jc w:val="right"/>
                        <w:rPr>
                          <w:rFonts w:asciiTheme="minorHAnsi" w:hAnsiTheme="minorHAnsi"/>
                          <w:sz w:val="22"/>
                          <w:lang w:val="pt-BR"/>
                        </w:rPr>
                      </w:pPr>
                      <w:r>
                        <w:rPr>
                          <w:rFonts w:asciiTheme="minorHAnsi" w:hAnsiTheme="minorHAnsi"/>
                          <w:sz w:val="22"/>
                          <w:lang w:val="pt-BR"/>
                        </w:rPr>
                        <w:t>OEA/Ser.L/V/II.1</w:t>
                      </w:r>
                      <w:r w:rsidR="002E1010">
                        <w:rPr>
                          <w:rFonts w:asciiTheme="minorHAnsi" w:hAnsiTheme="minorHAnsi"/>
                          <w:sz w:val="22"/>
                          <w:lang w:val="pt-BR"/>
                        </w:rPr>
                        <w:t>73</w:t>
                      </w:r>
                      <w:r w:rsidR="00B03A37" w:rsidRPr="00DA1159">
                        <w:rPr>
                          <w:rFonts w:asciiTheme="minorHAnsi" w:hAnsiTheme="minorHAnsi"/>
                          <w:sz w:val="22"/>
                          <w:lang w:val="pt-BR"/>
                        </w:rPr>
                        <w:t xml:space="preserve">Doc. </w:t>
                      </w:r>
                      <w:r>
                        <w:rPr>
                          <w:rFonts w:asciiTheme="minorHAnsi" w:hAnsiTheme="minorHAnsi"/>
                          <w:sz w:val="22"/>
                          <w:lang w:val="pt-BR"/>
                        </w:rPr>
                        <w:t>158</w:t>
                      </w:r>
                    </w:p>
                    <w:p w14:paraId="70E87E1E" w14:textId="4E30D153" w:rsidR="00B03A37" w:rsidRPr="00DA1159" w:rsidRDefault="003B63C2" w:rsidP="008E4EE6">
                      <w:pPr>
                        <w:jc w:val="right"/>
                        <w:rPr>
                          <w:rFonts w:asciiTheme="minorHAnsi" w:hAnsiTheme="minorHAnsi"/>
                          <w:sz w:val="22"/>
                          <w:lang w:val="pt-BR"/>
                        </w:rPr>
                      </w:pPr>
                      <w:r>
                        <w:rPr>
                          <w:rFonts w:asciiTheme="minorHAnsi" w:hAnsiTheme="minorHAnsi"/>
                          <w:sz w:val="22"/>
                          <w:lang w:val="pt-BR"/>
                        </w:rPr>
                        <w:t>28 setembro</w:t>
                      </w:r>
                      <w:r w:rsidR="00B03A37" w:rsidRPr="00DA1159">
                        <w:rPr>
                          <w:rFonts w:asciiTheme="minorHAnsi" w:hAnsiTheme="minorHAnsi"/>
                          <w:sz w:val="22"/>
                          <w:lang w:val="pt-BR"/>
                        </w:rPr>
                        <w:t xml:space="preserve"> 201</w:t>
                      </w:r>
                      <w:r w:rsidR="00B03A37">
                        <w:rPr>
                          <w:rFonts w:asciiTheme="minorHAnsi" w:hAnsiTheme="minorHAnsi"/>
                          <w:sz w:val="22"/>
                          <w:lang w:val="pt-BR"/>
                        </w:rPr>
                        <w:t>9</w:t>
                      </w:r>
                    </w:p>
                    <w:p w14:paraId="223B410F" w14:textId="77777777" w:rsidR="00B03A37" w:rsidRPr="00DA1159" w:rsidRDefault="00B03A37" w:rsidP="008E4EE6">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v:textbox>
              </v:shape>
            </w:pict>
          </mc:Fallback>
        </mc:AlternateContent>
      </w:r>
      <w:r>
        <w:rPr>
          <w:rFonts w:asciiTheme="majorHAnsi" w:hAnsiTheme="majorHAnsi"/>
          <w:sz w:val="22"/>
          <w:szCs w:val="22"/>
          <w:lang w:val="pt-BR"/>
        </w:rPr>
        <w:tab/>
      </w:r>
      <w:r>
        <w:rPr>
          <w:rFonts w:asciiTheme="majorHAnsi" w:hAnsiTheme="majorHAnsi"/>
          <w:sz w:val="22"/>
          <w:szCs w:val="22"/>
          <w:lang w:val="pt-BR"/>
        </w:rPr>
        <w:tab/>
      </w:r>
    </w:p>
    <w:p w14:paraId="1DAECC4F"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55E0BF0D" w14:textId="77777777" w:rsidR="00B346EA" w:rsidRPr="00A656BB" w:rsidRDefault="00B346EA" w:rsidP="00B346EA">
      <w:pPr>
        <w:tabs>
          <w:tab w:val="center" w:pos="5400"/>
        </w:tabs>
        <w:suppressAutoHyphens/>
        <w:jc w:val="center"/>
        <w:rPr>
          <w:rFonts w:asciiTheme="majorHAnsi" w:hAnsiTheme="majorHAnsi" w:cs="Arial"/>
          <w:sz w:val="22"/>
          <w:szCs w:val="22"/>
          <w:lang w:val="pt-BR"/>
        </w:rPr>
      </w:pPr>
    </w:p>
    <w:p w14:paraId="2A0E3316"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7DCA92E7"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5F72A5CC"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4C4F62F1"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1C939D9B"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661205EB"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5C79F491"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4DA8439B"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4B365E7C"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7FD39854"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7387D42F" w14:textId="77777777" w:rsidR="00B346EA" w:rsidRPr="00A656BB" w:rsidRDefault="00B346EA" w:rsidP="00B346EA">
      <w:pPr>
        <w:tabs>
          <w:tab w:val="center" w:pos="5400"/>
        </w:tabs>
        <w:suppressAutoHyphens/>
        <w:jc w:val="center"/>
        <w:rPr>
          <w:rFonts w:asciiTheme="majorHAnsi" w:hAnsiTheme="majorHAnsi"/>
          <w:sz w:val="22"/>
          <w:szCs w:val="22"/>
          <w:lang w:val="pt-BR"/>
        </w:rPr>
      </w:pPr>
    </w:p>
    <w:p w14:paraId="3CE41113"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146FE570"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23C1C3DE"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5B83EEBE"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6F6AD9B8"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712F5ADB"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40BD7CDE"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406C2D7C"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1119C9EA" w14:textId="77777777" w:rsidR="00B346EA" w:rsidRPr="00A656BB" w:rsidRDefault="00B346EA" w:rsidP="00B346EA">
      <w:pPr>
        <w:tabs>
          <w:tab w:val="center" w:pos="5400"/>
        </w:tabs>
        <w:suppressAutoHyphens/>
        <w:jc w:val="center"/>
        <w:rPr>
          <w:rFonts w:asciiTheme="majorHAnsi" w:hAnsiTheme="majorHAnsi"/>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4C6490E1" wp14:editId="4916F1C3">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08A10" w14:textId="051820BF" w:rsidR="00B03A37" w:rsidRPr="00623ED1" w:rsidRDefault="00B03A37" w:rsidP="001D46E2">
                            <w:pPr>
                              <w:tabs>
                                <w:tab w:val="center" w:pos="5400"/>
                              </w:tabs>
                              <w:suppressAutoHyphens/>
                              <w:spacing w:before="60"/>
                              <w:jc w:val="both"/>
                              <w:rPr>
                                <w:rFonts w:ascii="Cambria" w:hAnsi="Cambria"/>
                                <w:color w:val="0D0D0D"/>
                                <w:sz w:val="18"/>
                                <w:szCs w:val="20"/>
                                <w:lang w:val="pt-BR"/>
                              </w:rPr>
                            </w:pPr>
                            <w:r w:rsidRPr="00623ED1">
                              <w:rPr>
                                <w:rFonts w:ascii="Cambria" w:hAnsi="Cambria"/>
                                <w:color w:val="0D0D0D"/>
                                <w:sz w:val="18"/>
                                <w:szCs w:val="20"/>
                                <w:lang w:val="pt-BR"/>
                              </w:rPr>
                              <w:t>Aprovado pe</w:t>
                            </w:r>
                            <w:r w:rsidR="003B63C2">
                              <w:rPr>
                                <w:rFonts w:ascii="Cambria" w:hAnsi="Cambria"/>
                                <w:color w:val="0D0D0D"/>
                                <w:sz w:val="18"/>
                                <w:szCs w:val="20"/>
                                <w:lang w:val="pt-BR"/>
                              </w:rPr>
                              <w:t>la Comissão em sua sessão No. 2155</w:t>
                            </w:r>
                            <w:r w:rsidRPr="00623ED1">
                              <w:rPr>
                                <w:rFonts w:ascii="Cambria" w:hAnsi="Cambria"/>
                                <w:color w:val="0D0D0D"/>
                                <w:sz w:val="18"/>
                                <w:szCs w:val="20"/>
                                <w:lang w:val="pt-BR"/>
                              </w:rPr>
                              <w:t xml:space="preserve"> celebrada em </w:t>
                            </w:r>
                            <w:r w:rsidR="003B63C2">
                              <w:rPr>
                                <w:rFonts w:ascii="Cambria" w:hAnsi="Cambria"/>
                                <w:color w:val="0D0D0D"/>
                                <w:sz w:val="18"/>
                                <w:szCs w:val="20"/>
                                <w:lang w:val="pt-BR"/>
                              </w:rPr>
                              <w:t>28</w:t>
                            </w:r>
                            <w:r w:rsidRPr="00623ED1">
                              <w:rPr>
                                <w:rFonts w:ascii="Cambria" w:hAnsi="Cambria"/>
                                <w:color w:val="0D0D0D"/>
                                <w:sz w:val="18"/>
                                <w:szCs w:val="20"/>
                                <w:lang w:val="pt-BR"/>
                              </w:rPr>
                              <w:t xml:space="preserve"> de </w:t>
                            </w:r>
                            <w:r w:rsidR="003B63C2">
                              <w:rPr>
                                <w:rFonts w:ascii="Cambria" w:hAnsi="Cambria"/>
                                <w:color w:val="0D0D0D"/>
                                <w:sz w:val="18"/>
                                <w:szCs w:val="20"/>
                                <w:lang w:val="pt-BR"/>
                              </w:rPr>
                              <w:t>setembro de 2019</w:t>
                            </w:r>
                            <w:r w:rsidR="003B63C2">
                              <w:rPr>
                                <w:rFonts w:ascii="Cambria" w:hAnsi="Cambria"/>
                                <w:color w:val="0D0D0D"/>
                                <w:sz w:val="18"/>
                                <w:szCs w:val="20"/>
                                <w:lang w:val="pt-BR"/>
                              </w:rPr>
                              <w:br/>
                              <w:t>173 Período de S</w:t>
                            </w:r>
                            <w:r w:rsidR="003B63C2" w:rsidRPr="00623ED1">
                              <w:rPr>
                                <w:rFonts w:ascii="Cambria" w:hAnsi="Cambria"/>
                                <w:color w:val="0D0D0D"/>
                                <w:sz w:val="18"/>
                                <w:szCs w:val="20"/>
                                <w:lang w:val="pt-BR"/>
                              </w:rPr>
                              <w:t>ess</w:t>
                            </w:r>
                            <w:r w:rsidR="003B63C2">
                              <w:rPr>
                                <w:rFonts w:ascii="Cambria" w:hAnsi="Cambria"/>
                                <w:color w:val="0D0D0D"/>
                                <w:sz w:val="18"/>
                                <w:szCs w:val="20"/>
                                <w:lang w:val="pt-BR"/>
                              </w:rPr>
                              <w:t>ões</w:t>
                            </w:r>
                          </w:p>
                          <w:p w14:paraId="37ED640D" w14:textId="77777777" w:rsidR="00B03A37" w:rsidRPr="00623ED1" w:rsidRDefault="00B03A37" w:rsidP="00B346EA">
                            <w:pPr>
                              <w:tabs>
                                <w:tab w:val="center" w:pos="5400"/>
                              </w:tabs>
                              <w:suppressAutoHyphens/>
                              <w:spacing w:before="60"/>
                              <w:rPr>
                                <w:rFonts w:asciiTheme="majorHAnsi" w:hAnsiTheme="majorHAnsi"/>
                                <w:color w:val="0D0D0D" w:themeColor="text1" w:themeTint="F2"/>
                                <w:sz w:val="18"/>
                                <w:szCs w:val="20"/>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90E1" id="Text Box 7" o:spid="_x0000_s1029" type="#_x0000_t202" style="position:absolute;left:0;text-align:left;margin-left:95.25pt;margin-top:10.15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" filled="f" stroked="f" strokeweight=".5pt">
                <v:textbox>
                  <w:txbxContent>
                    <w:p w14:paraId="45F08A10" w14:textId="051820BF" w:rsidR="00B03A37" w:rsidRPr="00623ED1" w:rsidRDefault="00B03A37" w:rsidP="001D46E2">
                      <w:pPr>
                        <w:tabs>
                          <w:tab w:val="center" w:pos="5400"/>
                        </w:tabs>
                        <w:suppressAutoHyphens/>
                        <w:spacing w:before="60"/>
                        <w:jc w:val="both"/>
                        <w:rPr>
                          <w:rFonts w:ascii="Cambria" w:hAnsi="Cambria"/>
                          <w:color w:val="0D0D0D"/>
                          <w:sz w:val="18"/>
                          <w:szCs w:val="20"/>
                          <w:lang w:val="pt-BR"/>
                        </w:rPr>
                      </w:pPr>
                      <w:r w:rsidRPr="00623ED1">
                        <w:rPr>
                          <w:rFonts w:ascii="Cambria" w:hAnsi="Cambria"/>
                          <w:color w:val="0D0D0D"/>
                          <w:sz w:val="18"/>
                          <w:szCs w:val="20"/>
                          <w:lang w:val="pt-BR"/>
                        </w:rPr>
                        <w:t>Aprovado pe</w:t>
                      </w:r>
                      <w:r w:rsidR="003B63C2">
                        <w:rPr>
                          <w:rFonts w:ascii="Cambria" w:hAnsi="Cambria"/>
                          <w:color w:val="0D0D0D"/>
                          <w:sz w:val="18"/>
                          <w:szCs w:val="20"/>
                          <w:lang w:val="pt-BR"/>
                        </w:rPr>
                        <w:t>la Comissão em sua sessão No. 2155</w:t>
                      </w:r>
                      <w:r w:rsidRPr="00623ED1">
                        <w:rPr>
                          <w:rFonts w:ascii="Cambria" w:hAnsi="Cambria"/>
                          <w:color w:val="0D0D0D"/>
                          <w:sz w:val="18"/>
                          <w:szCs w:val="20"/>
                          <w:lang w:val="pt-BR"/>
                        </w:rPr>
                        <w:t xml:space="preserve"> celebrada em </w:t>
                      </w:r>
                      <w:r w:rsidR="003B63C2">
                        <w:rPr>
                          <w:rFonts w:ascii="Cambria" w:hAnsi="Cambria"/>
                          <w:color w:val="0D0D0D"/>
                          <w:sz w:val="18"/>
                          <w:szCs w:val="20"/>
                          <w:lang w:val="pt-BR"/>
                        </w:rPr>
                        <w:t>28</w:t>
                      </w:r>
                      <w:r w:rsidRPr="00623ED1">
                        <w:rPr>
                          <w:rFonts w:ascii="Cambria" w:hAnsi="Cambria"/>
                          <w:color w:val="0D0D0D"/>
                          <w:sz w:val="18"/>
                          <w:szCs w:val="20"/>
                          <w:lang w:val="pt-BR"/>
                        </w:rPr>
                        <w:t xml:space="preserve"> de </w:t>
                      </w:r>
                      <w:r w:rsidR="003B63C2">
                        <w:rPr>
                          <w:rFonts w:ascii="Cambria" w:hAnsi="Cambria"/>
                          <w:color w:val="0D0D0D"/>
                          <w:sz w:val="18"/>
                          <w:szCs w:val="20"/>
                          <w:lang w:val="pt-BR"/>
                        </w:rPr>
                        <w:t>setembro de 2019</w:t>
                      </w:r>
                      <w:r w:rsidR="003B63C2">
                        <w:rPr>
                          <w:rFonts w:ascii="Cambria" w:hAnsi="Cambria"/>
                          <w:color w:val="0D0D0D"/>
                          <w:sz w:val="18"/>
                          <w:szCs w:val="20"/>
                          <w:lang w:val="pt-BR"/>
                        </w:rPr>
                        <w:br/>
                        <w:t>173 Período de S</w:t>
                      </w:r>
                      <w:r w:rsidR="003B63C2" w:rsidRPr="00623ED1">
                        <w:rPr>
                          <w:rFonts w:ascii="Cambria" w:hAnsi="Cambria"/>
                          <w:color w:val="0D0D0D"/>
                          <w:sz w:val="18"/>
                          <w:szCs w:val="20"/>
                          <w:lang w:val="pt-BR"/>
                        </w:rPr>
                        <w:t>ess</w:t>
                      </w:r>
                      <w:r w:rsidR="003B63C2">
                        <w:rPr>
                          <w:rFonts w:ascii="Cambria" w:hAnsi="Cambria"/>
                          <w:color w:val="0D0D0D"/>
                          <w:sz w:val="18"/>
                          <w:szCs w:val="20"/>
                          <w:lang w:val="pt-BR"/>
                        </w:rPr>
                        <w:t>ões</w:t>
                      </w:r>
                    </w:p>
                    <w:p w14:paraId="37ED640D" w14:textId="77777777" w:rsidR="00B03A37" w:rsidRPr="00623ED1" w:rsidRDefault="00B03A37" w:rsidP="00B346EA">
                      <w:pPr>
                        <w:tabs>
                          <w:tab w:val="center" w:pos="5400"/>
                        </w:tabs>
                        <w:suppressAutoHyphens/>
                        <w:spacing w:before="60"/>
                        <w:rPr>
                          <w:rFonts w:asciiTheme="majorHAnsi" w:hAnsiTheme="majorHAnsi"/>
                          <w:color w:val="0D0D0D" w:themeColor="text1" w:themeTint="F2"/>
                          <w:sz w:val="18"/>
                          <w:szCs w:val="20"/>
                          <w:lang w:val="pt-BR"/>
                        </w:rPr>
                      </w:pPr>
                    </w:p>
                  </w:txbxContent>
                </v:textbox>
              </v:shape>
            </w:pict>
          </mc:Fallback>
        </mc:AlternateContent>
      </w:r>
    </w:p>
    <w:p w14:paraId="2563BDA6"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7E6F4026"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0CFCF083"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5EA38B0F"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431AA480"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7025AB79" w14:textId="77777777" w:rsidR="00B346EA" w:rsidRPr="00A656BB" w:rsidRDefault="00B346EA" w:rsidP="00B346EA">
      <w:pPr>
        <w:tabs>
          <w:tab w:val="center" w:pos="5400"/>
        </w:tabs>
        <w:suppressAutoHyphens/>
        <w:jc w:val="center"/>
        <w:rPr>
          <w:rFonts w:asciiTheme="majorHAnsi" w:hAnsiTheme="majorHAnsi"/>
          <w:sz w:val="18"/>
          <w:szCs w:val="22"/>
          <w:lang w:val="pt-BR"/>
        </w:rPr>
      </w:pPr>
      <w:r w:rsidRPr="007B7EAB">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1045A082" wp14:editId="5A2B4675">
                <wp:simplePos x="0" y="0"/>
                <wp:positionH relativeFrom="column">
                  <wp:posOffset>1209675</wp:posOffset>
                </wp:positionH>
                <wp:positionV relativeFrom="paragraph">
                  <wp:posOffset>53975</wp:posOffset>
                </wp:positionV>
                <wp:extent cx="4824095"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4C07E" w14:textId="226BC2C3" w:rsidR="00B03A37" w:rsidRPr="00965B5A" w:rsidRDefault="00B03A37" w:rsidP="001D46E2">
                            <w:pPr>
                              <w:spacing w:line="276" w:lineRule="auto"/>
                              <w:jc w:val="both"/>
                              <w:rPr>
                                <w:rFonts w:ascii="Calibri Light" w:hAnsi="Calibri Light"/>
                                <w:color w:val="595959"/>
                                <w:sz w:val="18"/>
                                <w:szCs w:val="18"/>
                                <w:lang w:val="es-ES"/>
                              </w:rPr>
                            </w:pPr>
                            <w:r w:rsidRPr="00864F25">
                              <w:rPr>
                                <w:rFonts w:ascii="Calibri Light" w:hAnsi="Calibri Light"/>
                                <w:b/>
                                <w:color w:val="595959"/>
                                <w:sz w:val="18"/>
                                <w:szCs w:val="18"/>
                                <w:lang w:val="pt-BR"/>
                              </w:rPr>
                              <w:t>Citar como:</w:t>
                            </w:r>
                            <w:r w:rsidRPr="00864F25">
                              <w:rPr>
                                <w:rFonts w:ascii="Calibri Light" w:hAnsi="Calibri Light"/>
                                <w:color w:val="595959"/>
                                <w:sz w:val="18"/>
                                <w:szCs w:val="18"/>
                                <w:lang w:val="pt-BR"/>
                              </w:rPr>
                              <w:t xml:space="preserve"> </w:t>
                            </w:r>
                            <w:r w:rsidR="003B63C2">
                              <w:rPr>
                                <w:rFonts w:ascii="Cambria" w:hAnsi="Cambria"/>
                                <w:color w:val="595959"/>
                                <w:sz w:val="18"/>
                                <w:szCs w:val="18"/>
                                <w:lang w:val="pt-BR"/>
                              </w:rPr>
                              <w:t>CIDH, Relatório Nº143,19</w:t>
                            </w:r>
                            <w:r w:rsidRPr="00864F25">
                              <w:rPr>
                                <w:rFonts w:ascii="Cambria" w:hAnsi="Cambria"/>
                                <w:color w:val="595959"/>
                                <w:sz w:val="18"/>
                                <w:szCs w:val="18"/>
                                <w:lang w:val="pt-BR"/>
                              </w:rPr>
                              <w:t>, Caso 12.</w:t>
                            </w:r>
                            <w:r>
                              <w:rPr>
                                <w:rFonts w:ascii="Cambria" w:hAnsi="Cambria"/>
                                <w:color w:val="595959"/>
                                <w:sz w:val="18"/>
                                <w:szCs w:val="18"/>
                                <w:lang w:val="pt-BR"/>
                              </w:rPr>
                              <w:t>570</w:t>
                            </w:r>
                            <w:r w:rsidRPr="00864F25">
                              <w:rPr>
                                <w:rFonts w:ascii="Cambria" w:hAnsi="Cambria"/>
                                <w:color w:val="595959"/>
                                <w:sz w:val="18"/>
                                <w:szCs w:val="18"/>
                                <w:lang w:val="pt-BR"/>
                              </w:rPr>
                              <w:t xml:space="preserve">. Mérito. </w:t>
                            </w:r>
                            <w:r>
                              <w:rPr>
                                <w:rFonts w:ascii="Cambria" w:hAnsi="Cambria"/>
                                <w:color w:val="595959"/>
                                <w:sz w:val="18"/>
                                <w:szCs w:val="18"/>
                                <w:lang w:val="pt-BR"/>
                              </w:rPr>
                              <w:t>Manoel Luiz da Silva</w:t>
                            </w:r>
                            <w:r w:rsidRPr="00864F25">
                              <w:rPr>
                                <w:rFonts w:ascii="Cambria" w:hAnsi="Cambria"/>
                                <w:color w:val="595959"/>
                                <w:sz w:val="18"/>
                                <w:szCs w:val="18"/>
                                <w:lang w:val="pt-BR"/>
                              </w:rPr>
                              <w:t xml:space="preserve">. Brasil. </w:t>
                            </w:r>
                            <w:r w:rsidR="003B63C2">
                              <w:rPr>
                                <w:rFonts w:ascii="Cambria" w:hAnsi="Cambria"/>
                                <w:color w:val="595959"/>
                                <w:sz w:val="18"/>
                                <w:szCs w:val="18"/>
                                <w:lang w:val="pt-BR"/>
                              </w:rPr>
                              <w:t>28 de setembro de 2019</w:t>
                            </w:r>
                            <w:r w:rsidRPr="00D3544A">
                              <w:rPr>
                                <w:rFonts w:ascii="Cambria" w:hAnsi="Cambria"/>
                                <w:color w:val="595959"/>
                                <w:sz w:val="18"/>
                                <w:szCs w:val="18"/>
                                <w:lang w:val="es-US"/>
                              </w:rPr>
                              <w:t>.</w:t>
                            </w:r>
                          </w:p>
                          <w:p w14:paraId="1C49A25A" w14:textId="77777777" w:rsidR="00B03A37" w:rsidRPr="00801F3C" w:rsidRDefault="00B03A37" w:rsidP="00B346EA">
                            <w:pPr>
                              <w:spacing w:line="276" w:lineRule="auto"/>
                              <w:rPr>
                                <w:rFonts w:asciiTheme="majorHAnsi" w:hAnsiTheme="majorHAnsi"/>
                                <w:color w:val="595959" w:themeColor="text1" w:themeTint="A6"/>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5A082" id="Text Box 3" o:spid="_x0000_s1030" type="#_x0000_t202" style="position:absolute;left:0;text-align:left;margin-left:95.25pt;margin-top:4.2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" filled="f" stroked="f" strokeweight=".5pt">
                <v:textbox>
                  <w:txbxContent>
                    <w:p w14:paraId="67B4C07E" w14:textId="226BC2C3" w:rsidR="00B03A37" w:rsidRPr="00965B5A" w:rsidRDefault="00B03A37" w:rsidP="001D46E2">
                      <w:pPr>
                        <w:spacing w:line="276" w:lineRule="auto"/>
                        <w:jc w:val="both"/>
                        <w:rPr>
                          <w:rFonts w:ascii="Calibri Light" w:hAnsi="Calibri Light"/>
                          <w:color w:val="595959"/>
                          <w:sz w:val="18"/>
                          <w:szCs w:val="18"/>
                          <w:lang w:val="es-ES"/>
                        </w:rPr>
                      </w:pPr>
                      <w:r w:rsidRPr="00864F25">
                        <w:rPr>
                          <w:rFonts w:ascii="Calibri Light" w:hAnsi="Calibri Light"/>
                          <w:b/>
                          <w:color w:val="595959"/>
                          <w:sz w:val="18"/>
                          <w:szCs w:val="18"/>
                          <w:lang w:val="pt-BR"/>
                        </w:rPr>
                        <w:t>Citar como:</w:t>
                      </w:r>
                      <w:r w:rsidRPr="00864F25">
                        <w:rPr>
                          <w:rFonts w:ascii="Calibri Light" w:hAnsi="Calibri Light"/>
                          <w:color w:val="595959"/>
                          <w:sz w:val="18"/>
                          <w:szCs w:val="18"/>
                          <w:lang w:val="pt-BR"/>
                        </w:rPr>
                        <w:t xml:space="preserve"> </w:t>
                      </w:r>
                      <w:r w:rsidR="003B63C2">
                        <w:rPr>
                          <w:rFonts w:ascii="Cambria" w:hAnsi="Cambria"/>
                          <w:color w:val="595959"/>
                          <w:sz w:val="18"/>
                          <w:szCs w:val="18"/>
                          <w:lang w:val="pt-BR"/>
                        </w:rPr>
                        <w:t>CIDH, Relatório Nº143,19</w:t>
                      </w:r>
                      <w:r w:rsidRPr="00864F25">
                        <w:rPr>
                          <w:rFonts w:ascii="Cambria" w:hAnsi="Cambria"/>
                          <w:color w:val="595959"/>
                          <w:sz w:val="18"/>
                          <w:szCs w:val="18"/>
                          <w:lang w:val="pt-BR"/>
                        </w:rPr>
                        <w:t>, Caso 12.</w:t>
                      </w:r>
                      <w:r>
                        <w:rPr>
                          <w:rFonts w:ascii="Cambria" w:hAnsi="Cambria"/>
                          <w:color w:val="595959"/>
                          <w:sz w:val="18"/>
                          <w:szCs w:val="18"/>
                          <w:lang w:val="pt-BR"/>
                        </w:rPr>
                        <w:t>570</w:t>
                      </w:r>
                      <w:r w:rsidRPr="00864F25">
                        <w:rPr>
                          <w:rFonts w:ascii="Cambria" w:hAnsi="Cambria"/>
                          <w:color w:val="595959"/>
                          <w:sz w:val="18"/>
                          <w:szCs w:val="18"/>
                          <w:lang w:val="pt-BR"/>
                        </w:rPr>
                        <w:t xml:space="preserve">. Mérito. </w:t>
                      </w:r>
                      <w:r>
                        <w:rPr>
                          <w:rFonts w:ascii="Cambria" w:hAnsi="Cambria"/>
                          <w:color w:val="595959"/>
                          <w:sz w:val="18"/>
                          <w:szCs w:val="18"/>
                          <w:lang w:val="pt-BR"/>
                        </w:rPr>
                        <w:t>Manoel Luiz da Silva</w:t>
                      </w:r>
                      <w:r w:rsidRPr="00864F25">
                        <w:rPr>
                          <w:rFonts w:ascii="Cambria" w:hAnsi="Cambria"/>
                          <w:color w:val="595959"/>
                          <w:sz w:val="18"/>
                          <w:szCs w:val="18"/>
                          <w:lang w:val="pt-BR"/>
                        </w:rPr>
                        <w:t xml:space="preserve">. Brasil. </w:t>
                      </w:r>
                      <w:r w:rsidR="003B63C2">
                        <w:rPr>
                          <w:rFonts w:ascii="Cambria" w:hAnsi="Cambria"/>
                          <w:color w:val="595959"/>
                          <w:sz w:val="18"/>
                          <w:szCs w:val="18"/>
                          <w:lang w:val="pt-BR"/>
                        </w:rPr>
                        <w:t>28 de setembro de 2019</w:t>
                      </w:r>
                      <w:r w:rsidRPr="00D3544A">
                        <w:rPr>
                          <w:rFonts w:ascii="Cambria" w:hAnsi="Cambria"/>
                          <w:color w:val="595959"/>
                          <w:sz w:val="18"/>
                          <w:szCs w:val="18"/>
                          <w:lang w:val="es-US"/>
                        </w:rPr>
                        <w:t>.</w:t>
                      </w:r>
                    </w:p>
                    <w:p w14:paraId="1C49A25A" w14:textId="77777777" w:rsidR="00B03A37" w:rsidRPr="00801F3C" w:rsidRDefault="00B03A37" w:rsidP="00B346EA">
                      <w:pPr>
                        <w:spacing w:line="276" w:lineRule="auto"/>
                        <w:rPr>
                          <w:rFonts w:asciiTheme="majorHAnsi" w:hAnsiTheme="majorHAnsi"/>
                          <w:color w:val="595959" w:themeColor="text1" w:themeTint="A6"/>
                          <w:sz w:val="18"/>
                          <w:lang w:val="pt-BR"/>
                        </w:rPr>
                      </w:pPr>
                    </w:p>
                  </w:txbxContent>
                </v:textbox>
              </v:shape>
            </w:pict>
          </mc:Fallback>
        </mc:AlternateContent>
      </w:r>
    </w:p>
    <w:p w14:paraId="70302D27"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0341161A"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72F98A55"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6A3CC322"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3816E19E" w14:textId="77777777" w:rsidR="00B346EA" w:rsidRPr="00A656BB" w:rsidRDefault="00B346EA" w:rsidP="00B346EA">
      <w:pPr>
        <w:tabs>
          <w:tab w:val="center" w:pos="5400"/>
        </w:tabs>
        <w:suppressAutoHyphens/>
        <w:jc w:val="center"/>
        <w:rPr>
          <w:rFonts w:asciiTheme="majorHAnsi" w:hAnsiTheme="majorHAnsi"/>
          <w:sz w:val="18"/>
          <w:szCs w:val="22"/>
          <w:lang w:val="pt-BR"/>
        </w:rPr>
      </w:pPr>
    </w:p>
    <w:p w14:paraId="60DA4450" w14:textId="7328C906" w:rsidR="00B346EA" w:rsidRDefault="00B346EA" w:rsidP="00B346EA">
      <w:pPr>
        <w:tabs>
          <w:tab w:val="center" w:pos="5400"/>
        </w:tabs>
        <w:suppressAutoHyphens/>
        <w:jc w:val="center"/>
        <w:rPr>
          <w:rFonts w:asciiTheme="majorHAnsi" w:hAnsiTheme="majorHAnsi"/>
          <w:b/>
          <w:sz w:val="18"/>
          <w:szCs w:val="22"/>
          <w:lang w:val="pt-BR"/>
        </w:rPr>
      </w:pPr>
    </w:p>
    <w:p w14:paraId="307B89B4" w14:textId="77777777" w:rsidR="00B346EA" w:rsidRDefault="00B346EA" w:rsidP="00B346EA">
      <w:pPr>
        <w:tabs>
          <w:tab w:val="center" w:pos="5400"/>
        </w:tabs>
        <w:suppressAutoHyphens/>
        <w:jc w:val="center"/>
        <w:rPr>
          <w:rFonts w:asciiTheme="majorHAnsi" w:hAnsiTheme="majorHAnsi"/>
          <w:b/>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5213EED0" wp14:editId="61BD7136">
                <wp:simplePos x="0" y="0"/>
                <wp:positionH relativeFrom="column">
                  <wp:posOffset>-285750</wp:posOffset>
                </wp:positionH>
                <wp:positionV relativeFrom="paragraph">
                  <wp:posOffset>400363</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05D9E" w14:textId="77777777" w:rsidR="00B03A37" w:rsidRPr="00881636" w:rsidRDefault="00B03A37" w:rsidP="00B346EA">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EED0" id="Text Box 13" o:spid="_x0000_s1031" type="#_x0000_t202" style="position:absolute;left:0;text-align:left;margin-left:-22.5pt;margin-top:31.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" filled="f" stroked="f" strokeweight=".5pt">
                <v:textbox>
                  <w:txbxContent>
                    <w:p w14:paraId="4B205D9E" w14:textId="77777777" w:rsidR="00B03A37" w:rsidRPr="00881636" w:rsidRDefault="00B03A37" w:rsidP="00B346EA">
                      <w:pPr>
                        <w:rPr>
                          <w:rFonts w:asciiTheme="minorHAnsi" w:hAnsiTheme="minorHAnsi"/>
                          <w:b/>
                        </w:rPr>
                      </w:pPr>
                      <w:r w:rsidRPr="00881636">
                        <w:rPr>
                          <w:rFonts w:asciiTheme="minorHAnsi" w:hAnsiTheme="minorHAnsi"/>
                          <w:b/>
                          <w:lang w:val="pt-BR"/>
                        </w:rPr>
                        <w:t>www.cidh.org</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BAD01AE" wp14:editId="183DFA95">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156A5" w14:textId="7DB4008D" w:rsidR="00B03A37" w:rsidRDefault="001D0F19" w:rsidP="00B346EA">
                            <w:r>
                              <w:rPr>
                                <w:noProof/>
                              </w:rPr>
                              <w:drawing>
                                <wp:inline distT="0" distB="0" distL="0" distR="0" wp14:anchorId="7D860CBE" wp14:editId="73D7F84E">
                                  <wp:extent cx="1381125" cy="377825"/>
                                  <wp:effectExtent l="0" t="0" r="952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POR-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377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D01AE" id="Text Box 2" o:spid="_x0000_s1032" type="#_x0000_t202" style="position:absolute;left:0;text-align:left;margin-left:97.4pt;margin-top:15.2pt;width:187.5pt;height:37.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GweA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" fillcolor="white [3201]" stroked="f" strokeweight=".5pt">
                <v:textbox>
                  <w:txbxContent>
                    <w:p w14:paraId="260156A5" w14:textId="7DB4008D" w:rsidR="00B03A37" w:rsidRDefault="001D0F19" w:rsidP="00B346EA">
                      <w:r>
                        <w:rPr>
                          <w:noProof/>
                        </w:rPr>
                        <w:drawing>
                          <wp:inline distT="0" distB="0" distL="0" distR="0" wp14:anchorId="7D860CBE" wp14:editId="73D7F84E">
                            <wp:extent cx="1381125" cy="377825"/>
                            <wp:effectExtent l="0" t="0" r="952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POR-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377825"/>
                                    </a:xfrm>
                                    <a:prstGeom prst="rect">
                                      <a:avLst/>
                                    </a:prstGeom>
                                  </pic:spPr>
                                </pic:pic>
                              </a:graphicData>
                            </a:graphic>
                          </wp:inline>
                        </w:drawing>
                      </w:r>
                    </w:p>
                  </w:txbxContent>
                </v:textbox>
              </v:shape>
            </w:pict>
          </mc:Fallback>
        </mc:AlternateContent>
      </w:r>
    </w:p>
    <w:p w14:paraId="0E5E93AA" w14:textId="77777777" w:rsidR="0070697F" w:rsidRPr="00337743" w:rsidRDefault="0070697F" w:rsidP="005516A1">
      <w:pPr>
        <w:tabs>
          <w:tab w:val="center" w:pos="5400"/>
        </w:tabs>
        <w:suppressAutoHyphens/>
        <w:jc w:val="center"/>
        <w:rPr>
          <w:rFonts w:ascii="Cambria" w:hAnsi="Cambria"/>
          <w:b/>
          <w:sz w:val="20"/>
          <w:szCs w:val="20"/>
          <w:lang w:val="pt-BR"/>
        </w:rPr>
        <w:sectPr w:rsidR="0070697F" w:rsidRPr="0033774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2FD7EB8" w14:textId="77777777" w:rsidR="008E4EE6" w:rsidRPr="0071702C" w:rsidRDefault="008E4EE6" w:rsidP="008E4EE6">
      <w:pPr>
        <w:tabs>
          <w:tab w:val="center" w:pos="5400"/>
        </w:tabs>
        <w:suppressAutoHyphens/>
        <w:spacing w:line="276" w:lineRule="auto"/>
        <w:jc w:val="center"/>
        <w:rPr>
          <w:rFonts w:ascii="Cambria" w:hAnsi="Cambria"/>
          <w:b/>
          <w:szCs w:val="20"/>
          <w:lang w:val="pt-BR"/>
        </w:rPr>
      </w:pPr>
      <w:r w:rsidRPr="0071702C">
        <w:rPr>
          <w:rFonts w:ascii="Cambria" w:hAnsi="Cambria"/>
          <w:b/>
          <w:szCs w:val="20"/>
          <w:lang w:val="pt-BR"/>
        </w:rPr>
        <w:lastRenderedPageBreak/>
        <w:t>ÍNDICE</w:t>
      </w:r>
    </w:p>
    <w:p w14:paraId="11F32845" w14:textId="77777777" w:rsidR="008E4EE6" w:rsidRPr="00FD36CB" w:rsidRDefault="008E4EE6" w:rsidP="008E4EE6">
      <w:pPr>
        <w:tabs>
          <w:tab w:val="center" w:pos="5400"/>
        </w:tabs>
        <w:suppressAutoHyphens/>
        <w:spacing w:line="276" w:lineRule="auto"/>
        <w:jc w:val="center"/>
        <w:rPr>
          <w:rFonts w:ascii="Cambria" w:hAnsi="Cambria"/>
          <w:b/>
          <w:sz w:val="20"/>
          <w:szCs w:val="20"/>
          <w:lang w:val="pt-BR"/>
        </w:rPr>
      </w:pPr>
    </w:p>
    <w:p w14:paraId="22D3D101" w14:textId="36D2E214" w:rsidR="0076455B" w:rsidRDefault="008E4EE6">
      <w:pPr>
        <w:pStyle w:val="TOC1"/>
        <w:rPr>
          <w:rStyle w:val="Hyperlink"/>
        </w:rPr>
      </w:pPr>
      <w:r w:rsidRPr="00FD36CB">
        <w:rPr>
          <w:b/>
        </w:rPr>
        <w:fldChar w:fldCharType="begin"/>
      </w:r>
      <w:r w:rsidRPr="00FD36CB">
        <w:rPr>
          <w:b/>
        </w:rPr>
        <w:instrText xml:space="preserve"> TOC \o "1-7" \h \z \u </w:instrText>
      </w:r>
      <w:r w:rsidRPr="00FD36CB">
        <w:rPr>
          <w:b/>
        </w:rPr>
        <w:fldChar w:fldCharType="separate"/>
      </w:r>
      <w:hyperlink w:anchor="_Toc17097151" w:history="1">
        <w:r w:rsidR="0076455B" w:rsidRPr="003F06AE">
          <w:rPr>
            <w:rStyle w:val="Hyperlink"/>
          </w:rPr>
          <w:t>I.</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INTRODUÇÃO</w:t>
        </w:r>
        <w:r w:rsidR="0076455B">
          <w:rPr>
            <w:webHidden/>
          </w:rPr>
          <w:tab/>
        </w:r>
        <w:r w:rsidR="0076455B">
          <w:rPr>
            <w:webHidden/>
          </w:rPr>
          <w:fldChar w:fldCharType="begin"/>
        </w:r>
        <w:r w:rsidR="0076455B">
          <w:rPr>
            <w:webHidden/>
          </w:rPr>
          <w:instrText xml:space="preserve"> PAGEREF _Toc17097151 \h </w:instrText>
        </w:r>
        <w:r w:rsidR="0076455B">
          <w:rPr>
            <w:webHidden/>
          </w:rPr>
        </w:r>
        <w:r w:rsidR="0076455B">
          <w:rPr>
            <w:webHidden/>
          </w:rPr>
          <w:fldChar w:fldCharType="separate"/>
        </w:r>
        <w:r w:rsidR="009E7D2E">
          <w:rPr>
            <w:webHidden/>
          </w:rPr>
          <w:t>1</w:t>
        </w:r>
        <w:r w:rsidR="0076455B">
          <w:rPr>
            <w:webHidden/>
          </w:rPr>
          <w:fldChar w:fldCharType="end"/>
        </w:r>
      </w:hyperlink>
    </w:p>
    <w:p w14:paraId="7E645469" w14:textId="77777777" w:rsidR="0076455B" w:rsidRPr="0076455B" w:rsidRDefault="0076455B" w:rsidP="0076455B">
      <w:pPr>
        <w:rPr>
          <w:lang w:val="pt-BR"/>
        </w:rPr>
      </w:pPr>
    </w:p>
    <w:p w14:paraId="3305E3C3" w14:textId="124D21CE" w:rsidR="0076455B" w:rsidRDefault="009E7D2E">
      <w:pPr>
        <w:pStyle w:val="TOC1"/>
        <w:rPr>
          <w:rFonts w:asciiTheme="minorHAnsi" w:eastAsiaTheme="minorEastAsia" w:hAnsiTheme="minorHAnsi" w:cstheme="minorBidi"/>
          <w:sz w:val="22"/>
          <w:szCs w:val="22"/>
          <w:bdr w:val="none" w:sz="0" w:space="0" w:color="auto"/>
          <w:lang w:val="en-US"/>
        </w:rPr>
      </w:pPr>
      <w:hyperlink w:anchor="_Toc17097152" w:history="1">
        <w:r w:rsidR="0076455B" w:rsidRPr="003F06AE">
          <w:rPr>
            <w:rStyle w:val="Hyperlink"/>
          </w:rPr>
          <w:t>II.</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ALEGAÇÕES DAS PARTES</w:t>
        </w:r>
        <w:r w:rsidR="0076455B">
          <w:rPr>
            <w:webHidden/>
          </w:rPr>
          <w:tab/>
        </w:r>
        <w:r w:rsidR="0076455B">
          <w:rPr>
            <w:webHidden/>
          </w:rPr>
          <w:fldChar w:fldCharType="begin"/>
        </w:r>
        <w:r w:rsidR="0076455B">
          <w:rPr>
            <w:webHidden/>
          </w:rPr>
          <w:instrText xml:space="preserve"> PAGEREF _Toc17097152 \h </w:instrText>
        </w:r>
        <w:r w:rsidR="0076455B">
          <w:rPr>
            <w:webHidden/>
          </w:rPr>
        </w:r>
        <w:r w:rsidR="0076455B">
          <w:rPr>
            <w:webHidden/>
          </w:rPr>
          <w:fldChar w:fldCharType="separate"/>
        </w:r>
        <w:r>
          <w:rPr>
            <w:webHidden/>
          </w:rPr>
          <w:t>1</w:t>
        </w:r>
        <w:r w:rsidR="0076455B">
          <w:rPr>
            <w:webHidden/>
          </w:rPr>
          <w:fldChar w:fldCharType="end"/>
        </w:r>
      </w:hyperlink>
    </w:p>
    <w:p w14:paraId="03FF85DD" w14:textId="638FBEAF"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53" w:history="1">
        <w:r w:rsidR="0076455B" w:rsidRPr="003F06AE">
          <w:rPr>
            <w:rStyle w:val="Hyperlink"/>
          </w:rPr>
          <w:t>A.</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Parte peticionária</w:t>
        </w:r>
        <w:r w:rsidR="0076455B">
          <w:rPr>
            <w:webHidden/>
          </w:rPr>
          <w:tab/>
        </w:r>
        <w:r w:rsidR="0076455B">
          <w:rPr>
            <w:webHidden/>
          </w:rPr>
          <w:fldChar w:fldCharType="begin"/>
        </w:r>
        <w:r w:rsidR="0076455B">
          <w:rPr>
            <w:webHidden/>
          </w:rPr>
          <w:instrText xml:space="preserve"> PAGEREF _Toc17097153 \h </w:instrText>
        </w:r>
        <w:r w:rsidR="0076455B">
          <w:rPr>
            <w:webHidden/>
          </w:rPr>
        </w:r>
        <w:r w:rsidR="0076455B">
          <w:rPr>
            <w:webHidden/>
          </w:rPr>
          <w:fldChar w:fldCharType="separate"/>
        </w:r>
        <w:r>
          <w:rPr>
            <w:webHidden/>
          </w:rPr>
          <w:t>1</w:t>
        </w:r>
        <w:r w:rsidR="0076455B">
          <w:rPr>
            <w:webHidden/>
          </w:rPr>
          <w:fldChar w:fldCharType="end"/>
        </w:r>
      </w:hyperlink>
    </w:p>
    <w:p w14:paraId="7CBF107A" w14:textId="574D6F1C"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54" w:history="1">
        <w:r w:rsidR="0076455B" w:rsidRPr="003F06AE">
          <w:rPr>
            <w:rStyle w:val="Hyperlink"/>
          </w:rPr>
          <w:t>B.</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Estado</w:t>
        </w:r>
        <w:r w:rsidR="0076455B">
          <w:rPr>
            <w:webHidden/>
          </w:rPr>
          <w:tab/>
        </w:r>
        <w:r w:rsidR="0076455B">
          <w:rPr>
            <w:webHidden/>
          </w:rPr>
          <w:fldChar w:fldCharType="begin"/>
        </w:r>
        <w:r w:rsidR="0076455B">
          <w:rPr>
            <w:webHidden/>
          </w:rPr>
          <w:instrText xml:space="preserve"> PAGEREF _Toc17097154 \h </w:instrText>
        </w:r>
        <w:r w:rsidR="0076455B">
          <w:rPr>
            <w:webHidden/>
          </w:rPr>
        </w:r>
        <w:r w:rsidR="0076455B">
          <w:rPr>
            <w:webHidden/>
          </w:rPr>
          <w:fldChar w:fldCharType="separate"/>
        </w:r>
        <w:r>
          <w:rPr>
            <w:webHidden/>
          </w:rPr>
          <w:t>2</w:t>
        </w:r>
        <w:r w:rsidR="0076455B">
          <w:rPr>
            <w:webHidden/>
          </w:rPr>
          <w:fldChar w:fldCharType="end"/>
        </w:r>
      </w:hyperlink>
    </w:p>
    <w:p w14:paraId="48E80411" w14:textId="041E35B7" w:rsidR="0076455B" w:rsidRDefault="009E7D2E">
      <w:pPr>
        <w:pStyle w:val="TOC1"/>
        <w:rPr>
          <w:rFonts w:asciiTheme="minorHAnsi" w:eastAsiaTheme="minorEastAsia" w:hAnsiTheme="minorHAnsi" w:cstheme="minorBidi"/>
          <w:sz w:val="22"/>
          <w:szCs w:val="22"/>
          <w:bdr w:val="none" w:sz="0" w:space="0" w:color="auto"/>
          <w:lang w:val="en-US"/>
        </w:rPr>
      </w:pPr>
      <w:hyperlink w:anchor="_Toc17097155" w:history="1">
        <w:r w:rsidR="0076455B" w:rsidRPr="003F06AE">
          <w:rPr>
            <w:rStyle w:val="Hyperlink"/>
          </w:rPr>
          <w:t>III.</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DETERMINAÇÕES DE FATO</w:t>
        </w:r>
        <w:r w:rsidR="0076455B">
          <w:rPr>
            <w:webHidden/>
          </w:rPr>
          <w:tab/>
        </w:r>
        <w:r w:rsidR="0076455B">
          <w:rPr>
            <w:webHidden/>
          </w:rPr>
          <w:fldChar w:fldCharType="begin"/>
        </w:r>
        <w:r w:rsidR="0076455B">
          <w:rPr>
            <w:webHidden/>
          </w:rPr>
          <w:instrText xml:space="preserve"> PAGEREF _Toc17097155 \h </w:instrText>
        </w:r>
        <w:r w:rsidR="0076455B">
          <w:rPr>
            <w:webHidden/>
          </w:rPr>
        </w:r>
        <w:r w:rsidR="0076455B">
          <w:rPr>
            <w:webHidden/>
          </w:rPr>
          <w:fldChar w:fldCharType="separate"/>
        </w:r>
        <w:r>
          <w:rPr>
            <w:webHidden/>
          </w:rPr>
          <w:t>2</w:t>
        </w:r>
        <w:r w:rsidR="0076455B">
          <w:rPr>
            <w:webHidden/>
          </w:rPr>
          <w:fldChar w:fldCharType="end"/>
        </w:r>
      </w:hyperlink>
    </w:p>
    <w:p w14:paraId="07F0E1D0" w14:textId="039BAD22"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56" w:history="1">
        <w:r w:rsidR="0076455B" w:rsidRPr="003F06AE">
          <w:rPr>
            <w:rStyle w:val="Hyperlink"/>
          </w:rPr>
          <w:t>A.</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Contexto</w:t>
        </w:r>
        <w:r w:rsidR="0076455B">
          <w:rPr>
            <w:webHidden/>
          </w:rPr>
          <w:tab/>
        </w:r>
        <w:r w:rsidR="0076455B">
          <w:rPr>
            <w:webHidden/>
          </w:rPr>
          <w:fldChar w:fldCharType="begin"/>
        </w:r>
        <w:r w:rsidR="0076455B">
          <w:rPr>
            <w:webHidden/>
          </w:rPr>
          <w:instrText xml:space="preserve"> PAGEREF _Toc17097156 \h </w:instrText>
        </w:r>
        <w:r w:rsidR="0076455B">
          <w:rPr>
            <w:webHidden/>
          </w:rPr>
        </w:r>
        <w:r w:rsidR="0076455B">
          <w:rPr>
            <w:webHidden/>
          </w:rPr>
          <w:fldChar w:fldCharType="separate"/>
        </w:r>
        <w:r>
          <w:rPr>
            <w:webHidden/>
          </w:rPr>
          <w:t>2</w:t>
        </w:r>
        <w:r w:rsidR="0076455B">
          <w:rPr>
            <w:webHidden/>
          </w:rPr>
          <w:fldChar w:fldCharType="end"/>
        </w:r>
      </w:hyperlink>
    </w:p>
    <w:p w14:paraId="3F138FAD" w14:textId="6C574392"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57" w:history="1">
        <w:r w:rsidR="0076455B" w:rsidRPr="003F06AE">
          <w:rPr>
            <w:rStyle w:val="Hyperlink"/>
          </w:rPr>
          <w:t>B.</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Informação disponível sobre Manoel Luiz da Silva e seus familiares</w:t>
        </w:r>
        <w:r w:rsidR="0076455B">
          <w:rPr>
            <w:webHidden/>
          </w:rPr>
          <w:tab/>
        </w:r>
        <w:r w:rsidR="0076455B">
          <w:rPr>
            <w:webHidden/>
          </w:rPr>
          <w:fldChar w:fldCharType="begin"/>
        </w:r>
        <w:r w:rsidR="0076455B">
          <w:rPr>
            <w:webHidden/>
          </w:rPr>
          <w:instrText xml:space="preserve"> PAGEREF _Toc17097157 \h </w:instrText>
        </w:r>
        <w:r w:rsidR="0076455B">
          <w:rPr>
            <w:webHidden/>
          </w:rPr>
        </w:r>
        <w:r w:rsidR="0076455B">
          <w:rPr>
            <w:webHidden/>
          </w:rPr>
          <w:fldChar w:fldCharType="separate"/>
        </w:r>
        <w:r>
          <w:rPr>
            <w:webHidden/>
          </w:rPr>
          <w:t>4</w:t>
        </w:r>
        <w:r w:rsidR="0076455B">
          <w:rPr>
            <w:webHidden/>
          </w:rPr>
          <w:fldChar w:fldCharType="end"/>
        </w:r>
      </w:hyperlink>
    </w:p>
    <w:p w14:paraId="6C7BB2A4" w14:textId="1E984EE5"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58" w:history="1">
        <w:r w:rsidR="0076455B" w:rsidRPr="003F06AE">
          <w:rPr>
            <w:rStyle w:val="Hyperlink"/>
          </w:rPr>
          <w:t>C.</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Fatos do caso</w:t>
        </w:r>
        <w:r w:rsidR="0076455B">
          <w:rPr>
            <w:webHidden/>
          </w:rPr>
          <w:tab/>
        </w:r>
        <w:r w:rsidR="0076455B">
          <w:rPr>
            <w:webHidden/>
          </w:rPr>
          <w:fldChar w:fldCharType="begin"/>
        </w:r>
        <w:r w:rsidR="0076455B">
          <w:rPr>
            <w:webHidden/>
          </w:rPr>
          <w:instrText xml:space="preserve"> PAGEREF _Toc17097158 \h </w:instrText>
        </w:r>
        <w:r w:rsidR="0076455B">
          <w:rPr>
            <w:webHidden/>
          </w:rPr>
        </w:r>
        <w:r w:rsidR="0076455B">
          <w:rPr>
            <w:webHidden/>
          </w:rPr>
          <w:fldChar w:fldCharType="separate"/>
        </w:r>
        <w:r>
          <w:rPr>
            <w:webHidden/>
          </w:rPr>
          <w:t>4</w:t>
        </w:r>
        <w:r w:rsidR="0076455B">
          <w:rPr>
            <w:webHidden/>
          </w:rPr>
          <w:fldChar w:fldCharType="end"/>
        </w:r>
      </w:hyperlink>
    </w:p>
    <w:p w14:paraId="608132C4" w14:textId="225C7CFF"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59" w:history="1">
        <w:r w:rsidR="0076455B" w:rsidRPr="003F06AE">
          <w:rPr>
            <w:rStyle w:val="Hyperlink"/>
          </w:rPr>
          <w:t>D.</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Processo Interno</w:t>
        </w:r>
        <w:r w:rsidR="0076455B">
          <w:rPr>
            <w:webHidden/>
          </w:rPr>
          <w:tab/>
        </w:r>
        <w:r w:rsidR="0076455B">
          <w:rPr>
            <w:webHidden/>
          </w:rPr>
          <w:fldChar w:fldCharType="begin"/>
        </w:r>
        <w:r w:rsidR="0076455B">
          <w:rPr>
            <w:webHidden/>
          </w:rPr>
          <w:instrText xml:space="preserve"> PAGEREF _Toc17097159 \h </w:instrText>
        </w:r>
        <w:r w:rsidR="0076455B">
          <w:rPr>
            <w:webHidden/>
          </w:rPr>
        </w:r>
        <w:r w:rsidR="0076455B">
          <w:rPr>
            <w:webHidden/>
          </w:rPr>
          <w:fldChar w:fldCharType="separate"/>
        </w:r>
        <w:r>
          <w:rPr>
            <w:webHidden/>
          </w:rPr>
          <w:t>5</w:t>
        </w:r>
        <w:r w:rsidR="0076455B">
          <w:rPr>
            <w:webHidden/>
          </w:rPr>
          <w:fldChar w:fldCharType="end"/>
        </w:r>
      </w:hyperlink>
    </w:p>
    <w:p w14:paraId="57856656" w14:textId="55D695C5" w:rsidR="0076455B" w:rsidRDefault="009E7D2E">
      <w:pPr>
        <w:pStyle w:val="TOC3"/>
        <w:rPr>
          <w:rFonts w:asciiTheme="minorHAnsi" w:eastAsiaTheme="minorEastAsia" w:hAnsiTheme="minorHAnsi" w:cstheme="minorBidi"/>
          <w:sz w:val="22"/>
          <w:szCs w:val="22"/>
          <w:bdr w:val="none" w:sz="0" w:space="0" w:color="auto"/>
          <w:lang w:val="en-US"/>
        </w:rPr>
      </w:pPr>
      <w:hyperlink w:anchor="_Toc17097160" w:history="1">
        <w:r w:rsidR="0076455B" w:rsidRPr="003F06AE">
          <w:rPr>
            <w:rStyle w:val="Hyperlink"/>
          </w:rPr>
          <w:t>1.</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Inquérito Policial</w:t>
        </w:r>
        <w:r w:rsidR="0076455B">
          <w:rPr>
            <w:webHidden/>
          </w:rPr>
          <w:tab/>
        </w:r>
        <w:r w:rsidR="0076455B">
          <w:rPr>
            <w:webHidden/>
          </w:rPr>
          <w:fldChar w:fldCharType="begin"/>
        </w:r>
        <w:r w:rsidR="0076455B">
          <w:rPr>
            <w:webHidden/>
          </w:rPr>
          <w:instrText xml:space="preserve"> PAGEREF _Toc17097160 \h </w:instrText>
        </w:r>
        <w:r w:rsidR="0076455B">
          <w:rPr>
            <w:webHidden/>
          </w:rPr>
        </w:r>
        <w:r w:rsidR="0076455B">
          <w:rPr>
            <w:webHidden/>
          </w:rPr>
          <w:fldChar w:fldCharType="separate"/>
        </w:r>
        <w:r>
          <w:rPr>
            <w:webHidden/>
          </w:rPr>
          <w:t>5</w:t>
        </w:r>
        <w:r w:rsidR="0076455B">
          <w:rPr>
            <w:webHidden/>
          </w:rPr>
          <w:fldChar w:fldCharType="end"/>
        </w:r>
      </w:hyperlink>
    </w:p>
    <w:p w14:paraId="33B3E8FB" w14:textId="40A0E13F" w:rsidR="0076455B" w:rsidRDefault="009E7D2E">
      <w:pPr>
        <w:pStyle w:val="TOC3"/>
        <w:rPr>
          <w:rFonts w:asciiTheme="minorHAnsi" w:eastAsiaTheme="minorEastAsia" w:hAnsiTheme="minorHAnsi" w:cstheme="minorBidi"/>
          <w:sz w:val="22"/>
          <w:szCs w:val="22"/>
          <w:bdr w:val="none" w:sz="0" w:space="0" w:color="auto"/>
          <w:lang w:val="en-US"/>
        </w:rPr>
      </w:pPr>
      <w:hyperlink w:anchor="_Toc17097161" w:history="1">
        <w:r w:rsidR="0076455B" w:rsidRPr="003F06AE">
          <w:rPr>
            <w:rStyle w:val="Hyperlink"/>
          </w:rPr>
          <w:t>2.</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Processo Penal</w:t>
        </w:r>
        <w:r w:rsidR="0076455B">
          <w:rPr>
            <w:webHidden/>
          </w:rPr>
          <w:tab/>
        </w:r>
        <w:r w:rsidR="0076455B">
          <w:rPr>
            <w:webHidden/>
          </w:rPr>
          <w:fldChar w:fldCharType="begin"/>
        </w:r>
        <w:r w:rsidR="0076455B">
          <w:rPr>
            <w:webHidden/>
          </w:rPr>
          <w:instrText xml:space="preserve"> PAGEREF _Toc17097161 \h </w:instrText>
        </w:r>
        <w:r w:rsidR="0076455B">
          <w:rPr>
            <w:webHidden/>
          </w:rPr>
        </w:r>
        <w:r w:rsidR="0076455B">
          <w:rPr>
            <w:webHidden/>
          </w:rPr>
          <w:fldChar w:fldCharType="separate"/>
        </w:r>
        <w:r>
          <w:rPr>
            <w:webHidden/>
          </w:rPr>
          <w:t>6</w:t>
        </w:r>
        <w:r w:rsidR="0076455B">
          <w:rPr>
            <w:webHidden/>
          </w:rPr>
          <w:fldChar w:fldCharType="end"/>
        </w:r>
      </w:hyperlink>
    </w:p>
    <w:p w14:paraId="17FDA2B4" w14:textId="23B4075E" w:rsidR="0076455B" w:rsidRDefault="009E7D2E">
      <w:pPr>
        <w:pStyle w:val="TOC1"/>
        <w:rPr>
          <w:rFonts w:asciiTheme="minorHAnsi" w:eastAsiaTheme="minorEastAsia" w:hAnsiTheme="minorHAnsi" w:cstheme="minorBidi"/>
          <w:sz w:val="22"/>
          <w:szCs w:val="22"/>
          <w:bdr w:val="none" w:sz="0" w:space="0" w:color="auto"/>
          <w:lang w:val="en-US"/>
        </w:rPr>
      </w:pPr>
      <w:hyperlink w:anchor="_Toc17097162" w:history="1">
        <w:r w:rsidR="0076455B" w:rsidRPr="003F06AE">
          <w:rPr>
            <w:rStyle w:val="Hyperlink"/>
          </w:rPr>
          <w:t>IV.</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ANÁLISE DE DIREITO</w:t>
        </w:r>
        <w:r w:rsidR="0076455B">
          <w:rPr>
            <w:webHidden/>
          </w:rPr>
          <w:tab/>
        </w:r>
        <w:r w:rsidR="0076455B">
          <w:rPr>
            <w:webHidden/>
          </w:rPr>
          <w:fldChar w:fldCharType="begin"/>
        </w:r>
        <w:r w:rsidR="0076455B">
          <w:rPr>
            <w:webHidden/>
          </w:rPr>
          <w:instrText xml:space="preserve"> PAGEREF _Toc17097162 \h </w:instrText>
        </w:r>
        <w:r w:rsidR="0076455B">
          <w:rPr>
            <w:webHidden/>
          </w:rPr>
        </w:r>
        <w:r w:rsidR="0076455B">
          <w:rPr>
            <w:webHidden/>
          </w:rPr>
          <w:fldChar w:fldCharType="separate"/>
        </w:r>
        <w:r>
          <w:rPr>
            <w:webHidden/>
          </w:rPr>
          <w:t>7</w:t>
        </w:r>
        <w:r w:rsidR="0076455B">
          <w:rPr>
            <w:webHidden/>
          </w:rPr>
          <w:fldChar w:fldCharType="end"/>
        </w:r>
      </w:hyperlink>
    </w:p>
    <w:p w14:paraId="78578BBC" w14:textId="1987C0CC"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63" w:history="1">
        <w:r w:rsidR="0076455B" w:rsidRPr="003F06AE">
          <w:rPr>
            <w:rStyle w:val="Hyperlink"/>
          </w:rPr>
          <w:t>A.</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Direito à vida (artigo 4 da Conveção Americana sobre Direitos Humanos) quanto</w:t>
        </w:r>
        <w:r w:rsidR="0076455B">
          <w:rPr>
            <w:rStyle w:val="Hyperlink"/>
          </w:rPr>
          <w:br/>
        </w:r>
        <w:r w:rsidR="0076455B" w:rsidRPr="003F06AE">
          <w:rPr>
            <w:rStyle w:val="Hyperlink"/>
          </w:rPr>
          <w:t xml:space="preserve"> a obrigação geral consagrada no artigo 1.1</w:t>
        </w:r>
        <w:r w:rsidR="0076455B">
          <w:rPr>
            <w:webHidden/>
          </w:rPr>
          <w:tab/>
        </w:r>
        <w:r w:rsidR="0076455B">
          <w:rPr>
            <w:webHidden/>
          </w:rPr>
          <w:fldChar w:fldCharType="begin"/>
        </w:r>
        <w:r w:rsidR="0076455B">
          <w:rPr>
            <w:webHidden/>
          </w:rPr>
          <w:instrText xml:space="preserve"> PAGEREF _Toc17097163 \h </w:instrText>
        </w:r>
        <w:r w:rsidR="0076455B">
          <w:rPr>
            <w:webHidden/>
          </w:rPr>
        </w:r>
        <w:r w:rsidR="0076455B">
          <w:rPr>
            <w:webHidden/>
          </w:rPr>
          <w:fldChar w:fldCharType="separate"/>
        </w:r>
        <w:r>
          <w:rPr>
            <w:webHidden/>
          </w:rPr>
          <w:t>8</w:t>
        </w:r>
        <w:r w:rsidR="0076455B">
          <w:rPr>
            <w:webHidden/>
          </w:rPr>
          <w:fldChar w:fldCharType="end"/>
        </w:r>
      </w:hyperlink>
    </w:p>
    <w:p w14:paraId="51989BEA" w14:textId="6D773A3E"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64" w:history="1">
        <w:r w:rsidR="0076455B" w:rsidRPr="003F06AE">
          <w:rPr>
            <w:rStyle w:val="Hyperlink"/>
          </w:rPr>
          <w:t>B.</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Direito às garantias judiciais e à proteção judicial (artigos 8 e 25 da Convenção Americana) quanto a obrigação geral consagrada no artigo 1.1</w:t>
        </w:r>
        <w:r w:rsidR="0076455B">
          <w:rPr>
            <w:webHidden/>
          </w:rPr>
          <w:tab/>
        </w:r>
        <w:r w:rsidR="0076455B">
          <w:rPr>
            <w:webHidden/>
          </w:rPr>
          <w:fldChar w:fldCharType="begin"/>
        </w:r>
        <w:r w:rsidR="0076455B">
          <w:rPr>
            <w:webHidden/>
          </w:rPr>
          <w:instrText xml:space="preserve"> PAGEREF _Toc17097164 \h </w:instrText>
        </w:r>
        <w:r w:rsidR="0076455B">
          <w:rPr>
            <w:webHidden/>
          </w:rPr>
        </w:r>
        <w:r w:rsidR="0076455B">
          <w:rPr>
            <w:webHidden/>
          </w:rPr>
          <w:fldChar w:fldCharType="separate"/>
        </w:r>
        <w:r>
          <w:rPr>
            <w:webHidden/>
          </w:rPr>
          <w:t>10</w:t>
        </w:r>
        <w:r w:rsidR="0076455B">
          <w:rPr>
            <w:webHidden/>
          </w:rPr>
          <w:fldChar w:fldCharType="end"/>
        </w:r>
      </w:hyperlink>
    </w:p>
    <w:p w14:paraId="66A23A25" w14:textId="7F951E59" w:rsidR="0076455B" w:rsidRDefault="009E7D2E">
      <w:pPr>
        <w:pStyle w:val="TOC3"/>
        <w:rPr>
          <w:rFonts w:asciiTheme="minorHAnsi" w:eastAsiaTheme="minorEastAsia" w:hAnsiTheme="minorHAnsi" w:cstheme="minorBidi"/>
          <w:sz w:val="22"/>
          <w:szCs w:val="22"/>
          <w:bdr w:val="none" w:sz="0" w:space="0" w:color="auto"/>
          <w:lang w:val="en-US"/>
        </w:rPr>
      </w:pPr>
      <w:hyperlink w:anchor="_Toc17097165" w:history="1">
        <w:r w:rsidR="0076455B" w:rsidRPr="003F06AE">
          <w:rPr>
            <w:rStyle w:val="Hyperlink"/>
          </w:rPr>
          <w:t>1.</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Considerações gerais sobre o dever de investigar violações de direitos humanos</w:t>
        </w:r>
        <w:r w:rsidR="0076455B">
          <w:rPr>
            <w:webHidden/>
          </w:rPr>
          <w:tab/>
        </w:r>
        <w:r w:rsidR="0076455B">
          <w:rPr>
            <w:webHidden/>
          </w:rPr>
          <w:fldChar w:fldCharType="begin"/>
        </w:r>
        <w:r w:rsidR="0076455B">
          <w:rPr>
            <w:webHidden/>
          </w:rPr>
          <w:instrText xml:space="preserve"> PAGEREF _Toc17097165 \h </w:instrText>
        </w:r>
        <w:r w:rsidR="0076455B">
          <w:rPr>
            <w:webHidden/>
          </w:rPr>
        </w:r>
        <w:r w:rsidR="0076455B">
          <w:rPr>
            <w:webHidden/>
          </w:rPr>
          <w:fldChar w:fldCharType="separate"/>
        </w:r>
        <w:r>
          <w:rPr>
            <w:webHidden/>
          </w:rPr>
          <w:t>10</w:t>
        </w:r>
        <w:r w:rsidR="0076455B">
          <w:rPr>
            <w:webHidden/>
          </w:rPr>
          <w:fldChar w:fldCharType="end"/>
        </w:r>
      </w:hyperlink>
    </w:p>
    <w:p w14:paraId="789D8AFC" w14:textId="01DC43A8" w:rsidR="0076455B" w:rsidRDefault="009E7D2E">
      <w:pPr>
        <w:pStyle w:val="TOC3"/>
        <w:rPr>
          <w:rFonts w:asciiTheme="minorHAnsi" w:eastAsiaTheme="minorEastAsia" w:hAnsiTheme="minorHAnsi" w:cstheme="minorBidi"/>
          <w:sz w:val="22"/>
          <w:szCs w:val="22"/>
          <w:bdr w:val="none" w:sz="0" w:space="0" w:color="auto"/>
          <w:lang w:val="en-US"/>
        </w:rPr>
      </w:pPr>
      <w:hyperlink w:anchor="_Toc17097166" w:history="1">
        <w:r w:rsidR="0076455B" w:rsidRPr="003F06AE">
          <w:rPr>
            <w:rStyle w:val="Hyperlink"/>
          </w:rPr>
          <w:t>2.</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Quanto ao prazo razoável</w:t>
        </w:r>
        <w:r w:rsidR="0076455B">
          <w:rPr>
            <w:webHidden/>
          </w:rPr>
          <w:tab/>
        </w:r>
        <w:r w:rsidR="0076455B">
          <w:rPr>
            <w:webHidden/>
          </w:rPr>
          <w:fldChar w:fldCharType="begin"/>
        </w:r>
        <w:r w:rsidR="0076455B">
          <w:rPr>
            <w:webHidden/>
          </w:rPr>
          <w:instrText xml:space="preserve"> PAGEREF _Toc17097166 \h </w:instrText>
        </w:r>
        <w:r w:rsidR="0076455B">
          <w:rPr>
            <w:webHidden/>
          </w:rPr>
        </w:r>
        <w:r w:rsidR="0076455B">
          <w:rPr>
            <w:webHidden/>
          </w:rPr>
          <w:fldChar w:fldCharType="separate"/>
        </w:r>
        <w:r>
          <w:rPr>
            <w:webHidden/>
          </w:rPr>
          <w:t>13</w:t>
        </w:r>
        <w:r w:rsidR="0076455B">
          <w:rPr>
            <w:webHidden/>
          </w:rPr>
          <w:fldChar w:fldCharType="end"/>
        </w:r>
      </w:hyperlink>
    </w:p>
    <w:p w14:paraId="4EE9D4D1" w14:textId="260BF91A" w:rsidR="0076455B" w:rsidRDefault="009E7D2E" w:rsidP="0076455B">
      <w:pPr>
        <w:pStyle w:val="TOC2"/>
        <w:rPr>
          <w:rFonts w:asciiTheme="minorHAnsi" w:eastAsiaTheme="minorEastAsia" w:hAnsiTheme="minorHAnsi" w:cstheme="minorBidi"/>
          <w:sz w:val="22"/>
          <w:szCs w:val="22"/>
          <w:bdr w:val="none" w:sz="0" w:space="0" w:color="auto"/>
          <w:lang w:val="en-US"/>
        </w:rPr>
      </w:pPr>
      <w:hyperlink w:anchor="_Toc17097167" w:history="1">
        <w:r w:rsidR="0076455B" w:rsidRPr="003F06AE">
          <w:rPr>
            <w:rStyle w:val="Hyperlink"/>
          </w:rPr>
          <w:t>C.</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Direito à integridade psíquica e moral (artigo 5.1 da Convenção Americana)</w:t>
        </w:r>
        <w:r w:rsidR="0076455B">
          <w:rPr>
            <w:webHidden/>
          </w:rPr>
          <w:tab/>
        </w:r>
        <w:r w:rsidR="0076455B">
          <w:rPr>
            <w:webHidden/>
          </w:rPr>
          <w:fldChar w:fldCharType="begin"/>
        </w:r>
        <w:r w:rsidR="0076455B">
          <w:rPr>
            <w:webHidden/>
          </w:rPr>
          <w:instrText xml:space="preserve"> PAGEREF _Toc17097167 \h </w:instrText>
        </w:r>
        <w:r w:rsidR="0076455B">
          <w:rPr>
            <w:webHidden/>
          </w:rPr>
        </w:r>
        <w:r w:rsidR="0076455B">
          <w:rPr>
            <w:webHidden/>
          </w:rPr>
          <w:fldChar w:fldCharType="separate"/>
        </w:r>
        <w:r>
          <w:rPr>
            <w:webHidden/>
          </w:rPr>
          <w:t>15</w:t>
        </w:r>
        <w:r w:rsidR="0076455B">
          <w:rPr>
            <w:webHidden/>
          </w:rPr>
          <w:fldChar w:fldCharType="end"/>
        </w:r>
      </w:hyperlink>
    </w:p>
    <w:p w14:paraId="7B9625B9" w14:textId="690AAE77" w:rsidR="0076455B" w:rsidRDefault="009E7D2E">
      <w:pPr>
        <w:pStyle w:val="TOC1"/>
        <w:rPr>
          <w:rFonts w:asciiTheme="minorHAnsi" w:eastAsiaTheme="minorEastAsia" w:hAnsiTheme="minorHAnsi" w:cstheme="minorBidi"/>
          <w:sz w:val="22"/>
          <w:szCs w:val="22"/>
          <w:bdr w:val="none" w:sz="0" w:space="0" w:color="auto"/>
          <w:lang w:val="en-US"/>
        </w:rPr>
      </w:pPr>
      <w:hyperlink w:anchor="_Toc17097168" w:history="1">
        <w:r w:rsidR="0076455B" w:rsidRPr="003F06AE">
          <w:rPr>
            <w:rStyle w:val="Hyperlink"/>
          </w:rPr>
          <w:t>V.</w:t>
        </w:r>
        <w:r w:rsidR="0076455B">
          <w:rPr>
            <w:rFonts w:asciiTheme="minorHAnsi" w:eastAsiaTheme="minorEastAsia" w:hAnsiTheme="minorHAnsi" w:cstheme="minorBidi"/>
            <w:sz w:val="22"/>
            <w:szCs w:val="22"/>
            <w:bdr w:val="none" w:sz="0" w:space="0" w:color="auto"/>
            <w:lang w:val="en-US"/>
          </w:rPr>
          <w:tab/>
        </w:r>
        <w:r w:rsidR="0076455B" w:rsidRPr="003F06AE">
          <w:rPr>
            <w:rStyle w:val="Hyperlink"/>
          </w:rPr>
          <w:t>CONCLUSÕES E RECOMENDAÇÕES</w:t>
        </w:r>
        <w:r w:rsidR="0076455B">
          <w:rPr>
            <w:webHidden/>
          </w:rPr>
          <w:tab/>
        </w:r>
        <w:r w:rsidR="0076455B">
          <w:rPr>
            <w:webHidden/>
          </w:rPr>
          <w:fldChar w:fldCharType="begin"/>
        </w:r>
        <w:r w:rsidR="0076455B">
          <w:rPr>
            <w:webHidden/>
          </w:rPr>
          <w:instrText xml:space="preserve"> PAGEREF _Toc17097168 \h </w:instrText>
        </w:r>
        <w:r w:rsidR="0076455B">
          <w:rPr>
            <w:webHidden/>
          </w:rPr>
        </w:r>
        <w:r w:rsidR="0076455B">
          <w:rPr>
            <w:webHidden/>
          </w:rPr>
          <w:fldChar w:fldCharType="separate"/>
        </w:r>
        <w:r>
          <w:rPr>
            <w:webHidden/>
          </w:rPr>
          <w:t>15</w:t>
        </w:r>
        <w:r w:rsidR="0076455B">
          <w:rPr>
            <w:webHidden/>
          </w:rPr>
          <w:fldChar w:fldCharType="end"/>
        </w:r>
      </w:hyperlink>
    </w:p>
    <w:p w14:paraId="388347ED" w14:textId="77777777" w:rsidR="00722C9F" w:rsidRPr="00FD36CB" w:rsidRDefault="008E4EE6" w:rsidP="008E4EE6">
      <w:pPr>
        <w:tabs>
          <w:tab w:val="center" w:pos="5400"/>
        </w:tabs>
        <w:suppressAutoHyphens/>
        <w:spacing w:before="240" w:after="120" w:line="276" w:lineRule="auto"/>
        <w:rPr>
          <w:rFonts w:ascii="Cambria" w:hAnsi="Cambria"/>
          <w:b/>
          <w:color w:val="FF0000"/>
          <w:sz w:val="20"/>
          <w:szCs w:val="20"/>
          <w:lang w:val="pt-BR"/>
        </w:rPr>
      </w:pPr>
      <w:r w:rsidRPr="00FD36CB">
        <w:rPr>
          <w:rFonts w:ascii="Cambria" w:hAnsi="Cambria"/>
          <w:b/>
          <w:color w:val="FF0000"/>
          <w:sz w:val="20"/>
          <w:szCs w:val="20"/>
          <w:lang w:val="pt-BR"/>
        </w:rPr>
        <w:fldChar w:fldCharType="end"/>
      </w:r>
    </w:p>
    <w:p w14:paraId="1F6B1A1A" w14:textId="77777777" w:rsidR="009F4CC6" w:rsidRPr="00FD36CB" w:rsidRDefault="009F4CC6" w:rsidP="000D6713">
      <w:pPr>
        <w:tabs>
          <w:tab w:val="center" w:pos="5400"/>
        </w:tabs>
        <w:suppressAutoHyphens/>
        <w:spacing w:line="276" w:lineRule="auto"/>
        <w:jc w:val="center"/>
        <w:rPr>
          <w:rFonts w:ascii="Cambria" w:hAnsi="Cambria"/>
          <w:sz w:val="20"/>
          <w:szCs w:val="20"/>
          <w:lang w:val="pt-BR"/>
        </w:rPr>
      </w:pPr>
    </w:p>
    <w:p w14:paraId="6AD52A77" w14:textId="77777777" w:rsidR="009F4CC6" w:rsidRPr="00337743" w:rsidRDefault="009F4CC6" w:rsidP="00472955">
      <w:pPr>
        <w:tabs>
          <w:tab w:val="center" w:pos="5400"/>
        </w:tabs>
        <w:suppressAutoHyphens/>
        <w:spacing w:line="276" w:lineRule="auto"/>
        <w:rPr>
          <w:rFonts w:ascii="Cambria" w:hAnsi="Cambria"/>
          <w:sz w:val="20"/>
          <w:szCs w:val="20"/>
          <w:lang w:val="pt-BR"/>
        </w:rPr>
      </w:pPr>
    </w:p>
    <w:p w14:paraId="0ECAFAF7" w14:textId="77777777" w:rsidR="006038B3" w:rsidRDefault="008A20D4" w:rsidP="008A20D4">
      <w:pPr>
        <w:tabs>
          <w:tab w:val="left" w:pos="3080"/>
        </w:tabs>
        <w:suppressAutoHyphens/>
        <w:spacing w:line="276" w:lineRule="auto"/>
        <w:rPr>
          <w:rFonts w:ascii="Cambria" w:hAnsi="Cambria"/>
          <w:sz w:val="20"/>
          <w:szCs w:val="20"/>
          <w:lang w:val="pt-BR"/>
        </w:rPr>
      </w:pPr>
      <w:r>
        <w:rPr>
          <w:rFonts w:ascii="Cambria" w:hAnsi="Cambria"/>
          <w:sz w:val="20"/>
          <w:szCs w:val="20"/>
          <w:lang w:val="pt-BR"/>
        </w:rPr>
        <w:tab/>
      </w:r>
    </w:p>
    <w:p w14:paraId="1C0A8038" w14:textId="77777777" w:rsidR="008E4EE6" w:rsidRDefault="008E4EE6" w:rsidP="008A20D4">
      <w:pPr>
        <w:tabs>
          <w:tab w:val="left" w:pos="3080"/>
        </w:tabs>
        <w:suppressAutoHyphens/>
        <w:spacing w:line="276" w:lineRule="auto"/>
        <w:rPr>
          <w:rFonts w:ascii="Cambria" w:hAnsi="Cambria"/>
          <w:sz w:val="20"/>
          <w:szCs w:val="20"/>
          <w:lang w:val="pt-BR"/>
        </w:rPr>
      </w:pPr>
    </w:p>
    <w:p w14:paraId="59E59772" w14:textId="77777777" w:rsidR="008E4EE6" w:rsidRDefault="008E4EE6" w:rsidP="008A20D4">
      <w:pPr>
        <w:tabs>
          <w:tab w:val="left" w:pos="3080"/>
        </w:tabs>
        <w:suppressAutoHyphens/>
        <w:spacing w:line="276" w:lineRule="auto"/>
        <w:rPr>
          <w:rFonts w:ascii="Cambria" w:hAnsi="Cambria"/>
          <w:sz w:val="20"/>
          <w:szCs w:val="20"/>
          <w:lang w:val="pt-BR"/>
        </w:rPr>
      </w:pPr>
    </w:p>
    <w:p w14:paraId="57EFC59B" w14:textId="77777777" w:rsidR="008E4EE6" w:rsidRDefault="008E4EE6" w:rsidP="008A20D4">
      <w:pPr>
        <w:tabs>
          <w:tab w:val="left" w:pos="3080"/>
        </w:tabs>
        <w:suppressAutoHyphens/>
        <w:spacing w:line="276" w:lineRule="auto"/>
        <w:rPr>
          <w:rFonts w:ascii="Cambria" w:hAnsi="Cambria"/>
          <w:sz w:val="20"/>
          <w:szCs w:val="20"/>
          <w:lang w:val="pt-BR"/>
        </w:rPr>
      </w:pPr>
    </w:p>
    <w:p w14:paraId="247CB94E" w14:textId="77777777" w:rsidR="008E4EE6" w:rsidRDefault="008E4EE6" w:rsidP="008A20D4">
      <w:pPr>
        <w:tabs>
          <w:tab w:val="left" w:pos="3080"/>
        </w:tabs>
        <w:suppressAutoHyphens/>
        <w:spacing w:line="276" w:lineRule="auto"/>
        <w:rPr>
          <w:rFonts w:ascii="Cambria" w:hAnsi="Cambria"/>
          <w:sz w:val="20"/>
          <w:szCs w:val="20"/>
          <w:lang w:val="pt-BR"/>
        </w:rPr>
      </w:pPr>
    </w:p>
    <w:p w14:paraId="5FDDB1B0" w14:textId="77777777" w:rsidR="008E4EE6" w:rsidRPr="00337743" w:rsidRDefault="008E4EE6" w:rsidP="008A20D4">
      <w:pPr>
        <w:tabs>
          <w:tab w:val="left" w:pos="3080"/>
        </w:tabs>
        <w:suppressAutoHyphens/>
        <w:spacing w:line="276" w:lineRule="auto"/>
        <w:rPr>
          <w:rFonts w:ascii="Cambria" w:hAnsi="Cambria"/>
          <w:sz w:val="20"/>
          <w:szCs w:val="20"/>
          <w:lang w:val="pt-BR"/>
        </w:rPr>
      </w:pPr>
    </w:p>
    <w:p w14:paraId="56F68A4C" w14:textId="77777777" w:rsidR="006038B3" w:rsidRPr="00337743" w:rsidRDefault="006038B3" w:rsidP="00472955">
      <w:pPr>
        <w:tabs>
          <w:tab w:val="center" w:pos="5400"/>
        </w:tabs>
        <w:suppressAutoHyphens/>
        <w:spacing w:line="276" w:lineRule="auto"/>
        <w:rPr>
          <w:rFonts w:ascii="Cambria" w:hAnsi="Cambria"/>
          <w:sz w:val="20"/>
          <w:szCs w:val="20"/>
          <w:lang w:val="pt-BR"/>
        </w:rPr>
      </w:pPr>
    </w:p>
    <w:p w14:paraId="4B246BE3" w14:textId="77777777" w:rsidR="006038B3" w:rsidRDefault="006038B3" w:rsidP="00472955">
      <w:pPr>
        <w:tabs>
          <w:tab w:val="center" w:pos="5400"/>
        </w:tabs>
        <w:suppressAutoHyphens/>
        <w:spacing w:line="276" w:lineRule="auto"/>
        <w:rPr>
          <w:rFonts w:ascii="Cambria" w:hAnsi="Cambria"/>
          <w:sz w:val="20"/>
          <w:szCs w:val="20"/>
          <w:lang w:val="pt-BR"/>
        </w:rPr>
      </w:pPr>
    </w:p>
    <w:p w14:paraId="4F4BBAFB" w14:textId="77777777" w:rsidR="00612119" w:rsidRDefault="00612119" w:rsidP="00472955">
      <w:pPr>
        <w:tabs>
          <w:tab w:val="center" w:pos="5400"/>
        </w:tabs>
        <w:suppressAutoHyphens/>
        <w:spacing w:line="276" w:lineRule="auto"/>
        <w:rPr>
          <w:rFonts w:ascii="Cambria" w:hAnsi="Cambria"/>
          <w:sz w:val="20"/>
          <w:szCs w:val="20"/>
          <w:lang w:val="pt-BR"/>
        </w:rPr>
      </w:pPr>
    </w:p>
    <w:p w14:paraId="27510F05" w14:textId="77777777" w:rsidR="0037498D" w:rsidRDefault="0037498D" w:rsidP="00472955">
      <w:pPr>
        <w:tabs>
          <w:tab w:val="center" w:pos="5400"/>
        </w:tabs>
        <w:suppressAutoHyphens/>
        <w:spacing w:line="276" w:lineRule="auto"/>
        <w:rPr>
          <w:rFonts w:ascii="Cambria" w:hAnsi="Cambria"/>
          <w:sz w:val="20"/>
          <w:szCs w:val="20"/>
          <w:lang w:val="pt-BR"/>
        </w:rPr>
      </w:pPr>
    </w:p>
    <w:p w14:paraId="6BB9F281" w14:textId="77777777" w:rsidR="00F93C21" w:rsidRDefault="00F93C21" w:rsidP="00472955">
      <w:pPr>
        <w:tabs>
          <w:tab w:val="center" w:pos="5400"/>
        </w:tabs>
        <w:suppressAutoHyphens/>
        <w:spacing w:line="276" w:lineRule="auto"/>
        <w:rPr>
          <w:rFonts w:ascii="Cambria" w:hAnsi="Cambria"/>
          <w:sz w:val="20"/>
          <w:szCs w:val="20"/>
          <w:lang w:val="pt-BR"/>
        </w:rPr>
      </w:pPr>
    </w:p>
    <w:p w14:paraId="4AB8893C" w14:textId="77777777" w:rsidR="0071702C" w:rsidRDefault="0071702C" w:rsidP="00A63DD8">
      <w:pPr>
        <w:pStyle w:val="Heading1"/>
        <w:tabs>
          <w:tab w:val="left" w:pos="540"/>
        </w:tabs>
        <w:spacing w:before="0"/>
        <w:rPr>
          <w:color w:val="auto"/>
          <w:sz w:val="20"/>
          <w:szCs w:val="20"/>
          <w:lang w:val="pt-BR"/>
        </w:rPr>
        <w:sectPr w:rsidR="0071702C" w:rsidSect="00787C74">
          <w:type w:val="oddPage"/>
          <w:pgSz w:w="12240" w:h="15840"/>
          <w:pgMar w:top="1440" w:right="1325" w:bottom="1440" w:left="1440" w:header="720" w:footer="720" w:gutter="0"/>
          <w:pgNumType w:start="1"/>
          <w:cols w:space="720"/>
          <w:titlePg/>
          <w:docGrid w:linePitch="326"/>
        </w:sectPr>
      </w:pPr>
    </w:p>
    <w:p w14:paraId="4A2853AC" w14:textId="2FA792D4" w:rsidR="008E4EE6" w:rsidRPr="00337743" w:rsidRDefault="008E4EE6" w:rsidP="0071702C">
      <w:pPr>
        <w:pStyle w:val="Heading1"/>
        <w:spacing w:before="0"/>
        <w:rPr>
          <w:color w:val="auto"/>
          <w:sz w:val="20"/>
          <w:szCs w:val="20"/>
          <w:lang w:val="pt-BR"/>
        </w:rPr>
      </w:pPr>
      <w:bookmarkStart w:id="3" w:name="_Toc17097151"/>
      <w:r w:rsidRPr="00337743">
        <w:rPr>
          <w:color w:val="auto"/>
          <w:sz w:val="20"/>
          <w:szCs w:val="20"/>
          <w:lang w:val="pt-BR"/>
        </w:rPr>
        <w:lastRenderedPageBreak/>
        <w:t>INTRODUÇÃO</w:t>
      </w:r>
      <w:bookmarkEnd w:id="3"/>
    </w:p>
    <w:p w14:paraId="081EC694" w14:textId="77777777" w:rsidR="008E4EE6" w:rsidRPr="00337743" w:rsidRDefault="008E4EE6" w:rsidP="0071702C">
      <w:pPr>
        <w:suppressAutoHyphens/>
        <w:rPr>
          <w:rFonts w:ascii="Cambria" w:hAnsi="Cambria"/>
          <w:b/>
          <w:sz w:val="20"/>
          <w:szCs w:val="20"/>
          <w:lang w:val="pt-BR"/>
        </w:rPr>
      </w:pPr>
    </w:p>
    <w:p w14:paraId="1FB4CE1F" w14:textId="6238D49D" w:rsidR="008E4EE6" w:rsidRPr="00337743" w:rsidRDefault="008E4EE6"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337743">
        <w:rPr>
          <w:rFonts w:ascii="Cambria" w:hAnsi="Cambria"/>
          <w:color w:val="000000"/>
          <w:sz w:val="20"/>
          <w:szCs w:val="20"/>
          <w:lang w:val="pt-BR"/>
        </w:rPr>
        <w:t xml:space="preserve">Em </w:t>
      </w:r>
      <w:r>
        <w:rPr>
          <w:rFonts w:ascii="Cambria" w:hAnsi="Cambria"/>
          <w:color w:val="000000"/>
          <w:sz w:val="20"/>
          <w:szCs w:val="20"/>
          <w:lang w:val="pt-BR"/>
        </w:rPr>
        <w:t>27</w:t>
      </w:r>
      <w:r w:rsidRPr="00337743">
        <w:rPr>
          <w:rFonts w:ascii="Cambria" w:hAnsi="Cambria"/>
          <w:color w:val="000000"/>
          <w:sz w:val="20"/>
          <w:szCs w:val="20"/>
          <w:lang w:val="pt-BR"/>
        </w:rPr>
        <w:t xml:space="preserve"> de </w:t>
      </w:r>
      <w:r>
        <w:rPr>
          <w:rFonts w:ascii="Cambria" w:hAnsi="Cambria"/>
          <w:color w:val="000000"/>
          <w:sz w:val="20"/>
          <w:szCs w:val="20"/>
          <w:lang w:val="pt-BR"/>
        </w:rPr>
        <w:t>agosto</w:t>
      </w:r>
      <w:r w:rsidRPr="00337743">
        <w:rPr>
          <w:rFonts w:ascii="Cambria" w:hAnsi="Cambria"/>
          <w:color w:val="000000"/>
          <w:sz w:val="20"/>
          <w:szCs w:val="20"/>
          <w:lang w:val="pt-BR"/>
        </w:rPr>
        <w:t xml:space="preserve"> de 200</w:t>
      </w:r>
      <w:r>
        <w:rPr>
          <w:rFonts w:ascii="Cambria" w:hAnsi="Cambria"/>
          <w:color w:val="000000"/>
          <w:sz w:val="20"/>
          <w:szCs w:val="20"/>
          <w:lang w:val="pt-BR"/>
        </w:rPr>
        <w:t>3,</w:t>
      </w:r>
      <w:r w:rsidRPr="00337743">
        <w:rPr>
          <w:rFonts w:ascii="Cambria" w:hAnsi="Cambria"/>
          <w:color w:val="000000"/>
          <w:sz w:val="20"/>
          <w:szCs w:val="20"/>
          <w:lang w:val="pt-BR"/>
        </w:rPr>
        <w:t xml:space="preserve"> a Comissão Interamericana de Direitos Humanos (doravante “Comissão”, “Comissão Interamericana” ou “CIDH”) recebeu uma petição apresentada </w:t>
      </w:r>
      <w:r>
        <w:rPr>
          <w:rFonts w:ascii="Cambria" w:hAnsi="Cambria"/>
          <w:color w:val="000000"/>
          <w:sz w:val="20"/>
          <w:szCs w:val="20"/>
          <w:lang w:val="pt-BR"/>
        </w:rPr>
        <w:t>pelo Centro de Justi</w:t>
      </w:r>
      <w:r w:rsidRPr="00337743">
        <w:rPr>
          <w:rFonts w:ascii="Cambria" w:hAnsi="Cambria"/>
          <w:sz w:val="20"/>
          <w:szCs w:val="20"/>
          <w:lang w:val="pt-BR"/>
        </w:rPr>
        <w:t>ç</w:t>
      </w:r>
      <w:r>
        <w:rPr>
          <w:rFonts w:ascii="Cambria" w:hAnsi="Cambria"/>
          <w:sz w:val="20"/>
          <w:szCs w:val="20"/>
          <w:lang w:val="pt-BR"/>
        </w:rPr>
        <w:t>a Global (CJG), pela Comissão Pastoral da Terra da Paraíba (CPT/PB) e pela Dignitatis - Assessoria Técnica Popular</w:t>
      </w:r>
      <w:r w:rsidRPr="00337743">
        <w:rPr>
          <w:rFonts w:ascii="Cambria" w:hAnsi="Cambria"/>
          <w:color w:val="000000"/>
          <w:sz w:val="20"/>
          <w:szCs w:val="20"/>
          <w:lang w:val="pt-BR"/>
        </w:rPr>
        <w:t xml:space="preserve"> (doravante “parte peticionária”) na qual se alega a responsabilidade internacional da República Federativa do Brasil (doravante “Estado brasileiro”, “Brasil” ou “Estado”</w:t>
      </w:r>
      <w:r w:rsidR="00A63DD8" w:rsidRPr="00337743">
        <w:rPr>
          <w:rStyle w:val="FootnoteReference"/>
          <w:rFonts w:ascii="Cambria" w:hAnsi="Cambria"/>
          <w:sz w:val="20"/>
          <w:szCs w:val="20"/>
          <w:lang w:val="pt-BR"/>
        </w:rPr>
        <w:footnoteReference w:id="2"/>
      </w:r>
      <w:r w:rsidRPr="00337743">
        <w:rPr>
          <w:rFonts w:ascii="Cambria" w:hAnsi="Cambria"/>
          <w:color w:val="000000"/>
          <w:sz w:val="20"/>
          <w:szCs w:val="20"/>
          <w:lang w:val="pt-BR"/>
        </w:rPr>
        <w:t>) pel</w:t>
      </w:r>
      <w:r>
        <w:rPr>
          <w:rFonts w:ascii="Cambria" w:hAnsi="Cambria"/>
          <w:color w:val="000000"/>
          <w:sz w:val="20"/>
          <w:szCs w:val="20"/>
          <w:lang w:val="pt-BR"/>
        </w:rPr>
        <w:t xml:space="preserve">a alegada </w:t>
      </w:r>
      <w:r w:rsidRPr="006E0CFC">
        <w:rPr>
          <w:rFonts w:ascii="Cambria" w:hAnsi="Cambria"/>
          <w:sz w:val="20"/>
          <w:szCs w:val="20"/>
          <w:lang w:val="pt-BR"/>
        </w:rPr>
        <w:t>falta de preven</w:t>
      </w:r>
      <w:r w:rsidRPr="00072665">
        <w:rPr>
          <w:rFonts w:ascii="Cambria" w:hAnsi="Cambria"/>
          <w:sz w:val="20"/>
          <w:szCs w:val="20"/>
          <w:lang w:val="pt-BR"/>
        </w:rPr>
        <w:t xml:space="preserve">ção </w:t>
      </w:r>
      <w:r>
        <w:rPr>
          <w:rFonts w:ascii="Cambria" w:hAnsi="Cambria"/>
          <w:sz w:val="20"/>
          <w:szCs w:val="20"/>
          <w:lang w:val="pt-BR"/>
        </w:rPr>
        <w:t>d</w:t>
      </w:r>
      <w:r>
        <w:rPr>
          <w:rFonts w:ascii="Cambria" w:hAnsi="Cambria"/>
          <w:color w:val="000000"/>
          <w:sz w:val="20"/>
          <w:szCs w:val="20"/>
          <w:lang w:val="pt-BR"/>
        </w:rPr>
        <w:t>o</w:t>
      </w:r>
      <w:r w:rsidRPr="00337743">
        <w:rPr>
          <w:rFonts w:ascii="Cambria" w:hAnsi="Cambria"/>
          <w:color w:val="000000"/>
          <w:sz w:val="20"/>
          <w:szCs w:val="20"/>
          <w:lang w:val="pt-BR"/>
        </w:rPr>
        <w:t xml:space="preserve"> </w:t>
      </w:r>
      <w:r>
        <w:rPr>
          <w:rFonts w:ascii="Cambria" w:hAnsi="Cambria"/>
          <w:color w:val="000000"/>
          <w:sz w:val="20"/>
          <w:szCs w:val="20"/>
          <w:lang w:val="pt-BR"/>
        </w:rPr>
        <w:t>assassinato</w:t>
      </w:r>
      <w:r w:rsidRPr="00337743">
        <w:rPr>
          <w:rFonts w:ascii="Cambria" w:hAnsi="Cambria"/>
          <w:color w:val="000000"/>
          <w:sz w:val="20"/>
          <w:szCs w:val="20"/>
          <w:lang w:val="pt-BR"/>
        </w:rPr>
        <w:t xml:space="preserve"> de </w:t>
      </w:r>
      <w:r>
        <w:rPr>
          <w:rFonts w:ascii="Cambria" w:hAnsi="Cambria"/>
          <w:color w:val="000000"/>
          <w:sz w:val="20"/>
          <w:szCs w:val="20"/>
          <w:lang w:val="pt-BR"/>
        </w:rPr>
        <w:t xml:space="preserve">Manoel Luiz da Silva (“a suposta vítima”), presumidamente cometido por José Caetano da Silva, Severino Lima da Silva e Marcelo da Silva </w:t>
      </w:r>
      <w:r w:rsidR="00C9008D">
        <w:rPr>
          <w:rFonts w:ascii="Cambria" w:hAnsi="Cambria"/>
          <w:sz w:val="20"/>
          <w:szCs w:val="20"/>
          <w:lang w:val="pt-BR"/>
        </w:rPr>
        <w:t>W</w:t>
      </w:r>
      <w:r w:rsidR="00C9008D" w:rsidRPr="006E0CFC">
        <w:rPr>
          <w:rFonts w:ascii="Cambria" w:hAnsi="Cambria"/>
          <w:sz w:val="20"/>
          <w:szCs w:val="20"/>
          <w:lang w:val="pt-BR"/>
        </w:rPr>
        <w:t>anderley</w:t>
      </w:r>
      <w:r>
        <w:rPr>
          <w:rFonts w:ascii="Cambria" w:hAnsi="Cambria"/>
          <w:color w:val="000000"/>
          <w:sz w:val="20"/>
          <w:szCs w:val="20"/>
          <w:lang w:val="pt-BR"/>
        </w:rPr>
        <w:t xml:space="preserve">, </w:t>
      </w:r>
      <w:r>
        <w:rPr>
          <w:rFonts w:ascii="Cambria" w:hAnsi="Cambria"/>
          <w:sz w:val="20"/>
          <w:szCs w:val="20"/>
          <w:lang w:val="pt-BR"/>
        </w:rPr>
        <w:t>a mando do fazendeiro Alcides Vieira de Azevedo,</w:t>
      </w:r>
      <w:r w:rsidRPr="00337743">
        <w:rPr>
          <w:rFonts w:ascii="Cambria" w:hAnsi="Cambria"/>
          <w:color w:val="000000"/>
          <w:sz w:val="20"/>
          <w:szCs w:val="20"/>
          <w:lang w:val="pt-BR"/>
        </w:rPr>
        <w:t xml:space="preserve"> bem como pela situação de impunidade </w:t>
      </w:r>
      <w:r>
        <w:rPr>
          <w:rFonts w:ascii="Cambria" w:hAnsi="Cambria"/>
          <w:color w:val="000000"/>
          <w:sz w:val="20"/>
          <w:szCs w:val="20"/>
          <w:lang w:val="pt-BR"/>
        </w:rPr>
        <w:t>subsequente</w:t>
      </w:r>
      <w:r w:rsidRPr="00337743">
        <w:rPr>
          <w:rFonts w:ascii="Cambria" w:hAnsi="Cambria"/>
          <w:color w:val="000000"/>
          <w:sz w:val="20"/>
          <w:szCs w:val="20"/>
          <w:lang w:val="pt-BR"/>
        </w:rPr>
        <w:t xml:space="preserve">. </w:t>
      </w:r>
    </w:p>
    <w:p w14:paraId="76543122" w14:textId="77777777" w:rsidR="008E4EE6" w:rsidRPr="00337743" w:rsidRDefault="008E4EE6"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16EDD632" w14:textId="77777777" w:rsidR="008E4EE6" w:rsidRPr="00337743" w:rsidRDefault="008E4EE6"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337743">
        <w:rPr>
          <w:rFonts w:ascii="Cambria" w:hAnsi="Cambria"/>
          <w:sz w:val="20"/>
          <w:szCs w:val="20"/>
          <w:lang w:val="pt-BR"/>
        </w:rPr>
        <w:t xml:space="preserve">A Comissão aprovou o relatório de admissibilidade </w:t>
      </w:r>
      <w:r>
        <w:rPr>
          <w:rFonts w:ascii="Cambria" w:hAnsi="Cambria"/>
          <w:sz w:val="20"/>
          <w:szCs w:val="20"/>
          <w:lang w:val="pt-BR"/>
        </w:rPr>
        <w:t>n</w:t>
      </w:r>
      <w:r w:rsidRPr="00337743">
        <w:rPr>
          <w:rFonts w:ascii="Cambria" w:hAnsi="Cambria"/>
          <w:sz w:val="20"/>
          <w:szCs w:val="20"/>
          <w:lang w:val="pt-BR"/>
        </w:rPr>
        <w:t xml:space="preserve">º </w:t>
      </w:r>
      <w:r>
        <w:rPr>
          <w:rFonts w:ascii="Cambria" w:hAnsi="Cambria"/>
          <w:sz w:val="20"/>
          <w:szCs w:val="20"/>
          <w:lang w:val="pt-BR"/>
        </w:rPr>
        <w:t>83</w:t>
      </w:r>
      <w:r w:rsidRPr="00337743">
        <w:rPr>
          <w:rFonts w:ascii="Cambria" w:hAnsi="Cambria"/>
          <w:sz w:val="20"/>
          <w:szCs w:val="20"/>
          <w:lang w:val="pt-BR"/>
        </w:rPr>
        <w:t>/0</w:t>
      </w:r>
      <w:r>
        <w:rPr>
          <w:rFonts w:ascii="Cambria" w:hAnsi="Cambria"/>
          <w:sz w:val="20"/>
          <w:szCs w:val="20"/>
          <w:lang w:val="pt-BR"/>
        </w:rPr>
        <w:t>6</w:t>
      </w:r>
      <w:r w:rsidRPr="00337743">
        <w:rPr>
          <w:rFonts w:ascii="Cambria" w:hAnsi="Cambria"/>
          <w:sz w:val="20"/>
          <w:szCs w:val="20"/>
          <w:lang w:val="pt-BR"/>
        </w:rPr>
        <w:t xml:space="preserve"> em </w:t>
      </w:r>
      <w:r>
        <w:rPr>
          <w:rFonts w:ascii="Cambria" w:hAnsi="Cambria"/>
          <w:sz w:val="20"/>
          <w:szCs w:val="20"/>
          <w:lang w:val="pt-BR"/>
        </w:rPr>
        <w:t>21</w:t>
      </w:r>
      <w:r w:rsidRPr="00337743">
        <w:rPr>
          <w:rFonts w:ascii="Cambria" w:hAnsi="Cambria"/>
          <w:sz w:val="20"/>
          <w:szCs w:val="20"/>
          <w:lang w:val="pt-BR"/>
        </w:rPr>
        <w:t xml:space="preserve"> de </w:t>
      </w:r>
      <w:r>
        <w:rPr>
          <w:rFonts w:ascii="Cambria" w:hAnsi="Cambria"/>
          <w:sz w:val="20"/>
          <w:szCs w:val="20"/>
          <w:lang w:val="pt-BR"/>
        </w:rPr>
        <w:t>outubro</w:t>
      </w:r>
      <w:r w:rsidRPr="00337743">
        <w:rPr>
          <w:rFonts w:ascii="Cambria" w:hAnsi="Cambria"/>
          <w:sz w:val="20"/>
          <w:szCs w:val="20"/>
          <w:lang w:val="pt-BR"/>
        </w:rPr>
        <w:t xml:space="preserve"> de 200</w:t>
      </w:r>
      <w:r>
        <w:rPr>
          <w:rFonts w:ascii="Cambria" w:hAnsi="Cambria"/>
          <w:sz w:val="20"/>
          <w:szCs w:val="20"/>
          <w:lang w:val="pt-BR"/>
        </w:rPr>
        <w:t>6</w:t>
      </w:r>
      <w:r w:rsidRPr="00337743">
        <w:rPr>
          <w:rStyle w:val="FootnoteReference"/>
          <w:rFonts w:ascii="Cambria" w:hAnsi="Cambria"/>
          <w:sz w:val="20"/>
          <w:szCs w:val="20"/>
          <w:lang w:val="pt-BR"/>
        </w:rPr>
        <w:footnoteReference w:id="3"/>
      </w:r>
      <w:r w:rsidRPr="00337743">
        <w:rPr>
          <w:rFonts w:ascii="Cambria" w:hAnsi="Cambria"/>
          <w:sz w:val="20"/>
          <w:szCs w:val="20"/>
          <w:lang w:val="pt-BR"/>
        </w:rPr>
        <w:t xml:space="preserve">. Em </w:t>
      </w:r>
      <w:r w:rsidRPr="005F4F63">
        <w:rPr>
          <w:rFonts w:ascii="Cambria" w:hAnsi="Cambria"/>
          <w:sz w:val="20"/>
          <w:szCs w:val="20"/>
          <w:lang w:val="pt-BR"/>
        </w:rPr>
        <w:t xml:space="preserve">15 de </w:t>
      </w:r>
      <w:r>
        <w:rPr>
          <w:rFonts w:ascii="Cambria" w:hAnsi="Cambria"/>
          <w:sz w:val="20"/>
          <w:szCs w:val="20"/>
          <w:lang w:val="pt-BR"/>
        </w:rPr>
        <w:t>novembro</w:t>
      </w:r>
      <w:r w:rsidRPr="005F4F63">
        <w:rPr>
          <w:rFonts w:ascii="Cambria" w:hAnsi="Cambria"/>
          <w:sz w:val="20"/>
          <w:szCs w:val="20"/>
          <w:lang w:val="pt-BR"/>
        </w:rPr>
        <w:t xml:space="preserve"> de 200</w:t>
      </w:r>
      <w:r>
        <w:rPr>
          <w:rFonts w:ascii="Cambria" w:hAnsi="Cambria"/>
          <w:sz w:val="20"/>
          <w:szCs w:val="20"/>
          <w:lang w:val="pt-BR"/>
        </w:rPr>
        <w:t>6,</w:t>
      </w:r>
      <w:r w:rsidRPr="005F4F63">
        <w:rPr>
          <w:rFonts w:ascii="Cambria" w:hAnsi="Cambria"/>
          <w:sz w:val="20"/>
          <w:szCs w:val="20"/>
          <w:lang w:val="pt-BR"/>
        </w:rPr>
        <w:t xml:space="preserve"> </w:t>
      </w:r>
      <w:r w:rsidRPr="00337743">
        <w:rPr>
          <w:rFonts w:ascii="Cambria" w:hAnsi="Cambria"/>
          <w:sz w:val="20"/>
          <w:szCs w:val="20"/>
          <w:lang w:val="pt-BR"/>
        </w:rPr>
        <w:t>a Comissão notificou esse relatório às partes</w:t>
      </w:r>
      <w:r>
        <w:rPr>
          <w:rFonts w:ascii="Cambria" w:hAnsi="Cambria"/>
          <w:sz w:val="20"/>
          <w:szCs w:val="20"/>
          <w:lang w:val="pt-BR"/>
        </w:rPr>
        <w:t xml:space="preserve"> e se colocou à disposi</w:t>
      </w:r>
      <w:r w:rsidRPr="00337743">
        <w:rPr>
          <w:rFonts w:ascii="Cambria" w:hAnsi="Cambria"/>
          <w:sz w:val="20"/>
          <w:szCs w:val="20"/>
          <w:lang w:val="pt-BR"/>
        </w:rPr>
        <w:t>ção</w:t>
      </w:r>
      <w:r>
        <w:rPr>
          <w:rFonts w:ascii="Cambria" w:hAnsi="Cambria"/>
          <w:sz w:val="20"/>
          <w:szCs w:val="20"/>
          <w:lang w:val="pt-BR"/>
        </w:rPr>
        <w:t xml:space="preserve"> a fim de chegar a uma solu</w:t>
      </w:r>
      <w:r w:rsidRPr="00337743">
        <w:rPr>
          <w:rFonts w:ascii="Cambria" w:hAnsi="Cambria"/>
          <w:sz w:val="20"/>
          <w:szCs w:val="20"/>
          <w:lang w:val="pt-BR"/>
        </w:rPr>
        <w:t>ção</w:t>
      </w:r>
      <w:r>
        <w:rPr>
          <w:rFonts w:ascii="Cambria" w:hAnsi="Cambria"/>
          <w:sz w:val="20"/>
          <w:szCs w:val="20"/>
          <w:lang w:val="pt-BR"/>
        </w:rPr>
        <w:t xml:space="preserve"> amistosa</w:t>
      </w:r>
      <w:r w:rsidRPr="00337743">
        <w:rPr>
          <w:rFonts w:ascii="Cambria" w:hAnsi="Cambria"/>
          <w:sz w:val="20"/>
          <w:szCs w:val="20"/>
          <w:lang w:val="pt-BR"/>
        </w:rPr>
        <w:t xml:space="preserve">. As partes contaram com todos os prazos regulamentares para apresentar suas observações adicionais sobre o mérito. Toda a informação recebida foi devidamente trasladada entre as partes. </w:t>
      </w:r>
    </w:p>
    <w:p w14:paraId="3D3F04EC" w14:textId="77777777" w:rsidR="008E4EE6" w:rsidRPr="00337743" w:rsidRDefault="008E4EE6"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35AC9386" w14:textId="77777777" w:rsidR="008E4EE6" w:rsidRPr="00337743" w:rsidRDefault="008E4EE6" w:rsidP="0071702C">
      <w:pPr>
        <w:pStyle w:val="Heading1"/>
        <w:spacing w:before="0"/>
        <w:rPr>
          <w:color w:val="auto"/>
          <w:sz w:val="20"/>
          <w:szCs w:val="20"/>
          <w:lang w:val="pt-BR"/>
        </w:rPr>
      </w:pPr>
      <w:bookmarkStart w:id="4" w:name="_Toc17097152"/>
      <w:r w:rsidRPr="00337743">
        <w:rPr>
          <w:color w:val="auto"/>
          <w:sz w:val="20"/>
          <w:szCs w:val="20"/>
          <w:lang w:val="pt-BR"/>
        </w:rPr>
        <w:t>ALEGAÇÕES DAS PARTES</w:t>
      </w:r>
      <w:bookmarkEnd w:id="4"/>
    </w:p>
    <w:p w14:paraId="38A44197" w14:textId="77777777" w:rsidR="008E4EE6" w:rsidRPr="00337743" w:rsidRDefault="008E4EE6" w:rsidP="0071702C">
      <w:pPr>
        <w:rPr>
          <w:rFonts w:ascii="Cambria" w:hAnsi="Cambria"/>
          <w:sz w:val="20"/>
          <w:szCs w:val="20"/>
          <w:lang w:val="pt-BR"/>
        </w:rPr>
      </w:pPr>
    </w:p>
    <w:p w14:paraId="10750364" w14:textId="77777777" w:rsidR="008E4EE6" w:rsidRPr="009F1C8F" w:rsidRDefault="008E4EE6" w:rsidP="009F1C8F">
      <w:pPr>
        <w:pStyle w:val="Heading2"/>
      </w:pPr>
      <w:bookmarkStart w:id="5" w:name="_Toc17097153"/>
      <w:r w:rsidRPr="009F1C8F">
        <w:t>Parte peticionária</w:t>
      </w:r>
      <w:bookmarkEnd w:id="5"/>
    </w:p>
    <w:p w14:paraId="740FDC61" w14:textId="77777777" w:rsidR="008E4EE6" w:rsidRPr="00337743" w:rsidRDefault="008E4EE6" w:rsidP="0071702C">
      <w:pPr>
        <w:suppressAutoHyphens/>
        <w:rPr>
          <w:rFonts w:ascii="Cambria" w:hAnsi="Cambria"/>
          <w:sz w:val="20"/>
          <w:szCs w:val="20"/>
          <w:lang w:val="pt-BR"/>
        </w:rPr>
      </w:pPr>
    </w:p>
    <w:p w14:paraId="1F867944" w14:textId="24A8955D" w:rsidR="008E4EE6" w:rsidRDefault="008E4EE6"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326783">
        <w:rPr>
          <w:rFonts w:ascii="Cambria" w:hAnsi="Cambria"/>
          <w:color w:val="000000"/>
          <w:sz w:val="20"/>
          <w:szCs w:val="20"/>
          <w:lang w:val="pt-BR"/>
        </w:rPr>
        <w:t xml:space="preserve">A parte peticionária alega que o trabalhador rural </w:t>
      </w:r>
      <w:r>
        <w:rPr>
          <w:rFonts w:ascii="Cambria" w:hAnsi="Cambria"/>
          <w:color w:val="000000"/>
          <w:sz w:val="20"/>
          <w:szCs w:val="20"/>
          <w:lang w:val="pt-BR"/>
        </w:rPr>
        <w:t xml:space="preserve">Manoel Luiz da Silva </w:t>
      </w:r>
      <w:r w:rsidRPr="00326783">
        <w:rPr>
          <w:rFonts w:ascii="Cambria" w:hAnsi="Cambria"/>
          <w:color w:val="000000"/>
          <w:sz w:val="20"/>
          <w:szCs w:val="20"/>
          <w:lang w:val="pt-BR"/>
        </w:rPr>
        <w:t xml:space="preserve">teria sido assassinado, em </w:t>
      </w:r>
      <w:r>
        <w:rPr>
          <w:rFonts w:ascii="Cambria" w:hAnsi="Cambria"/>
          <w:color w:val="000000"/>
          <w:sz w:val="20"/>
          <w:szCs w:val="20"/>
          <w:lang w:val="pt-BR"/>
        </w:rPr>
        <w:t>19</w:t>
      </w:r>
      <w:r w:rsidRPr="00326783">
        <w:rPr>
          <w:rFonts w:ascii="Cambria" w:hAnsi="Cambria"/>
          <w:color w:val="000000"/>
          <w:sz w:val="20"/>
          <w:szCs w:val="20"/>
          <w:lang w:val="pt-BR"/>
        </w:rPr>
        <w:t xml:space="preserve"> de </w:t>
      </w:r>
      <w:r>
        <w:rPr>
          <w:rFonts w:ascii="Cambria" w:hAnsi="Cambria"/>
          <w:color w:val="000000"/>
          <w:sz w:val="20"/>
          <w:szCs w:val="20"/>
          <w:lang w:val="pt-BR"/>
        </w:rPr>
        <w:t>maio</w:t>
      </w:r>
      <w:r w:rsidRPr="00326783">
        <w:rPr>
          <w:rFonts w:ascii="Cambria" w:hAnsi="Cambria"/>
          <w:color w:val="000000"/>
          <w:sz w:val="20"/>
          <w:szCs w:val="20"/>
          <w:lang w:val="pt-BR"/>
        </w:rPr>
        <w:t xml:space="preserve"> de 199</w:t>
      </w:r>
      <w:r>
        <w:rPr>
          <w:rFonts w:ascii="Cambria" w:hAnsi="Cambria"/>
          <w:color w:val="000000"/>
          <w:sz w:val="20"/>
          <w:szCs w:val="20"/>
          <w:lang w:val="pt-BR"/>
        </w:rPr>
        <w:t>7</w:t>
      </w:r>
      <w:r w:rsidRPr="00326783">
        <w:rPr>
          <w:rFonts w:ascii="Cambria" w:hAnsi="Cambria"/>
          <w:color w:val="000000"/>
          <w:sz w:val="20"/>
          <w:szCs w:val="20"/>
          <w:lang w:val="pt-BR"/>
        </w:rPr>
        <w:t xml:space="preserve">, por </w:t>
      </w:r>
      <w:r>
        <w:rPr>
          <w:rFonts w:ascii="Cambria" w:hAnsi="Cambria"/>
          <w:color w:val="000000"/>
          <w:sz w:val="20"/>
          <w:szCs w:val="20"/>
          <w:lang w:val="pt-BR"/>
        </w:rPr>
        <w:t xml:space="preserve">José Caetano da Silva, Severino Lima da Silva e Marcelo da Silva </w:t>
      </w:r>
      <w:r w:rsidR="00C9008D">
        <w:rPr>
          <w:rFonts w:ascii="Cambria" w:hAnsi="Cambria"/>
          <w:sz w:val="20"/>
          <w:szCs w:val="20"/>
          <w:lang w:val="pt-BR"/>
        </w:rPr>
        <w:t>W</w:t>
      </w:r>
      <w:r w:rsidR="00C9008D" w:rsidRPr="006E0CFC">
        <w:rPr>
          <w:rFonts w:ascii="Cambria" w:hAnsi="Cambria"/>
          <w:sz w:val="20"/>
          <w:szCs w:val="20"/>
          <w:lang w:val="pt-BR"/>
        </w:rPr>
        <w:t>anderley</w:t>
      </w:r>
      <w:r>
        <w:rPr>
          <w:rFonts w:ascii="Cambria" w:hAnsi="Cambria"/>
          <w:color w:val="000000"/>
          <w:sz w:val="20"/>
          <w:szCs w:val="20"/>
          <w:lang w:val="pt-BR"/>
        </w:rPr>
        <w:t xml:space="preserve">, </w:t>
      </w:r>
      <w:r>
        <w:rPr>
          <w:rFonts w:ascii="Cambria" w:hAnsi="Cambria"/>
          <w:sz w:val="20"/>
          <w:szCs w:val="20"/>
          <w:lang w:val="pt-BR"/>
        </w:rPr>
        <w:t>a mando do fazendeiro Alcides Vieira de Azevedo</w:t>
      </w:r>
      <w:r w:rsidRPr="00326783">
        <w:rPr>
          <w:rFonts w:ascii="Cambria" w:hAnsi="Cambria"/>
          <w:color w:val="000000"/>
          <w:sz w:val="20"/>
          <w:szCs w:val="20"/>
          <w:lang w:val="pt-BR"/>
        </w:rPr>
        <w:t>, em consequ</w:t>
      </w:r>
      <w:r w:rsidRPr="00326783">
        <w:rPr>
          <w:rFonts w:ascii="Cambria" w:hAnsi="Cambria"/>
          <w:color w:val="212121"/>
          <w:sz w:val="20"/>
          <w:szCs w:val="20"/>
          <w:lang w:val="pt-PT"/>
        </w:rPr>
        <w:t>ê</w:t>
      </w:r>
      <w:r w:rsidRPr="00326783">
        <w:rPr>
          <w:rFonts w:ascii="Cambria" w:hAnsi="Cambria"/>
          <w:color w:val="000000"/>
          <w:sz w:val="20"/>
          <w:szCs w:val="20"/>
          <w:lang w:val="pt-BR"/>
        </w:rPr>
        <w:t xml:space="preserve">ncia de disputa de terras localizadas na </w:t>
      </w:r>
      <w:r w:rsidR="00254BC1">
        <w:rPr>
          <w:rFonts w:ascii="Cambria" w:hAnsi="Cambria"/>
          <w:color w:val="000000"/>
          <w:sz w:val="20"/>
          <w:szCs w:val="20"/>
          <w:lang w:val="pt-BR"/>
        </w:rPr>
        <w:t>f</w:t>
      </w:r>
      <w:r>
        <w:rPr>
          <w:rFonts w:ascii="Cambria" w:hAnsi="Cambria"/>
          <w:color w:val="000000"/>
          <w:sz w:val="20"/>
          <w:szCs w:val="20"/>
          <w:lang w:val="pt-BR"/>
        </w:rPr>
        <w:t xml:space="preserve">azenda Engenho </w:t>
      </w:r>
      <w:r w:rsidR="00C9008D">
        <w:rPr>
          <w:rFonts w:ascii="Cambria" w:hAnsi="Cambria"/>
          <w:color w:val="000000"/>
          <w:sz w:val="20"/>
          <w:szCs w:val="20"/>
          <w:lang w:val="pt-BR"/>
        </w:rPr>
        <w:t>T</w:t>
      </w:r>
      <w:r w:rsidR="00C9008D" w:rsidRPr="00D41673">
        <w:rPr>
          <w:rFonts w:ascii="Cambria" w:hAnsi="Cambria"/>
          <w:color w:val="000000"/>
          <w:sz w:val="20"/>
          <w:szCs w:val="20"/>
          <w:lang w:val="pt-BR"/>
        </w:rPr>
        <w:t>aipu</w:t>
      </w:r>
      <w:r>
        <w:rPr>
          <w:rFonts w:ascii="Cambria" w:hAnsi="Cambria"/>
          <w:color w:val="000000"/>
          <w:sz w:val="20"/>
          <w:szCs w:val="20"/>
          <w:lang w:val="pt-BR"/>
        </w:rPr>
        <w:t xml:space="preserve">, localizada no </w:t>
      </w:r>
      <w:r w:rsidR="00656179">
        <w:rPr>
          <w:rFonts w:ascii="Cambria" w:hAnsi="Cambria"/>
          <w:color w:val="000000"/>
          <w:sz w:val="20"/>
          <w:szCs w:val="20"/>
          <w:lang w:val="pt-BR"/>
        </w:rPr>
        <w:t>m</w:t>
      </w:r>
      <w:r>
        <w:rPr>
          <w:rFonts w:ascii="Cambria" w:hAnsi="Cambria"/>
          <w:color w:val="000000"/>
          <w:sz w:val="20"/>
          <w:szCs w:val="20"/>
          <w:lang w:val="pt-BR"/>
        </w:rPr>
        <w:t xml:space="preserve">unicípio de São Miguel de </w:t>
      </w:r>
      <w:r w:rsidR="00C9008D">
        <w:rPr>
          <w:rFonts w:ascii="Cambria" w:hAnsi="Cambria"/>
          <w:color w:val="000000"/>
          <w:sz w:val="20"/>
          <w:szCs w:val="20"/>
          <w:lang w:val="pt-BR"/>
        </w:rPr>
        <w:t>T</w:t>
      </w:r>
      <w:r w:rsidR="00C9008D" w:rsidRPr="00D41673">
        <w:rPr>
          <w:rFonts w:ascii="Cambria" w:hAnsi="Cambria"/>
          <w:color w:val="000000"/>
          <w:sz w:val="20"/>
          <w:szCs w:val="20"/>
          <w:lang w:val="pt-BR"/>
        </w:rPr>
        <w:t>aipu</w:t>
      </w:r>
      <w:r w:rsidR="00656179">
        <w:rPr>
          <w:rFonts w:ascii="Cambria" w:hAnsi="Cambria"/>
          <w:color w:val="000000"/>
          <w:sz w:val="20"/>
          <w:szCs w:val="20"/>
          <w:lang w:val="pt-BR"/>
        </w:rPr>
        <w:t>, e</w:t>
      </w:r>
      <w:r>
        <w:rPr>
          <w:rFonts w:ascii="Cambria" w:hAnsi="Cambria"/>
          <w:color w:val="000000"/>
          <w:sz w:val="20"/>
          <w:szCs w:val="20"/>
          <w:lang w:val="pt-BR"/>
        </w:rPr>
        <w:t>stado da Paraíba</w:t>
      </w:r>
      <w:r w:rsidRPr="00326783">
        <w:rPr>
          <w:rFonts w:ascii="Cambria" w:hAnsi="Cambria"/>
          <w:sz w:val="20"/>
          <w:szCs w:val="20"/>
          <w:lang w:val="pt-BR"/>
        </w:rPr>
        <w:t xml:space="preserve">. </w:t>
      </w:r>
    </w:p>
    <w:p w14:paraId="04E6DB48" w14:textId="77777777" w:rsidR="008E4EE6" w:rsidRPr="00337743" w:rsidRDefault="008E4EE6"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277707C3" w14:textId="77777777" w:rsidR="008E4EE6" w:rsidRDefault="008E4EE6" w:rsidP="0071702C">
      <w:pPr>
        <w:pStyle w:val="ListParagraph"/>
        <w:numPr>
          <w:ilvl w:val="0"/>
          <w:numId w:val="55"/>
        </w:numPr>
        <w:ind w:left="0" w:firstLine="0"/>
        <w:jc w:val="both"/>
        <w:rPr>
          <w:rFonts w:ascii="Cambria" w:hAnsi="Cambria"/>
          <w:sz w:val="20"/>
          <w:szCs w:val="20"/>
          <w:lang w:val="pt-BR"/>
        </w:rPr>
      </w:pPr>
      <w:r w:rsidRPr="00D46D90">
        <w:rPr>
          <w:rFonts w:ascii="Cambria" w:hAnsi="Cambria"/>
          <w:sz w:val="20"/>
          <w:szCs w:val="20"/>
          <w:lang w:val="pt-BR"/>
        </w:rPr>
        <w:t xml:space="preserve">O conflito rural iniciou, segundo a parte peticionária, porque </w:t>
      </w:r>
      <w:r>
        <w:rPr>
          <w:rFonts w:ascii="Cambria" w:hAnsi="Cambria"/>
          <w:sz w:val="20"/>
          <w:szCs w:val="20"/>
          <w:lang w:val="pt-BR"/>
        </w:rPr>
        <w:t>essa fazenda encontrava-se então submetida a um processo de expropriação a título de utilidade pública, com o fim de reforma agrária. No dia dos fatos, a suposta vítima estava acompanhada por outros três trabalhadores do Movimento Sem Terra (doravante “MST”) e, ao atravessarem a fazenda de Alcides Vieira de Azevedo, depararam-se com três seguranças particulares a serviço deste, os quais os advertiram que não poderiam circular pela fazenda, informando-os que haviam recebido instruções de seu patrão para matar os trabalhadores do MST que encontrassem em sua propriedade. Depois de uma discussão, um dos seguranças teria atirado na vítima, que sofreu morte instantânea.  Os fatos teriam sido informados à polícia, mas, segundo a parte peticionária, a conivência entre os membros da polícia e do poder judiciário com os latifundiários da região induziria à situação de impunidade quanto aos crimes cometidos contra os trabalhadores rurais.</w:t>
      </w:r>
    </w:p>
    <w:p w14:paraId="1C719CEF" w14:textId="77777777" w:rsidR="008E4EE6" w:rsidRDefault="008E4EE6" w:rsidP="0071702C">
      <w:pPr>
        <w:pStyle w:val="ListParagraph"/>
        <w:ind w:left="0"/>
        <w:jc w:val="both"/>
        <w:rPr>
          <w:rFonts w:ascii="Cambria" w:hAnsi="Cambria"/>
          <w:sz w:val="20"/>
          <w:szCs w:val="20"/>
          <w:lang w:val="pt-BR"/>
        </w:rPr>
      </w:pPr>
    </w:p>
    <w:p w14:paraId="4D9E2F2D" w14:textId="77777777" w:rsidR="008E4EE6" w:rsidRPr="006E0CFC" w:rsidRDefault="008E4EE6"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color w:val="000000"/>
          <w:sz w:val="20"/>
          <w:szCs w:val="20"/>
          <w:lang w:val="pt-BR"/>
        </w:rPr>
        <w:t>A parte peticionária aponta a viola</w:t>
      </w:r>
      <w:r w:rsidRPr="00111F69">
        <w:rPr>
          <w:rFonts w:ascii="Cambria" w:hAnsi="Cambria"/>
          <w:sz w:val="20"/>
          <w:szCs w:val="20"/>
          <w:lang w:val="pt-BR"/>
        </w:rPr>
        <w:t>ção</w:t>
      </w:r>
      <w:r>
        <w:rPr>
          <w:rFonts w:ascii="Cambria" w:hAnsi="Cambria"/>
          <w:sz w:val="20"/>
          <w:szCs w:val="20"/>
          <w:lang w:val="pt-BR"/>
        </w:rPr>
        <w:t xml:space="preserve"> do direito </w:t>
      </w:r>
      <w:r w:rsidRPr="00337743">
        <w:rPr>
          <w:rFonts w:ascii="Cambria" w:hAnsi="Cambria"/>
          <w:color w:val="000000"/>
          <w:sz w:val="20"/>
          <w:szCs w:val="20"/>
          <w:lang w:val="pt-BR"/>
        </w:rPr>
        <w:t>à</w:t>
      </w:r>
      <w:r>
        <w:rPr>
          <w:rFonts w:ascii="Cambria" w:hAnsi="Cambria"/>
          <w:sz w:val="20"/>
          <w:szCs w:val="20"/>
          <w:lang w:val="pt-BR"/>
        </w:rPr>
        <w:t xml:space="preserve"> vida por parte do Estado brasileiro por n</w:t>
      </w:r>
      <w:r w:rsidRPr="00111F69">
        <w:rPr>
          <w:rFonts w:ascii="Cambria" w:hAnsi="Cambria"/>
          <w:sz w:val="20"/>
          <w:szCs w:val="20"/>
          <w:lang w:val="pt-BR"/>
        </w:rPr>
        <w:t>ão</w:t>
      </w:r>
      <w:r>
        <w:rPr>
          <w:rFonts w:ascii="Cambria" w:hAnsi="Cambria"/>
          <w:sz w:val="20"/>
          <w:szCs w:val="20"/>
          <w:lang w:val="pt-BR"/>
        </w:rPr>
        <w:t xml:space="preserve"> prevenir o </w:t>
      </w:r>
      <w:r>
        <w:rPr>
          <w:rFonts w:ascii="Cambria" w:hAnsi="Cambria"/>
          <w:color w:val="000000"/>
          <w:sz w:val="20"/>
          <w:szCs w:val="20"/>
          <w:lang w:val="pt-BR"/>
        </w:rPr>
        <w:t>homic</w:t>
      </w:r>
      <w:r w:rsidRPr="006E0CFC">
        <w:rPr>
          <w:rFonts w:ascii="Cambria" w:hAnsi="Cambria"/>
          <w:sz w:val="20"/>
          <w:szCs w:val="20"/>
          <w:lang w:val="pt-BR"/>
        </w:rPr>
        <w:t>í</w:t>
      </w:r>
      <w:r>
        <w:rPr>
          <w:rFonts w:ascii="Cambria" w:hAnsi="Cambria"/>
          <w:color w:val="000000"/>
          <w:sz w:val="20"/>
          <w:szCs w:val="20"/>
          <w:lang w:val="pt-BR"/>
        </w:rPr>
        <w:t>dio e assegurar a vida de Manoel Luiz da Silva, tendo em vista o padrão sistemático de violência aos trabalhadores rurais sem terra e a falta de medidas preventivas frente às ações armadas de pistoleiros e fazendeiros da região.</w:t>
      </w:r>
    </w:p>
    <w:p w14:paraId="4884AD96" w14:textId="77777777" w:rsidR="008E4EE6" w:rsidRDefault="008E4EE6" w:rsidP="0071702C">
      <w:pPr>
        <w:pStyle w:val="ListParagraph"/>
        <w:ind w:left="0"/>
        <w:rPr>
          <w:rFonts w:ascii="Cambria" w:hAnsi="Cambria"/>
          <w:color w:val="000000"/>
          <w:sz w:val="20"/>
          <w:szCs w:val="20"/>
          <w:lang w:val="pt-BR"/>
        </w:rPr>
      </w:pPr>
    </w:p>
    <w:p w14:paraId="25041DF9" w14:textId="440D2EBF" w:rsidR="008E4EE6" w:rsidRPr="000F14B6" w:rsidRDefault="008E4EE6"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0F14B6">
        <w:rPr>
          <w:rFonts w:ascii="Cambria" w:hAnsi="Cambria"/>
          <w:color w:val="000000"/>
          <w:sz w:val="20"/>
          <w:szCs w:val="20"/>
          <w:lang w:val="pt-BR"/>
        </w:rPr>
        <w:t>Assinala também que</w:t>
      </w:r>
      <w:r>
        <w:rPr>
          <w:rFonts w:ascii="Cambria" w:hAnsi="Cambria"/>
          <w:color w:val="000000"/>
          <w:sz w:val="20"/>
          <w:szCs w:val="20"/>
          <w:lang w:val="pt-BR"/>
        </w:rPr>
        <w:t xml:space="preserve"> haveria </w:t>
      </w:r>
      <w:r w:rsidRPr="006E0CFC">
        <w:rPr>
          <w:rFonts w:ascii="Cambria" w:hAnsi="Cambria"/>
          <w:sz w:val="20"/>
          <w:szCs w:val="20"/>
          <w:lang w:val="pt-BR"/>
        </w:rPr>
        <w:t xml:space="preserve">demora injustificada na conclusão do processo criminal </w:t>
      </w:r>
      <w:r>
        <w:rPr>
          <w:rFonts w:ascii="Cambria" w:hAnsi="Cambria"/>
          <w:color w:val="000000"/>
          <w:sz w:val="20"/>
          <w:szCs w:val="20"/>
          <w:lang w:val="pt-BR"/>
        </w:rPr>
        <w:t>instaurado para apurar a morte de Manoel Luiz da Silva, sem haver a inclusão do fazendeiro Alcides Vieira como mandante do crime.</w:t>
      </w:r>
      <w:r w:rsidRPr="000F14B6">
        <w:rPr>
          <w:rFonts w:ascii="Cambria" w:hAnsi="Cambria"/>
          <w:color w:val="000000"/>
          <w:sz w:val="20"/>
          <w:szCs w:val="20"/>
          <w:lang w:val="pt-BR"/>
        </w:rPr>
        <w:t xml:space="preserve"> Assim, </w:t>
      </w:r>
      <w:r>
        <w:rPr>
          <w:rFonts w:ascii="Cambria" w:hAnsi="Cambria"/>
          <w:color w:val="000000"/>
          <w:sz w:val="20"/>
          <w:szCs w:val="20"/>
          <w:lang w:val="pt-BR"/>
        </w:rPr>
        <w:t>alega existir</w:t>
      </w:r>
      <w:r w:rsidRPr="000F14B6">
        <w:rPr>
          <w:rFonts w:ascii="Cambria" w:hAnsi="Cambria"/>
          <w:color w:val="000000"/>
          <w:sz w:val="20"/>
          <w:szCs w:val="20"/>
          <w:lang w:val="pt-BR"/>
        </w:rPr>
        <w:t xml:space="preserve"> violação do direito às garantias judiciais, dado que o caso possuiria grau de complexidade limitada, uma vez que se trataria de homic</w:t>
      </w:r>
      <w:r w:rsidRPr="006E0CFC">
        <w:rPr>
          <w:rFonts w:ascii="Cambria" w:hAnsi="Cambria"/>
          <w:sz w:val="20"/>
          <w:szCs w:val="20"/>
          <w:lang w:val="pt-BR"/>
        </w:rPr>
        <w:t>í</w:t>
      </w:r>
      <w:r w:rsidRPr="000F14B6">
        <w:rPr>
          <w:rFonts w:ascii="Cambria" w:hAnsi="Cambria"/>
          <w:color w:val="000000"/>
          <w:sz w:val="20"/>
          <w:szCs w:val="20"/>
          <w:lang w:val="pt-BR"/>
        </w:rPr>
        <w:t>dio cometido por acusados identificados atrav</w:t>
      </w:r>
      <w:r w:rsidRPr="006E0CFC">
        <w:rPr>
          <w:rFonts w:ascii="Cambria" w:hAnsi="Cambria"/>
          <w:sz w:val="20"/>
          <w:szCs w:val="20"/>
          <w:lang w:val="pt-BR"/>
        </w:rPr>
        <w:t>é</w:t>
      </w:r>
      <w:r w:rsidRPr="000F14B6">
        <w:rPr>
          <w:rFonts w:ascii="Cambria" w:hAnsi="Cambria"/>
          <w:color w:val="000000"/>
          <w:sz w:val="20"/>
          <w:szCs w:val="20"/>
          <w:lang w:val="pt-BR"/>
        </w:rPr>
        <w:t>s de testemunhas oculares e que a demora injustificada e a n</w:t>
      </w:r>
      <w:r w:rsidRPr="000F14B6">
        <w:rPr>
          <w:rFonts w:ascii="Cambria" w:hAnsi="Cambria"/>
          <w:sz w:val="20"/>
          <w:szCs w:val="20"/>
          <w:lang w:val="pt-BR"/>
        </w:rPr>
        <w:t>ão</w:t>
      </w:r>
      <w:r w:rsidRPr="000F14B6">
        <w:rPr>
          <w:rFonts w:ascii="Cambria" w:hAnsi="Cambria"/>
          <w:color w:val="000000"/>
          <w:sz w:val="20"/>
          <w:szCs w:val="20"/>
          <w:lang w:val="pt-BR"/>
        </w:rPr>
        <w:t xml:space="preserve"> responsabiliza</w:t>
      </w:r>
      <w:r w:rsidRPr="000F14B6">
        <w:rPr>
          <w:rFonts w:ascii="Cambria" w:hAnsi="Cambria"/>
          <w:sz w:val="20"/>
          <w:szCs w:val="20"/>
          <w:lang w:val="pt-BR"/>
        </w:rPr>
        <w:t>ção</w:t>
      </w:r>
      <w:r w:rsidRPr="000F14B6">
        <w:rPr>
          <w:rFonts w:ascii="Cambria" w:hAnsi="Cambria"/>
          <w:color w:val="000000"/>
          <w:sz w:val="20"/>
          <w:szCs w:val="20"/>
          <w:lang w:val="pt-BR"/>
        </w:rPr>
        <w:t xml:space="preserve"> dos culpados seriam resultado da ineficiente condu</w:t>
      </w:r>
      <w:r w:rsidRPr="000F14B6">
        <w:rPr>
          <w:rFonts w:ascii="Cambria" w:hAnsi="Cambria"/>
          <w:sz w:val="20"/>
          <w:szCs w:val="20"/>
          <w:lang w:val="pt-BR"/>
        </w:rPr>
        <w:t>ção</w:t>
      </w:r>
      <w:r w:rsidRPr="000F14B6">
        <w:rPr>
          <w:rFonts w:ascii="Cambria" w:hAnsi="Cambria"/>
          <w:color w:val="000000"/>
          <w:sz w:val="20"/>
          <w:szCs w:val="20"/>
          <w:lang w:val="pt-BR"/>
        </w:rPr>
        <w:t xml:space="preserve"> do inqu</w:t>
      </w:r>
      <w:r w:rsidRPr="006E0CFC">
        <w:rPr>
          <w:rFonts w:ascii="Cambria" w:hAnsi="Cambria"/>
          <w:sz w:val="20"/>
          <w:szCs w:val="20"/>
          <w:lang w:val="pt-BR"/>
        </w:rPr>
        <w:t>é</w:t>
      </w:r>
      <w:r w:rsidRPr="000F14B6">
        <w:rPr>
          <w:rFonts w:ascii="Cambria" w:hAnsi="Cambria"/>
          <w:color w:val="000000"/>
          <w:sz w:val="20"/>
          <w:szCs w:val="20"/>
          <w:lang w:val="pt-BR"/>
        </w:rPr>
        <w:t>rito policial e do processo judicial, por falta de dilig</w:t>
      </w:r>
      <w:r w:rsidRPr="000F14B6">
        <w:rPr>
          <w:rFonts w:ascii="Cambria" w:hAnsi="Cambria"/>
          <w:color w:val="212121"/>
          <w:sz w:val="20"/>
          <w:szCs w:val="20"/>
          <w:lang w:val="pt-PT"/>
        </w:rPr>
        <w:t>ê</w:t>
      </w:r>
      <w:r w:rsidRPr="000F14B6">
        <w:rPr>
          <w:rFonts w:ascii="Cambria" w:hAnsi="Cambria"/>
          <w:color w:val="000000"/>
          <w:sz w:val="20"/>
          <w:szCs w:val="20"/>
          <w:lang w:val="pt-BR"/>
        </w:rPr>
        <w:t xml:space="preserve">ncia e </w:t>
      </w:r>
      <w:r>
        <w:rPr>
          <w:rFonts w:ascii="Cambria" w:hAnsi="Cambria"/>
          <w:color w:val="000000"/>
          <w:sz w:val="20"/>
          <w:szCs w:val="20"/>
          <w:lang w:val="pt-BR"/>
        </w:rPr>
        <w:t xml:space="preserve">de </w:t>
      </w:r>
      <w:r w:rsidRPr="000F14B6">
        <w:rPr>
          <w:rFonts w:ascii="Cambria" w:hAnsi="Cambria"/>
          <w:color w:val="000000"/>
          <w:sz w:val="20"/>
          <w:szCs w:val="20"/>
          <w:lang w:val="pt-BR"/>
        </w:rPr>
        <w:t>imparcialidade das autoridades responsáveis.</w:t>
      </w:r>
    </w:p>
    <w:p w14:paraId="29FEA210" w14:textId="77777777" w:rsidR="008E4EE6" w:rsidRPr="00337743" w:rsidRDefault="008E4EE6"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289C1A07" w14:textId="77777777" w:rsidR="008E4EE6" w:rsidRPr="009F1C8F" w:rsidRDefault="008E4EE6" w:rsidP="009F1C8F">
      <w:pPr>
        <w:pStyle w:val="Heading2"/>
      </w:pPr>
      <w:bookmarkStart w:id="6" w:name="_Toc3809425"/>
      <w:bookmarkStart w:id="7" w:name="_Toc17097154"/>
      <w:r w:rsidRPr="009F1C8F">
        <w:lastRenderedPageBreak/>
        <w:t>Estado</w:t>
      </w:r>
      <w:bookmarkEnd w:id="6"/>
      <w:bookmarkEnd w:id="7"/>
      <w:r w:rsidRPr="009F1C8F">
        <w:t xml:space="preserve"> </w:t>
      </w:r>
    </w:p>
    <w:p w14:paraId="079F4CB2" w14:textId="77777777" w:rsidR="008E4EE6" w:rsidRPr="00337743" w:rsidRDefault="008E4EE6" w:rsidP="0071702C">
      <w:pPr>
        <w:suppressAutoHyphens/>
        <w:rPr>
          <w:rFonts w:ascii="Cambria" w:hAnsi="Cambria"/>
          <w:sz w:val="20"/>
          <w:szCs w:val="20"/>
          <w:lang w:val="pt-BR"/>
        </w:rPr>
      </w:pPr>
    </w:p>
    <w:p w14:paraId="054E0D74" w14:textId="48C735AB" w:rsidR="008E4EE6" w:rsidRPr="00CC07A3" w:rsidRDefault="008E4EE6" w:rsidP="007170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0B4F70">
        <w:rPr>
          <w:rFonts w:ascii="Cambria" w:hAnsi="Cambria"/>
          <w:sz w:val="20"/>
          <w:szCs w:val="20"/>
          <w:lang w:val="pt-BR"/>
        </w:rPr>
        <w:t>A CIDH não recebeu resposta do Estado brasileiro quanto às observa</w:t>
      </w:r>
      <w:r w:rsidRPr="00CC07A3">
        <w:rPr>
          <w:rFonts w:ascii="Cambria" w:hAnsi="Cambria"/>
          <w:sz w:val="20"/>
          <w:szCs w:val="20"/>
          <w:lang w:val="pt-BR"/>
        </w:rPr>
        <w:t>ções</w:t>
      </w:r>
      <w:r w:rsidRPr="000B4F70">
        <w:rPr>
          <w:rFonts w:ascii="Cambria" w:hAnsi="Cambria"/>
          <w:sz w:val="20"/>
          <w:szCs w:val="20"/>
          <w:lang w:val="pt-BR"/>
        </w:rPr>
        <w:t xml:space="preserve"> de m</w:t>
      </w:r>
      <w:r w:rsidRPr="00CC07A3">
        <w:rPr>
          <w:rFonts w:ascii="Cambria" w:hAnsi="Cambria"/>
          <w:sz w:val="20"/>
          <w:szCs w:val="20"/>
          <w:lang w:val="pt-BR"/>
        </w:rPr>
        <w:t>é</w:t>
      </w:r>
      <w:r w:rsidRPr="000B4F70">
        <w:rPr>
          <w:rFonts w:ascii="Cambria" w:hAnsi="Cambria"/>
          <w:sz w:val="20"/>
          <w:szCs w:val="20"/>
          <w:lang w:val="pt-BR"/>
        </w:rPr>
        <w:t>rito</w:t>
      </w:r>
      <w:r w:rsidR="00911194" w:rsidRPr="000B4F70">
        <w:rPr>
          <w:rFonts w:ascii="Cambria" w:hAnsi="Cambria"/>
          <w:sz w:val="20"/>
          <w:szCs w:val="20"/>
          <w:lang w:val="pt-BR"/>
        </w:rPr>
        <w:t>. Na etapa de admissibilidade, o Estado brasileiro não apresentou alegações concretas de mérito, limitando-se a invocar a exceç</w:t>
      </w:r>
      <w:r w:rsidR="00911194" w:rsidRPr="00CC07A3">
        <w:rPr>
          <w:rFonts w:ascii="Cambria" w:hAnsi="Cambria"/>
          <w:color w:val="000000"/>
          <w:sz w:val="20"/>
          <w:szCs w:val="20"/>
          <w:lang w:val="pt-BR"/>
        </w:rPr>
        <w:t>ão de falta de esgotamento dos recursos internos, a qual foi devidamente decidida pela CIDH em seu relatório de admissibilidade.</w:t>
      </w:r>
    </w:p>
    <w:p w14:paraId="1E66C4E1" w14:textId="5A625535" w:rsidR="008E4EE6" w:rsidRPr="00911194" w:rsidRDefault="008E4EE6" w:rsidP="0071702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000000"/>
          <w:sz w:val="20"/>
          <w:szCs w:val="20"/>
          <w:lang w:val="pt-BR"/>
        </w:rPr>
      </w:pPr>
    </w:p>
    <w:p w14:paraId="679BA5E1" w14:textId="77777777" w:rsidR="008E4EE6" w:rsidRPr="00337743" w:rsidRDefault="008E4EE6" w:rsidP="0071702C">
      <w:pPr>
        <w:pStyle w:val="Heading1"/>
        <w:spacing w:before="0"/>
        <w:rPr>
          <w:color w:val="auto"/>
          <w:sz w:val="20"/>
          <w:szCs w:val="20"/>
          <w:lang w:val="pt-BR"/>
        </w:rPr>
      </w:pPr>
      <w:bookmarkStart w:id="8" w:name="_Toc17097155"/>
      <w:r w:rsidRPr="00337743">
        <w:rPr>
          <w:color w:val="auto"/>
          <w:sz w:val="20"/>
          <w:szCs w:val="20"/>
          <w:lang w:val="pt-BR"/>
        </w:rPr>
        <w:t>DETERMINAÇÕES DE FATO</w:t>
      </w:r>
      <w:bookmarkEnd w:id="8"/>
    </w:p>
    <w:p w14:paraId="5937A724" w14:textId="77777777" w:rsidR="008E4EE6" w:rsidRPr="00337743" w:rsidRDefault="008E4EE6" w:rsidP="0071702C">
      <w:pPr>
        <w:rPr>
          <w:rFonts w:ascii="Cambria" w:hAnsi="Cambria"/>
          <w:sz w:val="20"/>
          <w:szCs w:val="20"/>
          <w:lang w:val="pt-BR"/>
        </w:rPr>
      </w:pPr>
    </w:p>
    <w:p w14:paraId="4713FA54" w14:textId="77777777" w:rsidR="008E4EE6" w:rsidRPr="009F1C8F" w:rsidRDefault="008E4EE6" w:rsidP="009F1C8F">
      <w:pPr>
        <w:pStyle w:val="Heading2"/>
        <w:numPr>
          <w:ilvl w:val="0"/>
          <w:numId w:val="66"/>
        </w:numPr>
        <w:ind w:left="360"/>
      </w:pPr>
      <w:bookmarkStart w:id="9" w:name="_Toc17097156"/>
      <w:r w:rsidRPr="009F1C8F">
        <w:t>Contexto</w:t>
      </w:r>
      <w:bookmarkEnd w:id="9"/>
    </w:p>
    <w:p w14:paraId="647731B8" w14:textId="77777777" w:rsidR="008E4EE6" w:rsidRPr="00337743" w:rsidRDefault="008E4EE6" w:rsidP="0071702C">
      <w:pPr>
        <w:pStyle w:val="GradeClara-nfase31"/>
        <w:ind w:left="0"/>
        <w:rPr>
          <w:b/>
          <w:color w:val="auto"/>
          <w:sz w:val="20"/>
          <w:szCs w:val="20"/>
          <w:lang w:val="pt-BR"/>
        </w:rPr>
      </w:pPr>
    </w:p>
    <w:p w14:paraId="4BBB4B71" w14:textId="77777777" w:rsidR="008E4EE6" w:rsidRDefault="008E4EE6"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1A2BBD">
        <w:rPr>
          <w:rFonts w:ascii="Cambria" w:hAnsi="Cambria"/>
          <w:sz w:val="20"/>
          <w:szCs w:val="20"/>
          <w:lang w:val="pt-BR"/>
        </w:rPr>
        <w:t xml:space="preserve">A </w:t>
      </w:r>
      <w:r>
        <w:rPr>
          <w:rFonts w:ascii="Cambria" w:hAnsi="Cambria"/>
          <w:sz w:val="20"/>
          <w:szCs w:val="20"/>
          <w:lang w:val="pt-BR"/>
        </w:rPr>
        <w:t xml:space="preserve">Comissão Interamericana de Direitos Humanos já se pronunciou sobre a </w:t>
      </w:r>
      <w:r w:rsidRPr="001A2BBD">
        <w:rPr>
          <w:rFonts w:ascii="Cambria" w:hAnsi="Cambria"/>
          <w:sz w:val="20"/>
          <w:szCs w:val="20"/>
          <w:lang w:val="pt-BR"/>
        </w:rPr>
        <w:t>situação de violação sistemática de direitos humanos e aumento da violência contra as lideranças dos movimentos pela reforma agrária e de defensores de direitos humanos</w:t>
      </w:r>
      <w:r>
        <w:rPr>
          <w:rFonts w:ascii="Cambria" w:hAnsi="Cambria"/>
          <w:sz w:val="20"/>
          <w:szCs w:val="20"/>
          <w:lang w:val="pt-BR"/>
        </w:rPr>
        <w:t xml:space="preserve"> no Brasil, no Caso Camargo Filho, conforme excerto a seguir:</w:t>
      </w:r>
    </w:p>
    <w:p w14:paraId="6B4A0198"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112C125E"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A situação agrária no Brasil tem se caracterizado nas últimas décadas por uma alta concentração da terra e uma crescente mobilização de setores sociais que buscam melhor distribuição das propriedades agrárias. A pressão social pela implementação de um processo de reforma agrária provocou reações violentas por parte de setores latifundiários que, em alguns casos, contaram com a aquiescência e a conivência de funcionários locais</w:t>
      </w:r>
      <w:r>
        <w:rPr>
          <w:rStyle w:val="FootnoteReference"/>
          <w:rFonts w:ascii="Cambria" w:hAnsi="Cambria"/>
          <w:sz w:val="18"/>
          <w:szCs w:val="18"/>
          <w:lang w:val="pt-BR"/>
        </w:rPr>
        <w:footnoteReference w:id="4"/>
      </w:r>
      <w:r w:rsidRPr="004503D2">
        <w:rPr>
          <w:rFonts w:ascii="Cambria" w:hAnsi="Cambria"/>
          <w:sz w:val="18"/>
          <w:szCs w:val="18"/>
          <w:lang w:val="pt-BR"/>
        </w:rPr>
        <w:t>.</w:t>
      </w:r>
    </w:p>
    <w:p w14:paraId="62C95439"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60B0F1C3"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Em seu relatório de 1997 sobre o Brasil, a CIDH salientou que “o Brasil possui um território extenso, com grande capacidade produtiva e de assentamento social; contudo, por razões históricas, a distribuição da propriedade das terras é extremadamente desequilibrada, gerando, em conseqüência, condições propícias para enfrentamentos sociais e violações de direitos humanos”. A CIDH salientou também que “a situação agrária é ‘aguda’ e que existem numerosos conflitos e ocupações em agosto de 1996, envolvendo 50.000 famílias de agricultores instalados em acampamentos precários nas áreas invadidas e enfrentando problemas de saúde, trabalho e educação, e confrontos com proprietários e forças policiais</w:t>
      </w:r>
      <w:r>
        <w:rPr>
          <w:rStyle w:val="FootnoteReference"/>
          <w:rFonts w:ascii="Cambria" w:hAnsi="Cambria"/>
          <w:sz w:val="18"/>
          <w:szCs w:val="18"/>
          <w:lang w:val="pt-BR"/>
        </w:rPr>
        <w:footnoteReference w:id="5"/>
      </w:r>
      <w:r w:rsidRPr="004503D2">
        <w:rPr>
          <w:rFonts w:ascii="Cambria" w:hAnsi="Cambria"/>
          <w:sz w:val="18"/>
          <w:szCs w:val="18"/>
          <w:lang w:val="pt-BR"/>
        </w:rPr>
        <w:t>”.</w:t>
      </w:r>
    </w:p>
    <w:p w14:paraId="7F37A49F"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14B35F5A"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Segundo dados da Comissão Pastoral da Terra, no período de 1988 a 2000, 1.517 pessoas ligadas à luta pela reforma agrária foram assassinadas. Nos 20 anos de ditadura militar (1964-1984) foram assassinados 42 trabalhadores rurais por ano. Entre 1985 e 1989 essa cifra triplicou e chegou a 117 assassinatos por ano. De 1990 a 1993, morreram 52 pessoas por ano. Entre 1994 e 1997 o número de mortes anuais chegou a 43</w:t>
      </w:r>
      <w:r>
        <w:rPr>
          <w:rStyle w:val="FootnoteReference"/>
          <w:rFonts w:ascii="Cambria" w:hAnsi="Cambria"/>
          <w:sz w:val="18"/>
          <w:szCs w:val="18"/>
          <w:lang w:val="pt-BR"/>
        </w:rPr>
        <w:footnoteReference w:id="6"/>
      </w:r>
      <w:r w:rsidRPr="004503D2">
        <w:rPr>
          <w:rFonts w:ascii="Cambria" w:hAnsi="Cambria"/>
          <w:sz w:val="18"/>
          <w:szCs w:val="18"/>
          <w:lang w:val="pt-BR"/>
        </w:rPr>
        <w:t>. Em 1998, ano em que ocorreu a morte de Sebastião Camargo Filho, 47 pessoas foram assassinadas em conflitos relacionados com a terra no país, oito dos quais no Estado do Paraná.</w:t>
      </w:r>
    </w:p>
    <w:p w14:paraId="405DAF46"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6519F761"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 xml:space="preserve"> De acordo com informações recebidas pela Comissão, tanto em sua sede quanto nas visitas in loco, a CIDH nota que no Brasil, no momento em que ocorreram os fatos, a violência contra trabalhadores rurais que lutam pela distribuição eqüitativa da terra é sistemática e generalizada. Em alguns estados há também profundas conexões entre poderosos proprietários latifundiários e autoridades locais, alguns dos quais agem como mandantes dos assassinatos e financiam as desocupações forçadas.</w:t>
      </w:r>
    </w:p>
    <w:p w14:paraId="3034341C"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5DBFD0EA"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 xml:space="preserve"> Na época em que ocorreram os fatos era comum a constituição de grupos de pistoleiros para a realização de desocupações forçadas, inclusive no Estado do Paraná. Os segmentos da sociedade ligados ao poder latifundiário intensificaram seus ataques contra líderes de movimentos rurais mediante a constituição de milícias privadas e a fundação de empresas de segurança clandestina que dispunham de armamentos pesados e sessões de treinamento  militar. A esse respeito, a Comissão recebeu ampla informação acerca da constituição e funcionamento de grupos tais como os autodenominados Primeiro Comando Rural e Primeiro Comando da Capital</w:t>
      </w:r>
      <w:r>
        <w:rPr>
          <w:rStyle w:val="FootnoteReference"/>
          <w:rFonts w:ascii="Cambria" w:hAnsi="Cambria"/>
          <w:sz w:val="18"/>
          <w:szCs w:val="18"/>
          <w:lang w:val="pt-BR"/>
        </w:rPr>
        <w:footnoteReference w:id="7"/>
      </w:r>
      <w:r w:rsidRPr="004503D2">
        <w:rPr>
          <w:rFonts w:ascii="Cambria" w:hAnsi="Cambria"/>
          <w:sz w:val="18"/>
          <w:szCs w:val="18"/>
          <w:lang w:val="pt-BR"/>
        </w:rPr>
        <w:t>.</w:t>
      </w:r>
    </w:p>
    <w:p w14:paraId="22BE8A6F"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02D18D9C"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 xml:space="preserve"> A Comissão constatou que essa violência se dirige e se intensifica contra os líderes dos movimentos, os defensores dos direitos humanos dos trabalhadores rurais e todo aquele que se destaque na promoção da implementação de </w:t>
      </w:r>
      <w:r w:rsidRPr="004503D2">
        <w:rPr>
          <w:rFonts w:ascii="Cambria" w:hAnsi="Cambria"/>
          <w:sz w:val="18"/>
          <w:szCs w:val="18"/>
          <w:lang w:val="pt-BR"/>
        </w:rPr>
        <w:lastRenderedPageBreak/>
        <w:t>um processo de reforma agrária. Assim como em outros países da Região que possuem esse tipo de conflito rural, no Brasil as pessoas que promovem e lideram as reivindicações relacionadas com os direitos de trabalhadores rurais são as mais afetadas, ao serem identificadas como alvos de ataques que servem de exemplo  para dissuadir as demais pessoas que participam das reivindicações. Os atos de violência contra essas pessoas são destinados a causar temor generalizado e, por conseguinte, desanimar os demais defensores e defensoras de direitos humanos, bem como a atemorizar e silenciar as denúncias, queixas e reivindicações das vítimas.</w:t>
      </w:r>
    </w:p>
    <w:p w14:paraId="3C323F83"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6EBB5403"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 xml:space="preserve"> As organizações de direitos humanos brasileiras têm insistido em que as violações dos direitos humanos dos defensores de trabalhadores rurais foram inclusive mais freqüentes na época dos governos democráticos do que na época da ditadura militar, graças à criação e funcionamento das milícias privadas patrocinadas por latifundiários. A esse respeito, a Comissão, por intermédio de sua Unidade Funcional de Defensores de Direitos Humanos, de audiências gerais e de visitas, recebeu múltiplas denúncias nos últimos anos sobre violações de direitos humanos de líderes rurais e membros de organizações tais como o Movimento dos Trabalhadores Sem Terra, o Movimento de Luta Pela Terra, o Movimento dos Trabalhadores Rurais Brasileiros, o Movimento Muda Brasil dos Trabalhadores Rurais Sem Terra, a Comissão Pastoral da Terra e o Sindicato dos Trabalhadores Rurais, entre várias outras</w:t>
      </w:r>
      <w:r>
        <w:rPr>
          <w:rStyle w:val="FootnoteReference"/>
          <w:rFonts w:ascii="Cambria" w:hAnsi="Cambria"/>
          <w:sz w:val="18"/>
          <w:szCs w:val="18"/>
          <w:lang w:val="pt-BR"/>
        </w:rPr>
        <w:footnoteReference w:id="8"/>
      </w:r>
      <w:r w:rsidRPr="004503D2">
        <w:rPr>
          <w:rFonts w:ascii="Cambria" w:hAnsi="Cambria"/>
          <w:sz w:val="18"/>
          <w:szCs w:val="18"/>
          <w:lang w:val="pt-BR"/>
        </w:rPr>
        <w:t>.</w:t>
      </w:r>
    </w:p>
    <w:p w14:paraId="2392FC9D"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58F1E0E2"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r w:rsidRPr="004503D2">
        <w:rPr>
          <w:rFonts w:ascii="Cambria" w:hAnsi="Cambria"/>
          <w:sz w:val="18"/>
          <w:szCs w:val="18"/>
          <w:lang w:val="pt-BR"/>
        </w:rPr>
        <w:t xml:space="preserve"> A estreita relação entre os mandantes dos crimes e as estruturas locais de poder tem garantido a impunidade na quase totalidade dos casos de violência rural no Brasil. O problema da impunidade generalizada no Brasil tem sido denunciado por instâncias internacionais como a Relatora Especial sobre Execuções Extrajudiciais, Sumárias ou Arbitrárias, das Nações Unidas, que, no relatório sobre a visita que fez ao Brasil ressaltou que “em alguns casos, os juízes estão sujeitos à pressão de políticos locais ou influentes atores econômicos, tais como os latifundiários”</w:t>
      </w:r>
      <w:r>
        <w:rPr>
          <w:rStyle w:val="FootnoteReference"/>
          <w:rFonts w:ascii="Cambria" w:hAnsi="Cambria"/>
          <w:sz w:val="18"/>
          <w:szCs w:val="18"/>
          <w:lang w:val="pt-BR"/>
        </w:rPr>
        <w:footnoteReference w:id="9"/>
      </w:r>
      <w:r w:rsidRPr="004503D2">
        <w:rPr>
          <w:rFonts w:ascii="Cambria" w:hAnsi="Cambria"/>
          <w:sz w:val="18"/>
          <w:szCs w:val="18"/>
          <w:lang w:val="pt-BR"/>
        </w:rPr>
        <w:t>.</w:t>
      </w:r>
    </w:p>
    <w:p w14:paraId="524D33BD" w14:textId="77777777" w:rsidR="004503D2" w:rsidRPr="004503D2"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pt-BR"/>
        </w:rPr>
      </w:pPr>
    </w:p>
    <w:p w14:paraId="7B9E3688" w14:textId="6EB6AAF4" w:rsidR="004503D2" w:rsidRPr="00CC07A3" w:rsidRDefault="004503D2" w:rsidP="00FD6A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lang w:val="pt-BR"/>
        </w:rPr>
      </w:pPr>
      <w:r w:rsidRPr="004503D2">
        <w:rPr>
          <w:rFonts w:ascii="Cambria" w:hAnsi="Cambria"/>
          <w:sz w:val="18"/>
          <w:szCs w:val="18"/>
          <w:lang w:val="pt-BR"/>
        </w:rPr>
        <w:t xml:space="preserve"> A impunidade das violações de direitos humanos cometidas contra trabalhadores que lutam pela terra foi também denunciada pelo Relator Especial sobre a Independência dos Magistrados e Advogados. (...)</w:t>
      </w:r>
      <w:r>
        <w:rPr>
          <w:rStyle w:val="FootnoteReference"/>
          <w:rFonts w:ascii="Cambria" w:hAnsi="Cambria"/>
          <w:sz w:val="18"/>
          <w:szCs w:val="18"/>
          <w:lang w:val="pt-BR"/>
        </w:rPr>
        <w:footnoteReference w:id="10"/>
      </w:r>
      <w:r w:rsidRPr="00CC07A3">
        <w:rPr>
          <w:lang w:val="pt-BR"/>
        </w:rPr>
        <w:t>.</w:t>
      </w:r>
    </w:p>
    <w:p w14:paraId="7F9EEF58"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0F511190" w14:textId="6A05FE68" w:rsidR="004503D2" w:rsidRPr="00C9008D"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1A2BBD">
        <w:rPr>
          <w:rFonts w:ascii="Cambria" w:hAnsi="Cambria"/>
          <w:sz w:val="20"/>
          <w:szCs w:val="20"/>
          <w:lang w:val="pt-BR"/>
        </w:rPr>
        <w:t xml:space="preserve">A parte peticionária aponta que </w:t>
      </w:r>
      <w:r>
        <w:rPr>
          <w:rFonts w:ascii="Cambria" w:hAnsi="Cambria"/>
          <w:sz w:val="20"/>
          <w:szCs w:val="20"/>
          <w:lang w:val="pt-BR"/>
        </w:rPr>
        <w:t>a violência no campo na história da Paraíba remonta à década de 60, período em que as Ligas Camponesas defendiam os direitos dos trabalhadores rurais, a partir da reivindicação por pagamento de salários justos e melhoria na condição de vida dos camponeses, assim como a Reforma Agrária. Alega também que, entre 1985 e 2000,  ocorreram 19 assassinatos, ou seja, mais de um homicídio por ano, em conflitos pela posse da terra e na luta pela reforma agrária no Estado da Paraíba</w:t>
      </w:r>
      <w:r w:rsidRPr="001A2BBD">
        <w:rPr>
          <w:rStyle w:val="FootnoteReference"/>
          <w:rFonts w:ascii="Cambria" w:hAnsi="Cambria"/>
          <w:sz w:val="20"/>
          <w:szCs w:val="20"/>
          <w:lang w:val="pt-BR"/>
        </w:rPr>
        <w:footnoteReference w:id="11"/>
      </w:r>
      <w:r>
        <w:rPr>
          <w:rFonts w:ascii="Cambria" w:hAnsi="Cambria"/>
          <w:sz w:val="20"/>
          <w:szCs w:val="20"/>
          <w:lang w:val="pt-BR"/>
        </w:rPr>
        <w:t>.</w:t>
      </w:r>
      <w:r w:rsidR="00CC07A3">
        <w:rPr>
          <w:rFonts w:ascii="Cambria" w:hAnsi="Cambria"/>
          <w:sz w:val="20"/>
          <w:szCs w:val="20"/>
          <w:lang w:val="pt-BR"/>
        </w:rPr>
        <w:t xml:space="preserve"> </w:t>
      </w:r>
      <w:r w:rsidR="00CC07A3" w:rsidRPr="00CC07A3">
        <w:rPr>
          <w:rFonts w:ascii="Cambria" w:hAnsi="Cambria"/>
          <w:sz w:val="20"/>
          <w:szCs w:val="20"/>
          <w:lang w:val="pt-BR"/>
        </w:rPr>
        <w:t xml:space="preserve">O </w:t>
      </w:r>
      <w:r w:rsidR="00CC07A3" w:rsidRPr="000B4F70">
        <w:rPr>
          <w:rFonts w:ascii="Cambria" w:hAnsi="Cambria"/>
          <w:sz w:val="20"/>
          <w:szCs w:val="20"/>
          <w:lang w:val="pt-BR"/>
        </w:rPr>
        <w:t>Estado brasileiro não controvertiu esta informaç</w:t>
      </w:r>
      <w:r w:rsidR="00CC07A3">
        <w:rPr>
          <w:rFonts w:ascii="Cambria" w:hAnsi="Cambria"/>
          <w:sz w:val="20"/>
          <w:szCs w:val="20"/>
          <w:lang w:val="pt-BR"/>
        </w:rPr>
        <w:t>ão de contexto e nem se exsurge do expediente elementos que indiquem o contrário.</w:t>
      </w:r>
      <w:r w:rsidR="00810A42" w:rsidRPr="00CC07A3">
        <w:rPr>
          <w:rFonts w:ascii="Cambria" w:hAnsi="Cambria"/>
          <w:sz w:val="20"/>
          <w:szCs w:val="20"/>
          <w:lang w:val="pt-BR"/>
        </w:rPr>
        <w:t xml:space="preserve"> </w:t>
      </w:r>
    </w:p>
    <w:p w14:paraId="341B67E7" w14:textId="77777777" w:rsidR="00B93D71" w:rsidRPr="00C9008D" w:rsidRDefault="00B93D71"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1A6DD14D" w14:textId="77777777" w:rsidR="004503D2" w:rsidRPr="006122C6"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6122C6">
        <w:rPr>
          <w:rFonts w:ascii="Cambria" w:hAnsi="Cambria"/>
          <w:sz w:val="20"/>
          <w:szCs w:val="20"/>
          <w:lang w:val="pt-BR"/>
        </w:rPr>
        <w:t>A Comissão toma nota de pronunciamentos que indicam que a relação entre os mandantes dos crimes relacionados a violência rural no Brasil e as estruturas locais de poder tem garantido a impunidade de ta</w:t>
      </w:r>
      <w:r w:rsidRPr="006E0CFC">
        <w:rPr>
          <w:rFonts w:ascii="Cambria" w:hAnsi="Cambria"/>
          <w:sz w:val="20"/>
          <w:szCs w:val="20"/>
          <w:lang w:val="pt-BR"/>
        </w:rPr>
        <w:t>is</w:t>
      </w:r>
      <w:r w:rsidRPr="006122C6">
        <w:rPr>
          <w:rFonts w:ascii="Cambria" w:hAnsi="Cambria"/>
          <w:sz w:val="20"/>
          <w:szCs w:val="20"/>
          <w:lang w:val="pt-BR"/>
        </w:rPr>
        <w:t xml:space="preserve"> cr</w:t>
      </w:r>
      <w:r w:rsidRPr="006E0CFC">
        <w:rPr>
          <w:rFonts w:ascii="Cambria" w:hAnsi="Cambria"/>
          <w:sz w:val="20"/>
          <w:szCs w:val="20"/>
          <w:lang w:val="pt-BR"/>
        </w:rPr>
        <w:t>imes</w:t>
      </w:r>
      <w:r w:rsidRPr="006122C6">
        <w:rPr>
          <w:rFonts w:ascii="Cambria" w:hAnsi="Cambria"/>
          <w:sz w:val="20"/>
          <w:szCs w:val="20"/>
          <w:lang w:val="pt-BR"/>
        </w:rPr>
        <w:t>. Essa impunidade no Brasil tem sido denunciada por instâncias internacionais como a Relatora Especial sobre Execuções Extrajudiciais, Sumárias ou Arbitrárias, das Nações Unidas, que, no relatório sobre a visita que fez ao Brasil, ressaltou que “em alguns casos, os juízes estão sujeitos à pressão de políticos locais ou influentes atores econômicos, tais como os latifundiários</w:t>
      </w:r>
      <w:r w:rsidRPr="006122C6">
        <w:rPr>
          <w:rStyle w:val="FootnoteReference"/>
          <w:rFonts w:ascii="Cambria" w:hAnsi="Cambria"/>
          <w:sz w:val="20"/>
          <w:szCs w:val="20"/>
          <w:lang w:val="pt-BR"/>
        </w:rPr>
        <w:footnoteReference w:id="12"/>
      </w:r>
      <w:r w:rsidRPr="006122C6">
        <w:rPr>
          <w:rFonts w:ascii="Cambria" w:hAnsi="Cambria"/>
          <w:sz w:val="20"/>
          <w:szCs w:val="20"/>
          <w:lang w:val="pt-BR"/>
        </w:rPr>
        <w:t>”.</w:t>
      </w:r>
    </w:p>
    <w:p w14:paraId="02033C49" w14:textId="77777777" w:rsidR="004503D2" w:rsidRPr="006122C6" w:rsidRDefault="004503D2" w:rsidP="0071702C">
      <w:pPr>
        <w:pStyle w:val="ListParagraph"/>
        <w:ind w:left="0"/>
        <w:rPr>
          <w:rFonts w:ascii="Cambria" w:hAnsi="Cambria"/>
          <w:sz w:val="20"/>
          <w:szCs w:val="20"/>
          <w:lang w:val="pt-BR"/>
        </w:rPr>
      </w:pPr>
    </w:p>
    <w:p w14:paraId="512C70AB" w14:textId="77777777" w:rsidR="004503D2" w:rsidRPr="006122C6"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6122C6">
        <w:rPr>
          <w:rFonts w:ascii="Cambria" w:hAnsi="Cambria"/>
          <w:sz w:val="20"/>
          <w:szCs w:val="20"/>
          <w:lang w:val="pt-BR"/>
        </w:rPr>
        <w:t>A Comissão, na mesma linha, referiu-se em várias ocasiões à responsabilidade do Estado brasileiro pela falta de investigação adequada de atos de violência contra trabalhadores rurais e seus defensores. A responsabilidade internacional do Brasil foi constatada pela CIDH, entre outros casos, pela falta de investigação e sanção dos responsáveis pela morte de João Canuto de Oliveira, Presidente da União de Trabalhadores Rurais de Rio Maria, ocorrida em 18 de dezembro de 1985 no Estado do Pará</w:t>
      </w:r>
      <w:r w:rsidRPr="006122C6">
        <w:rPr>
          <w:rStyle w:val="FootnoteReference"/>
          <w:rFonts w:ascii="Cambria" w:hAnsi="Cambria"/>
          <w:sz w:val="20"/>
          <w:szCs w:val="20"/>
          <w:lang w:val="pt-BR"/>
        </w:rPr>
        <w:footnoteReference w:id="13"/>
      </w:r>
      <w:r w:rsidRPr="006122C6">
        <w:rPr>
          <w:rFonts w:ascii="Cambria" w:hAnsi="Cambria"/>
          <w:sz w:val="20"/>
          <w:szCs w:val="20"/>
          <w:lang w:val="pt-BR"/>
        </w:rPr>
        <w:t xml:space="preserve">, e também no Massacre de Corumbiara, em que ressaltou que “o objeto deste [caso] transcende ao que se refere às situações preocupantes sobre a distribuição </w:t>
      </w:r>
      <w:r w:rsidRPr="006122C6">
        <w:rPr>
          <w:rFonts w:ascii="Cambria" w:hAnsi="Cambria"/>
          <w:sz w:val="20"/>
          <w:szCs w:val="20"/>
          <w:lang w:val="pt-BR"/>
        </w:rPr>
        <w:lastRenderedPageBreak/>
        <w:t>da terra no Brasil em geral, bem como o que diz respeito à situação específica dos trabalhadores e trabalhadoras sem-terra que invadiram com suas famílias a fazenda Santa Elena, em agosto de 1995”</w:t>
      </w:r>
      <w:r w:rsidRPr="006122C6">
        <w:rPr>
          <w:rStyle w:val="FootnoteReference"/>
          <w:rFonts w:ascii="Cambria" w:hAnsi="Cambria"/>
          <w:sz w:val="20"/>
          <w:szCs w:val="20"/>
          <w:lang w:val="pt-BR"/>
        </w:rPr>
        <w:footnoteReference w:id="14"/>
      </w:r>
      <w:r w:rsidRPr="006122C6">
        <w:rPr>
          <w:rFonts w:ascii="Cambria" w:hAnsi="Cambria"/>
          <w:sz w:val="20"/>
          <w:szCs w:val="20"/>
          <w:lang w:val="pt-BR"/>
        </w:rPr>
        <w:t>.</w:t>
      </w:r>
    </w:p>
    <w:p w14:paraId="30EB3A26" w14:textId="77777777" w:rsidR="004503D2" w:rsidRPr="006E0CFC"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highlight w:val="red"/>
          <w:lang w:val="pt-BR"/>
        </w:rPr>
      </w:pPr>
    </w:p>
    <w:p w14:paraId="4B228F1B" w14:textId="77777777" w:rsidR="004503D2" w:rsidRPr="009F1C8F" w:rsidRDefault="004503D2" w:rsidP="009F1C8F">
      <w:pPr>
        <w:pStyle w:val="Heading2"/>
      </w:pPr>
      <w:bookmarkStart w:id="10" w:name="_Toc17097157"/>
      <w:r w:rsidRPr="009F1C8F">
        <w:t>Informação disponível sobre Manoel Luiz da Silva</w:t>
      </w:r>
      <w:r w:rsidRPr="009F1C8F" w:rsidDel="003A744C">
        <w:t xml:space="preserve"> </w:t>
      </w:r>
      <w:r w:rsidRPr="009F1C8F">
        <w:t>e seus familiares</w:t>
      </w:r>
      <w:bookmarkEnd w:id="10"/>
    </w:p>
    <w:p w14:paraId="07D8EDB5" w14:textId="77777777" w:rsidR="004503D2" w:rsidRPr="00337743" w:rsidRDefault="004503D2" w:rsidP="0071702C">
      <w:pPr>
        <w:pStyle w:val="GradeClara-nfase31"/>
        <w:ind w:left="0"/>
        <w:jc w:val="both"/>
        <w:rPr>
          <w:b/>
          <w:color w:val="auto"/>
          <w:sz w:val="20"/>
          <w:szCs w:val="20"/>
          <w:lang w:val="pt-BR"/>
        </w:rPr>
      </w:pPr>
    </w:p>
    <w:p w14:paraId="2823E5A3" w14:textId="172F94D8" w:rsidR="004503D2" w:rsidRPr="006E0CFC"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D41673">
        <w:rPr>
          <w:rFonts w:ascii="Cambria" w:hAnsi="Cambria"/>
          <w:color w:val="000000"/>
          <w:sz w:val="20"/>
          <w:szCs w:val="20"/>
          <w:lang w:val="pt-BR"/>
        </w:rPr>
        <w:t>Manoel Luiz da Silva</w:t>
      </w:r>
      <w:r w:rsidRPr="00D41673" w:rsidDel="003A744C">
        <w:rPr>
          <w:rFonts w:ascii="Cambria" w:hAnsi="Cambria"/>
          <w:color w:val="000000"/>
          <w:sz w:val="20"/>
          <w:szCs w:val="20"/>
          <w:lang w:val="pt-BR"/>
        </w:rPr>
        <w:t xml:space="preserve"> </w:t>
      </w:r>
      <w:r w:rsidRPr="00D41673">
        <w:rPr>
          <w:rFonts w:ascii="Cambria" w:hAnsi="Cambria"/>
          <w:sz w:val="20"/>
          <w:szCs w:val="20"/>
          <w:lang w:val="pt-BR"/>
        </w:rPr>
        <w:t xml:space="preserve">faleceu em </w:t>
      </w:r>
      <w:r w:rsidRPr="00D41673">
        <w:rPr>
          <w:rFonts w:ascii="Cambria" w:hAnsi="Cambria"/>
          <w:color w:val="000000"/>
          <w:sz w:val="20"/>
          <w:szCs w:val="20"/>
          <w:lang w:val="pt-BR"/>
        </w:rPr>
        <w:t>19 de maio de 1997</w:t>
      </w:r>
      <w:r w:rsidRPr="00D41673">
        <w:rPr>
          <w:rFonts w:ascii="Cambria" w:hAnsi="Cambria"/>
          <w:sz w:val="20"/>
          <w:szCs w:val="20"/>
          <w:lang w:val="pt-BR"/>
        </w:rPr>
        <w:t xml:space="preserve"> </w:t>
      </w:r>
      <w:r w:rsidR="00254BC1">
        <w:rPr>
          <w:rFonts w:ascii="Cambria" w:hAnsi="Cambria"/>
          <w:color w:val="000000"/>
          <w:sz w:val="20"/>
          <w:szCs w:val="20"/>
          <w:lang w:val="pt-BR"/>
        </w:rPr>
        <w:t>na f</w:t>
      </w:r>
      <w:r w:rsidRPr="00D41673">
        <w:rPr>
          <w:rFonts w:ascii="Cambria" w:hAnsi="Cambria"/>
          <w:color w:val="000000"/>
          <w:sz w:val="20"/>
          <w:szCs w:val="20"/>
          <w:lang w:val="pt-BR"/>
        </w:rPr>
        <w:t xml:space="preserve">azenda Engenho </w:t>
      </w:r>
      <w:r w:rsidR="00C9008D">
        <w:rPr>
          <w:rFonts w:ascii="Cambria" w:hAnsi="Cambria"/>
          <w:color w:val="000000"/>
          <w:sz w:val="20"/>
          <w:szCs w:val="20"/>
          <w:lang w:val="pt-BR"/>
        </w:rPr>
        <w:t>T</w:t>
      </w:r>
      <w:r w:rsidR="00656179">
        <w:rPr>
          <w:rFonts w:ascii="Cambria" w:hAnsi="Cambria"/>
          <w:color w:val="000000"/>
          <w:sz w:val="20"/>
          <w:szCs w:val="20"/>
          <w:lang w:val="pt-BR"/>
        </w:rPr>
        <w:t>aipu, localizada no m</w:t>
      </w:r>
      <w:r w:rsidRPr="00D41673">
        <w:rPr>
          <w:rFonts w:ascii="Cambria" w:hAnsi="Cambria"/>
          <w:color w:val="000000"/>
          <w:sz w:val="20"/>
          <w:szCs w:val="20"/>
          <w:lang w:val="pt-BR"/>
        </w:rPr>
        <w:t>unicípio de São Miguel de</w:t>
      </w:r>
      <w:r w:rsidR="00C9008D" w:rsidRPr="00C9008D">
        <w:rPr>
          <w:rFonts w:ascii="Cambria" w:hAnsi="Cambria"/>
          <w:color w:val="000000"/>
          <w:sz w:val="20"/>
          <w:szCs w:val="20"/>
          <w:lang w:val="pt-BR"/>
        </w:rPr>
        <w:t xml:space="preserve"> </w:t>
      </w:r>
      <w:r w:rsidR="00C9008D">
        <w:rPr>
          <w:rFonts w:ascii="Cambria" w:hAnsi="Cambria"/>
          <w:color w:val="000000"/>
          <w:sz w:val="20"/>
          <w:szCs w:val="20"/>
          <w:lang w:val="pt-BR"/>
        </w:rPr>
        <w:t>T</w:t>
      </w:r>
      <w:r w:rsidR="00C9008D" w:rsidRPr="00D41673">
        <w:rPr>
          <w:rFonts w:ascii="Cambria" w:hAnsi="Cambria"/>
          <w:color w:val="000000"/>
          <w:sz w:val="20"/>
          <w:szCs w:val="20"/>
          <w:lang w:val="pt-BR"/>
        </w:rPr>
        <w:t>aipu</w:t>
      </w:r>
      <w:r w:rsidRPr="00D41673">
        <w:rPr>
          <w:rFonts w:ascii="Cambria" w:hAnsi="Cambria"/>
          <w:color w:val="000000"/>
          <w:sz w:val="20"/>
          <w:szCs w:val="20"/>
          <w:lang w:val="pt-BR"/>
        </w:rPr>
        <w:t xml:space="preserve">, </w:t>
      </w:r>
      <w:r w:rsidR="00097689">
        <w:rPr>
          <w:rFonts w:ascii="Cambria" w:hAnsi="Cambria"/>
          <w:color w:val="000000"/>
          <w:sz w:val="20"/>
          <w:szCs w:val="20"/>
          <w:lang w:val="pt-BR"/>
        </w:rPr>
        <w:t>e</w:t>
      </w:r>
      <w:r w:rsidRPr="00D41673">
        <w:rPr>
          <w:rFonts w:ascii="Cambria" w:hAnsi="Cambria"/>
          <w:color w:val="000000"/>
          <w:sz w:val="20"/>
          <w:szCs w:val="20"/>
          <w:lang w:val="pt-BR"/>
        </w:rPr>
        <w:t>stado da Paraíba</w:t>
      </w:r>
      <w:r w:rsidRPr="00D41673">
        <w:rPr>
          <w:rFonts w:ascii="Cambria" w:hAnsi="Cambria"/>
          <w:sz w:val="20"/>
          <w:szCs w:val="20"/>
          <w:lang w:val="pt-BR"/>
        </w:rPr>
        <w:t>. Era trabalhador rural, integrante do Movimento Sem Terra (MST), casado</w:t>
      </w:r>
      <w:r w:rsidRPr="00D41673">
        <w:rPr>
          <w:rFonts w:ascii="Cambria" w:hAnsi="Cambria"/>
          <w:color w:val="FF0000"/>
          <w:sz w:val="20"/>
          <w:szCs w:val="20"/>
          <w:lang w:val="pt-BR"/>
        </w:rPr>
        <w:t xml:space="preserve"> </w:t>
      </w:r>
      <w:r w:rsidRPr="006E0CFC">
        <w:rPr>
          <w:rFonts w:ascii="Cambria" w:hAnsi="Cambria"/>
          <w:sz w:val="20"/>
          <w:szCs w:val="20"/>
          <w:lang w:val="pt-BR"/>
        </w:rPr>
        <w:t>e possuía um filho</w:t>
      </w:r>
      <w:r w:rsidRPr="00D41673">
        <w:rPr>
          <w:rFonts w:ascii="Cambria" w:hAnsi="Cambria"/>
          <w:sz w:val="20"/>
          <w:szCs w:val="20"/>
          <w:lang w:val="pt-BR"/>
        </w:rPr>
        <w:t xml:space="preserve">. </w:t>
      </w:r>
      <w:r>
        <w:rPr>
          <w:rFonts w:ascii="Cambria" w:hAnsi="Cambria"/>
          <w:sz w:val="20"/>
          <w:szCs w:val="20"/>
          <w:lang w:val="pt-BR"/>
        </w:rPr>
        <w:t>Sua mãe se chama</w:t>
      </w:r>
      <w:r w:rsidRPr="00D41673">
        <w:rPr>
          <w:rFonts w:ascii="Cambria" w:hAnsi="Cambria"/>
          <w:sz w:val="20"/>
          <w:szCs w:val="20"/>
          <w:lang w:val="pt-BR"/>
        </w:rPr>
        <w:t xml:space="preserve"> Josefa Maria da Conceição, sua esposa Edileuza José Adelino de Lima e seu filho Manoel Adelino da Silva. Segundo a parte peticion</w:t>
      </w:r>
      <w:r>
        <w:rPr>
          <w:rFonts w:ascii="Cambria" w:hAnsi="Cambria"/>
          <w:sz w:val="20"/>
          <w:szCs w:val="20"/>
          <w:lang w:val="pt-BR"/>
        </w:rPr>
        <w:t>ária, a famí</w:t>
      </w:r>
      <w:r w:rsidRPr="00D41673">
        <w:rPr>
          <w:rFonts w:ascii="Cambria" w:hAnsi="Cambria"/>
          <w:sz w:val="20"/>
          <w:szCs w:val="20"/>
          <w:lang w:val="pt-BR"/>
        </w:rPr>
        <w:t xml:space="preserve">lia ficou desestruturada e totalmente desamparada após a morte de Manoel Luiz. A esposa  Edileuza desenvolveu alcoolismo, o que a impossibilitou de continuar a cuidar do filho, que passou, então, a morar com vários parentes, mudando-se de uma casa para outra ao longo dos anos. Edileuza faleceu em 2005 em virtude de doença. Josefa Maria da Conceição vive na zona rural do </w:t>
      </w:r>
      <w:r w:rsidR="00656179">
        <w:rPr>
          <w:rFonts w:ascii="Cambria" w:hAnsi="Cambria"/>
          <w:color w:val="000000"/>
          <w:sz w:val="20"/>
          <w:szCs w:val="20"/>
          <w:lang w:val="pt-BR"/>
        </w:rPr>
        <w:t>m</w:t>
      </w:r>
      <w:r w:rsidR="00656179" w:rsidRPr="00D41673">
        <w:rPr>
          <w:rFonts w:ascii="Cambria" w:hAnsi="Cambria"/>
          <w:color w:val="000000"/>
          <w:sz w:val="20"/>
          <w:szCs w:val="20"/>
          <w:lang w:val="pt-BR"/>
        </w:rPr>
        <w:t xml:space="preserve">unicípio </w:t>
      </w:r>
      <w:r w:rsidRPr="00D41673">
        <w:rPr>
          <w:rFonts w:ascii="Cambria" w:hAnsi="Cambria"/>
          <w:sz w:val="20"/>
          <w:szCs w:val="20"/>
          <w:lang w:val="pt-BR"/>
        </w:rPr>
        <w:t>de Caaporã. No último contato conhecido dos peticionários, não se sabia do paradeiro de Manoel Adelino da Silva.</w:t>
      </w:r>
      <w:r>
        <w:rPr>
          <w:rFonts w:ascii="Cambria" w:hAnsi="Cambria"/>
          <w:sz w:val="20"/>
          <w:szCs w:val="20"/>
          <w:lang w:val="pt-BR"/>
        </w:rPr>
        <w:t xml:space="preserve"> </w:t>
      </w:r>
      <w:r w:rsidRPr="006E0CFC">
        <w:rPr>
          <w:rFonts w:ascii="Cambria" w:hAnsi="Cambria"/>
          <w:sz w:val="20"/>
          <w:szCs w:val="20"/>
          <w:lang w:val="pt-BR"/>
        </w:rPr>
        <w:t>Considerando todas essas informações, a</w:t>
      </w:r>
      <w:r w:rsidRPr="00D41673">
        <w:rPr>
          <w:rFonts w:ascii="Cambria" w:hAnsi="Cambria"/>
          <w:sz w:val="20"/>
          <w:szCs w:val="20"/>
          <w:lang w:val="pt-BR"/>
        </w:rPr>
        <w:t xml:space="preserve"> CIDH entende que </w:t>
      </w:r>
      <w:r w:rsidRPr="00D41673">
        <w:rPr>
          <w:rFonts w:ascii="Cambria" w:hAnsi="Cambria"/>
          <w:color w:val="000000"/>
          <w:sz w:val="20"/>
          <w:szCs w:val="20"/>
          <w:lang w:val="pt-BR"/>
        </w:rPr>
        <w:t xml:space="preserve">Manoel </w:t>
      </w:r>
      <w:r w:rsidRPr="00D41673">
        <w:rPr>
          <w:rFonts w:ascii="Cambria" w:hAnsi="Cambria"/>
          <w:sz w:val="20"/>
          <w:szCs w:val="20"/>
          <w:lang w:val="pt-BR"/>
        </w:rPr>
        <w:t xml:space="preserve">e seus familiares são pessoas de escassos recursos </w:t>
      </w:r>
      <w:r>
        <w:rPr>
          <w:rFonts w:ascii="Cambria" w:hAnsi="Cambria"/>
          <w:sz w:val="20"/>
          <w:szCs w:val="20"/>
          <w:lang w:val="pt-BR"/>
        </w:rPr>
        <w:t xml:space="preserve">sociais e </w:t>
      </w:r>
      <w:r w:rsidRPr="00FD6D61">
        <w:rPr>
          <w:rFonts w:ascii="Cambria" w:hAnsi="Cambria"/>
          <w:sz w:val="20"/>
          <w:szCs w:val="20"/>
          <w:lang w:val="pt-BR"/>
        </w:rPr>
        <w:t>econômicos</w:t>
      </w:r>
      <w:r w:rsidRPr="006E0CFC">
        <w:rPr>
          <w:rFonts w:ascii="Cambria" w:hAnsi="Cambria"/>
          <w:sz w:val="20"/>
          <w:szCs w:val="20"/>
          <w:vertAlign w:val="superscript"/>
          <w:lang w:val="pt-BR"/>
        </w:rPr>
        <w:footnoteReference w:id="15"/>
      </w:r>
      <w:r w:rsidRPr="006E0CFC">
        <w:rPr>
          <w:rFonts w:ascii="Cambria" w:hAnsi="Cambria"/>
          <w:sz w:val="20"/>
          <w:szCs w:val="20"/>
          <w:lang w:val="pt-BR"/>
        </w:rPr>
        <w:t xml:space="preserve">. </w:t>
      </w:r>
    </w:p>
    <w:p w14:paraId="042D707D" w14:textId="77777777" w:rsidR="004503D2" w:rsidRPr="00337743"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5E412FD1" w14:textId="77777777" w:rsidR="004503D2" w:rsidRPr="009F1C8F" w:rsidRDefault="004503D2" w:rsidP="009F1C8F">
      <w:pPr>
        <w:pStyle w:val="Heading2"/>
      </w:pPr>
      <w:bookmarkStart w:id="11" w:name="_Toc17097158"/>
      <w:r w:rsidRPr="009F1C8F">
        <w:t>Fatos do caso</w:t>
      </w:r>
      <w:bookmarkEnd w:id="11"/>
    </w:p>
    <w:p w14:paraId="05D45EEA" w14:textId="77777777" w:rsidR="004503D2" w:rsidRPr="00337743" w:rsidRDefault="004503D2" w:rsidP="0071702C">
      <w:pPr>
        <w:rPr>
          <w:rFonts w:ascii="Cambria" w:hAnsi="Cambria"/>
          <w:sz w:val="20"/>
          <w:szCs w:val="20"/>
          <w:lang w:val="pt-BR"/>
        </w:rPr>
      </w:pPr>
    </w:p>
    <w:p w14:paraId="3F49DF65" w14:textId="2924D748" w:rsidR="004503D2" w:rsidRDefault="00CC07A3"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Pr>
          <w:rFonts w:ascii="Cambria" w:hAnsi="Cambria"/>
          <w:color w:val="000000"/>
          <w:sz w:val="20"/>
          <w:szCs w:val="20"/>
          <w:lang w:val="pt-BR"/>
        </w:rPr>
        <w:t xml:space="preserve">De acordo com o inquérito policial, </w:t>
      </w:r>
      <w:r w:rsidR="00E4310C">
        <w:rPr>
          <w:rFonts w:ascii="Cambria" w:hAnsi="Cambria"/>
          <w:color w:val="000000"/>
          <w:sz w:val="20"/>
          <w:szCs w:val="20"/>
          <w:lang w:val="pt-BR"/>
        </w:rPr>
        <w:t>o</w:t>
      </w:r>
      <w:r w:rsidR="004503D2">
        <w:rPr>
          <w:rFonts w:ascii="Cambria" w:hAnsi="Cambria"/>
          <w:color w:val="000000"/>
          <w:sz w:val="20"/>
          <w:szCs w:val="20"/>
          <w:lang w:val="pt-BR"/>
        </w:rPr>
        <w:t xml:space="preserve">s trabalhadores rurais </w:t>
      </w:r>
      <w:r w:rsidR="004503D2" w:rsidRPr="00D41673">
        <w:rPr>
          <w:rFonts w:ascii="Cambria" w:hAnsi="Cambria"/>
          <w:color w:val="000000"/>
          <w:sz w:val="20"/>
          <w:szCs w:val="20"/>
          <w:lang w:val="pt-BR"/>
        </w:rPr>
        <w:t>Manoel Luiz da Silva</w:t>
      </w:r>
      <w:r w:rsidR="004503D2" w:rsidRPr="00D41673" w:rsidDel="003A744C">
        <w:rPr>
          <w:rFonts w:ascii="Cambria" w:hAnsi="Cambria"/>
          <w:color w:val="000000"/>
          <w:sz w:val="20"/>
          <w:szCs w:val="20"/>
          <w:lang w:val="pt-BR"/>
        </w:rPr>
        <w:t xml:space="preserve"> </w:t>
      </w:r>
      <w:r w:rsidR="004503D2">
        <w:rPr>
          <w:rFonts w:ascii="Cambria" w:hAnsi="Cambria"/>
          <w:color w:val="000000"/>
          <w:sz w:val="20"/>
          <w:szCs w:val="20"/>
          <w:lang w:val="pt-BR"/>
        </w:rPr>
        <w:t xml:space="preserve">(suposta vítima), João Maximiliano da Silva, Sebastião Félix Silva e Manoel Luis Silva (homônimo da vítima), em 19 de maio de 1997, aproximadamente às 16 horas, saíram do acampamento do Movimento Sem Terra (MST) instalado na </w:t>
      </w:r>
      <w:r w:rsidR="00254BC1">
        <w:rPr>
          <w:rFonts w:ascii="Cambria" w:hAnsi="Cambria"/>
          <w:color w:val="000000"/>
          <w:sz w:val="20"/>
          <w:szCs w:val="20"/>
          <w:lang w:val="pt-BR"/>
        </w:rPr>
        <w:t>f</w:t>
      </w:r>
      <w:r w:rsidR="004503D2">
        <w:rPr>
          <w:rFonts w:ascii="Cambria" w:hAnsi="Cambria"/>
          <w:color w:val="000000"/>
          <w:sz w:val="20"/>
          <w:szCs w:val="20"/>
          <w:lang w:val="pt-BR"/>
        </w:rPr>
        <w:t xml:space="preserve">azenda Amarelo, no </w:t>
      </w:r>
      <w:r w:rsidR="00656179">
        <w:rPr>
          <w:rFonts w:ascii="Cambria" w:hAnsi="Cambria"/>
          <w:color w:val="000000"/>
          <w:sz w:val="20"/>
          <w:szCs w:val="20"/>
          <w:lang w:val="pt-BR"/>
        </w:rPr>
        <w:t>m</w:t>
      </w:r>
      <w:r w:rsidR="00656179" w:rsidRPr="00D41673">
        <w:rPr>
          <w:rFonts w:ascii="Cambria" w:hAnsi="Cambria"/>
          <w:color w:val="000000"/>
          <w:sz w:val="20"/>
          <w:szCs w:val="20"/>
          <w:lang w:val="pt-BR"/>
        </w:rPr>
        <w:t xml:space="preserve">unicípio </w:t>
      </w:r>
      <w:r w:rsidR="004503D2">
        <w:rPr>
          <w:rFonts w:ascii="Cambria" w:hAnsi="Cambria"/>
          <w:color w:val="000000"/>
          <w:sz w:val="20"/>
          <w:szCs w:val="20"/>
          <w:lang w:val="pt-BR"/>
        </w:rPr>
        <w:t xml:space="preserve">de São Miguel de </w:t>
      </w:r>
      <w:r w:rsidR="00C9008D">
        <w:rPr>
          <w:rFonts w:ascii="Cambria" w:hAnsi="Cambria"/>
          <w:color w:val="000000"/>
          <w:sz w:val="20"/>
          <w:szCs w:val="20"/>
          <w:lang w:val="pt-BR"/>
        </w:rPr>
        <w:t>T</w:t>
      </w:r>
      <w:r w:rsidR="00C9008D" w:rsidRPr="00D41673">
        <w:rPr>
          <w:rFonts w:ascii="Cambria" w:hAnsi="Cambria"/>
          <w:color w:val="000000"/>
          <w:sz w:val="20"/>
          <w:szCs w:val="20"/>
          <w:lang w:val="pt-BR"/>
        </w:rPr>
        <w:t>aipu</w:t>
      </w:r>
      <w:r w:rsidR="004503D2">
        <w:rPr>
          <w:rFonts w:ascii="Cambria" w:hAnsi="Cambria"/>
          <w:color w:val="000000"/>
          <w:sz w:val="20"/>
          <w:szCs w:val="20"/>
          <w:lang w:val="pt-BR"/>
        </w:rPr>
        <w:t xml:space="preserve">, </w:t>
      </w:r>
      <w:r w:rsidR="00097689">
        <w:rPr>
          <w:rFonts w:ascii="Cambria" w:hAnsi="Cambria"/>
          <w:color w:val="000000"/>
          <w:sz w:val="20"/>
          <w:szCs w:val="20"/>
          <w:lang w:val="pt-BR"/>
        </w:rPr>
        <w:t>e</w:t>
      </w:r>
      <w:r w:rsidR="00097689" w:rsidRPr="00D41673">
        <w:rPr>
          <w:rFonts w:ascii="Cambria" w:hAnsi="Cambria"/>
          <w:color w:val="000000"/>
          <w:sz w:val="20"/>
          <w:szCs w:val="20"/>
          <w:lang w:val="pt-BR"/>
        </w:rPr>
        <w:t xml:space="preserve">stado </w:t>
      </w:r>
      <w:r w:rsidR="004503D2">
        <w:rPr>
          <w:rFonts w:ascii="Cambria" w:hAnsi="Cambria"/>
          <w:color w:val="000000"/>
          <w:sz w:val="20"/>
          <w:szCs w:val="20"/>
          <w:lang w:val="pt-BR"/>
        </w:rPr>
        <w:t xml:space="preserve">da Paraíba, que estava sob a tutela do INCRA – Instituto Nacional de Colonização e Reforma Agrária, com destino a uma mercearia com o objetivo de comprar querosene. Ao retornarem ao acampamento, por volta das 17h30min, passaram por uma estrada chamada “de carroça”, que passa pelas terras correspondentes à </w:t>
      </w:r>
      <w:r w:rsidR="00254BC1">
        <w:rPr>
          <w:rFonts w:ascii="Cambria" w:hAnsi="Cambria"/>
          <w:color w:val="000000"/>
          <w:sz w:val="20"/>
          <w:szCs w:val="20"/>
          <w:lang w:val="pt-BR"/>
        </w:rPr>
        <w:t>f</w:t>
      </w:r>
      <w:r w:rsidR="004503D2">
        <w:rPr>
          <w:rFonts w:ascii="Cambria" w:hAnsi="Cambria"/>
          <w:color w:val="000000"/>
          <w:sz w:val="20"/>
          <w:szCs w:val="20"/>
          <w:lang w:val="pt-BR"/>
        </w:rPr>
        <w:t>azenda Engenho Taipu, de propriedade de Alcides Vieira de Azevedo, quando encontraram agentes de segurança particular a serviço de dito fazendeiro, conhecidos como José Caetano da Silva, Severino Lima da Silva e Marcelo da Silva Wanderley</w:t>
      </w:r>
      <w:r w:rsidR="004503D2">
        <w:rPr>
          <w:rStyle w:val="FootnoteReference"/>
          <w:rFonts w:ascii="Cambria" w:hAnsi="Cambria"/>
          <w:color w:val="000000"/>
          <w:sz w:val="20"/>
          <w:szCs w:val="20"/>
          <w:lang w:val="pt-BR"/>
        </w:rPr>
        <w:footnoteReference w:id="16"/>
      </w:r>
      <w:r w:rsidR="004503D2">
        <w:rPr>
          <w:rFonts w:ascii="Cambria" w:hAnsi="Cambria"/>
          <w:color w:val="000000"/>
          <w:sz w:val="20"/>
          <w:szCs w:val="20"/>
          <w:lang w:val="pt-BR"/>
        </w:rPr>
        <w:t xml:space="preserve">. </w:t>
      </w:r>
    </w:p>
    <w:p w14:paraId="100BFBDD"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36C9FC6A" w14:textId="1A01F398" w:rsidR="004503D2" w:rsidRDefault="00CC07A3"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Pr>
          <w:rFonts w:ascii="Cambria" w:hAnsi="Cambria"/>
          <w:color w:val="000000"/>
          <w:sz w:val="20"/>
          <w:szCs w:val="20"/>
          <w:lang w:val="pt-BR"/>
        </w:rPr>
        <w:t xml:space="preserve">No mesmo procedimento policial se indica que </w:t>
      </w:r>
      <w:r w:rsidR="003146CC">
        <w:rPr>
          <w:rFonts w:ascii="Cambria" w:hAnsi="Cambria"/>
          <w:color w:val="000000"/>
          <w:sz w:val="20"/>
          <w:szCs w:val="20"/>
          <w:lang w:val="pt-BR"/>
        </w:rPr>
        <w:t>o</w:t>
      </w:r>
      <w:r w:rsidR="004503D2">
        <w:rPr>
          <w:rFonts w:ascii="Cambria" w:hAnsi="Cambria"/>
          <w:color w:val="000000"/>
          <w:sz w:val="20"/>
          <w:szCs w:val="20"/>
          <w:lang w:val="pt-BR"/>
        </w:rPr>
        <w:t xml:space="preserve">s agentes, que estavam a cavalo e fortemente armados com rifles, espingardas calibre 12 e revólveres, avisaram aos citados trabalhadores sem-terra que eles não podiam circular pela estrada em que se encontravam e que o proprietário da fazenda Engenho Taipu lhes havia ordenado que matassem os sem terra que estivessem nas imediações de sua fazenda. Logo após proferir tal ameaça, os seguranças ordenaram aos trabalhadores que soltassem os objetos que portavam, que consistiam em três foices e uma faca e, após alguns insultos proferidos pelos seguranças atribuídos à condição de sem-terra dos trabalhadores, desferiram um tiro à queima-roupa contra </w:t>
      </w:r>
      <w:r w:rsidR="004503D2" w:rsidRPr="00D41673">
        <w:rPr>
          <w:rFonts w:ascii="Cambria" w:hAnsi="Cambria"/>
          <w:color w:val="000000"/>
          <w:sz w:val="20"/>
          <w:szCs w:val="20"/>
          <w:lang w:val="pt-BR"/>
        </w:rPr>
        <w:t>Manoel Luiz da Silva</w:t>
      </w:r>
      <w:r w:rsidR="004503D2">
        <w:rPr>
          <w:rFonts w:ascii="Cambria" w:hAnsi="Cambria"/>
          <w:color w:val="000000"/>
          <w:sz w:val="20"/>
          <w:szCs w:val="20"/>
          <w:lang w:val="pt-BR"/>
        </w:rPr>
        <w:t>, que morreu instantaneamente</w:t>
      </w:r>
      <w:r w:rsidR="004503D2">
        <w:rPr>
          <w:rStyle w:val="FootnoteReference"/>
          <w:rFonts w:ascii="Cambria" w:hAnsi="Cambria"/>
          <w:color w:val="000000"/>
          <w:sz w:val="20"/>
          <w:szCs w:val="20"/>
          <w:lang w:val="pt-BR"/>
        </w:rPr>
        <w:footnoteReference w:id="17"/>
      </w:r>
      <w:r w:rsidR="004503D2">
        <w:rPr>
          <w:rFonts w:ascii="Cambria" w:hAnsi="Cambria"/>
          <w:color w:val="000000"/>
          <w:sz w:val="20"/>
          <w:szCs w:val="20"/>
          <w:lang w:val="pt-BR"/>
        </w:rPr>
        <w:t xml:space="preserve">.  </w:t>
      </w:r>
    </w:p>
    <w:p w14:paraId="7DE55202" w14:textId="77777777" w:rsidR="004503D2" w:rsidRDefault="004503D2" w:rsidP="0071702C">
      <w:pPr>
        <w:pStyle w:val="ListParagraph"/>
        <w:ind w:left="0"/>
        <w:rPr>
          <w:rFonts w:ascii="Cambria" w:hAnsi="Cambria"/>
          <w:color w:val="000000"/>
          <w:sz w:val="20"/>
          <w:szCs w:val="20"/>
          <w:lang w:val="pt-BR"/>
        </w:rPr>
      </w:pPr>
    </w:p>
    <w:p w14:paraId="61881F52" w14:textId="4C9FDF9D" w:rsidR="004503D2" w:rsidRDefault="00CC07A3"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Pr>
          <w:rFonts w:ascii="Cambria" w:hAnsi="Cambria"/>
          <w:color w:val="000000"/>
          <w:sz w:val="20"/>
          <w:szCs w:val="20"/>
          <w:lang w:val="pt-BR"/>
        </w:rPr>
        <w:t>Também se assina</w:t>
      </w:r>
      <w:r w:rsidR="003308B9">
        <w:rPr>
          <w:rFonts w:ascii="Cambria" w:hAnsi="Cambria"/>
          <w:color w:val="000000"/>
          <w:sz w:val="20"/>
          <w:szCs w:val="20"/>
          <w:lang w:val="pt-BR"/>
        </w:rPr>
        <w:t>l</w:t>
      </w:r>
      <w:r>
        <w:rPr>
          <w:rFonts w:ascii="Cambria" w:hAnsi="Cambria"/>
          <w:color w:val="000000"/>
          <w:sz w:val="20"/>
          <w:szCs w:val="20"/>
          <w:lang w:val="pt-BR"/>
        </w:rPr>
        <w:t>a no inquérito policial que o h</w:t>
      </w:r>
      <w:r w:rsidR="004503D2">
        <w:rPr>
          <w:rFonts w:ascii="Cambria" w:hAnsi="Cambria"/>
          <w:color w:val="000000"/>
          <w:sz w:val="20"/>
          <w:szCs w:val="20"/>
          <w:lang w:val="pt-BR"/>
        </w:rPr>
        <w:t>omônimo da vítima, Manoel Luis Silva, e Sebastião Félix Silva conseguiram fugir correndo, tendo recebido tiros pelas costas em sua direção, sem, entretanto, atingir-lhes; enquanto João Maximiliano da Silva ficou detido pelos seguranças particulares por alguns minutos, sendo logo liberado</w:t>
      </w:r>
      <w:r w:rsidR="004503D2">
        <w:rPr>
          <w:rStyle w:val="FootnoteReference"/>
          <w:rFonts w:ascii="Cambria" w:hAnsi="Cambria"/>
          <w:color w:val="000000"/>
          <w:sz w:val="20"/>
          <w:szCs w:val="20"/>
          <w:lang w:val="pt-BR"/>
        </w:rPr>
        <w:footnoteReference w:id="18"/>
      </w:r>
      <w:r w:rsidR="004503D2">
        <w:rPr>
          <w:rFonts w:ascii="Cambria" w:hAnsi="Cambria"/>
          <w:color w:val="000000"/>
          <w:sz w:val="20"/>
          <w:szCs w:val="20"/>
          <w:lang w:val="pt-BR"/>
        </w:rPr>
        <w:t>.</w:t>
      </w:r>
    </w:p>
    <w:p w14:paraId="3E266BB9" w14:textId="77777777" w:rsidR="004503D2" w:rsidRDefault="004503D2" w:rsidP="0071702C">
      <w:pPr>
        <w:pStyle w:val="ListParagraph"/>
        <w:ind w:left="0"/>
        <w:rPr>
          <w:rFonts w:ascii="Cambria" w:hAnsi="Cambria"/>
          <w:color w:val="000000"/>
          <w:sz w:val="20"/>
          <w:szCs w:val="20"/>
          <w:lang w:val="pt-BR"/>
        </w:rPr>
      </w:pPr>
    </w:p>
    <w:p w14:paraId="62FF775D" w14:textId="69145403" w:rsidR="004503D2" w:rsidRPr="00FC0D8B"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Pr>
          <w:rFonts w:ascii="Cambria" w:hAnsi="Cambria"/>
          <w:color w:val="000000"/>
          <w:sz w:val="20"/>
          <w:szCs w:val="20"/>
          <w:lang w:val="pt-BR"/>
        </w:rPr>
        <w:t xml:space="preserve">Ao saberem do fato, trabalhadores rurais do acampamento de Manoel foram à delegacia a fim de comunicar o ocorrido. Lá chegando, foram informados pelo policial que lá estava que nada poderia ser feito, pois a delegacia, além de contar com apenas um agente policial naquele momento, não possuía viatura para a diligência. Os trabalhadores </w:t>
      </w:r>
      <w:r w:rsidRPr="00FC0D8B">
        <w:rPr>
          <w:rFonts w:ascii="Cambria" w:hAnsi="Cambria"/>
          <w:color w:val="000000"/>
          <w:sz w:val="20"/>
          <w:szCs w:val="20"/>
          <w:lang w:val="pt-BR"/>
        </w:rPr>
        <w:t>foram</w:t>
      </w:r>
      <w:r>
        <w:rPr>
          <w:rFonts w:ascii="Cambria" w:hAnsi="Cambria"/>
          <w:color w:val="000000"/>
          <w:sz w:val="20"/>
          <w:szCs w:val="20"/>
          <w:lang w:val="pt-BR"/>
        </w:rPr>
        <w:t>, então, às 21 horas do mesmo dia,</w:t>
      </w:r>
      <w:r w:rsidRPr="00FC0D8B">
        <w:rPr>
          <w:rFonts w:ascii="Cambria" w:hAnsi="Cambria"/>
          <w:color w:val="000000"/>
          <w:sz w:val="20"/>
          <w:szCs w:val="20"/>
          <w:lang w:val="pt-BR"/>
        </w:rPr>
        <w:t xml:space="preserve"> à casa da Presidente do Sindicato dos Trabalhadores Rurais do Município</w:t>
      </w:r>
      <w:r>
        <w:rPr>
          <w:rFonts w:ascii="Cambria" w:hAnsi="Cambria"/>
          <w:color w:val="000000"/>
          <w:sz w:val="20"/>
          <w:szCs w:val="20"/>
          <w:lang w:val="pt-BR"/>
        </w:rPr>
        <w:t>, f</w:t>
      </w:r>
      <w:r w:rsidRPr="00FC0D8B">
        <w:rPr>
          <w:rFonts w:ascii="Cambria" w:hAnsi="Cambria"/>
          <w:color w:val="000000"/>
          <w:sz w:val="20"/>
          <w:szCs w:val="20"/>
          <w:lang w:val="pt-BR"/>
        </w:rPr>
        <w:t xml:space="preserve">ormaram uma pequena comissão e se encaminharam ao Comandante do 18 Batalhão da Polícia Militar no </w:t>
      </w:r>
      <w:r w:rsidR="00656179">
        <w:rPr>
          <w:rFonts w:ascii="Cambria" w:hAnsi="Cambria"/>
          <w:color w:val="000000"/>
          <w:sz w:val="20"/>
          <w:szCs w:val="20"/>
          <w:lang w:val="pt-BR"/>
        </w:rPr>
        <w:t>m</w:t>
      </w:r>
      <w:r w:rsidR="00656179" w:rsidRPr="00D41673">
        <w:rPr>
          <w:rFonts w:ascii="Cambria" w:hAnsi="Cambria"/>
          <w:color w:val="000000"/>
          <w:sz w:val="20"/>
          <w:szCs w:val="20"/>
          <w:lang w:val="pt-BR"/>
        </w:rPr>
        <w:t xml:space="preserve">unicípio </w:t>
      </w:r>
      <w:r w:rsidRPr="00FC0D8B">
        <w:rPr>
          <w:rFonts w:ascii="Cambria" w:hAnsi="Cambria"/>
          <w:color w:val="000000"/>
          <w:sz w:val="20"/>
          <w:szCs w:val="20"/>
          <w:lang w:val="pt-BR"/>
        </w:rPr>
        <w:t>de Itabaiana, solicitando providências urgentes</w:t>
      </w:r>
      <w:r>
        <w:rPr>
          <w:rStyle w:val="FootnoteReference"/>
          <w:rFonts w:ascii="Cambria" w:hAnsi="Cambria"/>
          <w:color w:val="000000"/>
          <w:sz w:val="20"/>
          <w:szCs w:val="20"/>
          <w:lang w:val="pt-BR"/>
        </w:rPr>
        <w:footnoteReference w:id="19"/>
      </w:r>
      <w:r w:rsidRPr="00FC0D8B">
        <w:rPr>
          <w:rFonts w:ascii="Cambria" w:hAnsi="Cambria"/>
          <w:color w:val="000000"/>
          <w:sz w:val="20"/>
          <w:szCs w:val="20"/>
          <w:lang w:val="pt-BR"/>
        </w:rPr>
        <w:t>.</w:t>
      </w:r>
    </w:p>
    <w:p w14:paraId="7D931ED8" w14:textId="77777777" w:rsidR="004503D2" w:rsidRDefault="004503D2" w:rsidP="0071702C">
      <w:pPr>
        <w:pStyle w:val="ListParagraph"/>
        <w:ind w:left="0"/>
        <w:rPr>
          <w:rFonts w:ascii="Cambria" w:hAnsi="Cambria"/>
          <w:color w:val="000000"/>
          <w:sz w:val="20"/>
          <w:szCs w:val="20"/>
          <w:lang w:val="pt-BR"/>
        </w:rPr>
      </w:pPr>
    </w:p>
    <w:p w14:paraId="10135289" w14:textId="5A4C6AB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647A9D">
        <w:rPr>
          <w:rFonts w:ascii="Cambria" w:hAnsi="Cambria"/>
          <w:color w:val="000000"/>
          <w:sz w:val="20"/>
          <w:szCs w:val="20"/>
          <w:lang w:val="pt-BR"/>
        </w:rPr>
        <w:lastRenderedPageBreak/>
        <w:t xml:space="preserve"> </w:t>
      </w:r>
      <w:r w:rsidRPr="00306DC9">
        <w:rPr>
          <w:rFonts w:ascii="Cambria" w:hAnsi="Cambria"/>
          <w:color w:val="000000"/>
          <w:sz w:val="20"/>
          <w:szCs w:val="20"/>
          <w:lang w:val="pt-BR"/>
        </w:rPr>
        <w:t xml:space="preserve">O </w:t>
      </w:r>
      <w:r w:rsidR="005B7CED">
        <w:rPr>
          <w:rFonts w:ascii="Cambria" w:hAnsi="Cambria"/>
          <w:color w:val="000000"/>
          <w:sz w:val="20"/>
          <w:szCs w:val="20"/>
          <w:lang w:val="pt-BR"/>
        </w:rPr>
        <w:t>comandante do citado batalhão, c</w:t>
      </w:r>
      <w:r w:rsidRPr="00306DC9">
        <w:rPr>
          <w:rFonts w:ascii="Cambria" w:hAnsi="Cambria"/>
          <w:color w:val="000000"/>
          <w:sz w:val="20"/>
          <w:szCs w:val="20"/>
          <w:lang w:val="pt-BR"/>
        </w:rPr>
        <w:t xml:space="preserve">apitão Ascendino, teria se dirigido ao local do crime apenas no dia 20 de maio de 1997, ou seja, no dia seguinte ao fato, às 12 horas. Ao passar pelo acompamento da </w:t>
      </w:r>
      <w:r w:rsidR="00254BC1">
        <w:rPr>
          <w:rFonts w:ascii="Cambria" w:hAnsi="Cambria"/>
          <w:color w:val="000000"/>
          <w:sz w:val="20"/>
          <w:szCs w:val="20"/>
          <w:lang w:val="pt-BR"/>
        </w:rPr>
        <w:t>f</w:t>
      </w:r>
      <w:r w:rsidRPr="00306DC9">
        <w:rPr>
          <w:rFonts w:ascii="Cambria" w:hAnsi="Cambria"/>
          <w:color w:val="000000"/>
          <w:sz w:val="20"/>
          <w:szCs w:val="20"/>
          <w:lang w:val="pt-BR"/>
        </w:rPr>
        <w:t>azenda Amarelo com mais dois policiais montados a cavalo, chamou os trabalhadores que presenciaram o crime, quais sejam, João Maximiliano da Silva, o homônimo da vítima Manoel Luis Silva e Sebastião Félix Silva, para que os acompanhassem na diligência</w:t>
      </w:r>
      <w:r>
        <w:rPr>
          <w:rStyle w:val="FootnoteReference"/>
          <w:rFonts w:ascii="Cambria" w:hAnsi="Cambria"/>
          <w:color w:val="000000"/>
          <w:sz w:val="20"/>
          <w:szCs w:val="20"/>
          <w:lang w:val="pt-BR"/>
        </w:rPr>
        <w:footnoteReference w:id="20"/>
      </w:r>
      <w:r w:rsidRPr="00306DC9">
        <w:rPr>
          <w:rFonts w:ascii="Cambria" w:hAnsi="Cambria"/>
          <w:color w:val="000000"/>
          <w:sz w:val="20"/>
          <w:szCs w:val="20"/>
          <w:lang w:val="pt-BR"/>
        </w:rPr>
        <w:t>.</w:t>
      </w:r>
    </w:p>
    <w:p w14:paraId="5052143B"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77DEF9B1" w14:textId="77777777" w:rsidR="004503D2" w:rsidRPr="009F1C8F"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Pr>
          <w:rFonts w:ascii="Cambria" w:hAnsi="Cambria"/>
          <w:color w:val="000000"/>
          <w:sz w:val="20"/>
          <w:szCs w:val="20"/>
          <w:lang w:val="pt-BR"/>
        </w:rPr>
        <w:t xml:space="preserve">No mesmo dia, </w:t>
      </w:r>
      <w:r>
        <w:rPr>
          <w:rFonts w:ascii="Cambria" w:hAnsi="Cambria"/>
          <w:sz w:val="20"/>
          <w:szCs w:val="20"/>
          <w:lang w:val="pt-BR"/>
        </w:rPr>
        <w:t xml:space="preserve">em 20 de maio de 1997, </w:t>
      </w:r>
      <w:r>
        <w:rPr>
          <w:rFonts w:ascii="Cambria" w:hAnsi="Cambria"/>
          <w:color w:val="000000"/>
          <w:sz w:val="20"/>
          <w:szCs w:val="20"/>
          <w:lang w:val="pt-BR"/>
        </w:rPr>
        <w:t xml:space="preserve">o inquérito policial foi instaurado sob </w:t>
      </w:r>
      <w:r w:rsidRPr="00306DC9">
        <w:rPr>
          <w:rFonts w:ascii="Cambria" w:hAnsi="Cambria"/>
          <w:sz w:val="20"/>
          <w:szCs w:val="20"/>
          <w:lang w:val="pt-BR"/>
        </w:rPr>
        <w:t>n. 027-97</w:t>
      </w:r>
      <w:r>
        <w:rPr>
          <w:rFonts w:ascii="Cambria" w:hAnsi="Cambria"/>
          <w:sz w:val="20"/>
          <w:szCs w:val="20"/>
          <w:lang w:val="pt-BR"/>
        </w:rPr>
        <w:t>.</w:t>
      </w:r>
    </w:p>
    <w:p w14:paraId="093AF019" w14:textId="77777777" w:rsidR="009F1C8F" w:rsidRDefault="009F1C8F" w:rsidP="009F1C8F">
      <w:pPr>
        <w:pStyle w:val="ListParagraph"/>
        <w:rPr>
          <w:rFonts w:ascii="Cambria" w:hAnsi="Cambria"/>
          <w:color w:val="000000"/>
          <w:sz w:val="20"/>
          <w:szCs w:val="20"/>
          <w:lang w:val="pt-BR"/>
        </w:rPr>
      </w:pPr>
    </w:p>
    <w:p w14:paraId="140B1BEC" w14:textId="77777777" w:rsidR="009F1C8F" w:rsidRPr="006E0CFC" w:rsidRDefault="009F1C8F" w:rsidP="009F1C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401DE879" w14:textId="77777777" w:rsidR="004503D2" w:rsidRPr="009F1C8F" w:rsidRDefault="004503D2" w:rsidP="009F1C8F">
      <w:pPr>
        <w:pStyle w:val="Heading2"/>
      </w:pPr>
      <w:bookmarkStart w:id="12" w:name="_Toc17097159"/>
      <w:r w:rsidRPr="009F1C8F">
        <w:t>Processo Interno</w:t>
      </w:r>
      <w:bookmarkEnd w:id="12"/>
    </w:p>
    <w:p w14:paraId="566C3675" w14:textId="77777777" w:rsidR="004503D2" w:rsidRPr="006E0CFC" w:rsidRDefault="004503D2" w:rsidP="0071702C">
      <w:pPr>
        <w:rPr>
          <w:i/>
        </w:rPr>
      </w:pPr>
    </w:p>
    <w:p w14:paraId="107211CE" w14:textId="014728D6" w:rsidR="004503D2" w:rsidRPr="009F1C8F" w:rsidRDefault="004503D2" w:rsidP="009F1C8F">
      <w:pPr>
        <w:pStyle w:val="Heading3"/>
      </w:pPr>
      <w:bookmarkStart w:id="13" w:name="_Toc17097160"/>
      <w:r w:rsidRPr="009F1C8F">
        <w:t>Inquérito Policial</w:t>
      </w:r>
      <w:bookmarkEnd w:id="13"/>
    </w:p>
    <w:p w14:paraId="0321C383" w14:textId="77777777" w:rsidR="004503D2" w:rsidRDefault="004503D2" w:rsidP="0071702C">
      <w:pPr>
        <w:pStyle w:val="ListParagraph"/>
        <w:ind w:left="0"/>
        <w:rPr>
          <w:rFonts w:ascii="Cambria" w:hAnsi="Cambria"/>
          <w:sz w:val="20"/>
          <w:szCs w:val="20"/>
          <w:lang w:val="pt-BR"/>
        </w:rPr>
      </w:pPr>
    </w:p>
    <w:p w14:paraId="41562A7E" w14:textId="12BE1CE8"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 xml:space="preserve">Com a instauração do Inquérito Policial, iniciou a oitiva das testemunhas. A testemunha Maria Antero de Souza e Silva, Presidente do Sindicato dos Trabalhadores Rurais do </w:t>
      </w:r>
      <w:r w:rsidR="00656179">
        <w:rPr>
          <w:rFonts w:ascii="Cambria" w:hAnsi="Cambria"/>
          <w:color w:val="000000"/>
          <w:sz w:val="20"/>
          <w:szCs w:val="20"/>
          <w:lang w:val="pt-BR"/>
        </w:rPr>
        <w:t>m</w:t>
      </w:r>
      <w:r w:rsidR="00656179" w:rsidRPr="00D41673">
        <w:rPr>
          <w:rFonts w:ascii="Cambria" w:hAnsi="Cambria"/>
          <w:color w:val="000000"/>
          <w:sz w:val="20"/>
          <w:szCs w:val="20"/>
          <w:lang w:val="pt-BR"/>
        </w:rPr>
        <w:t xml:space="preserve">unicípio </w:t>
      </w:r>
      <w:r w:rsidRPr="009F5171">
        <w:rPr>
          <w:rFonts w:ascii="Cambria" w:hAnsi="Cambria"/>
          <w:sz w:val="20"/>
          <w:szCs w:val="20"/>
          <w:lang w:val="pt-BR"/>
        </w:rPr>
        <w:t xml:space="preserve">de São Miguel de </w:t>
      </w:r>
      <w:r w:rsidR="00C9008D">
        <w:rPr>
          <w:rFonts w:ascii="Cambria" w:hAnsi="Cambria"/>
          <w:color w:val="000000"/>
          <w:sz w:val="20"/>
          <w:szCs w:val="20"/>
          <w:lang w:val="pt-BR"/>
        </w:rPr>
        <w:t>T</w:t>
      </w:r>
      <w:r w:rsidR="00C9008D" w:rsidRPr="00D41673">
        <w:rPr>
          <w:rFonts w:ascii="Cambria" w:hAnsi="Cambria"/>
          <w:color w:val="000000"/>
          <w:sz w:val="20"/>
          <w:szCs w:val="20"/>
          <w:lang w:val="pt-BR"/>
        </w:rPr>
        <w:t>aipu</w:t>
      </w:r>
      <w:r w:rsidRPr="009F5171">
        <w:rPr>
          <w:rFonts w:ascii="Cambria" w:hAnsi="Cambria"/>
          <w:sz w:val="20"/>
          <w:szCs w:val="20"/>
          <w:lang w:val="pt-BR"/>
        </w:rPr>
        <w:t>, em seu depoimento à polícia em 26 de maio de 1997, confirmou que no dia 19 de maio de 1997, quatro trabalhadores rurais a informaram do assassinato, que teria ocorrido às 17h30min daquele dia, e que os mesmos teriam ido à Delegacia comunicar o fato, mas havia apenas um policial, que informou que nada poderia fazer. Assim, solicitaram que fosse feita uma comunicação formal dos fatos, o que foi feito ao Comandante do 18 Batalhão da Polícia Militar às 22h30min. A testemunha informa ainda que várias pessoas esperaram o Comandante entre 2h e 8h da manhã do dia 20 de maio, sem que ele tivesse comparecido sequer ao local do crime</w:t>
      </w:r>
      <w:r>
        <w:rPr>
          <w:rStyle w:val="FootnoteReference"/>
          <w:rFonts w:ascii="Cambria" w:hAnsi="Cambria"/>
          <w:sz w:val="20"/>
          <w:szCs w:val="20"/>
          <w:lang w:val="pt-BR"/>
        </w:rPr>
        <w:footnoteReference w:id="21"/>
      </w:r>
      <w:r w:rsidRPr="009F5171">
        <w:rPr>
          <w:rFonts w:ascii="Cambria" w:hAnsi="Cambria"/>
          <w:sz w:val="20"/>
          <w:szCs w:val="20"/>
          <w:lang w:val="pt-BR"/>
        </w:rPr>
        <w:t>.</w:t>
      </w:r>
    </w:p>
    <w:p w14:paraId="21A8FC91"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6AEE1A85" w14:textId="5454BABE"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João Maximiliano da Silva, uma das vítimas do atentado, foi ouvido em 27 de maio de 1997 e informou que a vítima Manoel Luiz da Silva foi atingido por um tiro e que o homônimo da vítima, Manoel Luis Silva, e Sebastião Félix Silva conseguiram fugir correndo, porém no caso dele não foi possível porque os seguranç</w:t>
      </w:r>
      <w:r>
        <w:rPr>
          <w:rFonts w:ascii="Cambria" w:hAnsi="Cambria"/>
          <w:sz w:val="20"/>
          <w:szCs w:val="20"/>
          <w:lang w:val="pt-BR"/>
        </w:rPr>
        <w:t xml:space="preserve">as o cercaram, ameaçando-o com </w:t>
      </w:r>
      <w:r w:rsidRPr="009F5171">
        <w:rPr>
          <w:rFonts w:ascii="Cambria" w:hAnsi="Cambria"/>
          <w:sz w:val="20"/>
          <w:szCs w:val="20"/>
          <w:lang w:val="pt-BR"/>
        </w:rPr>
        <w:t xml:space="preserve">espingardas calibre 12. Relatou, ainda, que os cavalos utilizados pelos seguranças do Sr. Alcides Vieira no momento do crime eram os </w:t>
      </w:r>
      <w:r>
        <w:rPr>
          <w:rFonts w:ascii="Cambria" w:hAnsi="Cambria"/>
          <w:sz w:val="20"/>
          <w:szCs w:val="20"/>
          <w:lang w:val="pt-BR"/>
        </w:rPr>
        <w:t>m</w:t>
      </w:r>
      <w:r w:rsidRPr="009F5171">
        <w:rPr>
          <w:rFonts w:ascii="Cambria" w:hAnsi="Cambria"/>
          <w:sz w:val="20"/>
          <w:szCs w:val="20"/>
          <w:lang w:val="pt-BR"/>
        </w:rPr>
        <w:t>esmos utilizados pelos policiais que foram verificar a ocorrência do crime</w:t>
      </w:r>
      <w:r>
        <w:rPr>
          <w:rStyle w:val="FootnoteReference"/>
          <w:rFonts w:ascii="Cambria" w:hAnsi="Cambria"/>
          <w:sz w:val="20"/>
          <w:szCs w:val="20"/>
          <w:lang w:val="pt-BR"/>
        </w:rPr>
        <w:footnoteReference w:id="22"/>
      </w:r>
      <w:r w:rsidRPr="009F5171">
        <w:rPr>
          <w:rFonts w:ascii="Cambria" w:hAnsi="Cambria"/>
          <w:sz w:val="20"/>
          <w:szCs w:val="20"/>
          <w:lang w:val="pt-BR"/>
        </w:rPr>
        <w:t>.</w:t>
      </w:r>
    </w:p>
    <w:p w14:paraId="4B7C43F8"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79487168" w14:textId="77777777"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No dia 30 de maio de 1997 foram ouvidas as outras duas vítimas vivas do atentado, Sebastião Félix Silva e o homônimo do falecido, Manoel Luis Silva. Sebastião reiterou o depoimento de João, descrevendo mais detalhadamente os fatos acerca da utilização dos cavalos dos responsáveis pelo assassinato e pelos membros da polícia militar</w:t>
      </w:r>
      <w:r>
        <w:rPr>
          <w:rStyle w:val="FootnoteReference"/>
          <w:rFonts w:ascii="Cambria" w:hAnsi="Cambria"/>
          <w:sz w:val="20"/>
          <w:szCs w:val="20"/>
          <w:lang w:val="pt-BR"/>
        </w:rPr>
        <w:footnoteReference w:id="23"/>
      </w:r>
      <w:r w:rsidRPr="009F5171">
        <w:rPr>
          <w:rFonts w:ascii="Cambria" w:hAnsi="Cambria"/>
          <w:sz w:val="20"/>
          <w:szCs w:val="20"/>
          <w:lang w:val="pt-BR"/>
        </w:rPr>
        <w:t>. Manoel informou que os pistoleiros portavam revólveres, espingardas calibre 12 e um rifle. Após gritar e insultar as vítimas, os pistoleiros desceram dos cavalos, apontaram as armas para Manoel e dispararam o tiro fatal. Manoel ainda viu a vítima cair no chão. Informou que os pistoleiros tentaram segurar os demais, mas que apenas Sebastião ficou detido. Além de confirmar que os cavalos dos pistoleiros eram os mesmos utilizados pelos policiais no dia seguinte ao crime, revelou que quando a perícia chegou ao local do crime, o corpo de Manoel não estava mais no mesmo lugar onde o vira cair no dia anterior</w:t>
      </w:r>
      <w:r>
        <w:rPr>
          <w:rStyle w:val="FootnoteReference"/>
          <w:rFonts w:ascii="Cambria" w:hAnsi="Cambria"/>
          <w:sz w:val="20"/>
          <w:szCs w:val="20"/>
          <w:lang w:val="pt-BR"/>
        </w:rPr>
        <w:footnoteReference w:id="24"/>
      </w:r>
      <w:r w:rsidRPr="009F5171">
        <w:rPr>
          <w:rFonts w:ascii="Cambria" w:hAnsi="Cambria"/>
          <w:sz w:val="20"/>
          <w:szCs w:val="20"/>
          <w:lang w:val="pt-BR"/>
        </w:rPr>
        <w:t>.</w:t>
      </w:r>
    </w:p>
    <w:p w14:paraId="6B33ADB2"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389B7CE0" w14:textId="77777777"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O delegado de São Miguel de Taipú, Sr. Jerônimo Nunes de Souza, informou que na sede da fazenda Engenho Taipú,  de propriedade de Alcides Vieira de Azevedo, foram encontradas munições, quatro espingardas de calibre indefinido, um rifle calibre 38, seis tubos de pólvora, três caixas de espoletas, quatro cartuches calibre 12, dois cartuchos calibre 20 e uma quantidade aproximada de duzentos gramas de chumbo</w:t>
      </w:r>
      <w:r>
        <w:rPr>
          <w:rStyle w:val="FootnoteReference"/>
          <w:rFonts w:ascii="Cambria" w:hAnsi="Cambria"/>
          <w:sz w:val="20"/>
          <w:szCs w:val="20"/>
          <w:lang w:val="pt-BR"/>
        </w:rPr>
        <w:footnoteReference w:id="25"/>
      </w:r>
      <w:r w:rsidRPr="009F5171">
        <w:rPr>
          <w:rFonts w:ascii="Cambria" w:hAnsi="Cambria"/>
          <w:sz w:val="20"/>
          <w:szCs w:val="20"/>
          <w:lang w:val="pt-BR"/>
        </w:rPr>
        <w:t>.</w:t>
      </w:r>
    </w:p>
    <w:p w14:paraId="401276EA"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1F68CB2C" w14:textId="77777777"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O laudo de exame cadavérico apontou que a vítima foi atingida por arma de grosso calibre na região do tórax, causando um ferimento de cerca de dois centímetos e meio de diâmetro, produzido por projétil de calibre 12, bem como mais seis ferimentos medindo um centímetro cada</w:t>
      </w:r>
      <w:r>
        <w:rPr>
          <w:rStyle w:val="FootnoteReference"/>
          <w:rFonts w:ascii="Cambria" w:hAnsi="Cambria"/>
          <w:sz w:val="20"/>
          <w:szCs w:val="20"/>
          <w:lang w:val="pt-BR"/>
        </w:rPr>
        <w:footnoteReference w:id="26"/>
      </w:r>
      <w:r w:rsidRPr="009F5171">
        <w:rPr>
          <w:rFonts w:ascii="Cambria" w:hAnsi="Cambria"/>
          <w:sz w:val="20"/>
          <w:szCs w:val="20"/>
          <w:lang w:val="pt-BR"/>
        </w:rPr>
        <w:t>.</w:t>
      </w:r>
    </w:p>
    <w:p w14:paraId="12471A7F"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4CD046DD" w14:textId="77777777"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lastRenderedPageBreak/>
        <w:t xml:space="preserve">No dia 18 de junho de 1997, o proprietário da fazenda Engenho Taipú, Alcides Vieira de Azevedo, prestou depoimento à polícia, afirmando que a contratação de pessoas para trabalhar na segurança de sua propriedade se deu em face </w:t>
      </w:r>
      <w:r w:rsidRPr="00EE2953">
        <w:rPr>
          <w:rFonts w:ascii="Cambria" w:hAnsi="Cambria"/>
          <w:sz w:val="20"/>
          <w:szCs w:val="20"/>
          <w:lang w:val="pt-BR"/>
        </w:rPr>
        <w:t>do pequeno número de policiais militares</w:t>
      </w:r>
      <w:r w:rsidRPr="009F5171">
        <w:rPr>
          <w:rFonts w:ascii="Cambria" w:hAnsi="Cambria"/>
          <w:sz w:val="20"/>
          <w:szCs w:val="20"/>
          <w:lang w:val="pt-BR"/>
        </w:rPr>
        <w:t xml:space="preserve"> na região e que precisava manter sua propriedade sob vigilância constante pois já havia</w:t>
      </w:r>
      <w:r>
        <w:rPr>
          <w:rFonts w:ascii="Cambria" w:hAnsi="Cambria"/>
          <w:sz w:val="20"/>
          <w:szCs w:val="20"/>
          <w:lang w:val="pt-BR"/>
        </w:rPr>
        <w:t>m</w:t>
      </w:r>
      <w:r w:rsidRPr="009F5171">
        <w:rPr>
          <w:rFonts w:ascii="Cambria" w:hAnsi="Cambria"/>
          <w:sz w:val="20"/>
          <w:szCs w:val="20"/>
          <w:lang w:val="pt-BR"/>
        </w:rPr>
        <w:t xml:space="preserve"> ocorrido duas desocupações de suas terras por ordem do Juiz da Vara de Conflitos Agrários e do Meio Ambiente</w:t>
      </w:r>
      <w:r>
        <w:rPr>
          <w:rStyle w:val="FootnoteReference"/>
          <w:rFonts w:ascii="Cambria" w:hAnsi="Cambria"/>
          <w:sz w:val="20"/>
          <w:szCs w:val="20"/>
          <w:lang w:val="pt-BR"/>
        </w:rPr>
        <w:footnoteReference w:id="27"/>
      </w:r>
      <w:r w:rsidRPr="009F5171">
        <w:rPr>
          <w:rFonts w:ascii="Cambria" w:hAnsi="Cambria"/>
          <w:sz w:val="20"/>
          <w:szCs w:val="20"/>
          <w:lang w:val="pt-BR"/>
        </w:rPr>
        <w:t xml:space="preserve">. </w:t>
      </w:r>
    </w:p>
    <w:p w14:paraId="6D3B661F"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1AC9AB4D" w14:textId="77777777"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 xml:space="preserve">José Caetano da Silva, que estava entre os seguranças da propriedade, imputou o homicídio ao uma pessoa chamada Marcelo da Silva Wanderley, que teria se desentendido com Manoel </w:t>
      </w:r>
      <w:r>
        <w:rPr>
          <w:rFonts w:ascii="Cambria" w:hAnsi="Cambria"/>
          <w:sz w:val="20"/>
          <w:szCs w:val="20"/>
          <w:lang w:val="pt-BR"/>
        </w:rPr>
        <w:t xml:space="preserve">e o acertado </w:t>
      </w:r>
      <w:r w:rsidRPr="009F5171">
        <w:rPr>
          <w:rFonts w:ascii="Cambria" w:hAnsi="Cambria"/>
          <w:sz w:val="20"/>
          <w:szCs w:val="20"/>
          <w:lang w:val="pt-BR"/>
        </w:rPr>
        <w:t>com um tiro de espingarda. Segundo ele</w:t>
      </w:r>
      <w:r>
        <w:rPr>
          <w:rFonts w:ascii="Cambria" w:hAnsi="Cambria"/>
          <w:sz w:val="20"/>
          <w:szCs w:val="20"/>
          <w:lang w:val="pt-BR"/>
        </w:rPr>
        <w:t>,</w:t>
      </w:r>
      <w:r w:rsidRPr="009F5171">
        <w:rPr>
          <w:rFonts w:ascii="Cambria" w:hAnsi="Cambria"/>
          <w:sz w:val="20"/>
          <w:szCs w:val="20"/>
          <w:lang w:val="pt-BR"/>
        </w:rPr>
        <w:t xml:space="preserve"> os agricultores estavam dentro da fazenda e o Sr Marcelo da Silva Wanderley solicitou-lhes que saíssem daquela região, pois era proibida a entrada. Os agricultores teriam atendido ao pedido, exceto Manoel</w:t>
      </w:r>
      <w:r>
        <w:rPr>
          <w:rFonts w:ascii="Cambria" w:hAnsi="Cambria"/>
          <w:sz w:val="20"/>
          <w:szCs w:val="20"/>
          <w:lang w:val="pt-BR"/>
        </w:rPr>
        <w:t>, que teria tentado agredi-los, motivo pelo qual teria sido baleado</w:t>
      </w:r>
      <w:r>
        <w:rPr>
          <w:rStyle w:val="FootnoteReference"/>
          <w:rFonts w:ascii="Cambria" w:hAnsi="Cambria"/>
          <w:sz w:val="20"/>
          <w:szCs w:val="20"/>
          <w:lang w:val="pt-BR"/>
        </w:rPr>
        <w:footnoteReference w:id="28"/>
      </w:r>
      <w:r>
        <w:rPr>
          <w:rFonts w:ascii="Cambria" w:hAnsi="Cambria"/>
          <w:sz w:val="20"/>
          <w:szCs w:val="20"/>
          <w:lang w:val="pt-BR"/>
        </w:rPr>
        <w:t>.</w:t>
      </w:r>
    </w:p>
    <w:p w14:paraId="45BD5C26"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0C84F9F8" w14:textId="16C60B60"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 xml:space="preserve">Entre 20 de junho e 22 de setembro de 1997, houve pedidos de prorrogação de prazo para investigação e conclusão do inquérito, a fim de encontrar o terceiro envolvido por José Caetano. Entretanto, ao fim se descobriu que o nome Marcelo da Silva Wanderley não constava em nenhum cadastro eleitoral do </w:t>
      </w:r>
      <w:r w:rsidR="00656179" w:rsidRPr="00656179">
        <w:rPr>
          <w:rFonts w:ascii="Cambria" w:hAnsi="Cambria"/>
          <w:sz w:val="20"/>
          <w:szCs w:val="20"/>
          <w:lang w:val="pt-BR"/>
        </w:rPr>
        <w:t xml:space="preserve">estado </w:t>
      </w:r>
      <w:r w:rsidRPr="009F5171">
        <w:rPr>
          <w:rFonts w:ascii="Cambria" w:hAnsi="Cambria"/>
          <w:sz w:val="20"/>
          <w:szCs w:val="20"/>
          <w:lang w:val="pt-BR"/>
        </w:rPr>
        <w:t xml:space="preserve">de Pernambuco e tampouco no registro </w:t>
      </w:r>
      <w:r>
        <w:rPr>
          <w:rFonts w:ascii="Cambria" w:hAnsi="Cambria"/>
          <w:sz w:val="20"/>
          <w:szCs w:val="20"/>
          <w:lang w:val="pt-BR"/>
        </w:rPr>
        <w:t xml:space="preserve">criminal no </w:t>
      </w:r>
      <w:r w:rsidR="00656179" w:rsidRPr="00656179">
        <w:rPr>
          <w:rFonts w:ascii="Cambria" w:hAnsi="Cambria"/>
          <w:sz w:val="20"/>
          <w:szCs w:val="20"/>
          <w:lang w:val="pt-BR"/>
        </w:rPr>
        <w:t xml:space="preserve">estado </w:t>
      </w:r>
      <w:r>
        <w:rPr>
          <w:rFonts w:ascii="Cambria" w:hAnsi="Cambria"/>
          <w:sz w:val="20"/>
          <w:szCs w:val="20"/>
          <w:lang w:val="pt-BR"/>
        </w:rPr>
        <w:t>da Paraíba</w:t>
      </w:r>
      <w:r>
        <w:rPr>
          <w:rStyle w:val="FootnoteReference"/>
          <w:rFonts w:ascii="Cambria" w:hAnsi="Cambria"/>
          <w:sz w:val="20"/>
          <w:szCs w:val="20"/>
          <w:lang w:val="pt-BR"/>
        </w:rPr>
        <w:footnoteReference w:id="29"/>
      </w:r>
      <w:r>
        <w:rPr>
          <w:rFonts w:ascii="Cambria" w:hAnsi="Cambria"/>
          <w:sz w:val="20"/>
          <w:szCs w:val="20"/>
          <w:lang w:val="pt-BR"/>
        </w:rPr>
        <w:t xml:space="preserve">. </w:t>
      </w:r>
    </w:p>
    <w:p w14:paraId="6476629A" w14:textId="77777777" w:rsidR="004503D2" w:rsidRPr="009F517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2CB1A109" w14:textId="77777777" w:rsidR="004503D2" w:rsidRPr="009F5171"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F5171">
        <w:rPr>
          <w:rFonts w:ascii="Cambria" w:hAnsi="Cambria"/>
          <w:sz w:val="20"/>
          <w:szCs w:val="20"/>
          <w:lang w:val="pt-BR"/>
        </w:rPr>
        <w:t xml:space="preserve">Em 22 de setembro de 1997, o Inquérito Policial foi relatado, concluindo que o crime ocorreu devido às invasões ocorridas na propriedade pelos sem terra, salientando que os depoimentos eram contraditórios por parte dos agricultores rurais e de que não haveria como descobrir a autoria do crime pelas informações concedidas pelo Sr. Alcides Vieira. </w:t>
      </w:r>
      <w:r>
        <w:rPr>
          <w:rFonts w:ascii="Cambria" w:hAnsi="Cambria"/>
          <w:sz w:val="20"/>
          <w:szCs w:val="20"/>
          <w:lang w:val="pt-BR"/>
        </w:rPr>
        <w:t xml:space="preserve">Desta maneira, apenas </w:t>
      </w:r>
      <w:r w:rsidRPr="00306DC9">
        <w:rPr>
          <w:rFonts w:ascii="Cambria" w:hAnsi="Cambria"/>
          <w:color w:val="000000"/>
          <w:sz w:val="20"/>
          <w:szCs w:val="20"/>
          <w:lang w:val="pt-BR"/>
        </w:rPr>
        <w:t>José Caetano da Silva e Severino Lima da Silva</w:t>
      </w:r>
      <w:r>
        <w:rPr>
          <w:rFonts w:ascii="Cambria" w:hAnsi="Cambria"/>
          <w:color w:val="000000"/>
          <w:sz w:val="20"/>
          <w:szCs w:val="20"/>
          <w:lang w:val="pt-BR"/>
        </w:rPr>
        <w:t xml:space="preserve"> foram indiciados por homicídio</w:t>
      </w:r>
      <w:r>
        <w:rPr>
          <w:rStyle w:val="FootnoteReference"/>
          <w:rFonts w:ascii="Cambria" w:hAnsi="Cambria"/>
          <w:color w:val="000000"/>
          <w:sz w:val="20"/>
          <w:szCs w:val="20"/>
          <w:lang w:val="pt-BR"/>
        </w:rPr>
        <w:footnoteReference w:id="30"/>
      </w:r>
      <w:r>
        <w:rPr>
          <w:rFonts w:ascii="Cambria" w:hAnsi="Cambria"/>
          <w:color w:val="000000"/>
          <w:sz w:val="20"/>
          <w:szCs w:val="20"/>
          <w:lang w:val="pt-BR"/>
        </w:rPr>
        <w:t>.</w:t>
      </w:r>
    </w:p>
    <w:p w14:paraId="357BB01C"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651FF3D7" w14:textId="686F4804" w:rsidR="004503D2" w:rsidRPr="006E0CFC" w:rsidRDefault="004503D2" w:rsidP="009F1C8F">
      <w:pPr>
        <w:pStyle w:val="Heading3"/>
      </w:pPr>
      <w:bookmarkStart w:id="14" w:name="_Toc17097161"/>
      <w:r w:rsidRPr="006E0CFC">
        <w:t>Processo Penal</w:t>
      </w:r>
      <w:bookmarkEnd w:id="14"/>
    </w:p>
    <w:p w14:paraId="15DA7EDC"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7A418C25" w14:textId="77777777" w:rsidR="004503D2" w:rsidRPr="00E36CB6"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E36CB6">
        <w:rPr>
          <w:rFonts w:ascii="Cambria" w:hAnsi="Cambria"/>
          <w:sz w:val="20"/>
          <w:szCs w:val="20"/>
          <w:lang w:val="pt-BR"/>
        </w:rPr>
        <w:t xml:space="preserve">A denúncia foi apresentada contra </w:t>
      </w:r>
      <w:r w:rsidRPr="00E36CB6">
        <w:rPr>
          <w:rFonts w:ascii="Cambria" w:hAnsi="Cambria"/>
          <w:color w:val="000000"/>
          <w:sz w:val="20"/>
          <w:szCs w:val="20"/>
          <w:lang w:val="pt-BR"/>
        </w:rPr>
        <w:t>José Caetano da Silva e Severino Lima da Silva</w:t>
      </w:r>
      <w:r>
        <w:rPr>
          <w:rFonts w:ascii="Cambria" w:hAnsi="Cambria"/>
          <w:color w:val="000000"/>
          <w:sz w:val="20"/>
          <w:szCs w:val="20"/>
          <w:lang w:val="pt-BR"/>
        </w:rPr>
        <w:t>,</w:t>
      </w:r>
      <w:r w:rsidRPr="00E36CB6">
        <w:rPr>
          <w:rFonts w:ascii="Cambria" w:hAnsi="Cambria"/>
          <w:color w:val="000000"/>
          <w:sz w:val="20"/>
          <w:szCs w:val="20"/>
          <w:lang w:val="pt-BR"/>
        </w:rPr>
        <w:t xml:space="preserve"> no dia 7 de novembro de 1997</w:t>
      </w:r>
      <w:r>
        <w:rPr>
          <w:rFonts w:ascii="Cambria" w:hAnsi="Cambria"/>
          <w:color w:val="000000"/>
          <w:sz w:val="20"/>
          <w:szCs w:val="20"/>
          <w:lang w:val="pt-BR"/>
        </w:rPr>
        <w:t>,</w:t>
      </w:r>
      <w:r w:rsidRPr="00E36CB6">
        <w:rPr>
          <w:rFonts w:ascii="Cambria" w:hAnsi="Cambria"/>
          <w:color w:val="000000"/>
          <w:sz w:val="20"/>
          <w:szCs w:val="20"/>
          <w:lang w:val="pt-BR"/>
        </w:rPr>
        <w:t xml:space="preserve"> e </w:t>
      </w:r>
      <w:r w:rsidRPr="00E36CB6">
        <w:rPr>
          <w:rFonts w:ascii="Cambria" w:hAnsi="Cambria"/>
          <w:sz w:val="20"/>
          <w:szCs w:val="20"/>
          <w:lang w:val="pt-BR"/>
        </w:rPr>
        <w:t xml:space="preserve">recebida pelo juiz singular no dia 11 </w:t>
      </w:r>
      <w:r>
        <w:rPr>
          <w:rFonts w:ascii="Cambria" w:hAnsi="Cambria"/>
          <w:sz w:val="20"/>
          <w:szCs w:val="20"/>
          <w:lang w:val="pt-BR"/>
        </w:rPr>
        <w:t>do mesmo mês e ano</w:t>
      </w:r>
      <w:r>
        <w:rPr>
          <w:rStyle w:val="FootnoteReference"/>
          <w:rFonts w:ascii="Cambria" w:hAnsi="Cambria"/>
          <w:sz w:val="20"/>
          <w:szCs w:val="20"/>
          <w:lang w:val="pt-BR"/>
        </w:rPr>
        <w:footnoteReference w:id="31"/>
      </w:r>
      <w:r w:rsidRPr="00E36CB6">
        <w:rPr>
          <w:rFonts w:ascii="Cambria" w:hAnsi="Cambria"/>
          <w:sz w:val="20"/>
          <w:szCs w:val="20"/>
          <w:lang w:val="pt-BR"/>
        </w:rPr>
        <w:t>.</w:t>
      </w:r>
    </w:p>
    <w:p w14:paraId="3FAA598F"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053A8F01"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sz w:val="20"/>
          <w:szCs w:val="20"/>
          <w:lang w:val="pt-BR"/>
        </w:rPr>
        <w:t xml:space="preserve">No dia 10 de dezembro de 1997, </w:t>
      </w:r>
      <w:r w:rsidRPr="00306DC9">
        <w:rPr>
          <w:rFonts w:ascii="Cambria" w:hAnsi="Cambria"/>
          <w:color w:val="000000"/>
          <w:sz w:val="20"/>
          <w:szCs w:val="20"/>
          <w:lang w:val="pt-BR"/>
        </w:rPr>
        <w:t>Severino Lima da Silva</w:t>
      </w:r>
      <w:r>
        <w:rPr>
          <w:rFonts w:ascii="Cambria" w:hAnsi="Cambria"/>
          <w:color w:val="000000"/>
          <w:sz w:val="20"/>
          <w:szCs w:val="20"/>
          <w:lang w:val="pt-BR"/>
        </w:rPr>
        <w:t xml:space="preserve"> foi interrogado e alegou que o crime foi praticado por </w:t>
      </w:r>
      <w:r w:rsidRPr="00306DC9">
        <w:rPr>
          <w:rFonts w:ascii="Cambria" w:hAnsi="Cambria"/>
          <w:color w:val="000000"/>
          <w:sz w:val="20"/>
          <w:szCs w:val="20"/>
          <w:lang w:val="pt-BR"/>
        </w:rPr>
        <w:t>José Caetano da Silva</w:t>
      </w:r>
      <w:r>
        <w:rPr>
          <w:rFonts w:ascii="Cambria" w:hAnsi="Cambria"/>
          <w:color w:val="000000"/>
          <w:sz w:val="20"/>
          <w:szCs w:val="20"/>
          <w:lang w:val="pt-BR"/>
        </w:rPr>
        <w:t xml:space="preserve"> e </w:t>
      </w:r>
      <w:r w:rsidRPr="009F5171">
        <w:rPr>
          <w:rFonts w:ascii="Cambria" w:hAnsi="Cambria"/>
          <w:sz w:val="20"/>
          <w:szCs w:val="20"/>
          <w:lang w:val="pt-BR"/>
        </w:rPr>
        <w:t>Marcelo da Silva Wanderley</w:t>
      </w:r>
      <w:r>
        <w:rPr>
          <w:rStyle w:val="FootnoteReference"/>
          <w:rFonts w:ascii="Cambria" w:hAnsi="Cambria"/>
          <w:sz w:val="20"/>
          <w:szCs w:val="20"/>
          <w:lang w:val="pt-BR"/>
        </w:rPr>
        <w:footnoteReference w:id="32"/>
      </w:r>
      <w:r>
        <w:rPr>
          <w:rFonts w:ascii="Cambria" w:hAnsi="Cambria"/>
          <w:sz w:val="20"/>
          <w:szCs w:val="20"/>
          <w:lang w:val="pt-BR"/>
        </w:rPr>
        <w:t>.</w:t>
      </w:r>
    </w:p>
    <w:p w14:paraId="328CDADA" w14:textId="77777777" w:rsidR="004503D2" w:rsidRDefault="004503D2" w:rsidP="0071702C">
      <w:pPr>
        <w:pStyle w:val="ListParagraph"/>
        <w:ind w:left="0"/>
        <w:rPr>
          <w:rFonts w:ascii="Cambria" w:hAnsi="Cambria"/>
          <w:sz w:val="20"/>
          <w:szCs w:val="20"/>
          <w:lang w:val="pt-BR"/>
        </w:rPr>
      </w:pPr>
    </w:p>
    <w:p w14:paraId="60B4AD97" w14:textId="21E41F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sz w:val="20"/>
          <w:szCs w:val="20"/>
          <w:lang w:val="pt-BR"/>
        </w:rPr>
        <w:t xml:space="preserve">Em 12 de dezembro de 1997, expediu-se carta precatória para citação e interrogatório do acusado </w:t>
      </w:r>
      <w:r w:rsidRPr="00306DC9">
        <w:rPr>
          <w:rFonts w:ascii="Cambria" w:hAnsi="Cambria"/>
          <w:color w:val="000000"/>
          <w:sz w:val="20"/>
          <w:szCs w:val="20"/>
          <w:lang w:val="pt-BR"/>
        </w:rPr>
        <w:t>José Caetano da Silva</w:t>
      </w:r>
      <w:r>
        <w:rPr>
          <w:rStyle w:val="FootnoteReference"/>
          <w:rFonts w:ascii="Cambria" w:hAnsi="Cambria"/>
          <w:color w:val="000000"/>
          <w:sz w:val="20"/>
          <w:szCs w:val="20"/>
          <w:lang w:val="pt-BR"/>
        </w:rPr>
        <w:footnoteReference w:id="33"/>
      </w:r>
      <w:r>
        <w:rPr>
          <w:rFonts w:ascii="Cambria" w:hAnsi="Cambria"/>
          <w:color w:val="000000"/>
          <w:sz w:val="20"/>
          <w:szCs w:val="20"/>
          <w:lang w:val="pt-BR"/>
        </w:rPr>
        <w:t>, o que ocorreu em 25 de maio de 1998. Na oportunidade, diferentemente das declarações dadas à polícia no inquérito policial, o acusado afirmou que não presenciou o assassinato de Manoel</w:t>
      </w:r>
      <w:r w:rsidR="00254BC1">
        <w:rPr>
          <w:rFonts w:ascii="Cambria" w:hAnsi="Cambria"/>
          <w:color w:val="000000"/>
          <w:sz w:val="20"/>
          <w:szCs w:val="20"/>
          <w:lang w:val="pt-BR"/>
        </w:rPr>
        <w:t xml:space="preserve">, que estava na casa </w:t>
      </w:r>
      <w:r w:rsidR="007A52F9">
        <w:rPr>
          <w:rFonts w:ascii="Cambria" w:hAnsi="Cambria"/>
          <w:color w:val="000000"/>
          <w:sz w:val="20"/>
          <w:szCs w:val="20"/>
          <w:lang w:val="pt-BR"/>
        </w:rPr>
        <w:t>g</w:t>
      </w:r>
      <w:r w:rsidR="00254BC1">
        <w:rPr>
          <w:rFonts w:ascii="Cambria" w:hAnsi="Cambria"/>
          <w:color w:val="000000"/>
          <w:sz w:val="20"/>
          <w:szCs w:val="20"/>
          <w:lang w:val="pt-BR"/>
        </w:rPr>
        <w:t>rande da f</w:t>
      </w:r>
      <w:r>
        <w:rPr>
          <w:rFonts w:ascii="Cambria" w:hAnsi="Cambria"/>
          <w:color w:val="000000"/>
          <w:sz w:val="20"/>
          <w:szCs w:val="20"/>
          <w:lang w:val="pt-BR"/>
        </w:rPr>
        <w:t xml:space="preserve">azenda São Miguel de </w:t>
      </w:r>
      <w:r w:rsidR="00C9008D">
        <w:rPr>
          <w:rFonts w:ascii="Cambria" w:hAnsi="Cambria"/>
          <w:color w:val="000000"/>
          <w:sz w:val="20"/>
          <w:szCs w:val="20"/>
          <w:lang w:val="pt-BR"/>
        </w:rPr>
        <w:t>T</w:t>
      </w:r>
      <w:r w:rsidR="00C9008D" w:rsidRPr="00D41673">
        <w:rPr>
          <w:rFonts w:ascii="Cambria" w:hAnsi="Cambria"/>
          <w:color w:val="000000"/>
          <w:sz w:val="20"/>
          <w:szCs w:val="20"/>
          <w:lang w:val="pt-BR"/>
        </w:rPr>
        <w:t>aipu</w:t>
      </w:r>
      <w:r w:rsidR="00C9008D">
        <w:rPr>
          <w:rFonts w:ascii="Cambria" w:hAnsi="Cambria"/>
          <w:color w:val="000000"/>
          <w:sz w:val="20"/>
          <w:szCs w:val="20"/>
          <w:lang w:val="pt-BR"/>
        </w:rPr>
        <w:t xml:space="preserve"> </w:t>
      </w:r>
      <w:r>
        <w:rPr>
          <w:rFonts w:ascii="Cambria" w:hAnsi="Cambria"/>
          <w:color w:val="000000"/>
          <w:sz w:val="20"/>
          <w:szCs w:val="20"/>
          <w:lang w:val="pt-BR"/>
        </w:rPr>
        <w:t>e negou peremptoriamente a participação nos fatos</w:t>
      </w:r>
      <w:r>
        <w:rPr>
          <w:rStyle w:val="FootnoteReference"/>
          <w:rFonts w:ascii="Cambria" w:hAnsi="Cambria"/>
          <w:color w:val="000000"/>
          <w:sz w:val="20"/>
          <w:szCs w:val="20"/>
          <w:lang w:val="pt-BR"/>
        </w:rPr>
        <w:footnoteReference w:id="34"/>
      </w:r>
      <w:r>
        <w:rPr>
          <w:rFonts w:ascii="Cambria" w:hAnsi="Cambria"/>
          <w:color w:val="000000"/>
          <w:sz w:val="20"/>
          <w:szCs w:val="20"/>
          <w:lang w:val="pt-BR"/>
        </w:rPr>
        <w:t>.</w:t>
      </w:r>
    </w:p>
    <w:p w14:paraId="0E74763D" w14:textId="77777777" w:rsidR="004503D2" w:rsidRDefault="004503D2" w:rsidP="0071702C">
      <w:pPr>
        <w:pStyle w:val="ListParagraph"/>
        <w:ind w:left="0"/>
        <w:rPr>
          <w:rFonts w:ascii="Cambria" w:hAnsi="Cambria"/>
          <w:sz w:val="20"/>
          <w:szCs w:val="20"/>
          <w:lang w:val="pt-BR"/>
        </w:rPr>
      </w:pPr>
    </w:p>
    <w:p w14:paraId="24E8C9B8"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4C6C26">
        <w:rPr>
          <w:rFonts w:ascii="Cambria" w:hAnsi="Cambria"/>
          <w:sz w:val="20"/>
          <w:szCs w:val="20"/>
          <w:lang w:val="pt-BR"/>
        </w:rPr>
        <w:t xml:space="preserve">Após a instrução do processo, com a expedição de várias cartas precatórias e a oitiva das testemunhas de defesa e de acusação, no dia 09 de outubro de 2001, o juiz anulou todos os atos do processo praticados a partir das fls. 259 dos autos, acatando pedido da defesa de saneamento de diversas omissões que ocorreram no processo, consistentes na não intimação de testemunhas </w:t>
      </w:r>
      <w:r>
        <w:rPr>
          <w:rFonts w:ascii="Cambria" w:hAnsi="Cambria"/>
          <w:sz w:val="20"/>
          <w:szCs w:val="20"/>
          <w:lang w:val="pt-BR"/>
        </w:rPr>
        <w:t>arroladas pela</w:t>
      </w:r>
      <w:r w:rsidRPr="004C6C26">
        <w:rPr>
          <w:rFonts w:ascii="Cambria" w:hAnsi="Cambria"/>
          <w:sz w:val="20"/>
          <w:szCs w:val="20"/>
          <w:lang w:val="pt-BR"/>
        </w:rPr>
        <w:t xml:space="preserve"> defesa, na não intimação dos defensores dos acusados de atos processuais e na inversão da ordem de oitiva das testemunhas, ouvindo as testemunhas de defesa antes das testemunhas de acusação. Assim, iniciou-se, novamente, toda a instrução criminal, com a expedição de novas cartas precatórias para a repetição de todos os atos</w:t>
      </w:r>
      <w:r>
        <w:rPr>
          <w:rFonts w:ascii="Cambria" w:hAnsi="Cambria"/>
          <w:sz w:val="20"/>
          <w:szCs w:val="20"/>
          <w:lang w:val="pt-BR"/>
        </w:rPr>
        <w:t xml:space="preserve"> anulados</w:t>
      </w:r>
      <w:r>
        <w:rPr>
          <w:rStyle w:val="FootnoteReference"/>
          <w:rFonts w:ascii="Cambria" w:hAnsi="Cambria"/>
          <w:sz w:val="20"/>
          <w:szCs w:val="20"/>
          <w:lang w:val="pt-BR"/>
        </w:rPr>
        <w:footnoteReference w:id="35"/>
      </w:r>
      <w:r>
        <w:rPr>
          <w:rFonts w:ascii="Cambria" w:hAnsi="Cambria"/>
          <w:sz w:val="20"/>
          <w:szCs w:val="20"/>
          <w:lang w:val="pt-BR"/>
        </w:rPr>
        <w:t>.</w:t>
      </w:r>
    </w:p>
    <w:p w14:paraId="118F5D3B" w14:textId="77777777" w:rsidR="004503D2" w:rsidRDefault="004503D2" w:rsidP="0071702C">
      <w:pPr>
        <w:pStyle w:val="ListParagraph"/>
        <w:ind w:left="0"/>
        <w:rPr>
          <w:rFonts w:ascii="Cambria" w:hAnsi="Cambria"/>
          <w:sz w:val="20"/>
          <w:szCs w:val="20"/>
          <w:lang w:val="pt-BR"/>
        </w:rPr>
      </w:pPr>
    </w:p>
    <w:p w14:paraId="43F85B8D"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34464B">
        <w:rPr>
          <w:rFonts w:ascii="Cambria" w:hAnsi="Cambria"/>
          <w:sz w:val="20"/>
          <w:szCs w:val="20"/>
          <w:lang w:val="pt-BR"/>
        </w:rPr>
        <w:t>Com a expedição e cumprimento de todas as precatórias e a oitiva das testemunhas, em 15 de setembro de 2003, seis anos após o homicídio de Manoel, proferiu-se sentença de pronúncia, julgando procedente a den</w:t>
      </w:r>
      <w:r>
        <w:rPr>
          <w:rFonts w:ascii="Cambria" w:hAnsi="Cambria"/>
          <w:sz w:val="20"/>
          <w:szCs w:val="20"/>
          <w:lang w:val="pt-BR"/>
        </w:rPr>
        <w:t>úncia,</w:t>
      </w:r>
      <w:r w:rsidRPr="0034464B">
        <w:rPr>
          <w:rFonts w:ascii="Cambria" w:hAnsi="Cambria"/>
          <w:sz w:val="20"/>
          <w:szCs w:val="20"/>
          <w:lang w:val="pt-BR"/>
        </w:rPr>
        <w:t xml:space="preserve"> </w:t>
      </w:r>
      <w:r w:rsidRPr="0034464B">
        <w:rPr>
          <w:rFonts w:ascii="Cambria" w:hAnsi="Cambria"/>
          <w:sz w:val="20"/>
          <w:szCs w:val="20"/>
          <w:lang w:val="pt-BR"/>
        </w:rPr>
        <w:lastRenderedPageBreak/>
        <w:t>pronunciando os réus</w:t>
      </w:r>
      <w:r w:rsidRPr="0034464B">
        <w:rPr>
          <w:rFonts w:ascii="Cambria" w:hAnsi="Cambria"/>
          <w:color w:val="000000"/>
          <w:sz w:val="20"/>
          <w:szCs w:val="20"/>
          <w:lang w:val="pt-BR"/>
        </w:rPr>
        <w:t xml:space="preserve"> José Caetano da Silva e Severino Lima da Silva</w:t>
      </w:r>
      <w:r>
        <w:rPr>
          <w:rFonts w:ascii="Cambria" w:hAnsi="Cambria"/>
          <w:color w:val="000000"/>
          <w:sz w:val="20"/>
          <w:szCs w:val="20"/>
          <w:lang w:val="pt-BR"/>
        </w:rPr>
        <w:t xml:space="preserve"> e </w:t>
      </w:r>
      <w:r>
        <w:rPr>
          <w:rFonts w:ascii="Cambria" w:hAnsi="Cambria"/>
          <w:sz w:val="20"/>
          <w:szCs w:val="20"/>
          <w:lang w:val="pt-BR"/>
        </w:rPr>
        <w:t>submetendo-s ao Tribunal d</w:t>
      </w:r>
      <w:r w:rsidRPr="0034464B">
        <w:rPr>
          <w:rFonts w:ascii="Cambria" w:hAnsi="Cambria"/>
          <w:sz w:val="20"/>
          <w:szCs w:val="20"/>
          <w:lang w:val="pt-BR"/>
        </w:rPr>
        <w:t>o J</w:t>
      </w:r>
      <w:r>
        <w:rPr>
          <w:rFonts w:ascii="Cambria" w:hAnsi="Cambria"/>
          <w:sz w:val="20"/>
          <w:szCs w:val="20"/>
          <w:lang w:val="pt-BR"/>
        </w:rPr>
        <w:t>ú</w:t>
      </w:r>
      <w:r w:rsidRPr="0034464B">
        <w:rPr>
          <w:rFonts w:ascii="Cambria" w:hAnsi="Cambria"/>
          <w:sz w:val="20"/>
          <w:szCs w:val="20"/>
          <w:lang w:val="pt-BR"/>
        </w:rPr>
        <w:t>ri Popular</w:t>
      </w:r>
      <w:r>
        <w:rPr>
          <w:rStyle w:val="FootnoteReference"/>
          <w:rFonts w:ascii="Cambria" w:hAnsi="Cambria"/>
          <w:sz w:val="20"/>
          <w:szCs w:val="20"/>
          <w:lang w:val="pt-BR"/>
        </w:rPr>
        <w:footnoteReference w:id="36"/>
      </w:r>
      <w:r>
        <w:rPr>
          <w:rFonts w:ascii="Cambria" w:hAnsi="Cambria"/>
          <w:sz w:val="20"/>
          <w:szCs w:val="20"/>
          <w:lang w:val="pt-BR"/>
        </w:rPr>
        <w:t>.</w:t>
      </w:r>
    </w:p>
    <w:p w14:paraId="29DD1620" w14:textId="77777777" w:rsidR="004503D2" w:rsidRDefault="004503D2" w:rsidP="0071702C">
      <w:pPr>
        <w:pStyle w:val="ListParagraph"/>
        <w:ind w:left="0"/>
        <w:rPr>
          <w:rFonts w:ascii="Cambria" w:hAnsi="Cambria"/>
          <w:sz w:val="20"/>
          <w:szCs w:val="20"/>
          <w:lang w:val="pt-BR"/>
        </w:rPr>
      </w:pPr>
    </w:p>
    <w:p w14:paraId="21A6A4AA" w14:textId="77777777" w:rsidR="004503D2" w:rsidRPr="009A03AD"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9A03AD">
        <w:rPr>
          <w:rFonts w:ascii="Cambria" w:hAnsi="Cambria"/>
          <w:sz w:val="20"/>
          <w:szCs w:val="20"/>
          <w:lang w:val="pt-BR"/>
        </w:rPr>
        <w:t>Em 15 de outubro de 2003, a defesa interpôs Recurso em Sentido Estrito contra a decisão de pronúncia</w:t>
      </w:r>
      <w:r>
        <w:rPr>
          <w:rStyle w:val="FootnoteReference"/>
          <w:rFonts w:ascii="Cambria" w:hAnsi="Cambria"/>
          <w:sz w:val="20"/>
          <w:szCs w:val="20"/>
          <w:lang w:val="pt-BR"/>
        </w:rPr>
        <w:footnoteReference w:id="37"/>
      </w:r>
      <w:r w:rsidRPr="009A03AD">
        <w:rPr>
          <w:rFonts w:ascii="Cambria" w:hAnsi="Cambria"/>
          <w:sz w:val="20"/>
          <w:szCs w:val="20"/>
          <w:lang w:val="pt-BR"/>
        </w:rPr>
        <w:t xml:space="preserve"> e em novembro de 2004 o Tribunal de Justiça da Paraíba, pelo Desembargador Relator do processo, determinou o prosseguimento do feito apenas quanto a Severino da Silva, pois José Caetano da Silva não havia sido intimado devidamente da sentença de pronúncia</w:t>
      </w:r>
      <w:r>
        <w:rPr>
          <w:rStyle w:val="FootnoteReference"/>
          <w:rFonts w:ascii="Cambria" w:hAnsi="Cambria"/>
          <w:sz w:val="20"/>
          <w:szCs w:val="20"/>
          <w:lang w:val="pt-BR"/>
        </w:rPr>
        <w:footnoteReference w:id="38"/>
      </w:r>
      <w:r w:rsidRPr="009A03AD">
        <w:rPr>
          <w:rFonts w:ascii="Cambria" w:hAnsi="Cambria"/>
          <w:sz w:val="20"/>
          <w:szCs w:val="20"/>
          <w:lang w:val="pt-BR"/>
        </w:rPr>
        <w:t>.</w:t>
      </w:r>
    </w:p>
    <w:p w14:paraId="1107DBD6" w14:textId="77777777" w:rsidR="004503D2" w:rsidRPr="0034464B"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r>
        <w:rPr>
          <w:rFonts w:ascii="Cambria" w:hAnsi="Cambria"/>
          <w:sz w:val="20"/>
          <w:szCs w:val="20"/>
          <w:lang w:val="pt-BR"/>
        </w:rPr>
        <w:t xml:space="preserve"> </w:t>
      </w:r>
    </w:p>
    <w:p w14:paraId="75895E8E" w14:textId="6CB5FF99"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sz w:val="20"/>
          <w:szCs w:val="20"/>
          <w:lang w:val="pt-BR"/>
        </w:rPr>
        <w:t xml:space="preserve">A sessão do Tribunal do Júri foi inicialmente designada para o dia 21 de setembro de 2005, mas, em face da ausência do defensor de Severino Lima da Silva no ato, o júri foi adiado, conforme o artigo 449 do Código de Processo Penal </w:t>
      </w:r>
      <w:r w:rsidR="007A52F9">
        <w:rPr>
          <w:rFonts w:ascii="Cambria" w:hAnsi="Cambria"/>
          <w:sz w:val="20"/>
          <w:szCs w:val="20"/>
          <w:lang w:val="pt-BR"/>
        </w:rPr>
        <w:t>b</w:t>
      </w:r>
      <w:r>
        <w:rPr>
          <w:rFonts w:ascii="Cambria" w:hAnsi="Cambria"/>
          <w:sz w:val="20"/>
          <w:szCs w:val="20"/>
          <w:lang w:val="pt-BR"/>
        </w:rPr>
        <w:t>rasileiro</w:t>
      </w:r>
      <w:r>
        <w:rPr>
          <w:rStyle w:val="FootnoteReference"/>
          <w:rFonts w:ascii="Cambria" w:hAnsi="Cambria"/>
          <w:sz w:val="20"/>
          <w:szCs w:val="20"/>
          <w:lang w:val="pt-BR"/>
        </w:rPr>
        <w:footnoteReference w:id="39"/>
      </w:r>
      <w:r>
        <w:rPr>
          <w:rFonts w:ascii="Cambria" w:hAnsi="Cambria"/>
          <w:sz w:val="20"/>
          <w:szCs w:val="20"/>
          <w:lang w:val="pt-BR"/>
        </w:rPr>
        <w:t>.</w:t>
      </w:r>
    </w:p>
    <w:p w14:paraId="31FD682B" w14:textId="77777777" w:rsidR="004503D2" w:rsidRDefault="004503D2" w:rsidP="0071702C">
      <w:pPr>
        <w:pStyle w:val="ListParagraph"/>
        <w:ind w:left="0"/>
        <w:rPr>
          <w:rFonts w:ascii="Cambria" w:hAnsi="Cambria"/>
          <w:sz w:val="20"/>
          <w:szCs w:val="20"/>
          <w:lang w:val="pt-BR"/>
        </w:rPr>
      </w:pPr>
    </w:p>
    <w:p w14:paraId="619219C1"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sz w:val="20"/>
          <w:szCs w:val="20"/>
          <w:lang w:val="pt-BR"/>
        </w:rPr>
        <w:t>Em 23 de março de 2006, quase nove anos depois do assassinato de Manoel Luiz da Silva, foi realizada sessão do tribunal do júri popular da Comarca de Pilar com o objetivo de julgar Severino Lima da Silva. Em seu interrogatório, o réu negou a participação no crime, alegando estar em sua residência no momento do assassinato. Afirmou que não sabe ler e que desconhece o depoimento que consta nos autos em que ele teria confessado sua presença no homicídio, apontando, inclusive, José Caetano como um dos co-autores</w:t>
      </w:r>
      <w:r>
        <w:rPr>
          <w:rStyle w:val="FootnoteReference"/>
          <w:rFonts w:ascii="Cambria" w:hAnsi="Cambria"/>
          <w:sz w:val="20"/>
          <w:szCs w:val="20"/>
          <w:lang w:val="pt-BR"/>
        </w:rPr>
        <w:footnoteReference w:id="40"/>
      </w:r>
      <w:r>
        <w:rPr>
          <w:rFonts w:ascii="Cambria" w:hAnsi="Cambria"/>
          <w:sz w:val="20"/>
          <w:szCs w:val="20"/>
          <w:lang w:val="pt-BR"/>
        </w:rPr>
        <w:t>. A testemunha de acusação Manoel Luis Silva (homônimo da vítima), que estava presente no momento do assassinato, confirmou aos jurados que Severino era um dos participantes do assassinato e afirmou ainda que após o crime havia se mudado do município por medo de represália por parte do senhor Alcides Vieira de Azevedo Nogueira</w:t>
      </w:r>
      <w:r>
        <w:rPr>
          <w:rStyle w:val="FootnoteReference"/>
          <w:rFonts w:ascii="Cambria" w:hAnsi="Cambria"/>
          <w:sz w:val="20"/>
          <w:szCs w:val="20"/>
          <w:lang w:val="pt-BR"/>
        </w:rPr>
        <w:footnoteReference w:id="41"/>
      </w:r>
      <w:r>
        <w:rPr>
          <w:rFonts w:ascii="Cambria" w:hAnsi="Cambria"/>
          <w:sz w:val="20"/>
          <w:szCs w:val="20"/>
          <w:lang w:val="pt-BR"/>
        </w:rPr>
        <w:t xml:space="preserve">. </w:t>
      </w:r>
    </w:p>
    <w:p w14:paraId="3CF2DCAD" w14:textId="77777777" w:rsidR="004503D2" w:rsidRDefault="004503D2" w:rsidP="0071702C">
      <w:pPr>
        <w:pStyle w:val="ListParagraph"/>
        <w:ind w:left="0"/>
        <w:rPr>
          <w:rFonts w:ascii="Cambria" w:hAnsi="Cambria"/>
          <w:sz w:val="20"/>
          <w:szCs w:val="20"/>
          <w:lang w:val="pt-BR"/>
        </w:rPr>
      </w:pPr>
    </w:p>
    <w:p w14:paraId="4C08B156"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2128E8">
        <w:rPr>
          <w:rFonts w:ascii="Cambria" w:hAnsi="Cambria"/>
          <w:sz w:val="20"/>
          <w:szCs w:val="20"/>
          <w:lang w:val="pt-BR"/>
        </w:rPr>
        <w:t>Em alegações finais, a assistência da promotoria apontou todas as contradições no depoimento do réu, demonstrando sua presença e participação no homicídio</w:t>
      </w:r>
      <w:r>
        <w:rPr>
          <w:rStyle w:val="FootnoteReference"/>
          <w:rFonts w:ascii="Cambria" w:hAnsi="Cambria"/>
          <w:sz w:val="20"/>
          <w:szCs w:val="20"/>
          <w:lang w:val="pt-BR"/>
        </w:rPr>
        <w:footnoteReference w:id="42"/>
      </w:r>
      <w:r w:rsidRPr="002128E8">
        <w:rPr>
          <w:rFonts w:ascii="Cambria" w:hAnsi="Cambria"/>
          <w:sz w:val="20"/>
          <w:szCs w:val="20"/>
          <w:lang w:val="pt-BR"/>
        </w:rPr>
        <w:t>. Entretanto, os jurados decidiram por cinco votos a dois, pela absolvição de Severino da Silva</w:t>
      </w:r>
      <w:r>
        <w:rPr>
          <w:rStyle w:val="FootnoteReference"/>
          <w:rFonts w:ascii="Cambria" w:hAnsi="Cambria"/>
          <w:sz w:val="20"/>
          <w:szCs w:val="20"/>
          <w:lang w:val="pt-BR"/>
        </w:rPr>
        <w:footnoteReference w:id="43"/>
      </w:r>
      <w:r w:rsidRPr="002128E8">
        <w:rPr>
          <w:rFonts w:ascii="Cambria" w:hAnsi="Cambria"/>
          <w:sz w:val="20"/>
          <w:szCs w:val="20"/>
          <w:lang w:val="pt-BR"/>
        </w:rPr>
        <w:t xml:space="preserve">. Da decisão, </w:t>
      </w:r>
      <w:r>
        <w:rPr>
          <w:rFonts w:ascii="Cambria" w:hAnsi="Cambria"/>
          <w:sz w:val="20"/>
          <w:szCs w:val="20"/>
          <w:lang w:val="pt-BR"/>
        </w:rPr>
        <w:t>o</w:t>
      </w:r>
      <w:r w:rsidRPr="002128E8">
        <w:rPr>
          <w:rFonts w:ascii="Cambria" w:hAnsi="Cambria"/>
          <w:sz w:val="20"/>
          <w:szCs w:val="20"/>
          <w:lang w:val="pt-BR"/>
        </w:rPr>
        <w:t xml:space="preserve"> Ministério Público e a assistência da promotoria interpuseram recurso de apelação</w:t>
      </w:r>
      <w:r>
        <w:rPr>
          <w:rStyle w:val="FootnoteReference"/>
          <w:rFonts w:ascii="Cambria" w:hAnsi="Cambria"/>
          <w:sz w:val="20"/>
          <w:szCs w:val="20"/>
          <w:lang w:val="pt-BR"/>
        </w:rPr>
        <w:footnoteReference w:id="44"/>
      </w:r>
      <w:r>
        <w:rPr>
          <w:rFonts w:ascii="Cambria" w:hAnsi="Cambria"/>
          <w:sz w:val="20"/>
          <w:szCs w:val="20"/>
          <w:lang w:val="pt-BR"/>
        </w:rPr>
        <w:t>.</w:t>
      </w:r>
    </w:p>
    <w:p w14:paraId="04881DF1" w14:textId="77777777" w:rsidR="004503D2" w:rsidRDefault="004503D2" w:rsidP="0071702C">
      <w:pPr>
        <w:pStyle w:val="ListParagraph"/>
        <w:ind w:left="0"/>
        <w:rPr>
          <w:rFonts w:ascii="Cambria" w:hAnsi="Cambria"/>
          <w:sz w:val="20"/>
          <w:szCs w:val="20"/>
          <w:lang w:val="pt-BR"/>
        </w:rPr>
      </w:pPr>
    </w:p>
    <w:p w14:paraId="74F15707" w14:textId="24741415" w:rsidR="004503D2" w:rsidRPr="00C9008D"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sz w:val="20"/>
          <w:szCs w:val="20"/>
          <w:lang w:val="pt-BR"/>
        </w:rPr>
        <w:t>Na última manifestação nos autos</w:t>
      </w:r>
      <w:r w:rsidR="005C0589">
        <w:rPr>
          <w:rFonts w:ascii="Cambria" w:hAnsi="Cambria"/>
          <w:sz w:val="20"/>
          <w:szCs w:val="20"/>
          <w:lang w:val="pt-BR"/>
        </w:rPr>
        <w:t xml:space="preserve"> em 2006</w:t>
      </w:r>
      <w:r>
        <w:rPr>
          <w:rFonts w:ascii="Cambria" w:hAnsi="Cambria"/>
          <w:sz w:val="20"/>
          <w:szCs w:val="20"/>
          <w:lang w:val="pt-BR"/>
        </w:rPr>
        <w:t>, informa-se que a apelação ainda está em trâmite e que, passados cerca de dez anos do crime, os acusados encontram-se em liberdade</w:t>
      </w:r>
      <w:r>
        <w:rPr>
          <w:rStyle w:val="FootnoteReference"/>
          <w:rFonts w:ascii="Cambria" w:hAnsi="Cambria"/>
          <w:sz w:val="20"/>
          <w:szCs w:val="20"/>
          <w:lang w:val="pt-BR"/>
        </w:rPr>
        <w:footnoteReference w:id="45"/>
      </w:r>
      <w:r>
        <w:rPr>
          <w:rFonts w:ascii="Cambria" w:hAnsi="Cambria"/>
          <w:sz w:val="20"/>
          <w:szCs w:val="20"/>
          <w:lang w:val="pt-BR"/>
        </w:rPr>
        <w:t>.</w:t>
      </w:r>
      <w:r w:rsidR="001C62F9">
        <w:rPr>
          <w:rFonts w:ascii="Cambria" w:hAnsi="Cambria"/>
          <w:sz w:val="20"/>
          <w:szCs w:val="20"/>
          <w:lang w:val="pt-BR"/>
        </w:rPr>
        <w:t xml:space="preserve"> </w:t>
      </w:r>
      <w:r w:rsidR="00CC07A3" w:rsidRPr="00CC07A3">
        <w:rPr>
          <w:rFonts w:ascii="Cambria" w:hAnsi="Cambria"/>
          <w:sz w:val="20"/>
          <w:szCs w:val="20"/>
          <w:lang w:val="pt-BR"/>
        </w:rPr>
        <w:t>D</w:t>
      </w:r>
      <w:r w:rsidR="00CC07A3" w:rsidRPr="000B4F70">
        <w:rPr>
          <w:rFonts w:ascii="Cambria" w:hAnsi="Cambria"/>
          <w:sz w:val="20"/>
          <w:szCs w:val="20"/>
          <w:lang w:val="pt-BR"/>
        </w:rPr>
        <w:t>a infirmação disponível, a Comissão entende que este proceso não foi conclu</w:t>
      </w:r>
      <w:r w:rsidR="00CC07A3">
        <w:rPr>
          <w:rFonts w:ascii="Cambria" w:hAnsi="Cambria"/>
          <w:sz w:val="20"/>
          <w:szCs w:val="20"/>
          <w:lang w:val="pt-BR"/>
        </w:rPr>
        <w:t xml:space="preserve">ído. </w:t>
      </w:r>
    </w:p>
    <w:p w14:paraId="69A49563" w14:textId="77777777" w:rsidR="004503D2" w:rsidRPr="00C9008D" w:rsidRDefault="004503D2" w:rsidP="0071702C">
      <w:pPr>
        <w:pStyle w:val="ListParagraph"/>
        <w:ind w:left="0"/>
        <w:rPr>
          <w:rFonts w:ascii="Cambria" w:hAnsi="Cambria"/>
          <w:sz w:val="20"/>
          <w:szCs w:val="20"/>
          <w:lang w:val="pt-BR"/>
        </w:rPr>
      </w:pPr>
    </w:p>
    <w:p w14:paraId="6A03DBE4" w14:textId="77777777" w:rsidR="004503D2" w:rsidRPr="00337743" w:rsidRDefault="004503D2" w:rsidP="0071702C">
      <w:pPr>
        <w:pStyle w:val="Heading1"/>
        <w:spacing w:before="0"/>
        <w:rPr>
          <w:color w:val="auto"/>
          <w:sz w:val="20"/>
          <w:szCs w:val="20"/>
          <w:lang w:val="pt-BR"/>
        </w:rPr>
      </w:pPr>
      <w:bookmarkStart w:id="15" w:name="_Toc17097162"/>
      <w:r w:rsidRPr="00337743">
        <w:rPr>
          <w:color w:val="auto"/>
          <w:sz w:val="20"/>
          <w:szCs w:val="20"/>
          <w:lang w:val="pt-BR"/>
        </w:rPr>
        <w:t>ANÁLISE DE DIREITO</w:t>
      </w:r>
      <w:bookmarkEnd w:id="15"/>
    </w:p>
    <w:p w14:paraId="3117AD5E" w14:textId="77777777" w:rsidR="004503D2" w:rsidRDefault="004503D2" w:rsidP="0071702C">
      <w:pPr>
        <w:pStyle w:val="ListParagraph"/>
        <w:ind w:left="0"/>
        <w:rPr>
          <w:rFonts w:ascii="Cambria" w:hAnsi="Cambria"/>
          <w:sz w:val="20"/>
          <w:szCs w:val="20"/>
          <w:lang w:val="pt-BR"/>
        </w:rPr>
      </w:pPr>
    </w:p>
    <w:p w14:paraId="7462CC6E"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337743">
        <w:rPr>
          <w:rFonts w:ascii="Cambria" w:hAnsi="Cambria"/>
          <w:color w:val="000000"/>
          <w:sz w:val="20"/>
          <w:szCs w:val="20"/>
          <w:lang w:val="pt-BR"/>
        </w:rPr>
        <w:t xml:space="preserve">Levando em conta as alegações das partes e os fatos estabelecidos no presente relatório, a Comissão realizará a análise de direito, determinando se a violação do direito à vida sofrida por </w:t>
      </w:r>
      <w:r>
        <w:rPr>
          <w:rFonts w:ascii="Cambria" w:hAnsi="Cambria"/>
          <w:color w:val="000000"/>
          <w:sz w:val="20"/>
          <w:szCs w:val="20"/>
          <w:lang w:val="pt-BR"/>
        </w:rPr>
        <w:t>Manoel Luiz da Silva</w:t>
      </w:r>
      <w:r w:rsidRPr="00337743">
        <w:rPr>
          <w:rFonts w:ascii="Cambria" w:hAnsi="Cambria"/>
          <w:color w:val="000000"/>
          <w:sz w:val="20"/>
          <w:szCs w:val="20"/>
          <w:lang w:val="pt-BR"/>
        </w:rPr>
        <w:t xml:space="preserve"> pode ser atribuída ao Estado brasileiro. Em segundo lugar, a Comissão analisará o processo </w:t>
      </w:r>
      <w:r>
        <w:rPr>
          <w:rFonts w:ascii="Cambria" w:hAnsi="Cambria"/>
          <w:color w:val="000000"/>
          <w:sz w:val="20"/>
          <w:szCs w:val="20"/>
          <w:lang w:val="pt-BR"/>
        </w:rPr>
        <w:t xml:space="preserve">interno </w:t>
      </w:r>
      <w:r w:rsidRPr="00337743">
        <w:rPr>
          <w:rFonts w:ascii="Cambria" w:hAnsi="Cambria"/>
          <w:color w:val="000000"/>
          <w:sz w:val="20"/>
          <w:szCs w:val="20"/>
          <w:lang w:val="pt-BR"/>
        </w:rPr>
        <w:t>à luz dos direitos às garantias judiciais</w:t>
      </w:r>
      <w:r>
        <w:rPr>
          <w:rFonts w:ascii="Cambria" w:hAnsi="Cambria"/>
          <w:color w:val="000000"/>
          <w:sz w:val="20"/>
          <w:szCs w:val="20"/>
          <w:lang w:val="pt-BR"/>
        </w:rPr>
        <w:t xml:space="preserve"> e</w:t>
      </w:r>
      <w:r w:rsidRPr="00337743">
        <w:rPr>
          <w:rFonts w:ascii="Cambria" w:hAnsi="Cambria"/>
          <w:color w:val="000000"/>
          <w:sz w:val="20"/>
          <w:szCs w:val="20"/>
          <w:lang w:val="pt-BR"/>
        </w:rPr>
        <w:t xml:space="preserve"> proteção judicial</w:t>
      </w:r>
      <w:r>
        <w:rPr>
          <w:rFonts w:ascii="Cambria" w:hAnsi="Cambria"/>
          <w:color w:val="000000"/>
          <w:sz w:val="20"/>
          <w:szCs w:val="20"/>
          <w:lang w:val="pt-BR"/>
        </w:rPr>
        <w:t>. Finalmente, a Comissão analisará a afetação à integridade pessoal dos familiares de Manoel Luiz da Silva</w:t>
      </w:r>
      <w:r w:rsidRPr="00D46D90">
        <w:rPr>
          <w:rFonts w:ascii="Cambria" w:hAnsi="Cambria"/>
          <w:color w:val="000000"/>
          <w:sz w:val="20"/>
          <w:szCs w:val="20"/>
          <w:lang w:val="pt-BR"/>
        </w:rPr>
        <w:t xml:space="preserve">. </w:t>
      </w:r>
    </w:p>
    <w:p w14:paraId="102AB76F" w14:textId="77777777" w:rsidR="009F1C8F" w:rsidRPr="00D46D90" w:rsidRDefault="009F1C8F" w:rsidP="009F1C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45F5A9E2" w14:textId="77777777" w:rsidR="009F1C8F" w:rsidRDefault="009F1C8F">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Cambria" w:hAnsi="Cambria"/>
          <w:b/>
          <w:sz w:val="20"/>
          <w:szCs w:val="20"/>
          <w:u w:val="none"/>
          <w:lang w:val="pt-BR"/>
        </w:rPr>
      </w:pPr>
      <w:r w:rsidRPr="003B63C2">
        <w:rPr>
          <w:rStyle w:val="Hyperlink"/>
          <w:u w:val="none"/>
          <w:lang w:val="es-US"/>
        </w:rPr>
        <w:br w:type="page"/>
      </w:r>
    </w:p>
    <w:p w14:paraId="0D499DA3" w14:textId="5ED90084" w:rsidR="004503D2" w:rsidRPr="009F1C8F" w:rsidRDefault="004503D2" w:rsidP="009F1C8F">
      <w:pPr>
        <w:pStyle w:val="Heading2"/>
        <w:numPr>
          <w:ilvl w:val="0"/>
          <w:numId w:val="67"/>
        </w:numPr>
        <w:ind w:left="360"/>
        <w:rPr>
          <w:rStyle w:val="Hyperlink"/>
          <w:u w:val="none"/>
        </w:rPr>
      </w:pPr>
      <w:bookmarkStart w:id="16" w:name="_Toc17097163"/>
      <w:r w:rsidRPr="009F1C8F">
        <w:rPr>
          <w:rStyle w:val="Hyperlink"/>
          <w:u w:val="none"/>
        </w:rPr>
        <w:lastRenderedPageBreak/>
        <w:t xml:space="preserve">Direito à vida (artigo 4 da Conveção Americana </w:t>
      </w:r>
      <w:r w:rsidR="007C1208" w:rsidRPr="009F1C8F">
        <w:rPr>
          <w:rStyle w:val="Hyperlink"/>
          <w:u w:val="none"/>
        </w:rPr>
        <w:t>sobre</w:t>
      </w:r>
      <w:r w:rsidRPr="009F1C8F">
        <w:rPr>
          <w:rStyle w:val="Hyperlink"/>
          <w:u w:val="none"/>
        </w:rPr>
        <w:t xml:space="preserve"> Direitos Humanos) </w:t>
      </w:r>
      <w:r w:rsidRPr="009F1C8F">
        <w:t>quanto a obrigação geral consagrada no artigo 1.1</w:t>
      </w:r>
      <w:bookmarkEnd w:id="16"/>
      <w:r w:rsidRPr="009F1C8F">
        <w:t xml:space="preserve"> </w:t>
      </w:r>
    </w:p>
    <w:p w14:paraId="5C312B7D" w14:textId="77777777" w:rsidR="004503D2" w:rsidRPr="006E0CFC" w:rsidRDefault="004503D2" w:rsidP="0071702C">
      <w:pPr>
        <w:rPr>
          <w:lang w:val="pt-BR"/>
        </w:rPr>
      </w:pPr>
    </w:p>
    <w:p w14:paraId="655E39DE" w14:textId="77777777" w:rsidR="004503D2" w:rsidRPr="00C1083D"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Times New Roman" w:hAnsi="Cambria" w:cs="Arial"/>
          <w:b/>
          <w:bCs/>
          <w:iCs/>
          <w:sz w:val="20"/>
          <w:szCs w:val="20"/>
          <w:bdr w:val="none" w:sz="0" w:space="0" w:color="auto"/>
          <w:lang w:val="pt-BR"/>
        </w:rPr>
      </w:pPr>
      <w:r w:rsidRPr="00FD6D61">
        <w:rPr>
          <w:rFonts w:ascii="Cambria" w:hAnsi="Cambria"/>
          <w:sz w:val="20"/>
          <w:szCs w:val="20"/>
          <w:lang w:val="pt-BR"/>
        </w:rPr>
        <w:t xml:space="preserve"> </w:t>
      </w:r>
      <w:r w:rsidRPr="00A618EA">
        <w:rPr>
          <w:rFonts w:ascii="Cambria" w:hAnsi="Cambria"/>
          <w:sz w:val="20"/>
          <w:szCs w:val="20"/>
          <w:lang w:val="pt-BR"/>
        </w:rPr>
        <w:t>A Convenção Americana sobre Direitos Humanos consagra o direito à vida como direito humano fundamental que o Estado deve respeitar, fazer respeitar e garantir (artigos 1(1)e 4 )</w:t>
      </w:r>
      <w:r>
        <w:rPr>
          <w:rStyle w:val="FootnoteReference"/>
          <w:rFonts w:ascii="Cambria" w:hAnsi="Cambria"/>
          <w:sz w:val="20"/>
          <w:szCs w:val="20"/>
          <w:lang w:val="pt-BR"/>
        </w:rPr>
        <w:footnoteReference w:id="46"/>
      </w:r>
      <w:r w:rsidRPr="00A618EA">
        <w:rPr>
          <w:rFonts w:ascii="Cambria" w:hAnsi="Cambria"/>
          <w:sz w:val="20"/>
          <w:szCs w:val="20"/>
          <w:lang w:val="pt-BR"/>
        </w:rPr>
        <w:t>.</w:t>
      </w:r>
      <w:r w:rsidRPr="0055045D">
        <w:rPr>
          <w:rFonts w:ascii="Cambria" w:eastAsia="Times New Roman" w:hAnsi="Cambria" w:cs="Arial"/>
          <w:bCs/>
          <w:iCs/>
          <w:sz w:val="20"/>
          <w:szCs w:val="20"/>
          <w:bdr w:val="none" w:sz="0" w:space="0" w:color="auto"/>
          <w:lang w:val="pt-BR"/>
        </w:rPr>
        <w:t xml:space="preserve"> </w:t>
      </w:r>
      <w:r w:rsidRPr="0055045D">
        <w:rPr>
          <w:rFonts w:ascii="Cambria" w:hAnsi="Cambria"/>
          <w:sz w:val="20"/>
          <w:szCs w:val="20"/>
          <w:lang w:val="pt-BR"/>
        </w:rPr>
        <w:t xml:space="preserve">A Comissão recorda que o direito à vida é pré-requisito </w:t>
      </w:r>
      <w:r>
        <w:rPr>
          <w:rFonts w:ascii="Cambria" w:hAnsi="Cambria"/>
          <w:sz w:val="20"/>
          <w:szCs w:val="20"/>
          <w:lang w:val="pt-BR"/>
        </w:rPr>
        <w:t xml:space="preserve">para </w:t>
      </w:r>
      <w:r w:rsidRPr="0055045D">
        <w:rPr>
          <w:rFonts w:ascii="Cambria" w:hAnsi="Cambria"/>
          <w:sz w:val="20"/>
          <w:szCs w:val="20"/>
          <w:lang w:val="pt-BR"/>
        </w:rPr>
        <w:t>o gozo</w:t>
      </w:r>
      <w:r w:rsidRPr="0055045D">
        <w:rPr>
          <w:rFonts w:ascii="Cambria" w:hAnsi="Cambria" w:cs="Verdana"/>
          <w:sz w:val="20"/>
          <w:szCs w:val="20"/>
          <w:lang w:val="pt-BR"/>
        </w:rPr>
        <w:t xml:space="preserve"> de todos os demais direitos humanos, </w:t>
      </w:r>
      <w:r>
        <w:rPr>
          <w:rFonts w:ascii="Cambria" w:hAnsi="Cambria" w:cs="Verdana"/>
          <w:sz w:val="20"/>
          <w:szCs w:val="20"/>
          <w:lang w:val="pt-BR"/>
        </w:rPr>
        <w:t xml:space="preserve">e </w:t>
      </w:r>
      <w:r w:rsidRPr="0055045D">
        <w:rPr>
          <w:rFonts w:ascii="Cambria" w:hAnsi="Cambria" w:cs="Verdana"/>
          <w:sz w:val="20"/>
          <w:szCs w:val="20"/>
          <w:lang w:val="pt-BR"/>
        </w:rPr>
        <w:t xml:space="preserve">sem </w:t>
      </w:r>
      <w:r>
        <w:rPr>
          <w:rFonts w:ascii="Cambria" w:hAnsi="Cambria" w:cs="Verdana"/>
          <w:sz w:val="20"/>
          <w:szCs w:val="20"/>
          <w:lang w:val="pt-BR"/>
        </w:rPr>
        <w:t>o seu</w:t>
      </w:r>
      <w:r w:rsidRPr="0055045D">
        <w:rPr>
          <w:rFonts w:ascii="Cambria" w:hAnsi="Cambria" w:cs="Verdana"/>
          <w:sz w:val="20"/>
          <w:szCs w:val="20"/>
          <w:lang w:val="pt-BR"/>
        </w:rPr>
        <w:t xml:space="preserve"> respeito todos os demais carecem de </w:t>
      </w:r>
      <w:r w:rsidRPr="0055045D">
        <w:rPr>
          <w:rFonts w:ascii="Cambria" w:hAnsi="Cambria"/>
          <w:sz w:val="20"/>
          <w:szCs w:val="20"/>
          <w:lang w:val="pt-BR"/>
        </w:rPr>
        <w:t>sentido</w:t>
      </w:r>
      <w:r w:rsidRPr="00337743">
        <w:rPr>
          <w:rStyle w:val="FootnoteReference"/>
          <w:rFonts w:ascii="Cambria" w:hAnsi="Cambria" w:cs="Verdana"/>
          <w:sz w:val="20"/>
          <w:szCs w:val="20"/>
          <w:lang w:val="pt-BR"/>
        </w:rPr>
        <w:footnoteReference w:id="47"/>
      </w:r>
      <w:r w:rsidRPr="0055045D">
        <w:rPr>
          <w:rFonts w:ascii="Cambria" w:hAnsi="Cambria" w:cs="Verdana"/>
          <w:sz w:val="20"/>
          <w:szCs w:val="20"/>
          <w:lang w:val="pt-BR"/>
        </w:rPr>
        <w:t xml:space="preserve">.  </w:t>
      </w:r>
      <w:r>
        <w:rPr>
          <w:rFonts w:ascii="Cambria" w:hAnsi="Cambria" w:cs="Verdana"/>
          <w:sz w:val="20"/>
          <w:szCs w:val="20"/>
          <w:lang w:val="pt-BR"/>
        </w:rPr>
        <w:t>Deste modo</w:t>
      </w:r>
      <w:r w:rsidRPr="0055045D">
        <w:rPr>
          <w:rFonts w:ascii="Cambria" w:hAnsi="Cambria"/>
          <w:sz w:val="20"/>
          <w:szCs w:val="20"/>
          <w:lang w:val="pt-BR"/>
        </w:rPr>
        <w:t xml:space="preserve">, o cumprimento </w:t>
      </w:r>
      <w:r>
        <w:rPr>
          <w:rFonts w:ascii="Cambria" w:hAnsi="Cambria"/>
          <w:sz w:val="20"/>
          <w:szCs w:val="20"/>
          <w:lang w:val="pt-BR"/>
        </w:rPr>
        <w:t xml:space="preserve">das obrigações que impõe o direito à vida </w:t>
      </w:r>
      <w:r w:rsidRPr="0055045D">
        <w:rPr>
          <w:rFonts w:ascii="Cambria" w:hAnsi="Cambria" w:cs="Verdana"/>
          <w:sz w:val="20"/>
          <w:szCs w:val="20"/>
          <w:lang w:val="pt-BR"/>
        </w:rPr>
        <w:t xml:space="preserve">não só pressupõe que nenhuma pessoa seja privada de sua vida arbitrariamente, mas também requer que os Estados tomem todas as medidas </w:t>
      </w:r>
      <w:r w:rsidRPr="0055045D">
        <w:rPr>
          <w:rFonts w:ascii="Cambria" w:hAnsi="Cambria"/>
          <w:sz w:val="20"/>
          <w:szCs w:val="20"/>
          <w:lang w:val="pt-BR"/>
        </w:rPr>
        <w:t>apropriadas</w:t>
      </w:r>
      <w:r w:rsidRPr="0055045D">
        <w:rPr>
          <w:rFonts w:ascii="Cambria" w:hAnsi="Cambria" w:cs="Verdana"/>
          <w:sz w:val="20"/>
          <w:szCs w:val="20"/>
          <w:lang w:val="pt-BR"/>
        </w:rPr>
        <w:t xml:space="preserve"> para proteger e preservar </w:t>
      </w:r>
      <w:r>
        <w:rPr>
          <w:rFonts w:ascii="Cambria" w:hAnsi="Cambria" w:cs="Verdana"/>
          <w:sz w:val="20"/>
          <w:szCs w:val="20"/>
          <w:lang w:val="pt-BR"/>
        </w:rPr>
        <w:t xml:space="preserve">este </w:t>
      </w:r>
      <w:r w:rsidRPr="0055045D">
        <w:rPr>
          <w:rFonts w:ascii="Cambria" w:hAnsi="Cambria" w:cs="Verdana"/>
          <w:sz w:val="20"/>
          <w:szCs w:val="20"/>
          <w:lang w:val="pt-BR"/>
        </w:rPr>
        <w:t xml:space="preserve">direito, de acordo com seu dever de garantir o pleno e livre </w:t>
      </w:r>
      <w:r w:rsidRPr="0055045D">
        <w:rPr>
          <w:rFonts w:ascii="Cambria" w:hAnsi="Cambria"/>
          <w:sz w:val="20"/>
          <w:szCs w:val="20"/>
          <w:lang w:val="pt-BR"/>
        </w:rPr>
        <w:t>exercício</w:t>
      </w:r>
      <w:r w:rsidRPr="0055045D">
        <w:rPr>
          <w:rFonts w:ascii="Cambria" w:hAnsi="Cambria" w:cs="Verdana"/>
          <w:sz w:val="20"/>
          <w:szCs w:val="20"/>
          <w:lang w:val="pt-BR"/>
        </w:rPr>
        <w:t xml:space="preserve"> dos direitos de todas as pessoas sob sua jurisdição</w:t>
      </w:r>
      <w:r w:rsidRPr="00337743">
        <w:rPr>
          <w:rStyle w:val="FootnoteReference"/>
          <w:rFonts w:ascii="Cambria" w:hAnsi="Cambria"/>
          <w:sz w:val="20"/>
          <w:szCs w:val="20"/>
          <w:lang w:val="pt-BR"/>
        </w:rPr>
        <w:footnoteReference w:id="48"/>
      </w:r>
      <w:r w:rsidRPr="0055045D">
        <w:rPr>
          <w:rFonts w:ascii="Cambria" w:hAnsi="Cambria" w:cs="Verdana"/>
          <w:sz w:val="20"/>
          <w:szCs w:val="20"/>
          <w:lang w:val="pt-BR"/>
        </w:rPr>
        <w:t>.</w:t>
      </w:r>
      <w:r>
        <w:rPr>
          <w:rFonts w:ascii="Cambria" w:eastAsia="Times New Roman" w:hAnsi="Cambria" w:cs="Arial"/>
          <w:b/>
          <w:bCs/>
          <w:iCs/>
          <w:sz w:val="20"/>
          <w:szCs w:val="20"/>
          <w:bdr w:val="none" w:sz="0" w:space="0" w:color="auto"/>
          <w:lang w:val="pt-BR"/>
        </w:rPr>
        <w:t xml:space="preserve"> </w:t>
      </w:r>
      <w:r w:rsidRPr="00C1083D">
        <w:rPr>
          <w:rFonts w:ascii="Cambria" w:hAnsi="Cambria"/>
          <w:sz w:val="20"/>
          <w:szCs w:val="20"/>
          <w:lang w:val="pt-BR"/>
        </w:rPr>
        <w:t>Com efeito, o propósito e o objeto dos instrumentos interamericanos de proteção aos direitos humanos requerem que o direito à vida seja interpretado e aplicado de maneira que suas garantias sejam práticas e efetivas (</w:t>
      </w:r>
      <w:r w:rsidRPr="00C1083D">
        <w:rPr>
          <w:rFonts w:ascii="Cambria" w:hAnsi="Cambria"/>
          <w:i/>
          <w:sz w:val="20"/>
          <w:szCs w:val="20"/>
          <w:lang w:val="pt-BR"/>
        </w:rPr>
        <w:t>effet</w:t>
      </w:r>
      <w:r w:rsidRPr="006E0CFC">
        <w:rPr>
          <w:i/>
          <w:lang w:val="pt-BR"/>
        </w:rPr>
        <w:t xml:space="preserve"> </w:t>
      </w:r>
      <w:r w:rsidRPr="00C1083D">
        <w:rPr>
          <w:rFonts w:ascii="Cambria" w:hAnsi="Cambria"/>
          <w:i/>
          <w:sz w:val="20"/>
          <w:szCs w:val="20"/>
          <w:lang w:val="pt-BR"/>
        </w:rPr>
        <w:t>utile</w:t>
      </w:r>
      <w:r w:rsidRPr="00C1083D">
        <w:rPr>
          <w:rFonts w:ascii="Cambria" w:hAnsi="Cambria"/>
          <w:sz w:val="20"/>
          <w:szCs w:val="20"/>
          <w:lang w:val="pt-BR"/>
        </w:rPr>
        <w:t>)</w:t>
      </w:r>
      <w:r>
        <w:rPr>
          <w:rStyle w:val="FootnoteReference"/>
          <w:rFonts w:ascii="Cambria" w:hAnsi="Cambria"/>
          <w:sz w:val="20"/>
          <w:szCs w:val="20"/>
          <w:lang w:val="pt-BR"/>
        </w:rPr>
        <w:footnoteReference w:id="49"/>
      </w:r>
      <w:r w:rsidRPr="00C1083D">
        <w:rPr>
          <w:rFonts w:ascii="Cambria" w:hAnsi="Cambria"/>
          <w:sz w:val="20"/>
          <w:szCs w:val="20"/>
          <w:lang w:val="pt-BR"/>
        </w:rPr>
        <w:t>.</w:t>
      </w:r>
    </w:p>
    <w:p w14:paraId="6ADEE338"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sz w:val="20"/>
          <w:szCs w:val="20"/>
          <w:lang w:val="pt-BR"/>
        </w:rPr>
      </w:pPr>
    </w:p>
    <w:p w14:paraId="03BFD8ED"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337743">
        <w:rPr>
          <w:rFonts w:ascii="Cambria" w:hAnsi="Cambria"/>
          <w:sz w:val="20"/>
          <w:szCs w:val="20"/>
          <w:lang w:val="pt-BR"/>
        </w:rPr>
        <w:t xml:space="preserve">A responsabilidade internacional do Estado pode basear-se em atos ou omissões de qualquer poder ou órgão deste que violem a </w:t>
      </w:r>
      <w:r w:rsidRPr="009B407A">
        <w:rPr>
          <w:rFonts w:ascii="Cambria" w:eastAsia="Times New Roman" w:hAnsi="Cambria" w:cs="Arial"/>
          <w:bCs/>
          <w:iCs/>
          <w:sz w:val="20"/>
          <w:szCs w:val="20"/>
          <w:bdr w:val="none" w:sz="0" w:space="0" w:color="auto"/>
          <w:lang w:val="pt-BR"/>
        </w:rPr>
        <w:t xml:space="preserve">Declaração Americana dos Direitos e Deveres do Homem </w:t>
      </w:r>
      <w:r>
        <w:rPr>
          <w:rFonts w:ascii="Cambria" w:eastAsia="Times New Roman" w:hAnsi="Cambria" w:cs="Arial"/>
          <w:bCs/>
          <w:iCs/>
          <w:sz w:val="20"/>
          <w:szCs w:val="20"/>
          <w:bdr w:val="none" w:sz="0" w:space="0" w:color="auto"/>
          <w:lang w:val="pt-BR"/>
        </w:rPr>
        <w:t>ou outros instrumentos internacionais de direitos humanos de que seja parte</w:t>
      </w:r>
      <w:r w:rsidRPr="00337743">
        <w:rPr>
          <w:rFonts w:ascii="Cambria" w:hAnsi="Cambria"/>
          <w:sz w:val="20"/>
          <w:szCs w:val="20"/>
          <w:lang w:val="pt-BR"/>
        </w:rPr>
        <w:t xml:space="preserve">, e é gerada de forma imediata com o </w:t>
      </w:r>
      <w:r>
        <w:rPr>
          <w:rFonts w:ascii="Cambria" w:hAnsi="Cambria"/>
          <w:sz w:val="20"/>
          <w:szCs w:val="20"/>
          <w:lang w:val="pt-BR"/>
        </w:rPr>
        <w:t>ilícito internacional</w:t>
      </w:r>
      <w:r w:rsidRPr="00337743">
        <w:rPr>
          <w:rFonts w:ascii="Cambria" w:hAnsi="Cambria"/>
          <w:sz w:val="20"/>
          <w:szCs w:val="20"/>
          <w:lang w:val="pt-BR"/>
        </w:rPr>
        <w:t xml:space="preserve">.  Com estes pressupostos, para </w:t>
      </w:r>
      <w:r>
        <w:rPr>
          <w:rFonts w:ascii="Cambria" w:hAnsi="Cambria"/>
          <w:sz w:val="20"/>
          <w:szCs w:val="20"/>
          <w:lang w:val="pt-BR"/>
        </w:rPr>
        <w:t>reconhecer</w:t>
      </w:r>
      <w:r w:rsidRPr="00337743">
        <w:rPr>
          <w:rFonts w:ascii="Cambria" w:hAnsi="Cambria"/>
          <w:sz w:val="20"/>
          <w:szCs w:val="20"/>
          <w:lang w:val="pt-BR"/>
        </w:rPr>
        <w:t xml:space="preserve"> </w:t>
      </w:r>
      <w:r>
        <w:rPr>
          <w:rFonts w:ascii="Cambria" w:hAnsi="Cambria"/>
          <w:sz w:val="20"/>
          <w:szCs w:val="20"/>
          <w:lang w:val="pt-BR"/>
        </w:rPr>
        <w:t>se</w:t>
      </w:r>
      <w:r w:rsidRPr="00337743">
        <w:rPr>
          <w:rFonts w:ascii="Cambria" w:hAnsi="Cambria"/>
          <w:sz w:val="20"/>
          <w:szCs w:val="20"/>
          <w:lang w:val="pt-BR"/>
        </w:rPr>
        <w:t xml:space="preserve"> ocorreu uma violação dos direitos consagrados na </w:t>
      </w:r>
      <w:r>
        <w:rPr>
          <w:rFonts w:ascii="Cambria" w:hAnsi="Cambria"/>
          <w:sz w:val="20"/>
          <w:szCs w:val="20"/>
          <w:lang w:val="pt-BR"/>
        </w:rPr>
        <w:t>Declaração</w:t>
      </w:r>
      <w:r w:rsidRPr="00337743">
        <w:rPr>
          <w:rFonts w:ascii="Cambria" w:hAnsi="Cambria"/>
          <w:sz w:val="20"/>
          <w:szCs w:val="20"/>
          <w:lang w:val="pt-BR"/>
        </w:rPr>
        <w:t xml:space="preserve"> não é preciso determinar, como ocorre no direito penal interno, a culpabilidade de seus autores ou sua intencionalidade; tampouco é preciso identificar individualmente os agentes aos quais se atribuem os atos violadores. É suficiente demonstrar “que ocorreram ações ou omissões que permitiram a perpetração dessas violações ou que exista uma obrigação do Estado que tenha sido descumprida por este”</w:t>
      </w:r>
      <w:r w:rsidRPr="00337743">
        <w:rPr>
          <w:rFonts w:ascii="Cambria" w:hAnsi="Cambria"/>
          <w:sz w:val="20"/>
          <w:szCs w:val="20"/>
          <w:vertAlign w:val="superscript"/>
          <w:lang w:val="pt-BR"/>
        </w:rPr>
        <w:footnoteReference w:id="50"/>
      </w:r>
      <w:r w:rsidRPr="00337743">
        <w:rPr>
          <w:rFonts w:ascii="Cambria" w:hAnsi="Cambria"/>
          <w:sz w:val="20"/>
          <w:szCs w:val="20"/>
          <w:lang w:val="pt-BR"/>
        </w:rPr>
        <w:t>.</w:t>
      </w:r>
    </w:p>
    <w:p w14:paraId="71F1C00E" w14:textId="77777777" w:rsidR="004503D2" w:rsidRDefault="004503D2" w:rsidP="0071702C">
      <w:pPr>
        <w:pStyle w:val="ListParagraph"/>
        <w:rPr>
          <w:rFonts w:ascii="Cambria" w:hAnsi="Cambria"/>
          <w:sz w:val="20"/>
          <w:szCs w:val="20"/>
          <w:lang w:val="pt-BR"/>
        </w:rPr>
      </w:pPr>
    </w:p>
    <w:p w14:paraId="6261CF9F"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BF2053">
        <w:rPr>
          <w:rFonts w:ascii="Cambria" w:hAnsi="Cambria"/>
          <w:sz w:val="20"/>
          <w:szCs w:val="20"/>
          <w:lang w:val="pt-BR"/>
        </w:rPr>
        <w:t xml:space="preserve">Ao longo do trabalho da Comissão e da Corte, foram definidos os conteúdos das obrigações de respeito e de garantia. No presente caso, não existe controvérsia sobre o assassitato de </w:t>
      </w:r>
      <w:r w:rsidRPr="00BF2053">
        <w:rPr>
          <w:rFonts w:ascii="Cambria" w:hAnsi="Cambria"/>
          <w:color w:val="000000"/>
          <w:sz w:val="20"/>
          <w:szCs w:val="20"/>
          <w:lang w:val="pt-BR"/>
        </w:rPr>
        <w:t xml:space="preserve">Manoel Luiz da Silva </w:t>
      </w:r>
      <w:r w:rsidRPr="00BF2053">
        <w:rPr>
          <w:rFonts w:ascii="Cambria" w:hAnsi="Cambria"/>
          <w:sz w:val="20"/>
          <w:szCs w:val="20"/>
          <w:lang w:val="pt-BR"/>
        </w:rPr>
        <w:t xml:space="preserve">ter sido cometido por atores não estatais. Neste sentido, a possível atribuição de responsabilidade do Estado por esses fatos deve ser analisado a respeito do cumprimento ou não de seu dever de garantia. </w:t>
      </w:r>
    </w:p>
    <w:p w14:paraId="5D66EE63" w14:textId="77777777" w:rsidR="004B4AD5" w:rsidRDefault="00D17D0E" w:rsidP="0071702C">
      <w:pPr>
        <w:pStyle w:val="ListParagraph"/>
        <w:rPr>
          <w:rFonts w:ascii="Cambria" w:hAnsi="Cambria"/>
          <w:sz w:val="20"/>
          <w:szCs w:val="20"/>
          <w:lang w:val="pt-BR"/>
        </w:rPr>
      </w:pPr>
      <w:r>
        <w:rPr>
          <w:rFonts w:ascii="Cambria" w:hAnsi="Cambria"/>
          <w:sz w:val="20"/>
          <w:szCs w:val="20"/>
          <w:lang w:val="pt-BR"/>
        </w:rPr>
        <w:tab/>
      </w:r>
    </w:p>
    <w:p w14:paraId="50D42DD2" w14:textId="77777777" w:rsidR="004503D2" w:rsidRPr="001A3BB7"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Pr>
          <w:rFonts w:ascii="Cambria" w:hAnsi="Cambria" w:cs="Verdana"/>
          <w:sz w:val="20"/>
          <w:szCs w:val="20"/>
          <w:lang w:val="pt-BR"/>
        </w:rPr>
        <w:t xml:space="preserve">A </w:t>
      </w:r>
      <w:r w:rsidRPr="00FD6D61">
        <w:rPr>
          <w:rFonts w:ascii="Cambria" w:hAnsi="Cambria" w:cs="Verdana"/>
          <w:sz w:val="20"/>
          <w:szCs w:val="20"/>
          <w:lang w:val="pt-BR"/>
        </w:rPr>
        <w:t>esse respeito, a Corte indicou que os Estados devem prevenir, investigar e punir toda violação dos direitos reconhecidos pela Convenção e procurar o restabelecimento, se possível, do direito violado e, se for o caso, a reparação dos danos produzidos pela violação dos direitos humanos</w:t>
      </w:r>
      <w:r w:rsidRPr="00337743">
        <w:rPr>
          <w:rStyle w:val="FootnoteReference"/>
          <w:rFonts w:ascii="Cambria" w:hAnsi="Cambria"/>
          <w:sz w:val="20"/>
          <w:szCs w:val="20"/>
          <w:lang w:val="pt-BR"/>
        </w:rPr>
        <w:footnoteReference w:id="51"/>
      </w:r>
      <w:r w:rsidRPr="00FD6D61">
        <w:rPr>
          <w:rFonts w:ascii="Cambria" w:hAnsi="Cambria" w:cs="Verdana"/>
          <w:sz w:val="20"/>
          <w:szCs w:val="20"/>
          <w:lang w:val="pt-BR"/>
        </w:rPr>
        <w:t xml:space="preserve">. Estas obrigações são aplicáveis também frente a possíveis atos de atores não estatais. Especificamente, a </w:t>
      </w:r>
      <w:r w:rsidRPr="00FD6D61">
        <w:rPr>
          <w:rFonts w:ascii="Cambria" w:hAnsi="Cambria" w:cs="Arial"/>
          <w:sz w:val="20"/>
          <w:szCs w:val="20"/>
          <w:lang w:val="pt-BR"/>
        </w:rPr>
        <w:t>Corte indicou que “</w:t>
      </w:r>
      <w:r w:rsidRPr="00FD6D61">
        <w:rPr>
          <w:rFonts w:ascii="Cambria" w:hAnsi="Cambria"/>
          <w:sz w:val="20"/>
          <w:szCs w:val="20"/>
          <w:lang w:val="pt-BR"/>
        </w:rPr>
        <w:t>pode-se gerar</w:t>
      </w:r>
      <w:r w:rsidRPr="00FD6D61">
        <w:rPr>
          <w:rFonts w:ascii="Cambria" w:hAnsi="Cambria"/>
          <w:b/>
          <w:sz w:val="20"/>
          <w:szCs w:val="20"/>
          <w:lang w:val="pt-BR"/>
        </w:rPr>
        <w:t xml:space="preserve"> </w:t>
      </w:r>
      <w:r w:rsidRPr="00FD6D61">
        <w:rPr>
          <w:rFonts w:ascii="Cambria" w:hAnsi="Cambria"/>
          <w:sz w:val="20"/>
          <w:szCs w:val="20"/>
          <w:lang w:val="pt-BR"/>
        </w:rPr>
        <w:t>responsabilidade internacional</w:t>
      </w:r>
      <w:r w:rsidRPr="00FD6D61">
        <w:rPr>
          <w:rFonts w:ascii="Cambria" w:hAnsi="Cambria"/>
          <w:b/>
          <w:sz w:val="20"/>
          <w:szCs w:val="20"/>
          <w:lang w:val="pt-BR"/>
        </w:rPr>
        <w:t xml:space="preserve"> </w:t>
      </w:r>
      <w:r w:rsidRPr="00FD6D61">
        <w:rPr>
          <w:rFonts w:ascii="Cambria" w:hAnsi="Cambria"/>
          <w:sz w:val="20"/>
          <w:szCs w:val="20"/>
          <w:lang w:val="pt-BR"/>
        </w:rPr>
        <w:t>do</w:t>
      </w:r>
      <w:r w:rsidRPr="00FD6D61">
        <w:rPr>
          <w:rFonts w:ascii="Cambria" w:hAnsi="Cambria"/>
          <w:b/>
          <w:sz w:val="20"/>
          <w:szCs w:val="20"/>
          <w:lang w:val="pt-BR"/>
        </w:rPr>
        <w:t xml:space="preserve"> </w:t>
      </w:r>
      <w:r w:rsidRPr="00FD6D61">
        <w:rPr>
          <w:rFonts w:ascii="Cambria" w:hAnsi="Cambria"/>
          <w:sz w:val="20"/>
          <w:szCs w:val="20"/>
          <w:lang w:val="pt-BR"/>
        </w:rPr>
        <w:t>Estado por atribuição a este de atos que violam direitos humanos</w:t>
      </w:r>
      <w:r w:rsidRPr="00FD6D61">
        <w:rPr>
          <w:rFonts w:ascii="Cambria" w:hAnsi="Cambria"/>
          <w:b/>
          <w:sz w:val="20"/>
          <w:szCs w:val="20"/>
          <w:lang w:val="pt-BR"/>
        </w:rPr>
        <w:t xml:space="preserve"> </w:t>
      </w:r>
      <w:r w:rsidRPr="00FD6D61">
        <w:rPr>
          <w:rFonts w:ascii="Cambria" w:hAnsi="Cambria"/>
          <w:sz w:val="20"/>
          <w:szCs w:val="20"/>
          <w:lang w:val="pt-BR"/>
        </w:rPr>
        <w:t>cometidos por</w:t>
      </w:r>
      <w:r w:rsidRPr="00FD6D61">
        <w:rPr>
          <w:rFonts w:ascii="Cambria" w:hAnsi="Cambria"/>
          <w:b/>
          <w:sz w:val="20"/>
          <w:szCs w:val="20"/>
          <w:lang w:val="pt-BR"/>
        </w:rPr>
        <w:t xml:space="preserve"> </w:t>
      </w:r>
      <w:r w:rsidRPr="00FD6D61">
        <w:rPr>
          <w:rFonts w:ascii="Cambria" w:hAnsi="Cambria"/>
          <w:sz w:val="20"/>
          <w:szCs w:val="20"/>
          <w:lang w:val="pt-BR"/>
        </w:rPr>
        <w:t>terceiros ou particulares, no âmbito das obrigações do Estado de garantir o respeito a esses direitos entre indivíduos</w:t>
      </w:r>
      <w:r w:rsidRPr="00337743">
        <w:rPr>
          <w:rStyle w:val="FootnoteReference"/>
          <w:rFonts w:ascii="Cambria" w:hAnsi="Cambria"/>
          <w:sz w:val="20"/>
          <w:szCs w:val="20"/>
          <w:lang w:val="pt-BR"/>
        </w:rPr>
        <w:footnoteReference w:id="52"/>
      </w:r>
      <w:r w:rsidRPr="00FD6D61">
        <w:rPr>
          <w:rFonts w:ascii="Cambria" w:hAnsi="Cambria"/>
          <w:sz w:val="20"/>
          <w:szCs w:val="20"/>
          <w:lang w:val="pt-BR"/>
        </w:rPr>
        <w:t xml:space="preserve"> (…) as obrigações </w:t>
      </w:r>
      <w:r w:rsidRPr="00FD6D61">
        <w:rPr>
          <w:rFonts w:ascii="Cambria" w:hAnsi="Cambria"/>
          <w:i/>
          <w:sz w:val="20"/>
          <w:szCs w:val="20"/>
          <w:lang w:val="pt-BR"/>
        </w:rPr>
        <w:t>erga omnes</w:t>
      </w:r>
      <w:r w:rsidRPr="00FD6D61">
        <w:rPr>
          <w:rFonts w:ascii="Cambria" w:hAnsi="Cambria"/>
          <w:sz w:val="20"/>
          <w:szCs w:val="20"/>
          <w:lang w:val="pt-BR"/>
        </w:rPr>
        <w:t xml:space="preserve"> de respeitar e fazer respeitar as normas de proteção, a cargo dos Estados Partes na Convenção, projetam seus efeitos além da relação entre seus agentes e as pessoas submetidas à sua jurisdição, pois se manifestam também</w:t>
      </w:r>
      <w:r w:rsidRPr="00FD6D61">
        <w:rPr>
          <w:rFonts w:ascii="Cambria" w:hAnsi="Cambria"/>
          <w:b/>
          <w:sz w:val="20"/>
          <w:szCs w:val="20"/>
          <w:lang w:val="pt-BR"/>
        </w:rPr>
        <w:t xml:space="preserve"> </w:t>
      </w:r>
      <w:r w:rsidRPr="00FD6D61">
        <w:rPr>
          <w:rFonts w:ascii="Cambria" w:hAnsi="Cambria"/>
          <w:sz w:val="20"/>
          <w:szCs w:val="20"/>
          <w:lang w:val="pt-BR"/>
        </w:rPr>
        <w:t>na</w:t>
      </w:r>
      <w:r w:rsidRPr="00FD6D61">
        <w:rPr>
          <w:rFonts w:ascii="Cambria" w:hAnsi="Cambria"/>
          <w:b/>
          <w:sz w:val="20"/>
          <w:szCs w:val="20"/>
          <w:lang w:val="pt-BR"/>
        </w:rPr>
        <w:t xml:space="preserve"> </w:t>
      </w:r>
      <w:r w:rsidRPr="00FD6D61">
        <w:rPr>
          <w:rFonts w:ascii="Cambria" w:hAnsi="Cambria"/>
          <w:sz w:val="20"/>
          <w:szCs w:val="20"/>
          <w:lang w:val="pt-BR"/>
        </w:rPr>
        <w:t>obrigação positiva do Estado de adotar as medidas necessárias para assegurar a efetiva proteção dos direitos humanos nas relações inter</w:t>
      </w:r>
      <w:r w:rsidRPr="00FD6D61">
        <w:rPr>
          <w:rFonts w:ascii="Cambria" w:hAnsi="Cambria" w:cs="Verdana"/>
          <w:sz w:val="20"/>
          <w:szCs w:val="20"/>
          <w:lang w:val="pt-BR"/>
        </w:rPr>
        <w:t>individuais</w:t>
      </w:r>
      <w:r w:rsidRPr="00FD6D61">
        <w:rPr>
          <w:rFonts w:ascii="Cambria" w:hAnsi="Cambria"/>
          <w:sz w:val="20"/>
          <w:szCs w:val="20"/>
          <w:lang w:val="pt-BR"/>
        </w:rPr>
        <w:t>”</w:t>
      </w:r>
      <w:r w:rsidRPr="00337743">
        <w:rPr>
          <w:rStyle w:val="FootnoteReference"/>
          <w:rFonts w:ascii="Cambria" w:hAnsi="Cambria"/>
          <w:sz w:val="20"/>
          <w:szCs w:val="20"/>
          <w:lang w:val="pt-BR"/>
        </w:rPr>
        <w:footnoteReference w:id="53"/>
      </w:r>
      <w:r w:rsidRPr="00FD6D61">
        <w:rPr>
          <w:rFonts w:ascii="Cambria" w:hAnsi="Cambria"/>
          <w:sz w:val="20"/>
          <w:szCs w:val="20"/>
          <w:lang w:val="pt-BR"/>
        </w:rPr>
        <w:t>. Essas obrigações deverão ser determinadas em cada caso em função das necessidades de proteção, para cada caso em particular”</w:t>
      </w:r>
      <w:r w:rsidRPr="00337743">
        <w:rPr>
          <w:rStyle w:val="FootnoteReference"/>
          <w:rFonts w:ascii="Cambria" w:hAnsi="Cambria"/>
          <w:sz w:val="20"/>
          <w:szCs w:val="20"/>
          <w:lang w:val="pt-BR"/>
        </w:rPr>
        <w:footnoteReference w:id="54"/>
      </w:r>
      <w:r w:rsidRPr="00FD6D61">
        <w:rPr>
          <w:rFonts w:ascii="Cambria" w:hAnsi="Cambria"/>
          <w:sz w:val="20"/>
          <w:szCs w:val="20"/>
          <w:lang w:val="pt-BR"/>
        </w:rPr>
        <w:t xml:space="preserve">. </w:t>
      </w:r>
    </w:p>
    <w:p w14:paraId="76EEB3AB" w14:textId="77777777" w:rsidR="004503D2" w:rsidRPr="00FD6D61"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sz w:val="20"/>
          <w:szCs w:val="20"/>
          <w:lang w:val="pt-BR"/>
        </w:rPr>
      </w:pPr>
    </w:p>
    <w:p w14:paraId="3E6F93EB" w14:textId="77777777" w:rsidR="004503D2" w:rsidRPr="0010264C"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10264C">
        <w:rPr>
          <w:rFonts w:ascii="Cambria" w:hAnsi="Cambria"/>
          <w:sz w:val="20"/>
          <w:szCs w:val="20"/>
          <w:lang w:val="pt-BR"/>
        </w:rPr>
        <w:lastRenderedPageBreak/>
        <w:t>Especificamente, sobre o dever de prevenir, a Comissão e a Corte se baseiam na jurisprudência da Corte Europeia</w:t>
      </w:r>
      <w:r w:rsidRPr="0010264C">
        <w:rPr>
          <w:rStyle w:val="FootnoteReference"/>
          <w:rFonts w:ascii="Cambria" w:hAnsi="Cambria"/>
          <w:sz w:val="20"/>
          <w:szCs w:val="20"/>
          <w:lang w:val="pt-BR"/>
        </w:rPr>
        <w:t xml:space="preserve"> </w:t>
      </w:r>
      <w:r w:rsidRPr="0010264C">
        <w:rPr>
          <w:rStyle w:val="FootnoteReference"/>
          <w:rFonts w:ascii="Cambria" w:hAnsi="Cambria"/>
          <w:sz w:val="20"/>
          <w:szCs w:val="20"/>
          <w:lang w:val="pt-BR"/>
        </w:rPr>
        <w:footnoteReference w:id="55"/>
      </w:r>
      <w:r w:rsidRPr="0010264C">
        <w:rPr>
          <w:rFonts w:ascii="Cambria" w:hAnsi="Cambria"/>
          <w:sz w:val="20"/>
          <w:szCs w:val="20"/>
          <w:lang w:val="pt-BR"/>
        </w:rPr>
        <w:t xml:space="preserve">, segundo a qual “um Estado não pode ser responsável por qualquer </w:t>
      </w:r>
      <w:r w:rsidRPr="0010264C">
        <w:rPr>
          <w:rFonts w:ascii="Cambria" w:hAnsi="Cambria" w:cs="Verdana"/>
          <w:sz w:val="20"/>
          <w:szCs w:val="20"/>
          <w:lang w:val="pt-BR"/>
        </w:rPr>
        <w:t>violação</w:t>
      </w:r>
      <w:r w:rsidRPr="0010264C">
        <w:rPr>
          <w:rFonts w:ascii="Cambria" w:hAnsi="Cambria"/>
          <w:sz w:val="20"/>
          <w:szCs w:val="20"/>
          <w:lang w:val="pt-BR"/>
        </w:rPr>
        <w:t xml:space="preserve"> de direitos humanos cometida entre particulares dentro de sua jurisdição” e que o caráter </w:t>
      </w:r>
      <w:r w:rsidRPr="0010264C">
        <w:rPr>
          <w:rFonts w:ascii="Cambria" w:hAnsi="Cambria"/>
          <w:i/>
          <w:sz w:val="20"/>
          <w:szCs w:val="20"/>
          <w:lang w:val="pt-BR"/>
        </w:rPr>
        <w:t xml:space="preserve">erga omnes das </w:t>
      </w:r>
      <w:r w:rsidRPr="0010264C">
        <w:rPr>
          <w:rFonts w:ascii="Cambria" w:hAnsi="Cambria"/>
          <w:sz w:val="20"/>
          <w:szCs w:val="20"/>
          <w:lang w:val="pt-BR"/>
        </w:rPr>
        <w:t>obrigações convencionais de garantia a cargo dos Estados não implica uma responsabilidade ilimitada dos Estados frente a qualquer ato ou de particulares</w:t>
      </w:r>
      <w:r w:rsidRPr="0010264C">
        <w:rPr>
          <w:rStyle w:val="FootnoteReference"/>
          <w:rFonts w:ascii="Cambria" w:hAnsi="Cambria"/>
          <w:sz w:val="20"/>
          <w:szCs w:val="20"/>
          <w:lang w:val="pt-BR"/>
        </w:rPr>
        <w:footnoteReference w:id="56"/>
      </w:r>
      <w:r w:rsidRPr="0010264C">
        <w:rPr>
          <w:rFonts w:ascii="Cambria" w:hAnsi="Cambria"/>
          <w:sz w:val="20"/>
          <w:szCs w:val="20"/>
          <w:lang w:val="pt-BR"/>
        </w:rPr>
        <w:t>, pois seus deveres de adotar medidas de prevenção e proteção em suas relações entre si</w:t>
      </w:r>
      <w:r w:rsidRPr="0010264C">
        <w:rPr>
          <w:rFonts w:ascii="Cambria" w:hAnsi="Cambria"/>
          <w:b/>
          <w:sz w:val="20"/>
          <w:szCs w:val="20"/>
          <w:lang w:val="pt-BR"/>
        </w:rPr>
        <w:t xml:space="preserve"> </w:t>
      </w:r>
      <w:r w:rsidRPr="0010264C">
        <w:rPr>
          <w:rFonts w:ascii="Cambria" w:hAnsi="Cambria"/>
          <w:sz w:val="20"/>
          <w:szCs w:val="20"/>
          <w:lang w:val="pt-BR"/>
        </w:rPr>
        <w:t>estão condicionados a: i) se o Estado tinha ou devia ter conhecimento de uma situação de risco; ii) se esse risco era real e imediato;  e iii) se o Estado adotou as medidas razoavelmente esperadas para evitar que esse risco ocorresse</w:t>
      </w:r>
      <w:r w:rsidRPr="0010264C">
        <w:rPr>
          <w:rStyle w:val="FootnoteReference"/>
          <w:rFonts w:ascii="Cambria" w:hAnsi="Cambria" w:cs="Arial"/>
          <w:sz w:val="20"/>
          <w:szCs w:val="20"/>
          <w:lang w:val="pt-BR"/>
        </w:rPr>
        <w:footnoteReference w:id="57"/>
      </w:r>
      <w:r w:rsidRPr="0010264C">
        <w:rPr>
          <w:rFonts w:ascii="Cambria" w:hAnsi="Cambria"/>
          <w:sz w:val="20"/>
          <w:szCs w:val="20"/>
          <w:lang w:val="pt-BR"/>
        </w:rPr>
        <w:t xml:space="preserve">. </w:t>
      </w:r>
    </w:p>
    <w:p w14:paraId="598A6E51" w14:textId="77777777" w:rsidR="004503D2" w:rsidRPr="0010264C"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sz w:val="20"/>
          <w:szCs w:val="20"/>
          <w:lang w:val="pt-BR"/>
        </w:rPr>
      </w:pPr>
    </w:p>
    <w:p w14:paraId="2EB7125D" w14:textId="0EC7890E"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401A6F">
        <w:rPr>
          <w:rFonts w:ascii="Cambria" w:hAnsi="Cambria"/>
          <w:sz w:val="20"/>
          <w:szCs w:val="20"/>
          <w:lang w:val="pt-BR"/>
        </w:rPr>
        <w:t xml:space="preserve">De acordo com esses parâmetros, a CIDH passa a considerar se os fatos descritos comprometem a responsabilidade internacional </w:t>
      </w:r>
      <w:r w:rsidRPr="00B434BF">
        <w:rPr>
          <w:rFonts w:ascii="Cambria" w:hAnsi="Cambria"/>
          <w:sz w:val="20"/>
          <w:szCs w:val="20"/>
          <w:lang w:val="pt-BR"/>
        </w:rPr>
        <w:t>d</w:t>
      </w:r>
      <w:r w:rsidRPr="006E0CFC">
        <w:rPr>
          <w:rFonts w:ascii="Cambria" w:hAnsi="Cambria"/>
          <w:sz w:val="20"/>
          <w:szCs w:val="20"/>
          <w:lang w:val="pt-BR"/>
        </w:rPr>
        <w:t>o</w:t>
      </w:r>
      <w:r w:rsidRPr="00B434BF">
        <w:rPr>
          <w:rFonts w:ascii="Cambria" w:hAnsi="Cambria"/>
          <w:sz w:val="20"/>
          <w:szCs w:val="20"/>
          <w:lang w:val="pt-BR"/>
        </w:rPr>
        <w:t xml:space="preserve"> Estado d</w:t>
      </w:r>
      <w:r w:rsidRPr="006E0CFC">
        <w:rPr>
          <w:rFonts w:ascii="Cambria" w:hAnsi="Cambria"/>
          <w:sz w:val="20"/>
          <w:szCs w:val="20"/>
          <w:lang w:val="pt-BR"/>
        </w:rPr>
        <w:t>o</w:t>
      </w:r>
      <w:r w:rsidRPr="00B434BF">
        <w:rPr>
          <w:rFonts w:ascii="Cambria" w:hAnsi="Cambria"/>
          <w:sz w:val="20"/>
          <w:szCs w:val="20"/>
          <w:lang w:val="pt-BR"/>
        </w:rPr>
        <w:t xml:space="preserve"> Brasil,</w:t>
      </w:r>
      <w:r>
        <w:rPr>
          <w:rFonts w:ascii="Cambria" w:hAnsi="Cambria"/>
          <w:sz w:val="20"/>
          <w:szCs w:val="20"/>
          <w:lang w:val="pt-BR"/>
        </w:rPr>
        <w:t xml:space="preserve"> </w:t>
      </w:r>
      <w:r w:rsidRPr="00401A6F">
        <w:rPr>
          <w:rFonts w:ascii="Cambria" w:hAnsi="Cambria"/>
          <w:sz w:val="20"/>
          <w:szCs w:val="20"/>
          <w:lang w:val="pt-BR"/>
        </w:rPr>
        <w:t xml:space="preserve">por falta de prevenção. A esse respeito, a Comissão Interamericana constata, em primeiro lugar, que a situação descrita na sessão sobre os fatos estabelecidos coincide com </w:t>
      </w:r>
      <w:r w:rsidRPr="00B434BF">
        <w:rPr>
          <w:rFonts w:ascii="Cambria" w:hAnsi="Cambria"/>
          <w:sz w:val="20"/>
          <w:szCs w:val="20"/>
          <w:lang w:val="pt-BR"/>
        </w:rPr>
        <w:t xml:space="preserve">um contexto de violações vinculadas </w:t>
      </w:r>
      <w:r w:rsidRPr="006E0CFC">
        <w:rPr>
          <w:rFonts w:ascii="Cambria" w:hAnsi="Cambria"/>
          <w:sz w:val="20"/>
          <w:szCs w:val="20"/>
          <w:lang w:val="pt-BR"/>
        </w:rPr>
        <w:t xml:space="preserve">a </w:t>
      </w:r>
      <w:r w:rsidRPr="00B434BF">
        <w:rPr>
          <w:rFonts w:ascii="Cambria" w:hAnsi="Cambria"/>
          <w:sz w:val="20"/>
          <w:szCs w:val="20"/>
          <w:lang w:val="pt-BR"/>
        </w:rPr>
        <w:t>conflitos de terra e</w:t>
      </w:r>
      <w:r w:rsidRPr="006E0CFC">
        <w:rPr>
          <w:rFonts w:ascii="Cambria" w:hAnsi="Cambria"/>
          <w:sz w:val="20"/>
          <w:szCs w:val="20"/>
          <w:lang w:val="pt-BR"/>
        </w:rPr>
        <w:t>m</w:t>
      </w:r>
      <w:r w:rsidRPr="00B434BF">
        <w:rPr>
          <w:rFonts w:ascii="Cambria" w:hAnsi="Cambria"/>
          <w:sz w:val="20"/>
          <w:szCs w:val="20"/>
          <w:lang w:val="pt-BR"/>
        </w:rPr>
        <w:t xml:space="preserve"> p</w:t>
      </w:r>
      <w:r w:rsidRPr="006E0CFC">
        <w:rPr>
          <w:rFonts w:ascii="Cambria" w:hAnsi="Cambria"/>
          <w:sz w:val="20"/>
          <w:szCs w:val="20"/>
          <w:lang w:val="pt-BR"/>
        </w:rPr>
        <w:t>rejuízo</w:t>
      </w:r>
      <w:r w:rsidRPr="00B434BF">
        <w:rPr>
          <w:rFonts w:ascii="Cambria" w:hAnsi="Cambria"/>
          <w:sz w:val="20"/>
          <w:szCs w:val="20"/>
          <w:lang w:val="pt-BR"/>
        </w:rPr>
        <w:t xml:space="preserve"> de trab</w:t>
      </w:r>
      <w:r w:rsidRPr="006E0CFC">
        <w:rPr>
          <w:rFonts w:ascii="Cambria" w:hAnsi="Cambria"/>
          <w:sz w:val="20"/>
          <w:szCs w:val="20"/>
          <w:lang w:val="pt-BR"/>
        </w:rPr>
        <w:t>lh</w:t>
      </w:r>
      <w:r w:rsidRPr="00B434BF">
        <w:rPr>
          <w:rFonts w:ascii="Cambria" w:hAnsi="Cambria"/>
          <w:sz w:val="20"/>
          <w:szCs w:val="20"/>
          <w:lang w:val="pt-BR"/>
        </w:rPr>
        <w:t>adores rura</w:t>
      </w:r>
      <w:r w:rsidRPr="006E0CFC">
        <w:rPr>
          <w:rFonts w:ascii="Cambria" w:hAnsi="Cambria"/>
          <w:sz w:val="20"/>
          <w:szCs w:val="20"/>
          <w:lang w:val="pt-BR"/>
        </w:rPr>
        <w:t>i</w:t>
      </w:r>
      <w:r w:rsidRPr="00B434BF">
        <w:rPr>
          <w:rFonts w:ascii="Cambria" w:hAnsi="Cambria"/>
          <w:sz w:val="20"/>
          <w:szCs w:val="20"/>
          <w:lang w:val="pt-BR"/>
        </w:rPr>
        <w:t>s</w:t>
      </w:r>
      <w:r w:rsidR="00B03A37">
        <w:rPr>
          <w:rFonts w:ascii="Cambria" w:hAnsi="Cambria"/>
          <w:sz w:val="20"/>
          <w:szCs w:val="20"/>
          <w:lang w:val="pt-BR"/>
        </w:rPr>
        <w:t xml:space="preserve"> e de defensores de seus direitos</w:t>
      </w:r>
      <w:r w:rsidRPr="00B434BF">
        <w:rPr>
          <w:rFonts w:ascii="Cambria" w:hAnsi="Cambria"/>
          <w:sz w:val="20"/>
          <w:szCs w:val="20"/>
          <w:lang w:val="pt-BR"/>
        </w:rPr>
        <w:t>, seguidas de impunidade no Brasil,</w:t>
      </w:r>
      <w:r w:rsidRPr="00401A6F">
        <w:rPr>
          <w:rFonts w:ascii="Cambria" w:hAnsi="Cambria"/>
          <w:sz w:val="20"/>
          <w:szCs w:val="20"/>
          <w:lang w:val="pt-BR"/>
        </w:rPr>
        <w:t xml:space="preserve"> amplamente documentado por organi</w:t>
      </w:r>
      <w:r>
        <w:rPr>
          <w:rFonts w:ascii="Cambria" w:hAnsi="Cambria"/>
          <w:sz w:val="20"/>
          <w:szCs w:val="20"/>
          <w:lang w:val="pt-BR"/>
        </w:rPr>
        <w:t>zações locais e internacionais.</w:t>
      </w:r>
    </w:p>
    <w:p w14:paraId="404833B4" w14:textId="77777777" w:rsidR="004503D2" w:rsidRDefault="004503D2" w:rsidP="0071702C">
      <w:pPr>
        <w:pStyle w:val="ListParagraph"/>
        <w:ind w:left="0"/>
        <w:rPr>
          <w:rFonts w:ascii="Cambria" w:hAnsi="Cambria"/>
          <w:sz w:val="20"/>
          <w:szCs w:val="20"/>
          <w:lang w:val="pt-BR"/>
        </w:rPr>
      </w:pPr>
    </w:p>
    <w:p w14:paraId="2CF469E4"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6C2558">
        <w:rPr>
          <w:rFonts w:ascii="Cambria" w:hAnsi="Cambria"/>
          <w:sz w:val="20"/>
          <w:szCs w:val="20"/>
          <w:lang w:val="pt-BR"/>
        </w:rPr>
        <w:t>E</w:t>
      </w:r>
      <w:r w:rsidRPr="006E0CFC">
        <w:rPr>
          <w:rFonts w:ascii="Cambria" w:hAnsi="Cambria"/>
          <w:sz w:val="20"/>
          <w:szCs w:val="20"/>
          <w:lang w:val="pt-BR"/>
        </w:rPr>
        <w:t xml:space="preserve">m relação </w:t>
      </w:r>
      <w:r w:rsidRPr="006C2558">
        <w:rPr>
          <w:rFonts w:ascii="Cambria" w:hAnsi="Cambria"/>
          <w:sz w:val="20"/>
          <w:szCs w:val="20"/>
          <w:lang w:val="pt-BR"/>
        </w:rPr>
        <w:t>a este contexto de viol</w:t>
      </w:r>
      <w:r w:rsidRPr="006E0CFC">
        <w:rPr>
          <w:rFonts w:ascii="Cambria" w:hAnsi="Cambria"/>
          <w:sz w:val="20"/>
          <w:szCs w:val="20"/>
          <w:lang w:val="pt-BR"/>
        </w:rPr>
        <w:t>ê</w:t>
      </w:r>
      <w:r w:rsidRPr="006C2558">
        <w:rPr>
          <w:rFonts w:ascii="Cambria" w:hAnsi="Cambria"/>
          <w:sz w:val="20"/>
          <w:szCs w:val="20"/>
          <w:lang w:val="pt-BR"/>
        </w:rPr>
        <w:t>ncia e impunidad</w:t>
      </w:r>
      <w:r w:rsidRPr="006E0CFC">
        <w:rPr>
          <w:rFonts w:ascii="Cambria" w:hAnsi="Cambria"/>
          <w:sz w:val="20"/>
          <w:szCs w:val="20"/>
          <w:lang w:val="pt-BR"/>
        </w:rPr>
        <w:t>e</w:t>
      </w:r>
      <w:r w:rsidRPr="006C2558">
        <w:rPr>
          <w:rFonts w:ascii="Cambria" w:hAnsi="Cambria"/>
          <w:sz w:val="20"/>
          <w:szCs w:val="20"/>
          <w:lang w:val="pt-BR"/>
        </w:rPr>
        <w:t xml:space="preserve"> detal</w:t>
      </w:r>
      <w:r w:rsidRPr="006E0CFC">
        <w:rPr>
          <w:rFonts w:ascii="Cambria" w:hAnsi="Cambria"/>
          <w:sz w:val="20"/>
          <w:szCs w:val="20"/>
          <w:lang w:val="pt-BR"/>
        </w:rPr>
        <w:t>h</w:t>
      </w:r>
      <w:r w:rsidRPr="006C2558">
        <w:rPr>
          <w:rFonts w:ascii="Cambria" w:hAnsi="Cambria"/>
          <w:sz w:val="20"/>
          <w:szCs w:val="20"/>
          <w:lang w:val="pt-BR"/>
        </w:rPr>
        <w:t xml:space="preserve">ado </w:t>
      </w:r>
      <w:r w:rsidRPr="006E0CFC">
        <w:rPr>
          <w:rFonts w:ascii="Cambria" w:hAnsi="Cambria"/>
          <w:sz w:val="20"/>
          <w:szCs w:val="20"/>
          <w:lang w:val="pt-BR"/>
        </w:rPr>
        <w:t>na seção</w:t>
      </w:r>
      <w:r w:rsidRPr="006C2558">
        <w:rPr>
          <w:rFonts w:ascii="Cambria" w:hAnsi="Cambria"/>
          <w:sz w:val="20"/>
          <w:szCs w:val="20"/>
          <w:lang w:val="pt-BR"/>
        </w:rPr>
        <w:t xml:space="preserve"> respectiva, o Estado não demonstrou que na época em que ocorreram os fatos houvesse adotado medidas específicas de prevenção para evitar di</w:t>
      </w:r>
      <w:r w:rsidRPr="006E0CFC">
        <w:rPr>
          <w:rFonts w:ascii="Cambria" w:hAnsi="Cambria"/>
          <w:sz w:val="20"/>
          <w:szCs w:val="20"/>
          <w:lang w:val="pt-BR"/>
        </w:rPr>
        <w:t>t</w:t>
      </w:r>
      <w:r w:rsidRPr="006C2558">
        <w:rPr>
          <w:rFonts w:ascii="Cambria" w:hAnsi="Cambria"/>
          <w:sz w:val="20"/>
          <w:szCs w:val="20"/>
          <w:lang w:val="pt-BR"/>
        </w:rPr>
        <w:t>a violência.</w:t>
      </w:r>
    </w:p>
    <w:p w14:paraId="378F2014" w14:textId="77777777" w:rsidR="00C2603D" w:rsidRDefault="00C2603D" w:rsidP="0071702C">
      <w:pPr>
        <w:pStyle w:val="ListParagraph"/>
        <w:ind w:left="0"/>
        <w:rPr>
          <w:rFonts w:ascii="Cambria" w:hAnsi="Cambria"/>
          <w:sz w:val="20"/>
          <w:szCs w:val="20"/>
          <w:lang w:val="pt-BR"/>
        </w:rPr>
      </w:pPr>
    </w:p>
    <w:p w14:paraId="08CE675A" w14:textId="77777777" w:rsidR="00C2603D" w:rsidRPr="000A0FC9" w:rsidRDefault="00C2603D" w:rsidP="0071702C">
      <w:pPr>
        <w:numPr>
          <w:ilvl w:val="0"/>
          <w:numId w:val="55"/>
        </w:numPr>
        <w:ind w:left="0" w:firstLine="0"/>
        <w:jc w:val="both"/>
        <w:rPr>
          <w:rFonts w:ascii="Cambria" w:hAnsi="Cambria"/>
          <w:bCs/>
          <w:iCs/>
          <w:sz w:val="20"/>
          <w:szCs w:val="20"/>
          <w:lang w:val="pt-BR"/>
        </w:rPr>
      </w:pPr>
      <w:r w:rsidRPr="000A0FC9">
        <w:rPr>
          <w:rFonts w:ascii="Cambria" w:hAnsi="Cambria"/>
          <w:bCs/>
          <w:iCs/>
          <w:sz w:val="20"/>
          <w:szCs w:val="20"/>
          <w:lang w:val="pt-BR"/>
        </w:rPr>
        <w:t>Sem prejuízo do exposto anteriormente, no âmbito do conhecimento de um caso contencioso, a análise da atribuição de responsabilidade internacional ao Estado não pode basear-se exclusivamente no contexto em que ocorre um fato particular.</w:t>
      </w:r>
    </w:p>
    <w:p w14:paraId="715F9121" w14:textId="77777777" w:rsidR="00C2603D" w:rsidRPr="000A0FC9" w:rsidRDefault="00C2603D" w:rsidP="0071702C">
      <w:pPr>
        <w:pStyle w:val="ListParagraph"/>
        <w:ind w:left="0"/>
        <w:rPr>
          <w:rFonts w:ascii="Cambria" w:hAnsi="Cambria"/>
          <w:bCs/>
          <w:iCs/>
          <w:sz w:val="20"/>
          <w:szCs w:val="20"/>
          <w:lang w:val="pt-BR"/>
        </w:rPr>
      </w:pPr>
    </w:p>
    <w:p w14:paraId="7A4F89FC" w14:textId="77777777" w:rsidR="00C2603D" w:rsidRPr="000A0FC9" w:rsidRDefault="00C2603D" w:rsidP="0071702C">
      <w:pPr>
        <w:numPr>
          <w:ilvl w:val="0"/>
          <w:numId w:val="55"/>
        </w:numPr>
        <w:ind w:left="0" w:firstLine="0"/>
        <w:jc w:val="both"/>
        <w:rPr>
          <w:rFonts w:ascii="Cambria" w:hAnsi="Cambria"/>
          <w:sz w:val="20"/>
          <w:szCs w:val="20"/>
          <w:lang w:val="pt-BR"/>
        </w:rPr>
      </w:pPr>
      <w:r w:rsidRPr="000A0FC9">
        <w:rPr>
          <w:rFonts w:ascii="Cambria" w:hAnsi="Cambria"/>
          <w:sz w:val="20"/>
          <w:szCs w:val="20"/>
          <w:lang w:val="pt-BR"/>
        </w:rPr>
        <w:t xml:space="preserve">Em casos nos quais se alegava a existência de um contexto geral como fonte de responsabilidade do Estado, a Corte Interamericana indicou: </w:t>
      </w:r>
    </w:p>
    <w:p w14:paraId="586D7112" w14:textId="77777777" w:rsidR="00C2603D" w:rsidRPr="000A0FC9" w:rsidRDefault="00C2603D" w:rsidP="0071702C">
      <w:pPr>
        <w:jc w:val="both"/>
        <w:rPr>
          <w:rFonts w:ascii="Cambria" w:hAnsi="Cambria"/>
          <w:sz w:val="20"/>
          <w:szCs w:val="20"/>
          <w:lang w:val="pt-BR"/>
        </w:rPr>
      </w:pPr>
    </w:p>
    <w:p w14:paraId="7997A85C" w14:textId="77777777" w:rsidR="00C2603D" w:rsidRPr="0071702C" w:rsidRDefault="00C2603D" w:rsidP="0071702C">
      <w:pPr>
        <w:ind w:left="360" w:right="360"/>
        <w:jc w:val="both"/>
        <w:rPr>
          <w:rFonts w:ascii="Cambria" w:hAnsi="Cambria"/>
          <w:sz w:val="18"/>
          <w:szCs w:val="20"/>
          <w:lang w:val="pt-BR"/>
        </w:rPr>
      </w:pPr>
      <w:r w:rsidRPr="0071702C">
        <w:rPr>
          <w:rFonts w:ascii="Cambria" w:hAnsi="Cambria"/>
          <w:sz w:val="18"/>
          <w:szCs w:val="20"/>
          <w:lang w:val="pt-BR"/>
        </w:rPr>
        <w:t xml:space="preserve">Sobre o primeiro momento – antes do desaparecimento das vítimas - a Corte considera que a falta de prevenção do desaparecimento não implica </w:t>
      </w:r>
      <w:r w:rsidRPr="0071702C">
        <w:rPr>
          <w:rFonts w:ascii="Cambria" w:hAnsi="Cambria"/>
          <w:i/>
          <w:sz w:val="18"/>
          <w:szCs w:val="20"/>
          <w:lang w:val="pt-BR"/>
        </w:rPr>
        <w:t xml:space="preserve">per se </w:t>
      </w:r>
      <w:r w:rsidRPr="0071702C">
        <w:rPr>
          <w:rFonts w:ascii="Cambria" w:hAnsi="Cambria"/>
          <w:iCs/>
          <w:sz w:val="18"/>
          <w:szCs w:val="20"/>
          <w:lang w:val="pt-BR"/>
        </w:rPr>
        <w:t>a</w:t>
      </w:r>
      <w:r w:rsidRPr="0071702C">
        <w:rPr>
          <w:rFonts w:ascii="Cambria" w:hAnsi="Cambria"/>
          <w:i/>
          <w:sz w:val="18"/>
          <w:szCs w:val="20"/>
          <w:lang w:val="pt-BR"/>
        </w:rPr>
        <w:t xml:space="preserve"> </w:t>
      </w:r>
      <w:r w:rsidRPr="0071702C">
        <w:rPr>
          <w:rFonts w:ascii="Cambria" w:hAnsi="Cambria"/>
          <w:sz w:val="18"/>
          <w:szCs w:val="20"/>
          <w:lang w:val="pt-BR"/>
        </w:rPr>
        <w:t>responsabilidade internacional do Estado porque, apesar de que este tinha conhecimento de uma situação de risco para as mulheres em Ciudad Juárez, não ficou estabelecido que tinha conhecimento de um risco real e imediato para as vítimas deste caso. Embora o contexto neste caso e suas obrigações internacionais imponham ao Estado uma responsabilidade reforçada com respeito à proteção de mulheres em Ciudad Juárez, que se encontravam em situação de vulnerabilidade, especialmente as mulheres jovens e humildes, não impõem uma responsabilidade ilimitada frente a qualquer fato ilícito contra elas</w:t>
      </w:r>
      <w:r w:rsidRPr="0071702C">
        <w:rPr>
          <w:rStyle w:val="FootnoteReference"/>
          <w:rFonts w:ascii="Cambria" w:hAnsi="Cambria"/>
          <w:sz w:val="18"/>
          <w:szCs w:val="20"/>
          <w:lang w:val="pt-BR"/>
        </w:rPr>
        <w:footnoteReference w:id="58"/>
      </w:r>
      <w:r w:rsidRPr="0071702C">
        <w:rPr>
          <w:rFonts w:ascii="Cambria" w:hAnsi="Cambria"/>
          <w:sz w:val="18"/>
          <w:szCs w:val="20"/>
          <w:lang w:val="pt-BR"/>
        </w:rPr>
        <w:t>.</w:t>
      </w:r>
    </w:p>
    <w:p w14:paraId="4A22D60B" w14:textId="77777777" w:rsidR="00C2603D" w:rsidRPr="000A0FC9" w:rsidRDefault="00C2603D" w:rsidP="0071702C">
      <w:pPr>
        <w:rPr>
          <w:rFonts w:ascii="Cambria" w:hAnsi="Cambria"/>
          <w:bCs/>
          <w:iCs/>
          <w:sz w:val="20"/>
          <w:szCs w:val="20"/>
          <w:lang w:val="pt-BR"/>
        </w:rPr>
      </w:pPr>
    </w:p>
    <w:p w14:paraId="357A5151" w14:textId="77777777" w:rsidR="00C2603D" w:rsidRPr="000A0FC9" w:rsidRDefault="00C2603D" w:rsidP="0071702C">
      <w:pPr>
        <w:numPr>
          <w:ilvl w:val="0"/>
          <w:numId w:val="55"/>
        </w:numPr>
        <w:ind w:left="0" w:firstLine="0"/>
        <w:jc w:val="both"/>
        <w:rPr>
          <w:rFonts w:ascii="Cambria" w:hAnsi="Cambria"/>
          <w:bCs/>
          <w:iCs/>
          <w:sz w:val="20"/>
          <w:szCs w:val="20"/>
          <w:lang w:val="pt-BR"/>
        </w:rPr>
      </w:pPr>
      <w:r w:rsidRPr="000A0FC9">
        <w:rPr>
          <w:rFonts w:ascii="Cambria" w:hAnsi="Cambria"/>
          <w:bCs/>
          <w:iCs/>
          <w:sz w:val="20"/>
          <w:szCs w:val="20"/>
          <w:lang w:val="pt-BR"/>
        </w:rPr>
        <w:t xml:space="preserve">No presente caso, não existe informação no processo que permita afirmar que o Estado tinha conhecimento de que </w:t>
      </w:r>
      <w:r w:rsidR="008B4F9A">
        <w:rPr>
          <w:rFonts w:ascii="Cambria" w:hAnsi="Cambria"/>
          <w:bCs/>
          <w:iCs/>
          <w:sz w:val="20"/>
          <w:szCs w:val="20"/>
          <w:lang w:val="pt-BR"/>
        </w:rPr>
        <w:t xml:space="preserve">Manoel Luiz da Silva </w:t>
      </w:r>
      <w:r w:rsidRPr="000A0FC9">
        <w:rPr>
          <w:rFonts w:ascii="Cambria" w:hAnsi="Cambria"/>
          <w:bCs/>
          <w:iCs/>
          <w:sz w:val="20"/>
          <w:szCs w:val="20"/>
          <w:lang w:val="pt-BR"/>
        </w:rPr>
        <w:t>se encontrava em uma situação de perigo real ou iminente antes de sua morte, de maneira que os fatos do caso pudessem ser analisados à luz do teste utilizado na jurisprudência interamericana sobre o conhecimento do risco e as medidas razoáveis de prevenção e proteção por parte do Estado a respeito da vítima do caso concreto.</w:t>
      </w:r>
    </w:p>
    <w:p w14:paraId="308E6ACA" w14:textId="77777777" w:rsidR="00C2603D" w:rsidRPr="000A0FC9" w:rsidRDefault="00C2603D" w:rsidP="0071702C">
      <w:pPr>
        <w:pStyle w:val="ListParagraph"/>
        <w:ind w:left="0"/>
        <w:rPr>
          <w:rFonts w:ascii="Cambria" w:hAnsi="Cambria"/>
          <w:color w:val="000000"/>
          <w:sz w:val="20"/>
          <w:szCs w:val="20"/>
          <w:lang w:val="pt-BR"/>
        </w:rPr>
      </w:pPr>
    </w:p>
    <w:p w14:paraId="62A3A378" w14:textId="77777777" w:rsidR="00C2603D" w:rsidRPr="000A0FC9" w:rsidRDefault="00C2603D" w:rsidP="0071702C">
      <w:pPr>
        <w:numPr>
          <w:ilvl w:val="0"/>
          <w:numId w:val="55"/>
        </w:numPr>
        <w:ind w:left="0" w:firstLine="0"/>
        <w:jc w:val="both"/>
        <w:rPr>
          <w:rFonts w:ascii="Cambria" w:hAnsi="Cambria"/>
          <w:bCs/>
          <w:iCs/>
          <w:sz w:val="20"/>
          <w:szCs w:val="20"/>
          <w:lang w:val="pt-BR"/>
        </w:rPr>
      </w:pPr>
      <w:r w:rsidRPr="000A0FC9">
        <w:rPr>
          <w:rFonts w:ascii="Cambria" w:hAnsi="Cambria"/>
          <w:color w:val="000000"/>
          <w:sz w:val="20"/>
          <w:szCs w:val="20"/>
          <w:lang w:val="pt-BR"/>
        </w:rPr>
        <w:t>Em virtude dessas considerações, e sem deixar de estabelecer a gravidade do assassinato</w:t>
      </w:r>
      <w:r w:rsidR="008B4F9A">
        <w:rPr>
          <w:rFonts w:ascii="Cambria" w:hAnsi="Cambria"/>
          <w:color w:val="000000"/>
          <w:sz w:val="20"/>
          <w:szCs w:val="20"/>
          <w:lang w:val="pt-BR"/>
        </w:rPr>
        <w:t xml:space="preserve"> e do contexto geral,</w:t>
      </w:r>
      <w:r w:rsidRPr="000A0FC9">
        <w:rPr>
          <w:rFonts w:ascii="Cambria" w:hAnsi="Cambria"/>
          <w:color w:val="000000"/>
          <w:sz w:val="20"/>
          <w:szCs w:val="20"/>
          <w:lang w:val="pt-BR"/>
        </w:rPr>
        <w:t xml:space="preserve"> a Comissão conclui que não é possível atribuir responsabilidade indireta ao Estado pela morte como consequência do descumprimento do dever de garantia em seu componente de prevenção, analisado a respeito </w:t>
      </w:r>
      <w:r w:rsidRPr="000A0FC9">
        <w:rPr>
          <w:rFonts w:ascii="Cambria" w:hAnsi="Cambria"/>
          <w:color w:val="000000"/>
          <w:sz w:val="20"/>
          <w:szCs w:val="20"/>
          <w:lang w:val="pt-BR"/>
        </w:rPr>
        <w:lastRenderedPageBreak/>
        <w:t xml:space="preserve">da situação concreta da pessoa falecida. Adiante, a Comissão analisará a resposta do Estado após a morte de </w:t>
      </w:r>
      <w:r w:rsidR="008C2415">
        <w:rPr>
          <w:rFonts w:ascii="Cambria" w:hAnsi="Cambria"/>
          <w:color w:val="000000"/>
          <w:sz w:val="20"/>
          <w:szCs w:val="20"/>
          <w:lang w:val="pt-BR"/>
        </w:rPr>
        <w:t xml:space="preserve">Manoel Luiz da Costa </w:t>
      </w:r>
      <w:r w:rsidRPr="000A0FC9">
        <w:rPr>
          <w:rFonts w:ascii="Cambria" w:eastAsia="Cambria" w:hAnsi="Cambria" w:cs="Cambria"/>
          <w:sz w:val="20"/>
          <w:szCs w:val="20"/>
          <w:lang w:val="pt-BR"/>
        </w:rPr>
        <w:t>no âmbito</w:t>
      </w:r>
      <w:r w:rsidRPr="000A0FC9">
        <w:rPr>
          <w:rFonts w:ascii="Cambria" w:hAnsi="Cambria"/>
          <w:color w:val="000000"/>
          <w:sz w:val="20"/>
          <w:szCs w:val="20"/>
          <w:lang w:val="pt-BR"/>
        </w:rPr>
        <w:t xml:space="preserve"> das investigações e processos seguidos por esses fatos.</w:t>
      </w:r>
    </w:p>
    <w:p w14:paraId="3AC31580" w14:textId="77777777" w:rsidR="004503D2" w:rsidRDefault="004503D2" w:rsidP="0071702C">
      <w:pPr>
        <w:pStyle w:val="ListParagraph"/>
        <w:ind w:left="0"/>
        <w:rPr>
          <w:rFonts w:ascii="Cambria" w:hAnsi="Cambria"/>
          <w:sz w:val="20"/>
          <w:szCs w:val="20"/>
          <w:lang w:val="pt-BR"/>
        </w:rPr>
      </w:pPr>
    </w:p>
    <w:p w14:paraId="797341C6" w14:textId="77777777" w:rsidR="004503D2" w:rsidRPr="008977AE"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r w:rsidRPr="008977AE">
        <w:rPr>
          <w:rFonts w:ascii="Cambria" w:hAnsi="Cambria"/>
          <w:sz w:val="20"/>
          <w:szCs w:val="20"/>
          <w:lang w:val="pt-BR"/>
        </w:rPr>
        <w:t xml:space="preserve"> </w:t>
      </w:r>
    </w:p>
    <w:p w14:paraId="55AF2F35" w14:textId="268A1002" w:rsidR="004503D2" w:rsidRPr="009F1C8F" w:rsidRDefault="004503D2" w:rsidP="009F1C8F">
      <w:pPr>
        <w:pStyle w:val="Heading2"/>
      </w:pPr>
      <w:bookmarkStart w:id="17" w:name="_Toc17097164"/>
      <w:r w:rsidRPr="009F1C8F">
        <w:t>Direito às garantias judiciais e à proteção judicial (artigos 8</w:t>
      </w:r>
      <w:r w:rsidRPr="009F1C8F">
        <w:rPr>
          <w:rStyle w:val="FootnoteReference"/>
          <w:vertAlign w:val="baseline"/>
        </w:rPr>
        <w:footnoteReference w:id="59"/>
      </w:r>
      <w:r w:rsidRPr="009F1C8F">
        <w:t xml:space="preserve"> e 25</w:t>
      </w:r>
      <w:r w:rsidRPr="009F1C8F">
        <w:rPr>
          <w:rStyle w:val="FootnoteReference"/>
          <w:vertAlign w:val="baseline"/>
        </w:rPr>
        <w:footnoteReference w:id="60"/>
      </w:r>
      <w:r w:rsidRPr="009F1C8F">
        <w:t xml:space="preserve"> da Convenção Americana) quanto a obrigação geral consagrada no artigo 1.1</w:t>
      </w:r>
      <w:bookmarkEnd w:id="17"/>
    </w:p>
    <w:p w14:paraId="3CB2DBD8" w14:textId="77777777" w:rsidR="004503D2" w:rsidRPr="00810996" w:rsidRDefault="004503D2" w:rsidP="0071702C">
      <w:pPr>
        <w:ind w:left="540" w:hanging="540"/>
        <w:rPr>
          <w:lang w:val="pt-BR"/>
        </w:rPr>
      </w:pPr>
    </w:p>
    <w:p w14:paraId="34A8D445" w14:textId="66E97901" w:rsidR="004503D2" w:rsidRDefault="004503D2" w:rsidP="009F1C8F">
      <w:pPr>
        <w:pStyle w:val="Heading3"/>
      </w:pPr>
      <w:bookmarkStart w:id="18" w:name="_Toc17097165"/>
      <w:r w:rsidRPr="00337743">
        <w:t>Considerações gerai</w:t>
      </w:r>
      <w:r>
        <w:t>s sobre o dever de investigar</w:t>
      </w:r>
      <w:r w:rsidR="00B03A37">
        <w:t xml:space="preserve"> violações de direitos humanos</w:t>
      </w:r>
      <w:bookmarkEnd w:id="18"/>
    </w:p>
    <w:p w14:paraId="4BE43CFF" w14:textId="77777777" w:rsidR="004503D2" w:rsidRPr="00337743" w:rsidRDefault="004503D2" w:rsidP="0071702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ambria" w:hAnsi="Cambria"/>
          <w:b/>
          <w:color w:val="000000"/>
          <w:sz w:val="20"/>
          <w:szCs w:val="20"/>
          <w:lang w:val="pt-BR"/>
        </w:rPr>
      </w:pPr>
    </w:p>
    <w:p w14:paraId="0E04EBFD"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sz w:val="20"/>
          <w:szCs w:val="20"/>
          <w:lang w:val="pt-BR"/>
        </w:rPr>
        <w:t>A</w:t>
      </w:r>
      <w:r w:rsidRPr="00E15B70">
        <w:rPr>
          <w:rFonts w:ascii="Cambria" w:hAnsi="Cambria"/>
          <w:sz w:val="20"/>
          <w:szCs w:val="20"/>
          <w:lang w:val="pt-BR"/>
        </w:rPr>
        <w:t xml:space="preserve"> Convenção Americana consagra o direito à proteção judic</w:t>
      </w:r>
      <w:r>
        <w:rPr>
          <w:rFonts w:ascii="Cambria" w:hAnsi="Cambria"/>
          <w:sz w:val="20"/>
          <w:szCs w:val="20"/>
          <w:lang w:val="pt-BR"/>
        </w:rPr>
        <w:t>ial e às garantias judiciais. O</w:t>
      </w:r>
      <w:r w:rsidRPr="00E15B70">
        <w:rPr>
          <w:rFonts w:ascii="Cambria" w:hAnsi="Cambria"/>
          <w:sz w:val="20"/>
          <w:szCs w:val="20"/>
          <w:lang w:val="pt-BR"/>
        </w:rPr>
        <w:t>s artigos 8 e 25 da CADH determinam que o Estado possui o dever de assegurar recursos judiciais eficazes às vítimas de violações de direitos humanos</w:t>
      </w:r>
      <w:r w:rsidRPr="00337743">
        <w:rPr>
          <w:rStyle w:val="FootnoteReference"/>
          <w:rFonts w:ascii="Cambria" w:hAnsi="Cambria"/>
          <w:sz w:val="20"/>
          <w:szCs w:val="20"/>
          <w:lang w:val="pt-BR"/>
        </w:rPr>
        <w:footnoteReference w:id="61"/>
      </w:r>
      <w:r w:rsidRPr="00E15B70">
        <w:rPr>
          <w:rFonts w:ascii="Cambria" w:hAnsi="Cambria"/>
          <w:sz w:val="20"/>
          <w:szCs w:val="20"/>
          <w:lang w:val="pt-BR"/>
        </w:rPr>
        <w:t>, os quais devem ser substanciados em conformidade com as regras do devido processo legal</w:t>
      </w:r>
      <w:r w:rsidRPr="00337743">
        <w:rPr>
          <w:rStyle w:val="FootnoteReference"/>
          <w:rFonts w:ascii="Cambria" w:hAnsi="Cambria"/>
          <w:sz w:val="20"/>
          <w:szCs w:val="20"/>
          <w:lang w:val="pt-BR"/>
        </w:rPr>
        <w:footnoteReference w:id="62"/>
      </w:r>
      <w:r w:rsidRPr="00E15B70">
        <w:rPr>
          <w:rFonts w:ascii="Cambria" w:hAnsi="Cambria"/>
          <w:sz w:val="20"/>
          <w:szCs w:val="20"/>
          <w:lang w:val="pt-BR"/>
        </w:rPr>
        <w:t>, em atenção à obrigação geral dos Estados de garantir o livre e pleno exercício dos direitos reconhecidos por esses instrumentos a todas as pessoas sob sua jurisdição</w:t>
      </w:r>
      <w:r>
        <w:rPr>
          <w:rStyle w:val="FootnoteReference"/>
          <w:rFonts w:ascii="Cambria" w:hAnsi="Cambria"/>
          <w:sz w:val="20"/>
          <w:szCs w:val="20"/>
          <w:lang w:val="pt-BR"/>
        </w:rPr>
        <w:footnoteReference w:id="63"/>
      </w:r>
      <w:r w:rsidRPr="00E15B70">
        <w:rPr>
          <w:rFonts w:ascii="Cambria" w:hAnsi="Cambria"/>
          <w:sz w:val="20"/>
          <w:szCs w:val="20"/>
          <w:lang w:val="pt-BR"/>
        </w:rPr>
        <w:t>.</w:t>
      </w:r>
    </w:p>
    <w:p w14:paraId="6DDE0B38"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ambria" w:hAnsi="Cambria"/>
          <w:sz w:val="20"/>
          <w:szCs w:val="20"/>
          <w:lang w:val="pt-BR"/>
        </w:rPr>
      </w:pPr>
    </w:p>
    <w:p w14:paraId="7A615A07"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337743">
        <w:rPr>
          <w:rFonts w:ascii="Cambria" w:hAnsi="Cambria"/>
          <w:sz w:val="20"/>
          <w:szCs w:val="20"/>
          <w:lang w:val="pt-BR"/>
        </w:rPr>
        <w:t xml:space="preserve">A Corte assinalou que o direito de acesso à justiça </w:t>
      </w:r>
      <w:r>
        <w:rPr>
          <w:rFonts w:ascii="Cambria" w:hAnsi="Cambria"/>
          <w:sz w:val="20"/>
          <w:szCs w:val="20"/>
          <w:lang w:val="pt-BR"/>
        </w:rPr>
        <w:t xml:space="preserve">significa </w:t>
      </w:r>
      <w:r w:rsidRPr="00B230E6">
        <w:rPr>
          <w:rFonts w:ascii="Cambria" w:hAnsi="Cambria"/>
          <w:sz w:val="20"/>
          <w:szCs w:val="20"/>
          <w:lang w:val="pt-BR"/>
        </w:rPr>
        <w:t>assegurar, em um prazo razoável, o direito das supostas vítimas ou de seus familiares a que seja feito o necessário para se conhecer a verdade do acontecido</w:t>
      </w:r>
      <w:r>
        <w:rPr>
          <w:rFonts w:ascii="Cambria" w:hAnsi="Cambria"/>
          <w:sz w:val="20"/>
          <w:szCs w:val="20"/>
          <w:lang w:val="pt-BR"/>
        </w:rPr>
        <w:t xml:space="preserve">, com investigação, julgamento e, se for o caso, punição dos </w:t>
      </w:r>
      <w:r w:rsidRPr="00B230E6">
        <w:rPr>
          <w:rFonts w:ascii="Cambria" w:hAnsi="Cambria"/>
          <w:sz w:val="20"/>
          <w:szCs w:val="20"/>
          <w:lang w:val="pt-BR"/>
        </w:rPr>
        <w:t>eventuais responsáveis</w:t>
      </w:r>
      <w:r w:rsidRPr="00337743">
        <w:rPr>
          <w:rStyle w:val="FootnoteReference"/>
          <w:rFonts w:ascii="Cambria" w:hAnsi="Cambria"/>
          <w:sz w:val="20"/>
          <w:szCs w:val="20"/>
          <w:lang w:val="pt-BR"/>
        </w:rPr>
        <w:footnoteReference w:id="64"/>
      </w:r>
      <w:r w:rsidRPr="00337743">
        <w:rPr>
          <w:rFonts w:ascii="Cambria" w:hAnsi="Cambria"/>
          <w:sz w:val="20"/>
          <w:szCs w:val="20"/>
          <w:lang w:val="pt-BR"/>
        </w:rPr>
        <w:t>.</w:t>
      </w:r>
      <w:r>
        <w:rPr>
          <w:rFonts w:ascii="Cambria" w:hAnsi="Cambria"/>
          <w:sz w:val="20"/>
          <w:szCs w:val="20"/>
          <w:lang w:val="pt-BR"/>
        </w:rPr>
        <w:t xml:space="preserve"> Deste modo, os Estados devem tomar todas as medidas ao seu alcance para investigar os fatos violadores com </w:t>
      </w:r>
      <w:r w:rsidRPr="00A40989">
        <w:rPr>
          <w:rFonts w:ascii="Cambria" w:hAnsi="Cambria"/>
          <w:sz w:val="20"/>
          <w:szCs w:val="20"/>
          <w:lang w:val="pt-BR"/>
        </w:rPr>
        <w:t>diligência</w:t>
      </w:r>
      <w:r>
        <w:rPr>
          <w:rFonts w:ascii="Cambria" w:hAnsi="Cambria"/>
          <w:sz w:val="20"/>
          <w:szCs w:val="20"/>
          <w:lang w:val="pt-BR"/>
        </w:rPr>
        <w:t>, identificando os responsáveis, julgando-os e impondo-os as sanções previstas em seu ordenamento interno, além de determinar a reparação dos danos sofridos</w:t>
      </w:r>
      <w:r>
        <w:rPr>
          <w:rStyle w:val="FootnoteReference"/>
          <w:rFonts w:ascii="Cambria" w:hAnsi="Cambria"/>
          <w:sz w:val="20"/>
          <w:szCs w:val="20"/>
          <w:lang w:val="pt-BR"/>
        </w:rPr>
        <w:footnoteReference w:id="65"/>
      </w:r>
      <w:r>
        <w:rPr>
          <w:rFonts w:ascii="Cambria" w:hAnsi="Cambria"/>
          <w:sz w:val="20"/>
          <w:szCs w:val="20"/>
          <w:lang w:val="pt-BR"/>
        </w:rPr>
        <w:t>.</w:t>
      </w:r>
    </w:p>
    <w:p w14:paraId="03C7B3F6" w14:textId="77777777" w:rsidR="004503D2" w:rsidRDefault="004503D2" w:rsidP="0071702C">
      <w:pPr>
        <w:pStyle w:val="ListParagraph"/>
        <w:rPr>
          <w:rFonts w:ascii="Cambria" w:hAnsi="Cambria"/>
          <w:sz w:val="20"/>
          <w:szCs w:val="20"/>
          <w:lang w:val="pt-BR"/>
        </w:rPr>
      </w:pPr>
    </w:p>
    <w:p w14:paraId="1F4F89C2" w14:textId="77777777" w:rsidR="004503D2" w:rsidRPr="00A40989"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A40989">
        <w:rPr>
          <w:rFonts w:ascii="Cambria" w:hAnsi="Cambria"/>
          <w:sz w:val="20"/>
          <w:szCs w:val="20"/>
          <w:lang w:val="pt-BR"/>
        </w:rPr>
        <w:lastRenderedPageBreak/>
        <w:t>A respeito do dever de devida diligência, a Comissão</w:t>
      </w:r>
      <w:r>
        <w:rPr>
          <w:rStyle w:val="FootnoteReference"/>
          <w:rFonts w:ascii="Cambria" w:hAnsi="Cambria"/>
          <w:sz w:val="20"/>
          <w:szCs w:val="20"/>
          <w:lang w:val="pt-BR"/>
        </w:rPr>
        <w:footnoteReference w:id="66"/>
      </w:r>
      <w:r w:rsidRPr="00A40989">
        <w:rPr>
          <w:rFonts w:ascii="Cambria" w:hAnsi="Cambria"/>
          <w:sz w:val="20"/>
          <w:szCs w:val="20"/>
          <w:lang w:val="pt-BR"/>
        </w:rPr>
        <w:t xml:space="preserve"> e a Corte Interamericana</w:t>
      </w:r>
      <w:r>
        <w:rPr>
          <w:rStyle w:val="FootnoteReference"/>
          <w:rFonts w:ascii="Cambria" w:hAnsi="Cambria"/>
          <w:sz w:val="20"/>
          <w:szCs w:val="20"/>
          <w:lang w:val="pt-BR"/>
        </w:rPr>
        <w:footnoteReference w:id="67"/>
      </w:r>
      <w:r w:rsidRPr="00A40989">
        <w:rPr>
          <w:rFonts w:ascii="Cambria" w:hAnsi="Cambria"/>
          <w:sz w:val="20"/>
          <w:szCs w:val="20"/>
          <w:lang w:val="pt-BR"/>
        </w:rPr>
        <w:t xml:space="preserve"> afirmam que os Estados têm a obrigação de iniciar de ofício, e sem demora, uma investigação exaustiva, séria e imparcial dos fatos</w:t>
      </w:r>
      <w:r>
        <w:rPr>
          <w:rStyle w:val="FootnoteReference"/>
          <w:rFonts w:ascii="Cambria" w:hAnsi="Cambria"/>
          <w:sz w:val="20"/>
          <w:szCs w:val="20"/>
          <w:lang w:val="pt-BR"/>
        </w:rPr>
        <w:footnoteReference w:id="68"/>
      </w:r>
      <w:r w:rsidRPr="00A40989">
        <w:rPr>
          <w:rFonts w:ascii="Cambria" w:hAnsi="Cambria"/>
          <w:sz w:val="20"/>
          <w:szCs w:val="20"/>
          <w:lang w:val="pt-BR"/>
        </w:rPr>
        <w:t>, por todos os meios legais disponíveis, e orientada à persecução, captura e condenação de todos os responsáveis</w:t>
      </w:r>
      <w:r>
        <w:rPr>
          <w:rStyle w:val="FootnoteReference"/>
          <w:rFonts w:ascii="Cambria" w:hAnsi="Cambria"/>
          <w:sz w:val="20"/>
          <w:szCs w:val="20"/>
          <w:lang w:val="pt-BR"/>
        </w:rPr>
        <w:footnoteReference w:id="69"/>
      </w:r>
      <w:r w:rsidRPr="00A40989">
        <w:rPr>
          <w:rFonts w:ascii="Cambria" w:hAnsi="Cambria"/>
          <w:sz w:val="20"/>
          <w:szCs w:val="20"/>
          <w:lang w:val="pt-BR"/>
        </w:rPr>
        <w:t>.</w:t>
      </w:r>
    </w:p>
    <w:p w14:paraId="4964A374" w14:textId="77777777" w:rsidR="004503D2" w:rsidRPr="003C4F09" w:rsidRDefault="004503D2" w:rsidP="0071702C">
      <w:pPr>
        <w:pStyle w:val="ListParagraph"/>
        <w:ind w:left="1080"/>
        <w:rPr>
          <w:rFonts w:ascii="Cambria" w:hAnsi="Cambria"/>
          <w:sz w:val="20"/>
          <w:szCs w:val="20"/>
          <w:lang w:val="pt-BR"/>
        </w:rPr>
      </w:pPr>
    </w:p>
    <w:p w14:paraId="34DF7A06" w14:textId="77777777" w:rsidR="004503D2" w:rsidRPr="00783223"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783223">
        <w:rPr>
          <w:rFonts w:ascii="Cambria" w:hAnsi="Cambria"/>
          <w:sz w:val="20"/>
          <w:szCs w:val="20"/>
          <w:lang w:val="pt-BR"/>
        </w:rPr>
        <w:t>A Corte considera que a obrigação de investigar, e o correspondente direito dos familiares de conhecer a verdade, não têm fulcro apenas nas normas de direito internacional, mas também na legislação interna referente ao dever de investigar de ofício certas condutas ilícitas com a intenção de estabelecer a verdade sobre os fatos</w:t>
      </w:r>
      <w:r>
        <w:rPr>
          <w:rStyle w:val="FootnoteReference"/>
          <w:rFonts w:ascii="Cambria" w:hAnsi="Cambria"/>
          <w:sz w:val="20"/>
          <w:szCs w:val="20"/>
          <w:lang w:val="pt-BR"/>
        </w:rPr>
        <w:footnoteReference w:id="70"/>
      </w:r>
      <w:r w:rsidRPr="00783223">
        <w:rPr>
          <w:rFonts w:ascii="Cambria" w:hAnsi="Cambria"/>
          <w:sz w:val="20"/>
          <w:szCs w:val="20"/>
          <w:lang w:val="pt-BR"/>
        </w:rPr>
        <w:t xml:space="preserve">. </w:t>
      </w:r>
    </w:p>
    <w:p w14:paraId="7C590CB2" w14:textId="77777777" w:rsidR="004503D2" w:rsidRPr="00027B78"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634"/>
        <w:jc w:val="both"/>
        <w:rPr>
          <w:rFonts w:ascii="Cambria" w:hAnsi="Cambria"/>
          <w:sz w:val="20"/>
          <w:szCs w:val="20"/>
          <w:lang w:val="pt-BR"/>
        </w:rPr>
      </w:pPr>
    </w:p>
    <w:p w14:paraId="7F4904AB" w14:textId="77777777" w:rsidR="004503D2" w:rsidRPr="00027B78"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027B78">
        <w:rPr>
          <w:rFonts w:ascii="Cambria" w:hAnsi="Cambria"/>
          <w:sz w:val="20"/>
          <w:szCs w:val="20"/>
          <w:lang w:val="pt-BR"/>
        </w:rPr>
        <w:t>Isto significa dizer que as autoridades devem atuar de modo oportuno e de forma propositiva, a fim inclusive de evitar a perda irremediável de elementos probatórios.</w:t>
      </w:r>
    </w:p>
    <w:p w14:paraId="2F4505A4" w14:textId="77777777" w:rsidR="004503D2" w:rsidRDefault="004503D2" w:rsidP="0071702C">
      <w:pPr>
        <w:pStyle w:val="ListParagraph"/>
        <w:rPr>
          <w:rFonts w:ascii="Cambria" w:hAnsi="Cambria"/>
          <w:sz w:val="20"/>
          <w:szCs w:val="20"/>
          <w:lang w:val="pt-BR"/>
        </w:rPr>
      </w:pPr>
    </w:p>
    <w:p w14:paraId="05F61F40"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Pr>
          <w:rFonts w:ascii="Cambria" w:hAnsi="Cambria"/>
          <w:sz w:val="20"/>
          <w:szCs w:val="20"/>
          <w:lang w:val="pt-BR"/>
        </w:rPr>
        <w:t>No âmbito interamericano, t</w:t>
      </w:r>
      <w:r w:rsidRPr="004F167F">
        <w:rPr>
          <w:rFonts w:ascii="Cambria" w:hAnsi="Cambria"/>
          <w:sz w:val="20"/>
          <w:szCs w:val="20"/>
          <w:lang w:val="pt-BR"/>
        </w:rPr>
        <w:t xml:space="preserve">anto </w:t>
      </w:r>
      <w:r w:rsidRPr="004F167F">
        <w:rPr>
          <w:rFonts w:ascii="Cambria" w:hAnsi="Cambria"/>
          <w:spacing w:val="-3"/>
          <w:sz w:val="20"/>
          <w:szCs w:val="20"/>
          <w:lang w:val="pt-BR"/>
        </w:rPr>
        <w:t>a</w:t>
      </w:r>
      <w:r w:rsidRPr="004F167F">
        <w:rPr>
          <w:rFonts w:ascii="Cambria" w:hAnsi="Cambria"/>
          <w:sz w:val="20"/>
          <w:szCs w:val="20"/>
          <w:lang w:val="pt-BR"/>
        </w:rPr>
        <w:t xml:space="preserve"> Comissão como a Corte assinalaram em sua jurisprudência reiterada que o dever de investigar é uma obrigação de meio e não de resultado, que deve ser assumida pelo Estado como um dever jurídico próprio e não como uma simples formalidade condenada de antemão a ser inútil, ou como uma mera gestão de interesses particulares, que dependa da iniciativa processual das vítimas ou de seus familiares ou da contribuição privada de elementos probatórios</w:t>
      </w:r>
      <w:r w:rsidRPr="00337743">
        <w:rPr>
          <w:rStyle w:val="FootnoteReference"/>
          <w:rFonts w:ascii="Cambria" w:hAnsi="Cambria"/>
          <w:sz w:val="20"/>
          <w:szCs w:val="20"/>
          <w:lang w:val="pt-BR"/>
        </w:rPr>
        <w:footnoteReference w:id="71"/>
      </w:r>
      <w:r w:rsidRPr="004F167F">
        <w:rPr>
          <w:rFonts w:ascii="Cambria" w:hAnsi="Cambria"/>
          <w:sz w:val="20"/>
          <w:szCs w:val="20"/>
          <w:lang w:val="pt-BR"/>
        </w:rPr>
        <w:t>. Assim, a investigação deve ser séria, imparcial e efetiva, e estar orientada à determinação da verdade e à busca, captura, ajuizamento e eventual punição dos autores dos atos</w:t>
      </w:r>
      <w:r w:rsidRPr="00337743">
        <w:rPr>
          <w:rStyle w:val="FootnoteReference"/>
          <w:rFonts w:ascii="Cambria" w:hAnsi="Cambria"/>
          <w:sz w:val="20"/>
          <w:szCs w:val="20"/>
          <w:lang w:val="pt-BR"/>
        </w:rPr>
        <w:footnoteReference w:id="72"/>
      </w:r>
      <w:r w:rsidRPr="004F167F">
        <w:rPr>
          <w:rFonts w:ascii="Cambria" w:hAnsi="Cambria"/>
          <w:sz w:val="20"/>
          <w:szCs w:val="20"/>
          <w:lang w:val="pt-BR"/>
        </w:rPr>
        <w:t>.</w:t>
      </w:r>
    </w:p>
    <w:p w14:paraId="4E199658" w14:textId="77777777" w:rsidR="004503D2" w:rsidRDefault="004503D2" w:rsidP="0071702C">
      <w:pPr>
        <w:pStyle w:val="ListParagraph"/>
        <w:rPr>
          <w:rFonts w:ascii="Cambria" w:hAnsi="Cambria"/>
          <w:sz w:val="20"/>
          <w:szCs w:val="20"/>
          <w:lang w:val="pt-BR"/>
        </w:rPr>
      </w:pPr>
    </w:p>
    <w:p w14:paraId="46A97B5F"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3715FA">
        <w:rPr>
          <w:rFonts w:ascii="Cambria" w:hAnsi="Cambria"/>
          <w:sz w:val="20"/>
          <w:szCs w:val="20"/>
          <w:lang w:val="pt-BR"/>
        </w:rPr>
        <w:t xml:space="preserve">À </w:t>
      </w:r>
      <w:r w:rsidRPr="00E80EA8">
        <w:rPr>
          <w:rFonts w:ascii="Cambria" w:hAnsi="Cambria"/>
          <w:sz w:val="20"/>
          <w:szCs w:val="20"/>
          <w:lang w:val="pt-BR"/>
        </w:rPr>
        <w:t xml:space="preserve">luz das obrigações gerais consagradas no artigo 1.1 da Convenção Americana, os Estados Parte têm o dever de adotar as providências de toda índole, para que ninguém seja privado da proteção judicial e do exercício do direito a um recurso simples e eficaz, nos termos dos artigos 8 e 25 da Convenção. Em um caso como o presente, uma vez ratificada a Convenção Americana, corresponde ao Estado, em conformidade com o artigo </w:t>
      </w:r>
      <w:r>
        <w:rPr>
          <w:rFonts w:ascii="Cambria" w:hAnsi="Cambria"/>
          <w:sz w:val="20"/>
          <w:szCs w:val="20"/>
          <w:lang w:val="pt-BR"/>
        </w:rPr>
        <w:t>1.1</w:t>
      </w:r>
      <w:r w:rsidRPr="00E80EA8">
        <w:rPr>
          <w:rFonts w:ascii="Cambria" w:hAnsi="Cambria"/>
          <w:sz w:val="20"/>
          <w:szCs w:val="20"/>
          <w:lang w:val="pt-BR"/>
        </w:rPr>
        <w:t xml:space="preserve"> desse instrumento, adotar todas as medidas para </w:t>
      </w:r>
      <w:r>
        <w:rPr>
          <w:rFonts w:ascii="Cambria" w:hAnsi="Cambria"/>
          <w:sz w:val="20"/>
          <w:szCs w:val="20"/>
          <w:lang w:val="pt-BR"/>
        </w:rPr>
        <w:t>aplic</w:t>
      </w:r>
      <w:r w:rsidRPr="003715FA">
        <w:rPr>
          <w:rFonts w:ascii="Cambria" w:hAnsi="Cambria"/>
          <w:sz w:val="20"/>
          <w:szCs w:val="20"/>
          <w:lang w:val="pt-BR"/>
        </w:rPr>
        <w:t>á</w:t>
      </w:r>
      <w:r>
        <w:rPr>
          <w:rFonts w:ascii="Cambria" w:hAnsi="Cambria"/>
          <w:sz w:val="20"/>
          <w:szCs w:val="20"/>
          <w:lang w:val="pt-BR"/>
        </w:rPr>
        <w:t>-los</w:t>
      </w:r>
      <w:r w:rsidRPr="00E80EA8">
        <w:rPr>
          <w:rFonts w:ascii="Cambria" w:hAnsi="Cambria"/>
          <w:sz w:val="20"/>
          <w:szCs w:val="20"/>
          <w:lang w:val="pt-BR"/>
        </w:rPr>
        <w:t xml:space="preserve"> </w:t>
      </w:r>
      <w:r>
        <w:rPr>
          <w:rFonts w:ascii="Cambria" w:hAnsi="Cambria"/>
          <w:sz w:val="20"/>
          <w:szCs w:val="20"/>
          <w:lang w:val="pt-BR"/>
        </w:rPr>
        <w:t>a fim de investigar as</w:t>
      </w:r>
      <w:r w:rsidRPr="00E80EA8">
        <w:rPr>
          <w:rFonts w:ascii="Cambria" w:hAnsi="Cambria"/>
          <w:sz w:val="20"/>
          <w:szCs w:val="20"/>
          <w:lang w:val="pt-BR"/>
        </w:rPr>
        <w:t xml:space="preserve"> violações de direitos humanos, </w:t>
      </w:r>
      <w:r>
        <w:rPr>
          <w:rFonts w:ascii="Cambria" w:hAnsi="Cambria"/>
          <w:sz w:val="20"/>
          <w:szCs w:val="20"/>
          <w:lang w:val="pt-BR"/>
        </w:rPr>
        <w:t>proteger a</w:t>
      </w:r>
      <w:r w:rsidRPr="00E80EA8">
        <w:rPr>
          <w:rFonts w:ascii="Cambria" w:hAnsi="Cambria"/>
          <w:sz w:val="20"/>
          <w:szCs w:val="20"/>
          <w:lang w:val="pt-BR"/>
        </w:rPr>
        <w:t xml:space="preserve">s vítimas e </w:t>
      </w:r>
      <w:r>
        <w:rPr>
          <w:rFonts w:ascii="Cambria" w:hAnsi="Cambria"/>
          <w:sz w:val="20"/>
          <w:szCs w:val="20"/>
          <w:lang w:val="pt-BR"/>
        </w:rPr>
        <w:t>impedir a ocorrência de</w:t>
      </w:r>
      <w:r w:rsidRPr="00E80EA8">
        <w:rPr>
          <w:rFonts w:ascii="Cambria" w:hAnsi="Cambria"/>
          <w:sz w:val="20"/>
          <w:szCs w:val="20"/>
          <w:lang w:val="pt-BR"/>
        </w:rPr>
        <w:t xml:space="preserve"> impunidade, além </w:t>
      </w:r>
      <w:r>
        <w:rPr>
          <w:rFonts w:ascii="Cambria" w:hAnsi="Cambria"/>
          <w:sz w:val="20"/>
          <w:szCs w:val="20"/>
          <w:lang w:val="pt-BR"/>
        </w:rPr>
        <w:t>de possibilitar</w:t>
      </w:r>
      <w:r w:rsidRPr="00E80EA8">
        <w:rPr>
          <w:rFonts w:ascii="Cambria" w:hAnsi="Cambria"/>
          <w:sz w:val="20"/>
          <w:szCs w:val="20"/>
          <w:lang w:val="pt-BR"/>
        </w:rPr>
        <w:t xml:space="preserve"> que as vítimas e seus familiares conheçam a verdade dos fatos.</w:t>
      </w:r>
    </w:p>
    <w:p w14:paraId="6EEEB756" w14:textId="77777777" w:rsidR="004503D2" w:rsidRPr="00E80EA8"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634"/>
        <w:jc w:val="both"/>
        <w:rPr>
          <w:rFonts w:ascii="Cambria" w:hAnsi="Cambria"/>
          <w:sz w:val="20"/>
          <w:szCs w:val="20"/>
          <w:lang w:val="pt-BR"/>
        </w:rPr>
      </w:pPr>
    </w:p>
    <w:p w14:paraId="0377B051"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CF2456">
        <w:rPr>
          <w:rFonts w:ascii="Cambria" w:hAnsi="Cambria"/>
          <w:sz w:val="20"/>
          <w:szCs w:val="20"/>
          <w:lang w:val="pt-BR"/>
        </w:rPr>
        <w:t>O dever dos Estados de evitar a impunidade pelas violaçõe</w:t>
      </w:r>
      <w:r>
        <w:rPr>
          <w:rFonts w:ascii="Cambria" w:hAnsi="Cambria"/>
          <w:sz w:val="20"/>
          <w:szCs w:val="20"/>
          <w:lang w:val="pt-BR"/>
        </w:rPr>
        <w:t xml:space="preserve">s aos direitos humanos implica </w:t>
      </w:r>
      <w:r w:rsidRPr="00CF2456">
        <w:rPr>
          <w:rFonts w:ascii="Cambria" w:hAnsi="Cambria"/>
          <w:sz w:val="20"/>
          <w:szCs w:val="20"/>
          <w:lang w:val="pt-BR"/>
        </w:rPr>
        <w:t>a obrigação de direcionar as investigações para</w:t>
      </w:r>
      <w:r>
        <w:rPr>
          <w:rFonts w:ascii="Cambria" w:hAnsi="Cambria"/>
          <w:sz w:val="20"/>
          <w:szCs w:val="20"/>
          <w:lang w:val="pt-BR"/>
        </w:rPr>
        <w:t xml:space="preserve"> persecução e sanção</w:t>
      </w:r>
      <w:r w:rsidRPr="00CF2456">
        <w:rPr>
          <w:rFonts w:ascii="Cambria" w:hAnsi="Cambria"/>
          <w:sz w:val="20"/>
          <w:szCs w:val="20"/>
          <w:lang w:val="pt-BR"/>
        </w:rPr>
        <w:t xml:space="preserve"> de todos os envolvidos nos crimes, sejam estes autores materiais</w:t>
      </w:r>
      <w:r>
        <w:rPr>
          <w:rFonts w:ascii="Cambria" w:hAnsi="Cambria"/>
          <w:sz w:val="20"/>
          <w:szCs w:val="20"/>
          <w:lang w:val="pt-BR"/>
        </w:rPr>
        <w:t xml:space="preserve">, </w:t>
      </w:r>
      <w:r w:rsidRPr="00CF2456">
        <w:rPr>
          <w:rFonts w:ascii="Cambria" w:hAnsi="Cambria"/>
          <w:sz w:val="20"/>
          <w:szCs w:val="20"/>
          <w:lang w:val="pt-BR"/>
        </w:rPr>
        <w:t>intelectuais ou partícipes</w:t>
      </w:r>
      <w:r>
        <w:rPr>
          <w:rStyle w:val="FootnoteReference"/>
          <w:rFonts w:ascii="Cambria" w:hAnsi="Cambria"/>
          <w:sz w:val="20"/>
          <w:szCs w:val="20"/>
          <w:lang w:val="pt-BR"/>
        </w:rPr>
        <w:footnoteReference w:id="73"/>
      </w:r>
      <w:r>
        <w:rPr>
          <w:rFonts w:ascii="Cambria" w:hAnsi="Cambria"/>
          <w:sz w:val="20"/>
          <w:szCs w:val="20"/>
          <w:lang w:val="pt-BR"/>
        </w:rPr>
        <w:t>.</w:t>
      </w:r>
    </w:p>
    <w:p w14:paraId="21B3BB11"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071C3207"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CF2456">
        <w:rPr>
          <w:rFonts w:ascii="Cambria" w:hAnsi="Cambria"/>
          <w:sz w:val="20"/>
          <w:szCs w:val="20"/>
          <w:lang w:val="pt-BR"/>
        </w:rPr>
        <w:t>A Corte Interamericana já esclareceu que as investigações de violações de direitos humanos devem ser conduzidas de modo a garantir que a análise de todas as hipóteses de autoria sejam verificadas no início das apurações</w:t>
      </w:r>
      <w:r>
        <w:rPr>
          <w:rStyle w:val="FootnoteReference"/>
          <w:rFonts w:ascii="Cambria" w:hAnsi="Cambria"/>
          <w:sz w:val="20"/>
          <w:szCs w:val="20"/>
          <w:lang w:val="pt-BR"/>
        </w:rPr>
        <w:footnoteReference w:id="74"/>
      </w:r>
      <w:r w:rsidRPr="00CF2456">
        <w:rPr>
          <w:rFonts w:ascii="Cambria" w:hAnsi="Cambria"/>
          <w:sz w:val="20"/>
          <w:szCs w:val="20"/>
          <w:lang w:val="pt-BR"/>
        </w:rPr>
        <w:t>, sob pena de o Estado incorrer em responsabilidade pela falta de devida diligência. Nesse sentido, ainda que existam condenações contra uma ou várias pessoas pela prática de um crime, a Corte tem indicado que, se há indícios da possível participação de outras pessoas nos fatos que constituíram a violação de direitos, configura-se a falta de devida diligência do Estado por não ter atuado de ofício para identificar todos os autores do crime</w:t>
      </w:r>
      <w:r>
        <w:rPr>
          <w:rStyle w:val="FootnoteReference"/>
          <w:rFonts w:ascii="Cambria" w:hAnsi="Cambria"/>
          <w:sz w:val="20"/>
          <w:szCs w:val="20"/>
          <w:lang w:val="pt-BR"/>
        </w:rPr>
        <w:footnoteReference w:id="75"/>
      </w:r>
      <w:r w:rsidRPr="00CF2456">
        <w:rPr>
          <w:rFonts w:ascii="Cambria" w:hAnsi="Cambria"/>
          <w:sz w:val="20"/>
          <w:szCs w:val="20"/>
          <w:lang w:val="pt-BR"/>
        </w:rPr>
        <w:t>.</w:t>
      </w:r>
    </w:p>
    <w:p w14:paraId="5FB7E885" w14:textId="77777777" w:rsidR="004503D2" w:rsidRDefault="004503D2" w:rsidP="0071702C">
      <w:pPr>
        <w:pStyle w:val="ListParagraph"/>
        <w:ind w:left="0"/>
        <w:rPr>
          <w:rFonts w:ascii="Cambria" w:hAnsi="Cambria"/>
          <w:sz w:val="20"/>
          <w:szCs w:val="20"/>
          <w:lang w:val="pt-BR"/>
        </w:rPr>
      </w:pPr>
    </w:p>
    <w:p w14:paraId="4B7371E9" w14:textId="77777777" w:rsidR="0048335A"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Pr>
          <w:rFonts w:ascii="Cambria" w:hAnsi="Cambria" w:cs="Verdana"/>
          <w:sz w:val="20"/>
          <w:szCs w:val="20"/>
          <w:lang w:val="pt-BR"/>
        </w:rPr>
        <w:t>N</w:t>
      </w:r>
      <w:r w:rsidRPr="001F7001">
        <w:rPr>
          <w:rFonts w:ascii="Cambria" w:hAnsi="Cambria" w:cs="Verdana"/>
          <w:sz w:val="20"/>
          <w:szCs w:val="20"/>
          <w:lang w:val="pt-BR"/>
        </w:rPr>
        <w:t xml:space="preserve">o presente caso, </w:t>
      </w:r>
      <w:r>
        <w:rPr>
          <w:rFonts w:ascii="Cambria" w:hAnsi="Cambria" w:cs="Verdana"/>
          <w:sz w:val="20"/>
          <w:szCs w:val="20"/>
          <w:lang w:val="pt-BR"/>
        </w:rPr>
        <w:t xml:space="preserve">apesar de inúmeras provas apontarem os responsáveis pelo crime, </w:t>
      </w:r>
      <w:r w:rsidRPr="001F7001">
        <w:rPr>
          <w:rFonts w:ascii="Cambria" w:hAnsi="Cambria" w:cs="Verdana"/>
          <w:sz w:val="20"/>
          <w:szCs w:val="20"/>
          <w:lang w:val="pt-BR"/>
        </w:rPr>
        <w:t xml:space="preserve">a </w:t>
      </w:r>
      <w:r w:rsidRPr="00BD5536">
        <w:rPr>
          <w:rFonts w:ascii="Cambria" w:hAnsi="Cambria" w:cs="Verdana"/>
          <w:sz w:val="20"/>
          <w:szCs w:val="20"/>
          <w:lang w:val="pt-BR"/>
        </w:rPr>
        <w:t xml:space="preserve">somatória de omissões da polícia ao não realizar diligencias essenciais </w:t>
      </w:r>
      <w:r>
        <w:rPr>
          <w:rFonts w:ascii="Cambria" w:hAnsi="Cambria" w:cs="Verdana"/>
          <w:sz w:val="20"/>
          <w:szCs w:val="20"/>
          <w:lang w:val="pt-BR"/>
        </w:rPr>
        <w:t xml:space="preserve">no início das apurações </w:t>
      </w:r>
      <w:r w:rsidRPr="001F7001">
        <w:rPr>
          <w:rFonts w:ascii="Cambria" w:hAnsi="Cambria" w:cs="Verdana"/>
          <w:sz w:val="20"/>
          <w:szCs w:val="20"/>
          <w:lang w:val="pt-BR"/>
        </w:rPr>
        <w:t>provoc</w:t>
      </w:r>
      <w:r>
        <w:rPr>
          <w:rFonts w:ascii="Cambria" w:hAnsi="Cambria" w:cs="Verdana"/>
          <w:sz w:val="20"/>
          <w:szCs w:val="20"/>
          <w:lang w:val="pt-BR"/>
        </w:rPr>
        <w:t>ou</w:t>
      </w:r>
      <w:r w:rsidRPr="001F7001">
        <w:rPr>
          <w:rFonts w:ascii="Cambria" w:hAnsi="Cambria" w:cs="Verdana"/>
          <w:sz w:val="20"/>
          <w:szCs w:val="20"/>
          <w:lang w:val="pt-BR"/>
        </w:rPr>
        <w:t xml:space="preserve"> atrasos injustificáveis no trâmite do processo e, como resultado, inviabilizou a persecução penal dos responsáveis pelo assassinato de </w:t>
      </w:r>
      <w:r>
        <w:rPr>
          <w:rFonts w:ascii="Cambria" w:hAnsi="Cambria" w:cs="Verdana"/>
          <w:sz w:val="20"/>
          <w:szCs w:val="20"/>
          <w:lang w:val="pt-BR"/>
        </w:rPr>
        <w:t>Manoel Luiz da Silva</w:t>
      </w:r>
      <w:r w:rsidR="00D77499">
        <w:rPr>
          <w:rFonts w:ascii="Cambria" w:hAnsi="Cambria" w:cs="Verdana"/>
          <w:sz w:val="20"/>
          <w:szCs w:val="20"/>
          <w:lang w:val="pt-BR"/>
        </w:rPr>
        <w:t>, incluyendo la autoría intelectual d</w:t>
      </w:r>
      <w:r w:rsidR="009058E5">
        <w:rPr>
          <w:rFonts w:ascii="Cambria" w:hAnsi="Cambria" w:cs="Verdana"/>
          <w:sz w:val="20"/>
          <w:szCs w:val="20"/>
          <w:lang w:val="pt-BR"/>
        </w:rPr>
        <w:t xml:space="preserve">el asesinato. </w:t>
      </w:r>
    </w:p>
    <w:p w14:paraId="26113F7A" w14:textId="77777777" w:rsidR="0048335A" w:rsidRDefault="0048335A" w:rsidP="0071702C">
      <w:pPr>
        <w:pStyle w:val="ListParagraph"/>
        <w:rPr>
          <w:rFonts w:ascii="Cambria" w:hAnsi="Cambria" w:cs="Verdana"/>
          <w:sz w:val="20"/>
          <w:szCs w:val="20"/>
          <w:lang w:val="pt-BR"/>
        </w:rPr>
      </w:pPr>
    </w:p>
    <w:p w14:paraId="3CA168EE" w14:textId="746E7E48" w:rsidR="00B03A37" w:rsidRPr="009F1C8F" w:rsidRDefault="0048335A"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9F1C8F">
        <w:rPr>
          <w:rFonts w:ascii="Cambria" w:hAnsi="Cambria" w:cs="Verdana"/>
          <w:sz w:val="20"/>
          <w:szCs w:val="20"/>
          <w:lang w:val="pt-BR"/>
        </w:rPr>
        <w:t>A</w:t>
      </w:r>
      <w:r w:rsidR="004503D2" w:rsidRPr="009F1C8F">
        <w:rPr>
          <w:rFonts w:ascii="Cambria" w:hAnsi="Cambria" w:cs="Verdana"/>
          <w:sz w:val="20"/>
          <w:szCs w:val="20"/>
          <w:lang w:val="pt-BR"/>
        </w:rPr>
        <w:t xml:space="preserve"> Comissão considera que, para garantir uma investigação exaustiva e imparcial “[u]m dos aspectos mais importantes é a reunião e a análise das provas”. Por conseguinte, “[a]s pessoas encarregadas da investigação de uma suposta execução extrajudicial devem ter acesso ao lugar em que foi descoberto o cadáver, bem como ao lugar em que possa ter ocorrido a morte”</w:t>
      </w:r>
      <w:r w:rsidR="004503D2" w:rsidRPr="009F1C8F">
        <w:rPr>
          <w:rStyle w:val="FootnoteReference"/>
          <w:rFonts w:ascii="Cambria" w:hAnsi="Cambria" w:cs="Verdana"/>
          <w:sz w:val="20"/>
          <w:szCs w:val="20"/>
          <w:lang w:val="pt-BR"/>
        </w:rPr>
        <w:footnoteReference w:id="76"/>
      </w:r>
      <w:r w:rsidR="004503D2" w:rsidRPr="009F1C8F">
        <w:rPr>
          <w:rFonts w:ascii="Cambria" w:hAnsi="Cambria" w:cs="Verdana"/>
          <w:sz w:val="20"/>
          <w:szCs w:val="20"/>
          <w:lang w:val="pt-BR"/>
        </w:rPr>
        <w:t>. Esse</w:t>
      </w:r>
      <w:r w:rsidR="00B03A37" w:rsidRPr="009F1C8F">
        <w:rPr>
          <w:rFonts w:ascii="Cambria" w:hAnsi="Cambria" w:cs="Verdana"/>
          <w:sz w:val="20"/>
          <w:szCs w:val="20"/>
          <w:lang w:val="pt-BR"/>
        </w:rPr>
        <w:t xml:space="preserve"> padrão</w:t>
      </w:r>
      <w:r w:rsidR="004503D2" w:rsidRPr="009F1C8F">
        <w:rPr>
          <w:rFonts w:ascii="Cambria" w:hAnsi="Cambria" w:cs="Verdana"/>
          <w:sz w:val="20"/>
          <w:szCs w:val="20"/>
          <w:lang w:val="pt-BR"/>
        </w:rPr>
        <w:t xml:space="preserve"> resulta aplicável a mortes violentas ainda quando não existam indícios de participação de agentes estatais</w:t>
      </w:r>
      <w:r w:rsidR="00B03A37" w:rsidRPr="009F1C8F">
        <w:rPr>
          <w:rFonts w:ascii="Cambria" w:hAnsi="Cambria" w:cs="Verdana"/>
          <w:sz w:val="20"/>
          <w:szCs w:val="20"/>
          <w:lang w:val="pt-BR"/>
        </w:rPr>
        <w:t>. Sem prejuízo disso, o Estado também tem o dever de desenhar linhas de investigação sobre participação de agentes estatais quando surgem indícios de dita participação. Isso resulta aplicável ao presente caso quanto ao uso dos mesmos cavalos pelos perpetradores, a respeito dos que foram usados pela polícia militar quando chegou ao lugar do crime. Não consta no expediente que se tenha investigado seriamente este feito para descartar um possível suposto de aquiescência entre agentes estatais e os perpetradores do assassinato. Tampouco surge do expediente que na investigação se tenha tomado em conta o contexto mais geral de assassinatos a trabalhadores rurais, o qual, conforme ficou estabelecido no presente informe, era de conhecimento geral. Também não se depreende da informação disponível alguma valoração sobre o pertencimento da vítima ao movimento MST e o possível vínculo entre o crime e tal circunstância.</w:t>
      </w:r>
    </w:p>
    <w:p w14:paraId="05114CD0" w14:textId="77777777" w:rsidR="00B03A37" w:rsidRDefault="00B03A37" w:rsidP="0071702C">
      <w:pPr>
        <w:pStyle w:val="ListParagraph"/>
        <w:rPr>
          <w:rFonts w:ascii="Cambria" w:hAnsi="Cambria" w:cs="Verdana"/>
          <w:sz w:val="20"/>
          <w:szCs w:val="20"/>
          <w:lang w:val="pt-BR"/>
        </w:rPr>
      </w:pPr>
    </w:p>
    <w:p w14:paraId="36E40D81" w14:textId="77777777" w:rsidR="004503D2" w:rsidRPr="00763D09"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763D09">
        <w:rPr>
          <w:rFonts w:ascii="Cambria" w:hAnsi="Cambria" w:cs="Verdana"/>
          <w:sz w:val="20"/>
          <w:szCs w:val="20"/>
          <w:lang w:val="pt-BR"/>
        </w:rPr>
        <w:t>De acordo com o Protocolo de Minnesota</w:t>
      </w:r>
      <w:r>
        <w:rPr>
          <w:rStyle w:val="FootnoteReference"/>
          <w:rFonts w:ascii="Cambria" w:hAnsi="Cambria" w:cs="Verdana"/>
          <w:sz w:val="20"/>
          <w:szCs w:val="20"/>
          <w:lang w:val="pt-BR"/>
        </w:rPr>
        <w:footnoteReference w:id="77"/>
      </w:r>
      <w:r w:rsidRPr="00763D09">
        <w:rPr>
          <w:rFonts w:ascii="Cambria" w:hAnsi="Cambria" w:cs="Verdana"/>
          <w:sz w:val="20"/>
          <w:szCs w:val="20"/>
          <w:lang w:val="pt-BR"/>
        </w:rPr>
        <w:t>, na investigação do local do crime, as autoridades policiais devem documentar a análise da cena com fotografias, coletar e conservar moldes de marcas de pneus e de calçados, além de coletar e conservar todas as provas da existência de armas de fogo.  A Comissão já fez particular referência à importância de que todas as provas da existência de armas de fogo sejam coletadas na perícia do local do crime, tendo observado que “Serão recolhidas e preservadas todas as provas da existência de armas, tais como armas de fogo, projéteis, balas e estojos ou cartuchos. Quando for o caso, deverão ser realizados testes de detecção de resíduos de disparos e/ou de metais</w:t>
      </w:r>
      <w:r>
        <w:rPr>
          <w:rStyle w:val="FootnoteReference"/>
          <w:rFonts w:ascii="Cambria" w:hAnsi="Cambria" w:cs="Verdana"/>
          <w:sz w:val="20"/>
          <w:szCs w:val="20"/>
          <w:lang w:val="pt-BR"/>
        </w:rPr>
        <w:footnoteReference w:id="78"/>
      </w:r>
      <w:r w:rsidRPr="00763D09">
        <w:rPr>
          <w:rFonts w:ascii="Cambria" w:hAnsi="Cambria" w:cs="Verdana"/>
          <w:sz w:val="20"/>
          <w:szCs w:val="20"/>
          <w:lang w:val="pt-BR"/>
        </w:rPr>
        <w:t>”.</w:t>
      </w:r>
      <w:r>
        <w:rPr>
          <w:rFonts w:ascii="Cambria" w:hAnsi="Cambria" w:cs="Verdana"/>
          <w:sz w:val="20"/>
          <w:szCs w:val="20"/>
          <w:lang w:val="pt-BR"/>
        </w:rPr>
        <w:t xml:space="preserve"> </w:t>
      </w:r>
      <w:r w:rsidRPr="00763D09">
        <w:rPr>
          <w:rFonts w:ascii="Cambria" w:hAnsi="Cambria" w:cs="Verdana"/>
          <w:sz w:val="20"/>
          <w:szCs w:val="20"/>
          <w:lang w:val="pt-BR"/>
        </w:rPr>
        <w:t xml:space="preserve">Contudo, no inquérito para investigar o assassinato de </w:t>
      </w:r>
      <w:r>
        <w:rPr>
          <w:rFonts w:ascii="Cambria" w:hAnsi="Cambria" w:cs="Verdana"/>
          <w:sz w:val="20"/>
          <w:szCs w:val="20"/>
          <w:lang w:val="pt-BR"/>
        </w:rPr>
        <w:t>Manoel Luiz da Silva</w:t>
      </w:r>
      <w:r w:rsidRPr="00763D09">
        <w:rPr>
          <w:rFonts w:ascii="Cambria" w:hAnsi="Cambria" w:cs="Verdana"/>
          <w:sz w:val="20"/>
          <w:szCs w:val="20"/>
          <w:lang w:val="pt-BR"/>
        </w:rPr>
        <w:t xml:space="preserve">, não foi possível confirmar </w:t>
      </w:r>
      <w:r>
        <w:rPr>
          <w:rFonts w:ascii="Cambria" w:hAnsi="Cambria" w:cs="Verdana"/>
          <w:sz w:val="20"/>
          <w:szCs w:val="20"/>
          <w:lang w:val="pt-BR"/>
        </w:rPr>
        <w:t xml:space="preserve">com convicção </w:t>
      </w:r>
      <w:r w:rsidRPr="00763D09">
        <w:rPr>
          <w:rFonts w:ascii="Cambria" w:hAnsi="Cambria" w:cs="Verdana"/>
          <w:sz w:val="20"/>
          <w:szCs w:val="20"/>
          <w:lang w:val="pt-BR"/>
        </w:rPr>
        <w:t xml:space="preserve">se os projéteis que </w:t>
      </w:r>
      <w:r>
        <w:rPr>
          <w:rFonts w:ascii="Cambria" w:hAnsi="Cambria" w:cs="Verdana"/>
          <w:sz w:val="20"/>
          <w:szCs w:val="20"/>
          <w:lang w:val="pt-BR"/>
        </w:rPr>
        <w:t xml:space="preserve">o </w:t>
      </w:r>
      <w:r w:rsidRPr="00763D09">
        <w:rPr>
          <w:rFonts w:ascii="Cambria" w:hAnsi="Cambria" w:cs="Verdana"/>
          <w:sz w:val="20"/>
          <w:szCs w:val="20"/>
          <w:lang w:val="pt-BR"/>
        </w:rPr>
        <w:t xml:space="preserve">atingiram foram disparados pelas armas encontradas </w:t>
      </w:r>
      <w:r>
        <w:rPr>
          <w:rFonts w:ascii="Cambria" w:hAnsi="Cambria" w:cs="Verdana"/>
          <w:sz w:val="20"/>
          <w:szCs w:val="20"/>
          <w:lang w:val="pt-BR"/>
        </w:rPr>
        <w:t>na sede da fazenda</w:t>
      </w:r>
      <w:r w:rsidRPr="00763D09">
        <w:rPr>
          <w:rFonts w:ascii="Cambria" w:hAnsi="Cambria" w:cs="Verdana"/>
          <w:sz w:val="20"/>
          <w:szCs w:val="20"/>
          <w:lang w:val="pt-BR"/>
        </w:rPr>
        <w:t>.</w:t>
      </w:r>
      <w:r>
        <w:rPr>
          <w:rFonts w:ascii="Cambria" w:hAnsi="Cambria" w:cs="Verdana"/>
          <w:sz w:val="20"/>
          <w:szCs w:val="20"/>
          <w:lang w:val="pt-BR"/>
        </w:rPr>
        <w:t xml:space="preserve"> Ademais, há depoimento de testemunha ocular no sentido de que quando a polícia finalmente foi à cena do crime, ela já havia sido totalmente alterada, inclusive estando o corpo em posição totalmente diversa.</w:t>
      </w:r>
    </w:p>
    <w:p w14:paraId="65E6EFCB" w14:textId="77777777" w:rsidR="004503D2"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pt-BR"/>
        </w:rPr>
      </w:pPr>
    </w:p>
    <w:p w14:paraId="678A2818"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135FFA">
        <w:rPr>
          <w:rFonts w:ascii="Cambria" w:hAnsi="Cambria" w:cs="Verdana"/>
          <w:sz w:val="20"/>
          <w:szCs w:val="20"/>
          <w:lang w:val="pt-BR"/>
        </w:rPr>
        <w:t xml:space="preserve">A Comissão já afirmou que a omissão em relação à coleta de provas no local do crime é um claro indicativo da falha em se assegurar provas essenciais relativas aos fatos, como também revela a não realização de </w:t>
      </w:r>
      <w:r w:rsidRPr="00135FFA">
        <w:rPr>
          <w:rFonts w:ascii="Cambria" w:hAnsi="Cambria" w:cs="Verdana"/>
          <w:sz w:val="20"/>
          <w:szCs w:val="20"/>
          <w:lang w:val="pt-BR"/>
        </w:rPr>
        <w:lastRenderedPageBreak/>
        <w:t>diligências indispensáveis para a investigação dos fatos</w:t>
      </w:r>
      <w:r>
        <w:rPr>
          <w:rStyle w:val="FootnoteReference"/>
          <w:rFonts w:ascii="Cambria" w:hAnsi="Cambria" w:cs="Verdana"/>
          <w:sz w:val="20"/>
          <w:szCs w:val="20"/>
          <w:lang w:val="pt-BR"/>
        </w:rPr>
        <w:footnoteReference w:id="79"/>
      </w:r>
      <w:r w:rsidRPr="00135FFA">
        <w:rPr>
          <w:rFonts w:ascii="Cambria" w:hAnsi="Cambria" w:cs="Verdana"/>
          <w:sz w:val="20"/>
          <w:szCs w:val="20"/>
          <w:lang w:val="pt-BR"/>
        </w:rPr>
        <w:t>. A Corte também já declarou que se viola o dever de investigar de modo diligente quando há a falta de coleta ou preservação de provas fundamentais para a determinação dos fatos e de responsabilidades por violações de direitos humanos</w:t>
      </w:r>
      <w:r>
        <w:rPr>
          <w:rStyle w:val="FootnoteReference"/>
          <w:rFonts w:ascii="Cambria" w:hAnsi="Cambria" w:cs="Verdana"/>
          <w:sz w:val="20"/>
          <w:szCs w:val="20"/>
          <w:lang w:val="pt-BR"/>
        </w:rPr>
        <w:footnoteReference w:id="80"/>
      </w:r>
      <w:r w:rsidRPr="00135FFA">
        <w:rPr>
          <w:rFonts w:ascii="Cambria" w:hAnsi="Cambria" w:cs="Verdana"/>
          <w:sz w:val="20"/>
          <w:szCs w:val="20"/>
          <w:lang w:val="pt-BR"/>
        </w:rPr>
        <w:t>. Estabeleceu que a coleta de provas deve ser realizada de forma rigorosa, por profissionais</w:t>
      </w:r>
      <w:r>
        <w:rPr>
          <w:rFonts w:ascii="Cambria" w:hAnsi="Cambria" w:cs="Verdana"/>
          <w:sz w:val="20"/>
          <w:szCs w:val="20"/>
          <w:lang w:val="pt-BR"/>
        </w:rPr>
        <w:t xml:space="preserve"> </w:t>
      </w:r>
      <w:r w:rsidRPr="00117DCD">
        <w:rPr>
          <w:rFonts w:ascii="Cambria" w:hAnsi="Cambria" w:cs="Verdana"/>
          <w:sz w:val="20"/>
          <w:szCs w:val="20"/>
          <w:lang w:val="pt-BR"/>
        </w:rPr>
        <w:t>competentes e empregando os procedimentos mais apropriados</w:t>
      </w:r>
      <w:r>
        <w:rPr>
          <w:rStyle w:val="FootnoteReference"/>
          <w:rFonts w:ascii="Cambria" w:hAnsi="Cambria" w:cs="Verdana"/>
          <w:sz w:val="20"/>
          <w:szCs w:val="20"/>
          <w:lang w:val="pt-BR"/>
        </w:rPr>
        <w:footnoteReference w:id="81"/>
      </w:r>
      <w:r w:rsidRPr="00117DCD">
        <w:rPr>
          <w:rFonts w:ascii="Cambria" w:hAnsi="Cambria" w:cs="Verdana"/>
          <w:sz w:val="20"/>
          <w:szCs w:val="20"/>
          <w:lang w:val="pt-BR"/>
        </w:rPr>
        <w:t>, considerando que a falta de coleta oportuna de provas no local do crime não pode ser sanada posteriormente</w:t>
      </w:r>
      <w:r>
        <w:rPr>
          <w:rStyle w:val="FootnoteReference"/>
          <w:rFonts w:ascii="Cambria" w:hAnsi="Cambria" w:cs="Verdana"/>
          <w:sz w:val="20"/>
          <w:szCs w:val="20"/>
          <w:lang w:val="pt-BR"/>
        </w:rPr>
        <w:footnoteReference w:id="82"/>
      </w:r>
      <w:r w:rsidRPr="00117DCD">
        <w:rPr>
          <w:rFonts w:ascii="Cambria" w:hAnsi="Cambria" w:cs="Verdana"/>
          <w:sz w:val="20"/>
          <w:szCs w:val="20"/>
          <w:lang w:val="pt-BR"/>
        </w:rPr>
        <w:t>.</w:t>
      </w:r>
    </w:p>
    <w:p w14:paraId="3A310965" w14:textId="77777777" w:rsidR="004503D2" w:rsidRDefault="004503D2" w:rsidP="0071702C">
      <w:pPr>
        <w:pStyle w:val="ListParagraph"/>
        <w:ind w:left="0"/>
        <w:rPr>
          <w:rFonts w:ascii="Cambria" w:hAnsi="Cambria" w:cs="Verdana"/>
          <w:sz w:val="20"/>
          <w:szCs w:val="20"/>
          <w:lang w:val="pt-BR"/>
        </w:rPr>
      </w:pPr>
    </w:p>
    <w:p w14:paraId="06423805" w14:textId="6979CD52" w:rsidR="004503D2" w:rsidRPr="006E0CFC"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BD5536">
        <w:rPr>
          <w:rFonts w:ascii="Cambria" w:hAnsi="Cambria"/>
          <w:sz w:val="20"/>
          <w:szCs w:val="20"/>
          <w:lang w:val="pt-BR"/>
        </w:rPr>
        <w:t xml:space="preserve">Nos fatos comprovados verificou-se que, embora tenha sido ordenada uma série de diligências que foram consideradas fundamentais para o esclarecimento de todas as responsabilidades, várias delas simplesmente não foram praticadas, sem que existisse uma justificativa clara e coerente a esse respeito, a exemplo </w:t>
      </w:r>
      <w:r w:rsidRPr="006E0CFC">
        <w:rPr>
          <w:rFonts w:ascii="Cambria" w:hAnsi="Cambria"/>
          <w:sz w:val="20"/>
          <w:szCs w:val="20"/>
          <w:lang w:val="pt-BR"/>
        </w:rPr>
        <w:t xml:space="preserve">da impossibilidade até mesmo de verificação da existência </w:t>
      </w:r>
      <w:r>
        <w:rPr>
          <w:rFonts w:ascii="Cambria" w:hAnsi="Cambria"/>
          <w:sz w:val="20"/>
          <w:szCs w:val="20"/>
          <w:lang w:val="pt-BR"/>
        </w:rPr>
        <w:t xml:space="preserve">ou não </w:t>
      </w:r>
      <w:r w:rsidRPr="006E0CFC">
        <w:rPr>
          <w:rFonts w:ascii="Cambria" w:hAnsi="Cambria"/>
          <w:sz w:val="20"/>
          <w:szCs w:val="20"/>
          <w:lang w:val="pt-BR"/>
        </w:rPr>
        <w:t xml:space="preserve">de um dos acusados, Marcelo da Silva </w:t>
      </w:r>
      <w:r w:rsidR="00C9008D">
        <w:rPr>
          <w:rFonts w:ascii="Cambria" w:hAnsi="Cambria"/>
          <w:sz w:val="20"/>
          <w:szCs w:val="20"/>
          <w:lang w:val="pt-BR"/>
        </w:rPr>
        <w:t>W</w:t>
      </w:r>
      <w:r w:rsidRPr="006E0CFC">
        <w:rPr>
          <w:rFonts w:ascii="Cambria" w:hAnsi="Cambria"/>
          <w:sz w:val="20"/>
          <w:szCs w:val="20"/>
          <w:lang w:val="pt-BR"/>
        </w:rPr>
        <w:t>anderley, em r</w:t>
      </w:r>
      <w:r>
        <w:rPr>
          <w:rFonts w:ascii="Cambria" w:hAnsi="Cambria"/>
          <w:sz w:val="20"/>
          <w:szCs w:val="20"/>
          <w:lang w:val="pt-BR"/>
        </w:rPr>
        <w:t>a</w:t>
      </w:r>
      <w:r w:rsidRPr="006E0CFC">
        <w:rPr>
          <w:rFonts w:ascii="Cambria" w:hAnsi="Cambria"/>
          <w:sz w:val="20"/>
          <w:szCs w:val="20"/>
          <w:lang w:val="pt-BR"/>
        </w:rPr>
        <w:t>zão da ausência de seu nome nos cadastros policiais. Lembre-se que a busca de tal pessoa era de suma importância, já que os demais acusados lhe imputavam a responsabilidade pelo crime.</w:t>
      </w:r>
    </w:p>
    <w:p w14:paraId="356BC081" w14:textId="77777777" w:rsidR="004503D2" w:rsidRDefault="004503D2" w:rsidP="0071702C">
      <w:pPr>
        <w:pStyle w:val="ListParagraph"/>
        <w:ind w:left="0"/>
        <w:rPr>
          <w:rFonts w:ascii="Cambria" w:hAnsi="Cambria"/>
          <w:sz w:val="20"/>
          <w:szCs w:val="20"/>
          <w:lang w:val="pt-BR"/>
        </w:rPr>
      </w:pPr>
    </w:p>
    <w:p w14:paraId="2A0F3079" w14:textId="77777777" w:rsidR="004D779D"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CA55A6">
        <w:rPr>
          <w:rFonts w:ascii="Cambria" w:hAnsi="Cambria"/>
          <w:sz w:val="20"/>
          <w:szCs w:val="20"/>
          <w:lang w:val="pt-BR"/>
        </w:rPr>
        <w:t xml:space="preserve">Apesar dessas omissões da autoridade policial, o Ministério Público decidiu oferecer a denúncia e ao fim </w:t>
      </w:r>
      <w:r w:rsidRPr="006E0CFC">
        <w:rPr>
          <w:rFonts w:ascii="Cambria" w:hAnsi="Cambria"/>
          <w:sz w:val="20"/>
          <w:szCs w:val="20"/>
          <w:lang w:val="pt-BR"/>
        </w:rPr>
        <w:t xml:space="preserve">o acusado Severino Lima da Silva foi absolvido, e os demais </w:t>
      </w:r>
      <w:r>
        <w:rPr>
          <w:rFonts w:ascii="Cambria" w:hAnsi="Cambria"/>
          <w:sz w:val="20"/>
          <w:szCs w:val="20"/>
          <w:lang w:val="pt-BR"/>
        </w:rPr>
        <w:t>acusados sequer</w:t>
      </w:r>
      <w:r w:rsidRPr="006E0CFC">
        <w:rPr>
          <w:rFonts w:ascii="Cambria" w:hAnsi="Cambria"/>
          <w:sz w:val="20"/>
          <w:szCs w:val="20"/>
          <w:lang w:val="pt-BR"/>
        </w:rPr>
        <w:t xml:space="preserve"> foram julgados.</w:t>
      </w:r>
      <w:r w:rsidRPr="00CA55A6">
        <w:rPr>
          <w:rFonts w:ascii="Cambria" w:hAnsi="Cambria"/>
          <w:sz w:val="20"/>
          <w:szCs w:val="20"/>
          <w:lang w:val="pt-BR"/>
        </w:rPr>
        <w:t xml:space="preserve">  A Comissão considera que esta atuação, sem sanar as deficiências probatórias e esgotar todas as linhas de investigação, é incompatível com o dever de investigar com a devida diligência</w:t>
      </w:r>
      <w:r w:rsidR="004D779D">
        <w:rPr>
          <w:rFonts w:ascii="Cambria" w:hAnsi="Cambria"/>
          <w:sz w:val="20"/>
          <w:szCs w:val="20"/>
          <w:lang w:val="pt-BR"/>
        </w:rPr>
        <w:t>.</w:t>
      </w:r>
    </w:p>
    <w:p w14:paraId="23C35FF6" w14:textId="77777777" w:rsidR="004D779D" w:rsidRDefault="004D779D" w:rsidP="0071702C">
      <w:pPr>
        <w:pStyle w:val="ListParagraph"/>
        <w:rPr>
          <w:rFonts w:ascii="Cambria" w:hAnsi="Cambria"/>
          <w:sz w:val="20"/>
          <w:szCs w:val="20"/>
          <w:lang w:val="pt-BR"/>
        </w:rPr>
      </w:pPr>
    </w:p>
    <w:p w14:paraId="01C4E08C" w14:textId="2C8482A9" w:rsidR="004503D2" w:rsidRPr="004D779D"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pt-BR"/>
        </w:rPr>
      </w:pPr>
      <w:r w:rsidRPr="004D779D">
        <w:rPr>
          <w:rFonts w:ascii="Cambria" w:hAnsi="Cambria"/>
          <w:sz w:val="20"/>
          <w:szCs w:val="20"/>
          <w:lang w:val="pt-BR"/>
        </w:rPr>
        <w:t xml:space="preserve"> </w:t>
      </w:r>
      <w:r w:rsidR="0048335A">
        <w:rPr>
          <w:rFonts w:ascii="Cambria" w:hAnsi="Cambria"/>
          <w:sz w:val="20"/>
          <w:szCs w:val="20"/>
          <w:lang w:val="pt-BR"/>
        </w:rPr>
        <w:t xml:space="preserve">Em virtude das considerações anteriores, a CIDH conclui que o Estado descumpriu o dever de investigar ocm a devida diligência o assassinato de Manoel Luiz da Silva, </w:t>
      </w:r>
      <w:r w:rsidRPr="004D779D">
        <w:rPr>
          <w:rFonts w:ascii="Cambria" w:hAnsi="Cambria"/>
          <w:sz w:val="20"/>
          <w:szCs w:val="20"/>
          <w:lang w:val="pt-BR"/>
        </w:rPr>
        <w:t>em violação ao artigo</w:t>
      </w:r>
      <w:r w:rsidR="00074599" w:rsidRPr="004D779D">
        <w:rPr>
          <w:rFonts w:ascii="Cambria" w:hAnsi="Cambria"/>
          <w:sz w:val="20"/>
          <w:szCs w:val="20"/>
          <w:lang w:val="pt-BR"/>
        </w:rPr>
        <w:t>s</w:t>
      </w:r>
      <w:r w:rsidRPr="004D779D">
        <w:rPr>
          <w:rFonts w:ascii="Cambria" w:hAnsi="Cambria"/>
          <w:sz w:val="20"/>
          <w:szCs w:val="20"/>
          <w:lang w:val="pt-BR"/>
        </w:rPr>
        <w:t xml:space="preserve"> 8.1 e 25.1 da Convenção Americana em relação com as obrigações estabelecidas no artigo 1.1 do mesmo instrumento, em prejuízo dos familiares da vítima.</w:t>
      </w:r>
    </w:p>
    <w:p w14:paraId="78E6F980" w14:textId="77777777" w:rsidR="004503D2" w:rsidRPr="00763D09"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sz w:val="20"/>
          <w:szCs w:val="20"/>
          <w:lang w:val="pt-BR"/>
        </w:rPr>
      </w:pPr>
    </w:p>
    <w:p w14:paraId="4FFEAEDE" w14:textId="77777777" w:rsidR="004503D2" w:rsidRPr="0096143E" w:rsidRDefault="004503D2" w:rsidP="009F1C8F">
      <w:pPr>
        <w:pStyle w:val="Heading3"/>
      </w:pPr>
      <w:bookmarkStart w:id="19" w:name="_Toc17097166"/>
      <w:r w:rsidRPr="0096143E">
        <w:t>Quanto ao prazo razoável</w:t>
      </w:r>
      <w:bookmarkEnd w:id="19"/>
      <w:r w:rsidRPr="0096143E">
        <w:t xml:space="preserve">  </w:t>
      </w:r>
    </w:p>
    <w:p w14:paraId="788765DE" w14:textId="77777777" w:rsidR="004503D2" w:rsidRPr="00337743"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pt-BR"/>
        </w:rPr>
      </w:pPr>
    </w:p>
    <w:p w14:paraId="7D5BF313" w14:textId="77777777"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337743">
        <w:rPr>
          <w:rFonts w:ascii="Cambria" w:hAnsi="Cambria" w:cs="Verdana"/>
          <w:sz w:val="20"/>
          <w:szCs w:val="20"/>
          <w:lang w:val="pt-BR"/>
        </w:rPr>
        <w:t xml:space="preserve">Com respeito à garantia do prazo razoável contemplada no artigo 8.1 da </w:t>
      </w:r>
      <w:r w:rsidRPr="00337743">
        <w:rPr>
          <w:rFonts w:ascii="Cambria" w:hAnsi="Cambria"/>
          <w:sz w:val="20"/>
          <w:szCs w:val="20"/>
          <w:lang w:val="pt-BR"/>
        </w:rPr>
        <w:t>Convenção</w:t>
      </w:r>
      <w:r w:rsidRPr="00337743">
        <w:rPr>
          <w:rFonts w:ascii="Cambria" w:hAnsi="Cambria" w:cs="Verdana"/>
          <w:sz w:val="20"/>
          <w:szCs w:val="20"/>
          <w:lang w:val="pt-BR"/>
        </w:rPr>
        <w:t xml:space="preserve"> Americana, a Corte Interamericana estabeleceu que é preciso levar em conta três elementos para determinar a razoabilidade do prazo no qual se desenvolve um processo: a) a complexidade do assunto, b) a atividade processual do </w:t>
      </w:r>
      <w:r w:rsidRPr="00337743">
        <w:rPr>
          <w:rFonts w:ascii="Cambria" w:hAnsi="Cambria"/>
          <w:color w:val="000000"/>
          <w:sz w:val="20"/>
          <w:szCs w:val="20"/>
          <w:lang w:val="pt-BR"/>
        </w:rPr>
        <w:t>interessado</w:t>
      </w:r>
      <w:r w:rsidRPr="00337743">
        <w:rPr>
          <w:rFonts w:ascii="Cambria" w:hAnsi="Cambria" w:cs="Verdana"/>
          <w:sz w:val="20"/>
          <w:szCs w:val="20"/>
          <w:lang w:val="pt-BR"/>
        </w:rPr>
        <w:t xml:space="preserve"> e c) a conduta das autoridades judiciais</w:t>
      </w:r>
      <w:r w:rsidRPr="00337743">
        <w:rPr>
          <w:rFonts w:ascii="Cambria" w:hAnsi="Cambria" w:cs="Verdana"/>
          <w:sz w:val="20"/>
          <w:szCs w:val="20"/>
          <w:vertAlign w:val="superscript"/>
          <w:lang w:val="pt-BR"/>
        </w:rPr>
        <w:footnoteReference w:id="83"/>
      </w:r>
      <w:r w:rsidRPr="00337743">
        <w:rPr>
          <w:rFonts w:ascii="Cambria" w:hAnsi="Cambria" w:cs="Verdana"/>
          <w:sz w:val="20"/>
          <w:szCs w:val="20"/>
          <w:lang w:val="pt-BR"/>
        </w:rPr>
        <w:t>. A Comissão e a Corte consideraram também o interesse do afetado</w:t>
      </w:r>
      <w:r w:rsidRPr="00337743">
        <w:rPr>
          <w:rFonts w:ascii="Cambria" w:hAnsi="Cambria" w:cs="Verdana"/>
          <w:sz w:val="20"/>
          <w:szCs w:val="20"/>
          <w:vertAlign w:val="superscript"/>
          <w:lang w:val="pt-BR"/>
        </w:rPr>
        <w:footnoteReference w:id="84"/>
      </w:r>
      <w:r w:rsidRPr="00337743">
        <w:rPr>
          <w:rFonts w:ascii="Cambria" w:hAnsi="Cambria" w:cs="Verdana"/>
          <w:sz w:val="20"/>
          <w:szCs w:val="20"/>
          <w:lang w:val="pt-BR"/>
        </w:rPr>
        <w:t xml:space="preserve">. </w:t>
      </w:r>
    </w:p>
    <w:p w14:paraId="4B8922CD" w14:textId="77777777" w:rsidR="004503D2" w:rsidRPr="00337743"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cs="Verdana"/>
          <w:sz w:val="20"/>
          <w:szCs w:val="20"/>
          <w:lang w:val="pt-BR"/>
        </w:rPr>
      </w:pPr>
    </w:p>
    <w:p w14:paraId="6708F8E6" w14:textId="77777777" w:rsidR="004503D2" w:rsidRPr="005C2989"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5C2989">
        <w:rPr>
          <w:rFonts w:ascii="Cambria" w:hAnsi="Cambria"/>
          <w:color w:val="000000"/>
          <w:sz w:val="20"/>
          <w:szCs w:val="20"/>
          <w:lang w:val="pt-BR"/>
        </w:rPr>
        <w:t xml:space="preserve">A Comissão considera que o caso não apresentava maior complexidade. Tratava-se de um homicídio, em que todas as evidencias, tais como o corpo da vítima, a cena do crime, as testemunhas e os acusados encontravam-se à disposição das autoridades. O inquérito policial revelou provas e testemunhos em abundância para se determinar a autoria do crime, inclusive contando com depoimentos e exame de reconhecimento de testemunhas oculares.  </w:t>
      </w:r>
      <w:r w:rsidRPr="000F2336">
        <w:rPr>
          <w:rFonts w:ascii="Cambria" w:hAnsi="Cambria"/>
          <w:sz w:val="20"/>
          <w:szCs w:val="20"/>
          <w:lang w:val="pt-BR"/>
        </w:rPr>
        <w:t>Desde o relatório do Inquérito Policial, concluído em</w:t>
      </w:r>
      <w:r w:rsidRPr="006E0CFC">
        <w:rPr>
          <w:rFonts w:ascii="Cambria" w:hAnsi="Cambria"/>
          <w:sz w:val="20"/>
          <w:szCs w:val="20"/>
          <w:lang w:val="pt-BR"/>
        </w:rPr>
        <w:t xml:space="preserve"> </w:t>
      </w:r>
      <w:r w:rsidRPr="000F2336">
        <w:rPr>
          <w:rFonts w:ascii="Cambria" w:hAnsi="Cambria"/>
          <w:sz w:val="20"/>
          <w:szCs w:val="20"/>
          <w:lang w:val="pt-BR"/>
        </w:rPr>
        <w:t>22 de setembro de 1997</w:t>
      </w:r>
      <w:r w:rsidRPr="006E0CFC">
        <w:rPr>
          <w:rFonts w:ascii="Cambria" w:hAnsi="Cambria"/>
          <w:sz w:val="20"/>
          <w:szCs w:val="20"/>
          <w:lang w:val="pt-BR"/>
        </w:rPr>
        <w:t xml:space="preserve">, </w:t>
      </w:r>
      <w:r w:rsidRPr="000F2336">
        <w:rPr>
          <w:rFonts w:ascii="Cambria" w:hAnsi="Cambria"/>
          <w:sz w:val="20"/>
          <w:szCs w:val="20"/>
          <w:lang w:val="pt-BR"/>
        </w:rPr>
        <w:t xml:space="preserve">existiam elementos suficientes de prova </w:t>
      </w:r>
      <w:r w:rsidRPr="005C2989">
        <w:rPr>
          <w:rFonts w:ascii="Cambria" w:hAnsi="Cambria"/>
          <w:sz w:val="20"/>
          <w:szCs w:val="20"/>
          <w:lang w:val="pt-BR"/>
        </w:rPr>
        <w:t xml:space="preserve">para o início do processo (o que não significa que outras provas e linhas de investigação não pudessem ser exploradas). Tanto as provas obtidas como as provas solicitadas e não produzidas eram, todas elas, as ordinárias em um processo penal e o Estado não contribuiu com argumentação nem evidência que justificasse alguma complexidade especial. Como ficou estabelecido, as demoras não resultaram da complexidade do caso, tampouco do comportamento das vítimas e/ou assistentes de acusação. </w:t>
      </w:r>
    </w:p>
    <w:p w14:paraId="5E417502" w14:textId="77777777" w:rsidR="004503D2" w:rsidRDefault="004503D2" w:rsidP="0071702C">
      <w:pPr>
        <w:pStyle w:val="ListParagraph"/>
        <w:rPr>
          <w:rFonts w:ascii="Cambria" w:hAnsi="Cambria"/>
          <w:color w:val="000000"/>
          <w:sz w:val="20"/>
          <w:szCs w:val="20"/>
          <w:lang w:val="pt-BR"/>
        </w:rPr>
      </w:pPr>
    </w:p>
    <w:p w14:paraId="1032A552" w14:textId="1E44E6A0" w:rsidR="004503D2" w:rsidRPr="00995937" w:rsidRDefault="004503D2" w:rsidP="0071702C">
      <w:pPr>
        <w:pStyle w:val="ListParagraph"/>
        <w:numPr>
          <w:ilvl w:val="0"/>
          <w:numId w:val="55"/>
        </w:numPr>
        <w:ind w:left="0" w:firstLine="0"/>
        <w:jc w:val="both"/>
        <w:rPr>
          <w:rFonts w:ascii="Cambria" w:hAnsi="Cambria" w:cs="Verdana"/>
          <w:sz w:val="20"/>
          <w:szCs w:val="20"/>
          <w:lang w:val="pt-BR"/>
        </w:rPr>
      </w:pPr>
      <w:r w:rsidRPr="00995937">
        <w:rPr>
          <w:rFonts w:ascii="Cambria" w:hAnsi="Cambria" w:cs="Verdana"/>
          <w:sz w:val="20"/>
          <w:szCs w:val="20"/>
          <w:lang w:val="pt-BR"/>
        </w:rPr>
        <w:t xml:space="preserve">Em casos mais complexos, a Corte já reconheceu a existência de violação do prazo razoável quando a tramitação processual foi similar </w:t>
      </w:r>
      <w:r w:rsidRPr="001D2FEE">
        <w:rPr>
          <w:rFonts w:ascii="Cambria" w:hAnsi="Cambria" w:cs="Verdana"/>
          <w:sz w:val="20"/>
          <w:szCs w:val="20"/>
          <w:lang w:val="pt-BR"/>
        </w:rPr>
        <w:t xml:space="preserve">à </w:t>
      </w:r>
      <w:r w:rsidRPr="00995937">
        <w:rPr>
          <w:rFonts w:ascii="Cambria" w:hAnsi="Cambria" w:cs="Verdana"/>
          <w:sz w:val="20"/>
          <w:szCs w:val="20"/>
          <w:lang w:val="pt-BR"/>
        </w:rPr>
        <w:t xml:space="preserve">presente. Por exemplo, no caso </w:t>
      </w:r>
      <w:r w:rsidRPr="000B4F70">
        <w:rPr>
          <w:rFonts w:ascii="Cambria" w:hAnsi="Cambria" w:cs="Verdana"/>
          <w:i/>
          <w:iCs/>
          <w:sz w:val="20"/>
          <w:szCs w:val="20"/>
          <w:lang w:val="pt-BR"/>
        </w:rPr>
        <w:t>La Cantuta</w:t>
      </w:r>
      <w:r w:rsidR="00A66E3A" w:rsidRPr="000B4F70">
        <w:rPr>
          <w:rFonts w:ascii="Cambria" w:hAnsi="Cambria" w:cs="Verdana"/>
          <w:i/>
          <w:iCs/>
          <w:sz w:val="20"/>
          <w:szCs w:val="20"/>
          <w:lang w:val="pt-BR"/>
        </w:rPr>
        <w:t xml:space="preserve"> vs. Perú</w:t>
      </w:r>
      <w:r w:rsidRPr="00995937">
        <w:rPr>
          <w:rFonts w:ascii="Cambria" w:hAnsi="Cambria" w:cs="Verdana"/>
          <w:sz w:val="20"/>
          <w:szCs w:val="20"/>
          <w:lang w:val="pt-BR"/>
        </w:rPr>
        <w:t xml:space="preserve">, a Corte considerou que, apesar da complexidade de um caso que envolvia múltiplas vítimas, a demora de 14 anos do processo criminal </w:t>
      </w:r>
      <w:r w:rsidRPr="00995937">
        <w:rPr>
          <w:rFonts w:ascii="Cambria" w:hAnsi="Cambria" w:cs="Verdana"/>
          <w:sz w:val="20"/>
          <w:szCs w:val="20"/>
          <w:lang w:val="pt-BR"/>
        </w:rPr>
        <w:lastRenderedPageBreak/>
        <w:t>teria excedido, em muito, ao que se poderia considerar um prazo razoável</w:t>
      </w:r>
      <w:r>
        <w:rPr>
          <w:rStyle w:val="FootnoteReference"/>
          <w:rFonts w:ascii="Cambria" w:hAnsi="Cambria" w:cs="Verdana"/>
          <w:sz w:val="20"/>
          <w:szCs w:val="20"/>
          <w:lang w:val="pt-BR"/>
        </w:rPr>
        <w:footnoteReference w:id="85"/>
      </w:r>
      <w:r w:rsidRPr="00995937">
        <w:rPr>
          <w:rFonts w:ascii="Cambria" w:hAnsi="Cambria" w:cs="Verdana"/>
          <w:sz w:val="20"/>
          <w:szCs w:val="20"/>
          <w:lang w:val="pt-BR"/>
        </w:rPr>
        <w:t xml:space="preserve">. Destaque-se também o exemplo do caso </w:t>
      </w:r>
      <w:r w:rsidRPr="000B4F70">
        <w:rPr>
          <w:rFonts w:ascii="Cambria" w:hAnsi="Cambria" w:cs="Verdana"/>
          <w:i/>
          <w:iCs/>
          <w:sz w:val="20"/>
          <w:szCs w:val="20"/>
          <w:lang w:val="pt-BR"/>
        </w:rPr>
        <w:t>Valle Jaramillo</w:t>
      </w:r>
      <w:r w:rsidR="00A43907">
        <w:rPr>
          <w:rFonts w:ascii="Cambria" w:hAnsi="Cambria" w:cs="Verdana"/>
          <w:sz w:val="20"/>
          <w:szCs w:val="20"/>
          <w:lang w:val="pt-BR"/>
        </w:rPr>
        <w:t xml:space="preserve"> </w:t>
      </w:r>
      <w:r w:rsidR="00A43907">
        <w:rPr>
          <w:rFonts w:ascii="Cambria" w:hAnsi="Cambria" w:cs="Verdana"/>
          <w:i/>
          <w:iCs/>
          <w:sz w:val="20"/>
          <w:szCs w:val="20"/>
          <w:lang w:val="pt-BR"/>
        </w:rPr>
        <w:t>vs. Colombia</w:t>
      </w:r>
      <w:r w:rsidRPr="00995937">
        <w:rPr>
          <w:rFonts w:ascii="Cambria" w:hAnsi="Cambria" w:cs="Verdana"/>
          <w:sz w:val="20"/>
          <w:szCs w:val="20"/>
          <w:lang w:val="pt-BR"/>
        </w:rPr>
        <w:t>, no qual a Corte reconheceu que o caso era complexo, porém considerou que tal complexidade não justificava o fato do processo criminal ainda estar em aberto dez anos após o crime</w:t>
      </w:r>
      <w:r>
        <w:rPr>
          <w:rStyle w:val="FootnoteReference"/>
          <w:rFonts w:ascii="Cambria" w:hAnsi="Cambria" w:cs="Verdana"/>
          <w:sz w:val="20"/>
          <w:szCs w:val="20"/>
          <w:lang w:val="pt-BR"/>
        </w:rPr>
        <w:footnoteReference w:id="86"/>
      </w:r>
      <w:r w:rsidRPr="00995937">
        <w:rPr>
          <w:rFonts w:ascii="Cambria" w:hAnsi="Cambria" w:cs="Verdana"/>
          <w:sz w:val="20"/>
          <w:szCs w:val="20"/>
          <w:lang w:val="pt-BR"/>
        </w:rPr>
        <w:t xml:space="preserve">. Da mesma forma, no caso do </w:t>
      </w:r>
      <w:r w:rsidRPr="000B4F70">
        <w:rPr>
          <w:rFonts w:ascii="Cambria" w:hAnsi="Cambria" w:cs="Verdana"/>
          <w:i/>
          <w:iCs/>
          <w:sz w:val="20"/>
          <w:szCs w:val="20"/>
          <w:lang w:val="pt-BR"/>
        </w:rPr>
        <w:t>Massacre de Pueblo Bello</w:t>
      </w:r>
      <w:r w:rsidR="00DC35AF" w:rsidRPr="000B4F70">
        <w:rPr>
          <w:rFonts w:ascii="Cambria" w:hAnsi="Cambria" w:cs="Verdana"/>
          <w:i/>
          <w:iCs/>
          <w:sz w:val="20"/>
          <w:szCs w:val="20"/>
          <w:lang w:val="pt-BR"/>
        </w:rPr>
        <w:t xml:space="preserve"> vs. Colombia</w:t>
      </w:r>
      <w:r w:rsidRPr="00995937">
        <w:rPr>
          <w:rFonts w:ascii="Cambria" w:hAnsi="Cambria" w:cs="Verdana"/>
          <w:sz w:val="20"/>
          <w:szCs w:val="20"/>
          <w:lang w:val="pt-BR"/>
        </w:rPr>
        <w:t>, a Corte determinou que os 11 anos transcorridos desde os primeiros atos do processo até a data da decisão final estariam muito além da razoabilidade</w:t>
      </w:r>
      <w:r>
        <w:rPr>
          <w:rStyle w:val="FootnoteReference"/>
          <w:rFonts w:ascii="Cambria" w:hAnsi="Cambria" w:cs="Verdana"/>
          <w:sz w:val="20"/>
          <w:szCs w:val="20"/>
          <w:lang w:val="pt-BR"/>
        </w:rPr>
        <w:footnoteReference w:id="87"/>
      </w:r>
      <w:r w:rsidRPr="00995937">
        <w:rPr>
          <w:rFonts w:ascii="Cambria" w:hAnsi="Cambria" w:cs="Verdana"/>
          <w:sz w:val="20"/>
          <w:szCs w:val="20"/>
          <w:lang w:val="pt-BR"/>
        </w:rPr>
        <w:t>.</w:t>
      </w:r>
    </w:p>
    <w:p w14:paraId="01FCFB3B" w14:textId="77777777" w:rsidR="004503D2" w:rsidRPr="00C0206C" w:rsidRDefault="004503D2" w:rsidP="0071702C">
      <w:pPr>
        <w:pStyle w:val="ListParagraph"/>
        <w:ind w:left="634"/>
        <w:jc w:val="both"/>
        <w:rPr>
          <w:rFonts w:ascii="Cambria" w:hAnsi="Cambria" w:cs="Verdana"/>
          <w:sz w:val="20"/>
          <w:szCs w:val="20"/>
          <w:lang w:val="pt-BR"/>
        </w:rPr>
      </w:pPr>
    </w:p>
    <w:p w14:paraId="613EC200" w14:textId="77777777" w:rsidR="004503D2" w:rsidRPr="006E0CFC" w:rsidRDefault="004503D2" w:rsidP="0071702C">
      <w:pPr>
        <w:pStyle w:val="ListParagraph"/>
        <w:numPr>
          <w:ilvl w:val="0"/>
          <w:numId w:val="55"/>
        </w:numPr>
        <w:ind w:left="0" w:firstLine="0"/>
        <w:jc w:val="both"/>
        <w:rPr>
          <w:rFonts w:ascii="Cambria" w:hAnsi="Cambria" w:cs="Verdana"/>
          <w:sz w:val="20"/>
          <w:szCs w:val="20"/>
          <w:lang w:val="pt-BR"/>
        </w:rPr>
      </w:pPr>
      <w:r w:rsidRPr="006E0CFC">
        <w:rPr>
          <w:rFonts w:ascii="Cambria" w:hAnsi="Cambria" w:cs="Verdana"/>
          <w:sz w:val="20"/>
          <w:szCs w:val="20"/>
          <w:lang w:val="pt-BR"/>
        </w:rPr>
        <w:t>No processo criminal em análise, que inegavelmente apresenta menor complexidade que todos os casos acima elencados e no qual o prazo transcorrido foi de mais de 22 anos até a presente data, não se pode argumentar que a lentidão processual possa ser justificada pela complexidade do assunto.</w:t>
      </w:r>
    </w:p>
    <w:p w14:paraId="3FA5635A" w14:textId="77777777" w:rsidR="004503D2" w:rsidRPr="00FA085E" w:rsidRDefault="004503D2" w:rsidP="0071702C">
      <w:pPr>
        <w:pStyle w:val="ListParagraph"/>
        <w:ind w:left="1080"/>
        <w:rPr>
          <w:rFonts w:ascii="Cambria" w:hAnsi="Cambria" w:cs="Verdana"/>
          <w:color w:val="000000"/>
          <w:sz w:val="20"/>
          <w:szCs w:val="20"/>
          <w:lang w:val="pt-BR"/>
        </w:rPr>
      </w:pPr>
    </w:p>
    <w:p w14:paraId="46E14D02" w14:textId="77777777" w:rsidR="004503D2" w:rsidRPr="00C55D1B"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C55D1B">
        <w:rPr>
          <w:rFonts w:ascii="Cambria" w:hAnsi="Cambria" w:cs="Verdana"/>
          <w:sz w:val="20"/>
          <w:szCs w:val="20"/>
          <w:lang w:val="pt-BR"/>
        </w:rPr>
        <w:t xml:space="preserve">Com relação ao segundo critério, a conduta dos familiares da vítima, os familiares de </w:t>
      </w:r>
      <w:r>
        <w:rPr>
          <w:rFonts w:ascii="Cambria" w:hAnsi="Cambria" w:cs="Verdana"/>
          <w:sz w:val="20"/>
          <w:szCs w:val="20"/>
          <w:lang w:val="pt-BR"/>
        </w:rPr>
        <w:t>Manoel Luiz da Silva</w:t>
      </w:r>
      <w:r w:rsidRPr="00C55D1B">
        <w:rPr>
          <w:rFonts w:ascii="Cambria" w:hAnsi="Cambria" w:cs="Verdana"/>
          <w:sz w:val="20"/>
          <w:szCs w:val="20"/>
          <w:lang w:val="pt-BR"/>
        </w:rPr>
        <w:t xml:space="preserve"> nada fizeram para impedir o progresso do caso.</w:t>
      </w:r>
    </w:p>
    <w:p w14:paraId="4C543359" w14:textId="77777777" w:rsidR="004503D2" w:rsidRDefault="004503D2" w:rsidP="0071702C">
      <w:pPr>
        <w:pStyle w:val="ListParagraph"/>
        <w:rPr>
          <w:rFonts w:ascii="Cambria" w:hAnsi="Cambria"/>
          <w:color w:val="000000"/>
          <w:sz w:val="20"/>
          <w:szCs w:val="20"/>
          <w:lang w:val="pt-BR"/>
        </w:rPr>
      </w:pPr>
    </w:p>
    <w:p w14:paraId="5542AD34" w14:textId="77777777" w:rsidR="004503D2" w:rsidRPr="00CA6017"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CA6017">
        <w:rPr>
          <w:rFonts w:ascii="Cambria" w:hAnsi="Cambria" w:cs="Verdana"/>
          <w:sz w:val="20"/>
          <w:szCs w:val="20"/>
          <w:lang w:val="pt-BR"/>
        </w:rPr>
        <w:t xml:space="preserve">O terceiro critério, qual seja, a conduta das autoridades judiciais, refletida em suas ações e omissões no transcurso do processo, é </w:t>
      </w:r>
      <w:r>
        <w:rPr>
          <w:rFonts w:ascii="Cambria" w:hAnsi="Cambria" w:cs="Verdana"/>
          <w:sz w:val="20"/>
          <w:szCs w:val="20"/>
          <w:lang w:val="pt-BR"/>
        </w:rPr>
        <w:t>certamente</w:t>
      </w:r>
      <w:r w:rsidRPr="00CA6017">
        <w:rPr>
          <w:rFonts w:ascii="Cambria" w:hAnsi="Cambria" w:cs="Verdana"/>
          <w:sz w:val="20"/>
          <w:szCs w:val="20"/>
          <w:lang w:val="pt-BR"/>
        </w:rPr>
        <w:t xml:space="preserve"> aquele que representa o fator crucial para se determinar que o Estado brasileiro violou as garantias a um recurso em um prazo razoável no presente caso.</w:t>
      </w:r>
    </w:p>
    <w:p w14:paraId="79FB95DA" w14:textId="77777777" w:rsidR="004503D2" w:rsidRDefault="004503D2" w:rsidP="0071702C">
      <w:pPr>
        <w:pStyle w:val="ListParagraph"/>
        <w:rPr>
          <w:rFonts w:ascii="Cambria" w:hAnsi="Cambria"/>
          <w:color w:val="000000"/>
          <w:sz w:val="20"/>
          <w:szCs w:val="20"/>
          <w:lang w:val="pt-BR"/>
        </w:rPr>
      </w:pPr>
    </w:p>
    <w:p w14:paraId="43B0D6F6" w14:textId="77777777" w:rsidR="004503D2" w:rsidRPr="00662199"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6E0CFC">
        <w:rPr>
          <w:rFonts w:ascii="Cambria" w:hAnsi="Cambria"/>
          <w:sz w:val="20"/>
          <w:szCs w:val="20"/>
          <w:lang w:val="pt-BR"/>
        </w:rPr>
        <w:t>No caso em exame, a falta de diligência das autoridades policial e judiciária foi a principal causa da demora. A isso somam-se, para citar alguns fatores, a omissão da polícia em imediatamente comparecer ao local do crime, a fim de prontamente realizar o exame da cena do crime e a captura dos responsáveis</w:t>
      </w:r>
      <w:r>
        <w:rPr>
          <w:rFonts w:ascii="Cambria" w:hAnsi="Cambria"/>
          <w:sz w:val="20"/>
          <w:szCs w:val="20"/>
          <w:lang w:val="pt-BR"/>
        </w:rPr>
        <w:t xml:space="preserve"> e</w:t>
      </w:r>
      <w:r w:rsidRPr="006E0CFC">
        <w:rPr>
          <w:rFonts w:ascii="Cambria" w:hAnsi="Cambria"/>
          <w:sz w:val="20"/>
          <w:szCs w:val="20"/>
          <w:lang w:val="pt-BR"/>
        </w:rPr>
        <w:t xml:space="preserve"> a somatória de equívocos e omissões no processo judicial que causaram a anulação de grande parte da instrução processual e acasionaram uma grande demora na tramitação. </w:t>
      </w:r>
      <w:r w:rsidRPr="00662199">
        <w:rPr>
          <w:rFonts w:ascii="Cambria" w:hAnsi="Cambria"/>
          <w:color w:val="000000"/>
          <w:sz w:val="20"/>
          <w:szCs w:val="20"/>
          <w:lang w:val="pt-BR"/>
        </w:rPr>
        <w:t>Por todo o exposto, a CIDH considera que no presente caso não é necessário analisar o quarto elemento sobre razoabilidade do prazo.</w:t>
      </w:r>
    </w:p>
    <w:p w14:paraId="7233847D" w14:textId="77777777" w:rsidR="004503D2" w:rsidRDefault="004503D2" w:rsidP="0071702C">
      <w:pPr>
        <w:pStyle w:val="ListParagraph"/>
        <w:rPr>
          <w:rFonts w:ascii="Cambria" w:hAnsi="Cambria" w:cs="Verdana"/>
          <w:sz w:val="20"/>
          <w:szCs w:val="20"/>
          <w:lang w:val="pt-BR"/>
        </w:rPr>
      </w:pPr>
    </w:p>
    <w:p w14:paraId="3D6EA98B" w14:textId="2F584FD0" w:rsidR="004503D2" w:rsidRDefault="008D40AB"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Pr>
          <w:rFonts w:ascii="Cambria" w:hAnsi="Cambria" w:cs="Verdana"/>
          <w:sz w:val="20"/>
          <w:szCs w:val="20"/>
          <w:lang w:val="pt-BR"/>
        </w:rPr>
        <w:t xml:space="preserve">A </w:t>
      </w:r>
      <w:r w:rsidR="004503D2" w:rsidRPr="0020601B">
        <w:rPr>
          <w:rFonts w:ascii="Cambria" w:hAnsi="Cambria" w:cs="Verdana"/>
          <w:sz w:val="20"/>
          <w:szCs w:val="20"/>
          <w:lang w:val="pt-BR"/>
        </w:rPr>
        <w:t>Convenção Americana afirma que o Estado possui a obrigação de prover um recurso simples, rápido e efetivo a todas as pessoas. A Corte já enfatizou repetidas vezes que o direito a um recurso judicial não se encontra garantido enquanto não é efetivo, e não é efetivo o recurso caracterizado por demora injustificada, in verbis</w:t>
      </w:r>
    </w:p>
    <w:p w14:paraId="596B1655" w14:textId="77777777" w:rsidR="004503D2" w:rsidRDefault="004503D2" w:rsidP="0071702C">
      <w:pPr>
        <w:pStyle w:val="ListParagraph"/>
        <w:ind w:right="686"/>
        <w:rPr>
          <w:rFonts w:ascii="Cambria" w:hAnsi="Cambria" w:cs="Verdana"/>
          <w:sz w:val="20"/>
          <w:szCs w:val="20"/>
          <w:lang w:val="pt-BR"/>
        </w:rPr>
      </w:pPr>
    </w:p>
    <w:p w14:paraId="7C4496BD" w14:textId="77777777" w:rsidR="004503D2" w:rsidRPr="0071702C"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cs="Verdana"/>
          <w:sz w:val="18"/>
          <w:szCs w:val="18"/>
          <w:lang w:val="pt-BR"/>
        </w:rPr>
      </w:pPr>
      <w:r w:rsidRPr="0071702C">
        <w:rPr>
          <w:rFonts w:ascii="Cambria" w:hAnsi="Cambria" w:cs="Verdana"/>
          <w:sz w:val="18"/>
          <w:szCs w:val="18"/>
          <w:lang w:val="pt-BR"/>
        </w:rPr>
        <w:t>Não podem ser considerados efetivos aqueles recursos que, pelas condições gerais do país ou inclusive pelas circunstâncias particulares de um determinado caso, resultem ilusórios. Isso pode ocorrer, por exemplo, quando a sua inutilidade tenha ficado demonstrada pela prática, porque o Poder Judicial carece da independência necessária para decidir com imparcialidade ou porque faltem meios para executar as suas decisões; por qualquer outra situação que configure um quadro de denegação de justiça, como ocorre quando incorre em atraso injustificado na decisão; ou por qualquer causa que não permita ao presumido lesado o acesso ao recurso judicial</w:t>
      </w:r>
      <w:r w:rsidRPr="0071702C">
        <w:rPr>
          <w:rStyle w:val="FootnoteReference"/>
          <w:rFonts w:ascii="Cambria" w:hAnsi="Cambria" w:cs="Verdana"/>
          <w:sz w:val="18"/>
          <w:szCs w:val="18"/>
          <w:lang w:val="pt-BR"/>
        </w:rPr>
        <w:footnoteReference w:id="88"/>
      </w:r>
      <w:r w:rsidRPr="0071702C">
        <w:rPr>
          <w:rFonts w:ascii="Cambria" w:hAnsi="Cambria" w:cs="Verdana"/>
          <w:sz w:val="18"/>
          <w:szCs w:val="18"/>
          <w:lang w:val="pt-BR"/>
        </w:rPr>
        <w:t>.</w:t>
      </w:r>
    </w:p>
    <w:p w14:paraId="6E57C505" w14:textId="77777777" w:rsidR="004503D2" w:rsidRDefault="004503D2" w:rsidP="0071702C">
      <w:pPr>
        <w:pStyle w:val="ListParagraph"/>
        <w:jc w:val="both"/>
        <w:rPr>
          <w:rFonts w:ascii="Cambria" w:hAnsi="Cambria" w:cs="Verdana"/>
          <w:sz w:val="20"/>
          <w:szCs w:val="20"/>
          <w:lang w:val="pt-BR"/>
        </w:rPr>
      </w:pPr>
    </w:p>
    <w:p w14:paraId="382E5477" w14:textId="77777777" w:rsidR="004503D2" w:rsidRPr="00874E04" w:rsidRDefault="004503D2" w:rsidP="0071702C">
      <w:pPr>
        <w:pStyle w:val="ListParagraph"/>
        <w:numPr>
          <w:ilvl w:val="0"/>
          <w:numId w:val="55"/>
        </w:numPr>
        <w:ind w:left="0" w:firstLine="0"/>
        <w:jc w:val="both"/>
        <w:rPr>
          <w:rFonts w:ascii="Cambria" w:hAnsi="Cambria" w:cs="Verdana"/>
          <w:sz w:val="20"/>
          <w:szCs w:val="20"/>
          <w:lang w:val="pt-BR"/>
        </w:rPr>
      </w:pPr>
      <w:r w:rsidRPr="00874E04">
        <w:rPr>
          <w:rFonts w:ascii="Cambria" w:hAnsi="Cambria" w:cs="Verdana"/>
          <w:sz w:val="20"/>
          <w:szCs w:val="20"/>
          <w:lang w:val="pt-BR"/>
        </w:rPr>
        <w:t>Na visão da Comissão, a demora exerce um efeito negativo na eficácia dos recursos da jurisdição interna, pois dá ensejo à deterioração das provas, especialmente das declarações das testemunhas, as quais, transcorridos tantos anos, podem esquecer os fatos</w:t>
      </w:r>
      <w:r>
        <w:rPr>
          <w:rStyle w:val="FootnoteReference"/>
          <w:rFonts w:ascii="Cambria" w:hAnsi="Cambria" w:cs="Verdana"/>
          <w:sz w:val="20"/>
          <w:szCs w:val="20"/>
          <w:lang w:val="pt-BR"/>
        </w:rPr>
        <w:footnoteReference w:id="89"/>
      </w:r>
      <w:r w:rsidRPr="00874E04">
        <w:rPr>
          <w:rFonts w:ascii="Cambria" w:hAnsi="Cambria" w:cs="Verdana"/>
          <w:sz w:val="20"/>
          <w:szCs w:val="20"/>
          <w:lang w:val="pt-BR"/>
        </w:rPr>
        <w:t>. Como consequência, a demora injustificada na prestação jurisdicional mina a eficácia dos processos destinados a determinar responsabilidades ou condenar os culpados.</w:t>
      </w:r>
    </w:p>
    <w:p w14:paraId="646B389D" w14:textId="77777777" w:rsidR="004503D2" w:rsidRPr="00874E04" w:rsidRDefault="004503D2" w:rsidP="0071702C">
      <w:pPr>
        <w:pStyle w:val="ListParagraph"/>
        <w:ind w:left="1080"/>
        <w:rPr>
          <w:rFonts w:ascii="Cambria" w:hAnsi="Cambria" w:cs="Verdana"/>
          <w:sz w:val="20"/>
          <w:szCs w:val="20"/>
          <w:lang w:val="pt-BR"/>
        </w:rPr>
      </w:pPr>
    </w:p>
    <w:p w14:paraId="0067C1A5" w14:textId="77777777" w:rsidR="004503D2" w:rsidRPr="00931F4F"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pt-BR"/>
        </w:rPr>
      </w:pPr>
      <w:r w:rsidRPr="00931F4F">
        <w:rPr>
          <w:rFonts w:ascii="Cambria" w:hAnsi="Cambria" w:cs="Verdana"/>
          <w:sz w:val="20"/>
          <w:szCs w:val="20"/>
          <w:lang w:val="pt-BR"/>
        </w:rPr>
        <w:t xml:space="preserve">O transcurso e o desfecho do caso ilustram claramente o padrão de violência e impunidade característicos do contexto em que os fatos estavam inseridos: assassinatos de trabalhadores e líderes rurais perpetrados </w:t>
      </w:r>
      <w:r>
        <w:rPr>
          <w:rFonts w:ascii="Cambria" w:hAnsi="Cambria" w:cs="Verdana"/>
          <w:sz w:val="20"/>
          <w:szCs w:val="20"/>
          <w:lang w:val="pt-BR"/>
        </w:rPr>
        <w:t>por atores particulares que det</w:t>
      </w:r>
      <w:r w:rsidRPr="007842CE">
        <w:rPr>
          <w:rFonts w:ascii="Cambria" w:hAnsi="Cambria" w:cs="Verdana"/>
          <w:sz w:val="20"/>
          <w:szCs w:val="20"/>
          <w:lang w:val="pt-BR"/>
        </w:rPr>
        <w:t>ê</w:t>
      </w:r>
      <w:r>
        <w:rPr>
          <w:rFonts w:ascii="Cambria" w:hAnsi="Cambria" w:cs="Verdana"/>
          <w:sz w:val="20"/>
          <w:szCs w:val="20"/>
          <w:lang w:val="pt-BR"/>
        </w:rPr>
        <w:t>m</w:t>
      </w:r>
      <w:r w:rsidRPr="00931F4F">
        <w:rPr>
          <w:rFonts w:ascii="Cambria" w:hAnsi="Cambria" w:cs="Verdana"/>
          <w:sz w:val="20"/>
          <w:szCs w:val="20"/>
          <w:lang w:val="pt-BR"/>
        </w:rPr>
        <w:t xml:space="preserve"> grande poder econômico e político na região, e que exercem influência sobre agentes públicos de modo a garantir sua impunidade, sendo a extrema morosidade no trâmite processual</w:t>
      </w:r>
      <w:r>
        <w:rPr>
          <w:rFonts w:ascii="Cambria" w:hAnsi="Cambria" w:cs="Verdana"/>
          <w:sz w:val="20"/>
          <w:szCs w:val="20"/>
          <w:lang w:val="pt-BR"/>
        </w:rPr>
        <w:t xml:space="preserve"> e a falta de </w:t>
      </w:r>
      <w:r w:rsidRPr="007842CE">
        <w:rPr>
          <w:rFonts w:ascii="Cambria" w:hAnsi="Cambria" w:cs="Verdana"/>
          <w:sz w:val="20"/>
          <w:szCs w:val="20"/>
          <w:lang w:val="pt-BR"/>
        </w:rPr>
        <w:t>diligência</w:t>
      </w:r>
      <w:r>
        <w:rPr>
          <w:rFonts w:ascii="Cambria" w:hAnsi="Cambria" w:cs="Verdana"/>
          <w:sz w:val="20"/>
          <w:szCs w:val="20"/>
          <w:lang w:val="pt-BR"/>
        </w:rPr>
        <w:t xml:space="preserve"> das autoridades responsáveis</w:t>
      </w:r>
      <w:r w:rsidRPr="00931F4F">
        <w:rPr>
          <w:rFonts w:ascii="Cambria" w:hAnsi="Cambria" w:cs="Verdana"/>
          <w:sz w:val="20"/>
          <w:szCs w:val="20"/>
          <w:lang w:val="pt-BR"/>
        </w:rPr>
        <w:t xml:space="preserve"> fator</w:t>
      </w:r>
      <w:r>
        <w:rPr>
          <w:rFonts w:ascii="Cambria" w:hAnsi="Cambria" w:cs="Verdana"/>
          <w:sz w:val="20"/>
          <w:szCs w:val="20"/>
          <w:lang w:val="pt-BR"/>
        </w:rPr>
        <w:t>es</w:t>
      </w:r>
      <w:r w:rsidRPr="00931F4F">
        <w:rPr>
          <w:rFonts w:ascii="Cambria" w:hAnsi="Cambria" w:cs="Verdana"/>
          <w:sz w:val="20"/>
          <w:szCs w:val="20"/>
          <w:lang w:val="pt-BR"/>
        </w:rPr>
        <w:t xml:space="preserve"> determinante</w:t>
      </w:r>
      <w:r>
        <w:rPr>
          <w:rFonts w:ascii="Cambria" w:hAnsi="Cambria" w:cs="Verdana"/>
          <w:sz w:val="20"/>
          <w:szCs w:val="20"/>
          <w:lang w:val="pt-BR"/>
        </w:rPr>
        <w:t>s</w:t>
      </w:r>
      <w:r w:rsidRPr="00931F4F">
        <w:rPr>
          <w:rFonts w:ascii="Cambria" w:hAnsi="Cambria" w:cs="Verdana"/>
          <w:sz w:val="20"/>
          <w:szCs w:val="20"/>
          <w:lang w:val="pt-BR"/>
        </w:rPr>
        <w:t xml:space="preserve"> para a manutenção da impunidade</w:t>
      </w:r>
      <w:r>
        <w:rPr>
          <w:rFonts w:ascii="Cambria" w:hAnsi="Cambria" w:cs="Verdana"/>
          <w:sz w:val="20"/>
          <w:szCs w:val="20"/>
          <w:lang w:val="pt-BR"/>
        </w:rPr>
        <w:t xml:space="preserve">. No presente caso, a importância de se observar o prazo razoável </w:t>
      </w:r>
      <w:r w:rsidRPr="007842CE">
        <w:rPr>
          <w:rFonts w:ascii="Cambria" w:hAnsi="Cambria" w:cs="Verdana"/>
          <w:sz w:val="20"/>
          <w:szCs w:val="20"/>
          <w:lang w:val="pt-BR"/>
        </w:rPr>
        <w:t>é</w:t>
      </w:r>
      <w:r>
        <w:rPr>
          <w:rFonts w:ascii="Cambria" w:hAnsi="Cambria" w:cs="Verdana"/>
          <w:sz w:val="20"/>
          <w:szCs w:val="20"/>
          <w:lang w:val="pt-BR"/>
        </w:rPr>
        <w:t xml:space="preserve"> ainda maior devido </w:t>
      </w:r>
      <w:r w:rsidRPr="007842CE">
        <w:rPr>
          <w:rFonts w:ascii="Cambria" w:hAnsi="Cambria" w:cs="Verdana"/>
          <w:sz w:val="20"/>
          <w:szCs w:val="20"/>
          <w:lang w:val="pt-BR"/>
        </w:rPr>
        <w:t xml:space="preserve">à </w:t>
      </w:r>
      <w:r>
        <w:rPr>
          <w:rFonts w:ascii="Cambria" w:hAnsi="Cambria" w:cs="Verdana"/>
          <w:sz w:val="20"/>
          <w:szCs w:val="20"/>
          <w:lang w:val="pt-BR"/>
        </w:rPr>
        <w:t xml:space="preserve">necessidade de combater </w:t>
      </w:r>
      <w:r>
        <w:rPr>
          <w:rFonts w:ascii="Cambria" w:hAnsi="Cambria" w:cs="Verdana"/>
          <w:sz w:val="20"/>
          <w:szCs w:val="20"/>
          <w:lang w:val="pt-BR"/>
        </w:rPr>
        <w:lastRenderedPageBreak/>
        <w:t xml:space="preserve">os efeitos negativos da impunidade, que são ainda mais evidentes quando o crime </w:t>
      </w:r>
      <w:r w:rsidRPr="007842CE">
        <w:rPr>
          <w:rFonts w:ascii="Cambria" w:hAnsi="Cambria" w:cs="Verdana"/>
          <w:sz w:val="20"/>
          <w:szCs w:val="20"/>
          <w:lang w:val="pt-BR"/>
        </w:rPr>
        <w:t>é</w:t>
      </w:r>
      <w:r>
        <w:rPr>
          <w:rFonts w:ascii="Cambria" w:hAnsi="Cambria" w:cs="Verdana"/>
          <w:sz w:val="20"/>
          <w:szCs w:val="20"/>
          <w:lang w:val="pt-BR"/>
        </w:rPr>
        <w:t xml:space="preserve"> cometido contra um dos líderes dos trabalhadores rurais.</w:t>
      </w:r>
    </w:p>
    <w:p w14:paraId="277C8BEB" w14:textId="77777777" w:rsidR="004503D2" w:rsidRPr="00337743" w:rsidRDefault="004503D2" w:rsidP="0071702C">
      <w:pPr>
        <w:pStyle w:val="ListParagraph"/>
        <w:ind w:left="0"/>
        <w:rPr>
          <w:rFonts w:ascii="Cambria" w:hAnsi="Cambria"/>
          <w:color w:val="000000"/>
          <w:sz w:val="20"/>
          <w:szCs w:val="20"/>
          <w:lang w:val="pt-BR"/>
        </w:rPr>
      </w:pPr>
    </w:p>
    <w:p w14:paraId="701079F5" w14:textId="77777777" w:rsidR="004503D2" w:rsidRDefault="004503D2" w:rsidP="0071702C">
      <w:pPr>
        <w:pStyle w:val="ListParagraph"/>
        <w:numPr>
          <w:ilvl w:val="0"/>
          <w:numId w:val="55"/>
        </w:numPr>
        <w:ind w:left="0" w:firstLine="0"/>
        <w:jc w:val="both"/>
        <w:rPr>
          <w:rFonts w:ascii="Cambria" w:hAnsi="Cambria"/>
          <w:color w:val="000000"/>
          <w:sz w:val="20"/>
          <w:szCs w:val="20"/>
          <w:lang w:val="pt-BR"/>
        </w:rPr>
      </w:pPr>
      <w:r w:rsidRPr="002A23A0">
        <w:rPr>
          <w:rFonts w:ascii="Cambria" w:hAnsi="Cambria"/>
          <w:color w:val="000000"/>
          <w:sz w:val="20"/>
          <w:szCs w:val="20"/>
          <w:lang w:val="pt-BR"/>
        </w:rPr>
        <w:t xml:space="preserve">Em suma, o prazo de mais de </w:t>
      </w:r>
      <w:r w:rsidRPr="006E0CFC">
        <w:rPr>
          <w:rFonts w:ascii="Cambria" w:hAnsi="Cambria"/>
          <w:sz w:val="20"/>
          <w:szCs w:val="20"/>
          <w:lang w:val="pt-BR"/>
        </w:rPr>
        <w:t xml:space="preserve">22 anos </w:t>
      </w:r>
      <w:r w:rsidRPr="002A23A0">
        <w:rPr>
          <w:rFonts w:ascii="Cambria" w:hAnsi="Cambria"/>
          <w:color w:val="000000"/>
          <w:sz w:val="20"/>
          <w:szCs w:val="20"/>
          <w:lang w:val="pt-BR"/>
        </w:rPr>
        <w:t xml:space="preserve">de investigação e processo penal pela morte de </w:t>
      </w:r>
      <w:r>
        <w:rPr>
          <w:rFonts w:ascii="Cambria" w:hAnsi="Cambria"/>
          <w:color w:val="000000"/>
          <w:sz w:val="20"/>
          <w:szCs w:val="20"/>
          <w:lang w:val="pt-BR"/>
        </w:rPr>
        <w:t>Manoel Luiz da Silva</w:t>
      </w:r>
      <w:r w:rsidRPr="002A23A0">
        <w:rPr>
          <w:rFonts w:ascii="Cambria" w:hAnsi="Cambria"/>
          <w:color w:val="000000"/>
          <w:sz w:val="20"/>
          <w:szCs w:val="20"/>
          <w:lang w:val="pt-BR"/>
        </w:rPr>
        <w:t xml:space="preserve"> constituiu uma violação da garantia de prazo razoável e uma negação de justiça</w:t>
      </w:r>
      <w:r>
        <w:rPr>
          <w:rFonts w:ascii="Cambria" w:hAnsi="Cambria"/>
          <w:color w:val="000000"/>
          <w:sz w:val="20"/>
          <w:szCs w:val="20"/>
          <w:lang w:val="pt-BR"/>
        </w:rPr>
        <w:t>,</w:t>
      </w:r>
      <w:r w:rsidRPr="002A23A0">
        <w:rPr>
          <w:rFonts w:ascii="Cambria" w:hAnsi="Cambria"/>
          <w:color w:val="000000"/>
          <w:sz w:val="20"/>
          <w:szCs w:val="20"/>
          <w:lang w:val="pt-BR"/>
        </w:rPr>
        <w:t xml:space="preserve"> nos termos dos artigos 8.1 e 25.1 da Convenção Americana </w:t>
      </w:r>
      <w:r>
        <w:rPr>
          <w:rFonts w:ascii="Cambria" w:hAnsi="Cambria"/>
          <w:color w:val="000000"/>
          <w:sz w:val="20"/>
          <w:szCs w:val="20"/>
          <w:lang w:val="pt-BR"/>
        </w:rPr>
        <w:t>co</w:t>
      </w:r>
      <w:r w:rsidRPr="002A23A0">
        <w:rPr>
          <w:rFonts w:ascii="Cambria" w:hAnsi="Cambria"/>
          <w:color w:val="000000"/>
          <w:sz w:val="20"/>
          <w:szCs w:val="20"/>
          <w:lang w:val="pt-BR"/>
        </w:rPr>
        <w:t xml:space="preserve">m relação </w:t>
      </w:r>
      <w:r>
        <w:rPr>
          <w:rFonts w:ascii="Cambria" w:hAnsi="Cambria"/>
          <w:color w:val="000000"/>
          <w:sz w:val="20"/>
          <w:szCs w:val="20"/>
          <w:lang w:val="pt-BR"/>
        </w:rPr>
        <w:t>à</w:t>
      </w:r>
      <w:r w:rsidRPr="002A23A0">
        <w:rPr>
          <w:rFonts w:ascii="Cambria" w:hAnsi="Cambria"/>
          <w:color w:val="000000"/>
          <w:sz w:val="20"/>
          <w:szCs w:val="20"/>
          <w:lang w:val="pt-BR"/>
        </w:rPr>
        <w:t xml:space="preserve">s obrigações estabelecidas no artigo 1.1 do mesmo instrumento, em prejuízo dos familiares de </w:t>
      </w:r>
      <w:r>
        <w:rPr>
          <w:rFonts w:ascii="Cambria" w:hAnsi="Cambria"/>
          <w:color w:val="000000"/>
          <w:sz w:val="20"/>
          <w:szCs w:val="20"/>
          <w:lang w:val="pt-BR"/>
        </w:rPr>
        <w:t>Manoel Luiz da Silva.</w:t>
      </w:r>
    </w:p>
    <w:p w14:paraId="04B3CE28" w14:textId="77777777" w:rsidR="009F1C8F" w:rsidRPr="009F1C8F" w:rsidRDefault="009F1C8F" w:rsidP="009F1C8F">
      <w:pPr>
        <w:pStyle w:val="ListParagraph"/>
        <w:rPr>
          <w:rFonts w:ascii="Cambria" w:hAnsi="Cambria"/>
          <w:color w:val="000000"/>
          <w:sz w:val="20"/>
          <w:szCs w:val="20"/>
          <w:lang w:val="pt-BR"/>
        </w:rPr>
      </w:pPr>
    </w:p>
    <w:p w14:paraId="5CE2D28A" w14:textId="77777777" w:rsidR="009F1C8F" w:rsidRPr="002A23A0" w:rsidRDefault="009F1C8F" w:rsidP="009F1C8F">
      <w:pPr>
        <w:pStyle w:val="ListParagraph"/>
        <w:ind w:left="0"/>
        <w:jc w:val="both"/>
        <w:rPr>
          <w:rFonts w:ascii="Cambria" w:hAnsi="Cambria"/>
          <w:color w:val="000000"/>
          <w:sz w:val="20"/>
          <w:szCs w:val="20"/>
          <w:lang w:val="pt-BR"/>
        </w:rPr>
      </w:pPr>
    </w:p>
    <w:p w14:paraId="43238E16" w14:textId="77777777" w:rsidR="004503D2" w:rsidRPr="009F1C8F" w:rsidRDefault="004503D2" w:rsidP="009F1C8F">
      <w:pPr>
        <w:pStyle w:val="Heading2"/>
      </w:pPr>
      <w:bookmarkStart w:id="20" w:name="_Toc17097167"/>
      <w:r w:rsidRPr="009F1C8F">
        <w:t>Direito à integridade psíquica e moral (artigo 5.1</w:t>
      </w:r>
      <w:r w:rsidRPr="009F1C8F">
        <w:rPr>
          <w:rStyle w:val="FootnoteReference"/>
          <w:vertAlign w:val="baseline"/>
        </w:rPr>
        <w:footnoteReference w:id="90"/>
      </w:r>
      <w:r w:rsidRPr="009F1C8F">
        <w:t xml:space="preserve"> da Convenção Americana)</w:t>
      </w:r>
      <w:bookmarkEnd w:id="20"/>
    </w:p>
    <w:p w14:paraId="460EB2FD" w14:textId="77777777" w:rsidR="004503D2" w:rsidRDefault="004503D2" w:rsidP="0071702C">
      <w:pPr>
        <w:pStyle w:val="ListParagraph"/>
        <w:rPr>
          <w:rFonts w:ascii="Cambria" w:hAnsi="Cambria"/>
          <w:sz w:val="20"/>
          <w:szCs w:val="20"/>
          <w:lang w:val="pt-BR"/>
        </w:rPr>
      </w:pPr>
    </w:p>
    <w:p w14:paraId="3480FEDE" w14:textId="21EB08FA" w:rsidR="0048335A" w:rsidRPr="000B4F70" w:rsidRDefault="0048335A"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Pr>
          <w:rFonts w:ascii="Cambria" w:hAnsi="Cambria"/>
          <w:color w:val="000000"/>
          <w:sz w:val="20"/>
          <w:szCs w:val="20"/>
          <w:lang w:val="pt-BR"/>
        </w:rPr>
        <w:t>A Comissão observa que não obstante o artigo 5 da Convenção Americana tenha sido declarado inadmissível no relatório de admissibilidade do presente caso, dita declaração de inadmissibilidade se fundamentou no fato da afetação à integridade pessoal da vítima falecida se encontrar subsumida na violação do direito à vida.  Sem embargo, dita declaração não incluiu a possível violação do artigo 5 da Convenção com respeito aos familiares.</w:t>
      </w:r>
    </w:p>
    <w:p w14:paraId="20961556" w14:textId="77777777" w:rsidR="0048335A" w:rsidRDefault="0048335A" w:rsidP="0071702C">
      <w:pPr>
        <w:pStyle w:val="ListParagraph"/>
        <w:rPr>
          <w:rFonts w:ascii="Cambria" w:hAnsi="Cambria"/>
          <w:sz w:val="20"/>
          <w:szCs w:val="20"/>
          <w:lang w:val="pt-BR"/>
        </w:rPr>
      </w:pPr>
    </w:p>
    <w:p w14:paraId="3CF57B50" w14:textId="749C8AAD" w:rsidR="004503D2" w:rsidRPr="006E0CFC"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B57C21">
        <w:rPr>
          <w:rFonts w:ascii="Cambria" w:hAnsi="Cambria"/>
          <w:sz w:val="20"/>
          <w:szCs w:val="20"/>
          <w:lang w:val="pt-BR"/>
        </w:rPr>
        <w:t>O artigo 5.1 da Convenção Americana estabelece: “toda pessoa tem direito a que se respeite sua integridade física, psíquica e moral”. Com relação aos familiares de vítimas de violações graves de direitos humanos, a Corte Interamericana indicou que em determinados casos é possível presumir a violação de sua integridade pessoal, após o sofrimento e a angústia que os atos desses casos supõem . Adicionalmente, a Corte indicou que “a ausência de uma investigação completa e efetiva dos atos constitui uma fonte de sofrimento e angústia adicional para as vítimas e seus familiares, que têm o direito de conhecer a verdade do que ocorreu”, o que inclui a determinação judicial “de todas as pessoas que de diversas formas participaram nessas violações e suas cor</w:t>
      </w:r>
      <w:r>
        <w:rPr>
          <w:rFonts w:ascii="Cambria" w:hAnsi="Cambria"/>
          <w:sz w:val="20"/>
          <w:szCs w:val="20"/>
          <w:lang w:val="pt-BR"/>
        </w:rPr>
        <w:t>respondentes responsabilidades”</w:t>
      </w:r>
      <w:r>
        <w:rPr>
          <w:rStyle w:val="FootnoteReference"/>
          <w:rFonts w:ascii="Cambria" w:hAnsi="Cambria"/>
          <w:sz w:val="20"/>
          <w:szCs w:val="20"/>
          <w:lang w:val="pt-BR"/>
        </w:rPr>
        <w:footnoteReference w:id="91"/>
      </w:r>
      <w:r>
        <w:rPr>
          <w:rFonts w:ascii="Cambria" w:hAnsi="Cambria"/>
          <w:sz w:val="20"/>
          <w:szCs w:val="20"/>
          <w:lang w:val="pt-BR"/>
        </w:rPr>
        <w:t>.</w:t>
      </w:r>
    </w:p>
    <w:p w14:paraId="30887904" w14:textId="77777777" w:rsidR="004503D2" w:rsidRPr="006E0CFC"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634"/>
        <w:jc w:val="both"/>
        <w:rPr>
          <w:rFonts w:ascii="Cambria" w:hAnsi="Cambria"/>
          <w:color w:val="000000"/>
          <w:sz w:val="20"/>
          <w:szCs w:val="20"/>
          <w:lang w:val="pt-BR"/>
        </w:rPr>
      </w:pPr>
    </w:p>
    <w:p w14:paraId="7E9756D5" w14:textId="77777777" w:rsidR="004503D2" w:rsidRPr="006E0CFC"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B57C21">
        <w:rPr>
          <w:rFonts w:ascii="Cambria" w:hAnsi="Cambria"/>
          <w:color w:val="000000"/>
          <w:sz w:val="20"/>
          <w:szCs w:val="20"/>
          <w:lang w:val="pt-BR"/>
        </w:rPr>
        <w:t>Em virtude das considerações anteriores, a Comissão conclui que o Estado brasileiro é responsável pela violação do direito à integridade psíquica e moral estabelecida no artigo 5.1 da Convenção Americana, com relação às obrigações previstas no artigo 1.1 do mesmo instrumento em detrimento do</w:t>
      </w:r>
      <w:r>
        <w:rPr>
          <w:rFonts w:ascii="Cambria" w:hAnsi="Cambria"/>
          <w:color w:val="000000"/>
          <w:sz w:val="20"/>
          <w:szCs w:val="20"/>
          <w:lang w:val="pt-BR"/>
        </w:rPr>
        <w:t>s familiares de Manoel Luiz da Silva.</w:t>
      </w:r>
    </w:p>
    <w:p w14:paraId="0EEB150E" w14:textId="77777777" w:rsidR="004503D2" w:rsidRPr="006E0CFC" w:rsidRDefault="004503D2" w:rsidP="0071702C">
      <w:pPr>
        <w:pBdr>
          <w:top w:val="none" w:sz="0" w:space="0" w:color="auto"/>
          <w:left w:val="none" w:sz="0" w:space="0" w:color="auto"/>
          <w:bottom w:val="none" w:sz="0" w:space="0" w:color="auto"/>
          <w:right w:val="none" w:sz="0" w:space="0" w:color="auto"/>
          <w:between w:val="none" w:sz="0" w:space="0" w:color="auto"/>
          <w:bar w:val="none" w:sz="0" w:color="auto"/>
        </w:pBdr>
        <w:ind w:left="634"/>
        <w:jc w:val="both"/>
        <w:rPr>
          <w:rFonts w:ascii="Cambria" w:hAnsi="Cambria"/>
          <w:color w:val="000000"/>
          <w:sz w:val="20"/>
          <w:szCs w:val="20"/>
          <w:lang w:val="pt-BR"/>
        </w:rPr>
      </w:pPr>
    </w:p>
    <w:p w14:paraId="6B936E4F" w14:textId="77777777" w:rsidR="004503D2" w:rsidRPr="00AD40EF" w:rsidRDefault="004503D2" w:rsidP="0071702C">
      <w:pPr>
        <w:pStyle w:val="Heading1"/>
        <w:spacing w:before="0"/>
        <w:rPr>
          <w:color w:val="auto"/>
          <w:sz w:val="20"/>
          <w:szCs w:val="20"/>
          <w:lang w:val="pt-BR"/>
        </w:rPr>
      </w:pPr>
      <w:bookmarkStart w:id="21" w:name="_Toc17097168"/>
      <w:r w:rsidRPr="00AD40EF">
        <w:rPr>
          <w:color w:val="auto"/>
          <w:sz w:val="20"/>
          <w:szCs w:val="20"/>
          <w:lang w:val="pt-BR"/>
        </w:rPr>
        <w:t>CONCLUSÕES E RECOMENDAÇÕES</w:t>
      </w:r>
      <w:bookmarkEnd w:id="21"/>
      <w:r w:rsidRPr="00AD40EF">
        <w:rPr>
          <w:color w:val="auto"/>
          <w:sz w:val="20"/>
          <w:szCs w:val="20"/>
          <w:lang w:val="pt-BR"/>
        </w:rPr>
        <w:t xml:space="preserve"> </w:t>
      </w:r>
    </w:p>
    <w:p w14:paraId="11FBBDB2" w14:textId="77777777" w:rsidR="004503D2" w:rsidRPr="00F65455" w:rsidRDefault="004503D2" w:rsidP="0071702C">
      <w:pPr>
        <w:suppressAutoHyphens/>
        <w:rPr>
          <w:rFonts w:ascii="Cambria" w:hAnsi="Cambria"/>
          <w:b/>
          <w:color w:val="FF0000"/>
          <w:sz w:val="20"/>
          <w:szCs w:val="20"/>
          <w:lang w:val="pt-BR"/>
        </w:rPr>
      </w:pPr>
    </w:p>
    <w:p w14:paraId="01A905D9" w14:textId="49A3D536" w:rsidR="004503D2" w:rsidRDefault="004503D2" w:rsidP="007170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pt-BR"/>
        </w:rPr>
      </w:pPr>
      <w:r w:rsidRPr="00E7377B">
        <w:rPr>
          <w:rFonts w:ascii="Cambria" w:hAnsi="Cambria"/>
          <w:color w:val="000000"/>
          <w:sz w:val="20"/>
          <w:szCs w:val="20"/>
          <w:lang w:val="pt-BR"/>
        </w:rPr>
        <w:t xml:space="preserve">Com base nas determinações de fato e de direito, a Comissão Interamericana concluiu que o Estado brasileiro é responsável pela violação dos artigos </w:t>
      </w:r>
      <w:r>
        <w:rPr>
          <w:rFonts w:ascii="Cambria" w:hAnsi="Cambria"/>
          <w:color w:val="000000"/>
          <w:sz w:val="20"/>
          <w:szCs w:val="20"/>
          <w:lang w:val="pt-BR"/>
        </w:rPr>
        <w:t xml:space="preserve">4 (direito </w:t>
      </w:r>
      <w:r w:rsidRPr="001D3267">
        <w:rPr>
          <w:rFonts w:ascii="Cambria" w:hAnsi="Cambria"/>
          <w:color w:val="000000"/>
          <w:sz w:val="20"/>
          <w:szCs w:val="20"/>
          <w:lang w:val="pt-BR"/>
        </w:rPr>
        <w:t>à</w:t>
      </w:r>
      <w:r>
        <w:rPr>
          <w:rFonts w:ascii="Cambria" w:hAnsi="Cambria"/>
          <w:color w:val="000000"/>
          <w:sz w:val="20"/>
          <w:szCs w:val="20"/>
          <w:lang w:val="pt-BR"/>
        </w:rPr>
        <w:t xml:space="preserve"> vida) ,</w:t>
      </w:r>
      <w:r w:rsidR="0048335A">
        <w:rPr>
          <w:rFonts w:ascii="Cambria" w:hAnsi="Cambria"/>
          <w:color w:val="000000"/>
          <w:sz w:val="20"/>
          <w:szCs w:val="20"/>
          <w:lang w:val="pt-BR"/>
        </w:rPr>
        <w:t xml:space="preserve"> 5 (</w:t>
      </w:r>
      <w:r w:rsidR="0048335A" w:rsidRPr="00B57C21">
        <w:rPr>
          <w:rFonts w:ascii="Cambria" w:hAnsi="Cambria"/>
          <w:sz w:val="20"/>
          <w:szCs w:val="20"/>
          <w:lang w:val="pt-BR"/>
        </w:rPr>
        <w:t>integridade física, psíquica e moral</w:t>
      </w:r>
      <w:r w:rsidR="0048335A">
        <w:rPr>
          <w:rFonts w:ascii="Cambria" w:hAnsi="Cambria"/>
          <w:sz w:val="20"/>
          <w:szCs w:val="20"/>
          <w:lang w:val="pt-BR"/>
        </w:rPr>
        <w:t xml:space="preserve">), </w:t>
      </w:r>
      <w:r w:rsidRPr="00E7377B">
        <w:rPr>
          <w:rFonts w:ascii="Cambria" w:hAnsi="Cambria"/>
          <w:color w:val="000000"/>
          <w:sz w:val="20"/>
          <w:szCs w:val="20"/>
          <w:lang w:val="pt-BR"/>
        </w:rPr>
        <w:t>8 (garantias judiciais) e 25 (proteção judicial) da Convenção A</w:t>
      </w:r>
      <w:r>
        <w:rPr>
          <w:rFonts w:ascii="Cambria" w:hAnsi="Cambria"/>
          <w:color w:val="000000"/>
          <w:sz w:val="20"/>
          <w:szCs w:val="20"/>
          <w:lang w:val="pt-BR"/>
        </w:rPr>
        <w:t xml:space="preserve">mericana sobre Direitos Humanos </w:t>
      </w:r>
      <w:r w:rsidRPr="00E7377B">
        <w:rPr>
          <w:rFonts w:ascii="Cambria" w:hAnsi="Cambria"/>
          <w:color w:val="000000"/>
          <w:sz w:val="20"/>
          <w:szCs w:val="20"/>
          <w:lang w:val="pt-BR"/>
        </w:rPr>
        <w:t xml:space="preserve"> com as obrigações estabelecida</w:t>
      </w:r>
      <w:r w:rsidR="001E0CEF">
        <w:rPr>
          <w:rFonts w:ascii="Cambria" w:hAnsi="Cambria"/>
          <w:color w:val="000000"/>
          <w:sz w:val="20"/>
          <w:szCs w:val="20"/>
          <w:lang w:val="pt-BR"/>
        </w:rPr>
        <w:t>s</w:t>
      </w:r>
      <w:r w:rsidRPr="00E7377B">
        <w:rPr>
          <w:rFonts w:ascii="Cambria" w:hAnsi="Cambria"/>
          <w:color w:val="000000"/>
          <w:sz w:val="20"/>
          <w:szCs w:val="20"/>
          <w:lang w:val="pt-BR"/>
        </w:rPr>
        <w:t xml:space="preserve"> no </w:t>
      </w:r>
      <w:r w:rsidRPr="00E7377B">
        <w:rPr>
          <w:rFonts w:ascii="Cambria" w:hAnsi="Cambria"/>
          <w:sz w:val="20"/>
          <w:szCs w:val="20"/>
          <w:lang w:val="pt-BR"/>
        </w:rPr>
        <w:t>artigo 1.1 do mesmo</w:t>
      </w:r>
      <w:r w:rsidRPr="00E7377B">
        <w:rPr>
          <w:rFonts w:ascii="Cambria" w:hAnsi="Cambria"/>
          <w:color w:val="000000"/>
          <w:sz w:val="20"/>
          <w:szCs w:val="20"/>
          <w:lang w:val="pt-BR"/>
        </w:rPr>
        <w:t xml:space="preserve"> instrumento. </w:t>
      </w:r>
    </w:p>
    <w:p w14:paraId="4C520171" w14:textId="77777777" w:rsidR="004503D2" w:rsidRDefault="004503D2" w:rsidP="0071702C">
      <w:pPr>
        <w:jc w:val="both"/>
        <w:rPr>
          <w:rFonts w:ascii="Cambria" w:hAnsi="Cambria"/>
          <w:b/>
          <w:sz w:val="20"/>
          <w:szCs w:val="20"/>
          <w:lang w:val="pt-BR"/>
        </w:rPr>
      </w:pPr>
    </w:p>
    <w:p w14:paraId="010E1AF5" w14:textId="77777777" w:rsidR="004503D2" w:rsidRPr="00F65455" w:rsidRDefault="004503D2" w:rsidP="0071702C">
      <w:pPr>
        <w:jc w:val="both"/>
        <w:rPr>
          <w:rFonts w:ascii="Cambria" w:hAnsi="Cambria"/>
          <w:b/>
          <w:sz w:val="20"/>
          <w:szCs w:val="20"/>
          <w:lang w:val="pt-BR"/>
        </w:rPr>
      </w:pPr>
      <w:r w:rsidRPr="00F65455">
        <w:rPr>
          <w:rFonts w:ascii="Cambria" w:hAnsi="Cambria"/>
          <w:b/>
          <w:sz w:val="20"/>
          <w:szCs w:val="20"/>
          <w:lang w:val="pt-BR"/>
        </w:rPr>
        <w:t>A COMISSÃO INTERAMERICANA DE DIREITOS HUMANOS RECOMENDA AO ESTADO BRASILEIRO:</w:t>
      </w:r>
    </w:p>
    <w:p w14:paraId="152CCBD9" w14:textId="77777777" w:rsidR="004503D2" w:rsidRPr="00337743" w:rsidRDefault="004503D2" w:rsidP="0071702C">
      <w:pPr>
        <w:pStyle w:val="GradeClara-nfase31"/>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Times New Roman" w:cs="Tahoma"/>
          <w:color w:val="auto"/>
          <w:sz w:val="20"/>
          <w:szCs w:val="20"/>
          <w:bdr w:val="none" w:sz="0" w:space="0" w:color="auto"/>
          <w:lang w:val="pt-BR"/>
        </w:rPr>
      </w:pPr>
    </w:p>
    <w:p w14:paraId="72950910" w14:textId="77777777" w:rsidR="004503D2" w:rsidRPr="00337743" w:rsidRDefault="004503D2" w:rsidP="007170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60" w:right="56" w:hanging="360"/>
        <w:jc w:val="both"/>
        <w:rPr>
          <w:rFonts w:ascii="Cambria" w:eastAsia="Times New Roman" w:hAnsi="Cambria" w:cs="Tahoma"/>
          <w:sz w:val="20"/>
          <w:szCs w:val="20"/>
          <w:bdr w:val="none" w:sz="0" w:space="0" w:color="auto"/>
          <w:lang w:val="pt-BR"/>
        </w:rPr>
      </w:pPr>
      <w:r w:rsidRPr="00337743">
        <w:rPr>
          <w:rFonts w:ascii="Cambria" w:eastAsia="Times New Roman" w:hAnsi="Cambria" w:cs="Tahoma"/>
          <w:sz w:val="20"/>
          <w:szCs w:val="20"/>
          <w:bdr w:val="none" w:sz="0" w:space="0" w:color="auto"/>
          <w:lang w:val="pt-BR"/>
        </w:rPr>
        <w:t xml:space="preserve">Reparar integralmente as violações de direitos humanos declaradas no presente relatório tanto no aspecto material como imaterial, incluindo medidas de satisfação e uma compensação econômica. </w:t>
      </w:r>
    </w:p>
    <w:p w14:paraId="5A89B039" w14:textId="77777777" w:rsidR="004503D2" w:rsidRPr="00337743" w:rsidRDefault="004503D2" w:rsidP="0071702C">
      <w:pPr>
        <w:ind w:left="360" w:right="56" w:hanging="360"/>
        <w:rPr>
          <w:rFonts w:ascii="Cambria" w:eastAsia="Times New Roman" w:hAnsi="Cambria" w:cs="Tahoma"/>
          <w:sz w:val="20"/>
          <w:szCs w:val="20"/>
          <w:bdr w:val="none" w:sz="0" w:space="0" w:color="auto"/>
          <w:lang w:val="pt-BR"/>
        </w:rPr>
      </w:pPr>
    </w:p>
    <w:p w14:paraId="6F3A513F" w14:textId="77777777" w:rsidR="004503D2" w:rsidRPr="00337743" w:rsidRDefault="004503D2" w:rsidP="007170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60" w:right="56" w:hanging="360"/>
        <w:jc w:val="both"/>
        <w:rPr>
          <w:rFonts w:ascii="Cambria" w:eastAsia="Times New Roman" w:hAnsi="Cambria"/>
          <w:sz w:val="14"/>
          <w:szCs w:val="14"/>
          <w:bdr w:val="none" w:sz="0" w:space="0" w:color="auto"/>
          <w:lang w:val="pt-BR"/>
        </w:rPr>
      </w:pPr>
      <w:r w:rsidRPr="00337743">
        <w:rPr>
          <w:rFonts w:ascii="Cambria" w:eastAsia="Times New Roman" w:hAnsi="Cambria" w:cs="Tahoma"/>
          <w:sz w:val="20"/>
          <w:szCs w:val="20"/>
          <w:bdr w:val="none" w:sz="0" w:space="0" w:color="auto"/>
          <w:lang w:val="pt-BR"/>
        </w:rPr>
        <w:t>Dispor das medidas de atenção à saúde física e mental necessárias para a reabilitação d</w:t>
      </w:r>
      <w:r>
        <w:rPr>
          <w:rFonts w:ascii="Cambria" w:eastAsia="Times New Roman" w:hAnsi="Cambria" w:cs="Tahoma"/>
          <w:sz w:val="20"/>
          <w:szCs w:val="20"/>
          <w:bdr w:val="none" w:sz="0" w:space="0" w:color="auto"/>
          <w:lang w:val="pt-BR"/>
        </w:rPr>
        <w:t>os familiares de Manoel Luiz da Silva</w:t>
      </w:r>
      <w:r w:rsidRPr="00337743">
        <w:rPr>
          <w:rFonts w:ascii="Cambria" w:eastAsia="Times New Roman" w:hAnsi="Cambria" w:cs="Tahoma"/>
          <w:sz w:val="20"/>
          <w:szCs w:val="20"/>
          <w:bdr w:val="none" w:sz="0" w:space="0" w:color="auto"/>
          <w:lang w:val="pt-BR"/>
        </w:rPr>
        <w:t>, se assim for sua vontade e com seu acordo.</w:t>
      </w:r>
    </w:p>
    <w:p w14:paraId="2B4BD639" w14:textId="77777777" w:rsidR="004503D2" w:rsidRPr="00337743" w:rsidRDefault="004503D2" w:rsidP="0071702C">
      <w:pPr>
        <w:pStyle w:val="ListParagraph"/>
        <w:ind w:left="360" w:hanging="360"/>
        <w:rPr>
          <w:rFonts w:ascii="Cambria" w:eastAsia="Times New Roman" w:hAnsi="Cambria" w:cs="Tahoma"/>
          <w:sz w:val="20"/>
          <w:szCs w:val="20"/>
          <w:bdr w:val="none" w:sz="0" w:space="0" w:color="auto"/>
          <w:lang w:val="pt-BR"/>
        </w:rPr>
      </w:pPr>
    </w:p>
    <w:p w14:paraId="176617C2" w14:textId="3B576051" w:rsidR="004503D2" w:rsidRPr="006E0CFC" w:rsidRDefault="000D513E" w:rsidP="007170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60" w:right="56" w:hanging="360"/>
        <w:jc w:val="both"/>
        <w:rPr>
          <w:rFonts w:ascii="Cambria" w:eastAsia="Times New Roman" w:hAnsi="Cambria"/>
          <w:sz w:val="20"/>
          <w:szCs w:val="20"/>
          <w:bdr w:val="none" w:sz="0" w:space="0" w:color="auto"/>
          <w:lang w:val="pt-BR"/>
        </w:rPr>
      </w:pPr>
      <w:r>
        <w:rPr>
          <w:rFonts w:ascii="Cambria" w:eastAsia="Times New Roman" w:hAnsi="Cambria" w:cs="Tahoma"/>
          <w:sz w:val="20"/>
          <w:szCs w:val="20"/>
          <w:bdr w:val="none" w:sz="0" w:space="0" w:color="auto"/>
          <w:lang w:val="pt-BR"/>
        </w:rPr>
        <w:t xml:space="preserve">Dispor </w:t>
      </w:r>
      <w:r w:rsidR="004503D2" w:rsidRPr="00337743">
        <w:rPr>
          <w:rFonts w:ascii="Cambria" w:eastAsia="Times New Roman" w:hAnsi="Cambria" w:cs="Tahoma"/>
          <w:sz w:val="20"/>
          <w:szCs w:val="20"/>
          <w:bdr w:val="none" w:sz="0" w:space="0" w:color="auto"/>
          <w:lang w:val="pt-BR"/>
        </w:rPr>
        <w:t>uma investigação de maneira diligente, efetiva e dentro de um prazo razoável com o objetivo de esclarecer os atos de forma completa, identificar todas as possíveis responsabilidades a respeito do assassinato e aos atrasos que culminaram na impunidade. Levando em</w:t>
      </w:r>
      <w:r w:rsidR="004503D2" w:rsidRPr="00337743">
        <w:rPr>
          <w:rFonts w:ascii="Cambria" w:hAnsi="Cambria"/>
          <w:sz w:val="20"/>
          <w:szCs w:val="20"/>
          <w:lang w:val="pt-BR"/>
        </w:rPr>
        <w:t xml:space="preserve"> conta a gravidade dos atos e os padrões interamericanos a esse respeito, a Comiss</w:t>
      </w:r>
      <w:r w:rsidR="004503D2" w:rsidRPr="000D2686">
        <w:rPr>
          <w:rFonts w:ascii="Cambria" w:hAnsi="Cambria"/>
          <w:sz w:val="20"/>
          <w:szCs w:val="20"/>
          <w:lang w:val="pt-BR"/>
        </w:rPr>
        <w:t>ão destaca que o Estado não poderá opor</w:t>
      </w:r>
      <w:r w:rsidR="0048335A">
        <w:rPr>
          <w:rFonts w:ascii="Cambria" w:hAnsi="Cambria"/>
          <w:sz w:val="20"/>
          <w:szCs w:val="20"/>
          <w:lang w:val="pt-BR"/>
        </w:rPr>
        <w:t xml:space="preserve"> a figura da</w:t>
      </w:r>
      <w:r>
        <w:rPr>
          <w:rFonts w:ascii="Cambria" w:hAnsi="Cambria"/>
          <w:sz w:val="20"/>
          <w:szCs w:val="20"/>
          <w:lang w:val="pt-BR"/>
        </w:rPr>
        <w:t xml:space="preserve"> </w:t>
      </w:r>
      <w:r w:rsidR="004503D2" w:rsidRPr="000D2686">
        <w:rPr>
          <w:rFonts w:ascii="Cambria" w:hAnsi="Cambria"/>
          <w:sz w:val="20"/>
          <w:szCs w:val="20"/>
          <w:lang w:val="pt-BR"/>
        </w:rPr>
        <w:t xml:space="preserve">prescrição, para </w:t>
      </w:r>
      <w:r w:rsidR="004503D2" w:rsidRPr="00DA70BD">
        <w:rPr>
          <w:rFonts w:ascii="Cambria" w:hAnsi="Cambria"/>
          <w:sz w:val="20"/>
          <w:szCs w:val="20"/>
          <w:lang w:val="pt-BR"/>
        </w:rPr>
        <w:t>justificar o não cumprimento desta recomendação.</w:t>
      </w:r>
    </w:p>
    <w:p w14:paraId="42AA3928" w14:textId="77777777" w:rsidR="004503D2" w:rsidRPr="006E0CFC" w:rsidRDefault="004503D2" w:rsidP="0071702C">
      <w:pPr>
        <w:pStyle w:val="ListParagraph"/>
        <w:ind w:left="360" w:hanging="360"/>
        <w:rPr>
          <w:rFonts w:ascii="Cambria" w:eastAsia="Times New Roman" w:hAnsi="Cambria"/>
          <w:sz w:val="20"/>
          <w:szCs w:val="20"/>
          <w:bdr w:val="none" w:sz="0" w:space="0" w:color="auto"/>
          <w:lang w:val="pt-BR"/>
        </w:rPr>
      </w:pPr>
    </w:p>
    <w:p w14:paraId="175F788B" w14:textId="77777777" w:rsidR="004503D2" w:rsidRPr="006E0CFC" w:rsidRDefault="004503D2" w:rsidP="007170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60" w:right="56" w:hanging="360"/>
        <w:jc w:val="both"/>
        <w:rPr>
          <w:rFonts w:ascii="Cambria" w:eastAsia="Times New Roman" w:hAnsi="Cambria"/>
          <w:sz w:val="20"/>
          <w:szCs w:val="20"/>
          <w:bdr w:val="none" w:sz="0" w:space="0" w:color="auto"/>
          <w:lang w:val="pt-BR"/>
        </w:rPr>
      </w:pPr>
      <w:r w:rsidRPr="006E0CFC">
        <w:rPr>
          <w:rFonts w:ascii="Cambria" w:eastAsia="Times New Roman" w:hAnsi="Cambria"/>
          <w:sz w:val="20"/>
          <w:szCs w:val="20"/>
          <w:bdr w:val="none" w:sz="0" w:space="0" w:color="auto"/>
          <w:lang w:val="pt-BR"/>
        </w:rPr>
        <w:lastRenderedPageBreak/>
        <w:t>Dispor medidas de não repetição que incluam</w:t>
      </w:r>
      <w:r w:rsidRPr="002A23A0">
        <w:rPr>
          <w:rFonts w:ascii="Cambria" w:eastAsia="Times New Roman" w:hAnsi="Cambria"/>
          <w:sz w:val="20"/>
          <w:szCs w:val="20"/>
          <w:bdr w:val="none" w:sz="0" w:space="0" w:color="auto"/>
          <w:lang w:val="pt-BR"/>
        </w:rPr>
        <w:t xml:space="preserve"> realizar u</w:t>
      </w:r>
      <w:r w:rsidRPr="006E0CFC">
        <w:rPr>
          <w:rFonts w:ascii="Cambria" w:eastAsia="Times New Roman" w:hAnsi="Cambria"/>
          <w:sz w:val="20"/>
          <w:szCs w:val="20"/>
          <w:bdr w:val="none" w:sz="0" w:space="0" w:color="auto"/>
          <w:lang w:val="pt-BR"/>
        </w:rPr>
        <w:t>m</w:t>
      </w:r>
      <w:r w:rsidRPr="002A23A0">
        <w:rPr>
          <w:rFonts w:ascii="Cambria" w:eastAsia="Times New Roman" w:hAnsi="Cambria"/>
          <w:sz w:val="20"/>
          <w:szCs w:val="20"/>
          <w:bdr w:val="none" w:sz="0" w:space="0" w:color="auto"/>
          <w:lang w:val="pt-BR"/>
        </w:rPr>
        <w:t xml:space="preserve"> diagnóstico sobre a situa</w:t>
      </w:r>
      <w:r w:rsidRPr="006E0CFC">
        <w:rPr>
          <w:rFonts w:ascii="Cambria" w:eastAsia="Times New Roman" w:hAnsi="Cambria"/>
          <w:sz w:val="20"/>
          <w:szCs w:val="20"/>
          <w:bdr w:val="none" w:sz="0" w:space="0" w:color="auto"/>
          <w:lang w:val="pt-BR"/>
        </w:rPr>
        <w:t>ção</w:t>
      </w:r>
      <w:r w:rsidRPr="002A23A0">
        <w:rPr>
          <w:rFonts w:ascii="Cambria" w:eastAsia="Times New Roman" w:hAnsi="Cambria"/>
          <w:sz w:val="20"/>
          <w:szCs w:val="20"/>
          <w:bdr w:val="none" w:sz="0" w:space="0" w:color="auto"/>
          <w:lang w:val="pt-BR"/>
        </w:rPr>
        <w:t xml:space="preserve"> de viol</w:t>
      </w:r>
      <w:r w:rsidRPr="006E0CFC">
        <w:rPr>
          <w:rFonts w:ascii="Cambria" w:eastAsia="Times New Roman" w:hAnsi="Cambria"/>
          <w:sz w:val="20"/>
          <w:szCs w:val="20"/>
          <w:bdr w:val="none" w:sz="0" w:space="0" w:color="auto"/>
          <w:lang w:val="pt-BR"/>
        </w:rPr>
        <w:t>ê</w:t>
      </w:r>
      <w:r w:rsidRPr="002A23A0">
        <w:rPr>
          <w:rFonts w:ascii="Cambria" w:eastAsia="Times New Roman" w:hAnsi="Cambria"/>
          <w:sz w:val="20"/>
          <w:szCs w:val="20"/>
          <w:bdr w:val="none" w:sz="0" w:space="0" w:color="auto"/>
          <w:lang w:val="pt-BR"/>
        </w:rPr>
        <w:t xml:space="preserve">ncia </w:t>
      </w:r>
      <w:r w:rsidRPr="006E0CFC">
        <w:rPr>
          <w:rFonts w:ascii="Cambria" w:eastAsia="Times New Roman" w:hAnsi="Cambria"/>
          <w:sz w:val="20"/>
          <w:szCs w:val="20"/>
          <w:bdr w:val="none" w:sz="0" w:space="0" w:color="auto"/>
          <w:lang w:val="pt-BR"/>
        </w:rPr>
        <w:t xml:space="preserve">no </w:t>
      </w:r>
      <w:r w:rsidRPr="002A23A0">
        <w:rPr>
          <w:rFonts w:ascii="Cambria" w:eastAsia="Times New Roman" w:hAnsi="Cambria"/>
          <w:sz w:val="20"/>
          <w:szCs w:val="20"/>
          <w:bdr w:val="none" w:sz="0" w:space="0" w:color="auto"/>
          <w:lang w:val="pt-BR"/>
        </w:rPr>
        <w:t xml:space="preserve"> setor rural </w:t>
      </w:r>
      <w:r w:rsidRPr="006E0CFC">
        <w:rPr>
          <w:rFonts w:ascii="Cambria" w:eastAsia="Times New Roman" w:hAnsi="Cambria"/>
          <w:sz w:val="20"/>
          <w:szCs w:val="20"/>
          <w:bdr w:val="none" w:sz="0" w:space="0" w:color="auto"/>
          <w:lang w:val="pt-BR"/>
        </w:rPr>
        <w:t>no</w:t>
      </w:r>
      <w:r w:rsidRPr="002A23A0">
        <w:rPr>
          <w:rFonts w:ascii="Cambria" w:eastAsia="Times New Roman" w:hAnsi="Cambria"/>
          <w:sz w:val="20"/>
          <w:szCs w:val="20"/>
          <w:bdr w:val="none" w:sz="0" w:space="0" w:color="auto"/>
          <w:lang w:val="pt-BR"/>
        </w:rPr>
        <w:t xml:space="preserve"> Brasil como conse</w:t>
      </w:r>
      <w:r w:rsidRPr="006E0CFC">
        <w:rPr>
          <w:rFonts w:ascii="Cambria" w:eastAsia="Times New Roman" w:hAnsi="Cambria"/>
          <w:sz w:val="20"/>
          <w:szCs w:val="20"/>
          <w:bdr w:val="none" w:sz="0" w:space="0" w:color="auto"/>
          <w:lang w:val="pt-BR"/>
        </w:rPr>
        <w:t>quê</w:t>
      </w:r>
      <w:r w:rsidRPr="002A23A0">
        <w:rPr>
          <w:rFonts w:ascii="Cambria" w:eastAsia="Times New Roman" w:hAnsi="Cambria"/>
          <w:sz w:val="20"/>
          <w:szCs w:val="20"/>
          <w:bdr w:val="none" w:sz="0" w:space="0" w:color="auto"/>
          <w:lang w:val="pt-BR"/>
        </w:rPr>
        <w:t xml:space="preserve">ncia </w:t>
      </w:r>
      <w:r w:rsidRPr="006E0CFC">
        <w:rPr>
          <w:rFonts w:ascii="Cambria" w:eastAsia="Times New Roman" w:hAnsi="Cambria"/>
          <w:sz w:val="20"/>
          <w:szCs w:val="20"/>
          <w:bdr w:val="none" w:sz="0" w:space="0" w:color="auto"/>
          <w:lang w:val="pt-BR"/>
        </w:rPr>
        <w:t xml:space="preserve">dos </w:t>
      </w:r>
      <w:r w:rsidRPr="002A23A0">
        <w:rPr>
          <w:rFonts w:ascii="Cambria" w:eastAsia="Times New Roman" w:hAnsi="Cambria"/>
          <w:sz w:val="20"/>
          <w:szCs w:val="20"/>
          <w:bdr w:val="none" w:sz="0" w:space="0" w:color="auto"/>
          <w:lang w:val="pt-BR"/>
        </w:rPr>
        <w:t xml:space="preserve">conflitos </w:t>
      </w:r>
      <w:r w:rsidRPr="006E0CFC">
        <w:rPr>
          <w:rFonts w:ascii="Cambria" w:eastAsia="Times New Roman" w:hAnsi="Cambria"/>
          <w:sz w:val="20"/>
          <w:szCs w:val="20"/>
          <w:bdr w:val="none" w:sz="0" w:space="0" w:color="auto"/>
          <w:lang w:val="pt-BR"/>
        </w:rPr>
        <w:t>pe</w:t>
      </w:r>
      <w:r w:rsidRPr="002A23A0">
        <w:rPr>
          <w:rFonts w:ascii="Cambria" w:eastAsia="Times New Roman" w:hAnsi="Cambria"/>
          <w:sz w:val="20"/>
          <w:szCs w:val="20"/>
          <w:bdr w:val="none" w:sz="0" w:space="0" w:color="auto"/>
          <w:lang w:val="pt-BR"/>
        </w:rPr>
        <w:t xml:space="preserve">la terra, </w:t>
      </w:r>
      <w:r w:rsidRPr="006E0CFC">
        <w:rPr>
          <w:rFonts w:ascii="Cambria" w:eastAsia="Times New Roman" w:hAnsi="Cambria"/>
          <w:sz w:val="20"/>
          <w:szCs w:val="20"/>
          <w:bdr w:val="none" w:sz="0" w:space="0" w:color="auto"/>
          <w:lang w:val="pt-BR"/>
        </w:rPr>
        <w:t xml:space="preserve">e </w:t>
      </w:r>
      <w:r w:rsidRPr="002A23A0">
        <w:rPr>
          <w:rFonts w:ascii="Cambria" w:eastAsia="Times New Roman" w:hAnsi="Cambria"/>
          <w:sz w:val="20"/>
          <w:szCs w:val="20"/>
          <w:bdr w:val="none" w:sz="0" w:space="0" w:color="auto"/>
          <w:lang w:val="pt-BR"/>
        </w:rPr>
        <w:t xml:space="preserve">adotar medidas legislativas, administrativas </w:t>
      </w:r>
      <w:r w:rsidRPr="006E0CFC">
        <w:rPr>
          <w:rFonts w:ascii="Cambria" w:eastAsia="Times New Roman" w:hAnsi="Cambria"/>
          <w:sz w:val="20"/>
          <w:szCs w:val="20"/>
          <w:bdr w:val="none" w:sz="0" w:space="0" w:color="auto"/>
          <w:lang w:val="pt-BR"/>
        </w:rPr>
        <w:t>e</w:t>
      </w:r>
      <w:r w:rsidRPr="002A23A0">
        <w:rPr>
          <w:rFonts w:ascii="Cambria" w:eastAsia="Times New Roman" w:hAnsi="Cambria"/>
          <w:sz w:val="20"/>
          <w:szCs w:val="20"/>
          <w:bdr w:val="none" w:sz="0" w:space="0" w:color="auto"/>
          <w:lang w:val="pt-BR"/>
        </w:rPr>
        <w:t xml:space="preserve"> de o</w:t>
      </w:r>
      <w:r w:rsidRPr="006E0CFC">
        <w:rPr>
          <w:rFonts w:ascii="Cambria" w:eastAsia="Times New Roman" w:hAnsi="Cambria"/>
          <w:sz w:val="20"/>
          <w:szCs w:val="20"/>
          <w:bdr w:val="none" w:sz="0" w:space="0" w:color="auto"/>
          <w:lang w:val="pt-BR"/>
        </w:rPr>
        <w:t>u</w:t>
      </w:r>
      <w:r w:rsidRPr="002A23A0">
        <w:rPr>
          <w:rFonts w:ascii="Cambria" w:eastAsia="Times New Roman" w:hAnsi="Cambria"/>
          <w:sz w:val="20"/>
          <w:szCs w:val="20"/>
          <w:bdr w:val="none" w:sz="0" w:space="0" w:color="auto"/>
          <w:lang w:val="pt-BR"/>
        </w:rPr>
        <w:t>tra índole para enfrentar di</w:t>
      </w:r>
      <w:r w:rsidRPr="006E0CFC">
        <w:rPr>
          <w:rFonts w:ascii="Cambria" w:eastAsia="Times New Roman" w:hAnsi="Cambria"/>
          <w:sz w:val="20"/>
          <w:szCs w:val="20"/>
          <w:bdr w:val="none" w:sz="0" w:space="0" w:color="auto"/>
          <w:lang w:val="pt-BR"/>
        </w:rPr>
        <w:t>t</w:t>
      </w:r>
      <w:r w:rsidRPr="002A23A0">
        <w:rPr>
          <w:rFonts w:ascii="Cambria" w:eastAsia="Times New Roman" w:hAnsi="Cambria"/>
          <w:sz w:val="20"/>
          <w:szCs w:val="20"/>
          <w:bdr w:val="none" w:sz="0" w:space="0" w:color="auto"/>
          <w:lang w:val="pt-BR"/>
        </w:rPr>
        <w:t>a situa</w:t>
      </w:r>
      <w:r w:rsidRPr="006E0CFC">
        <w:rPr>
          <w:rFonts w:ascii="Cambria" w:eastAsia="Times New Roman" w:hAnsi="Cambria"/>
          <w:sz w:val="20"/>
          <w:szCs w:val="20"/>
          <w:bdr w:val="none" w:sz="0" w:space="0" w:color="auto"/>
          <w:lang w:val="pt-BR"/>
        </w:rPr>
        <w:t>ção</w:t>
      </w:r>
      <w:r w:rsidRPr="002A23A0">
        <w:rPr>
          <w:rFonts w:ascii="Cambria" w:eastAsia="Times New Roman" w:hAnsi="Cambria"/>
          <w:sz w:val="20"/>
          <w:szCs w:val="20"/>
          <w:bdr w:val="none" w:sz="0" w:space="0" w:color="auto"/>
          <w:lang w:val="pt-BR"/>
        </w:rPr>
        <w:t>, abordando efetiva e integralmente su</w:t>
      </w:r>
      <w:r w:rsidRPr="006E0CFC">
        <w:rPr>
          <w:rFonts w:ascii="Cambria" w:eastAsia="Times New Roman" w:hAnsi="Cambria"/>
          <w:sz w:val="20"/>
          <w:szCs w:val="20"/>
          <w:bdr w:val="none" w:sz="0" w:space="0" w:color="auto"/>
          <w:lang w:val="pt-BR"/>
        </w:rPr>
        <w:t>a</w:t>
      </w:r>
      <w:r w:rsidRPr="002A23A0">
        <w:rPr>
          <w:rFonts w:ascii="Cambria" w:eastAsia="Times New Roman" w:hAnsi="Cambria"/>
          <w:sz w:val="20"/>
          <w:szCs w:val="20"/>
          <w:bdr w:val="none" w:sz="0" w:space="0" w:color="auto"/>
          <w:lang w:val="pt-BR"/>
        </w:rPr>
        <w:t>s causas estrutura</w:t>
      </w:r>
      <w:r w:rsidRPr="006E0CFC">
        <w:rPr>
          <w:rFonts w:ascii="Cambria" w:eastAsia="Times New Roman" w:hAnsi="Cambria"/>
          <w:sz w:val="20"/>
          <w:szCs w:val="20"/>
          <w:bdr w:val="none" w:sz="0" w:space="0" w:color="auto"/>
          <w:lang w:val="pt-BR"/>
        </w:rPr>
        <w:t>i</w:t>
      </w:r>
      <w:r w:rsidRPr="002A23A0">
        <w:rPr>
          <w:rFonts w:ascii="Cambria" w:eastAsia="Times New Roman" w:hAnsi="Cambria"/>
          <w:sz w:val="20"/>
          <w:szCs w:val="20"/>
          <w:bdr w:val="none" w:sz="0" w:space="0" w:color="auto"/>
          <w:lang w:val="pt-BR"/>
        </w:rPr>
        <w:t xml:space="preserve">s. </w:t>
      </w:r>
      <w:r w:rsidRPr="006E0CFC">
        <w:rPr>
          <w:rFonts w:ascii="Cambria" w:eastAsia="Times New Roman" w:hAnsi="Cambria"/>
          <w:sz w:val="20"/>
          <w:szCs w:val="20"/>
          <w:bdr w:val="none" w:sz="0" w:space="0" w:color="auto"/>
          <w:lang w:val="pt-BR"/>
        </w:rPr>
        <w:t>Assim</w:t>
      </w:r>
      <w:r w:rsidRPr="002A23A0">
        <w:rPr>
          <w:rFonts w:ascii="Cambria" w:eastAsia="Times New Roman" w:hAnsi="Cambria"/>
          <w:sz w:val="20"/>
          <w:szCs w:val="20"/>
          <w:bdr w:val="none" w:sz="0" w:space="0" w:color="auto"/>
          <w:lang w:val="pt-BR"/>
        </w:rPr>
        <w:t xml:space="preserve">, </w:t>
      </w:r>
      <w:r w:rsidRPr="006E0CFC">
        <w:rPr>
          <w:rFonts w:ascii="Cambria" w:eastAsia="Times New Roman" w:hAnsi="Cambria"/>
          <w:sz w:val="20"/>
          <w:szCs w:val="20"/>
          <w:bdr w:val="none" w:sz="0" w:space="0" w:color="auto"/>
          <w:lang w:val="pt-BR"/>
        </w:rPr>
        <w:t>o</w:t>
      </w:r>
      <w:r w:rsidRPr="002A23A0">
        <w:rPr>
          <w:rFonts w:ascii="Cambria" w:eastAsia="Times New Roman" w:hAnsi="Cambria"/>
          <w:sz w:val="20"/>
          <w:szCs w:val="20"/>
          <w:bdr w:val="none" w:sz="0" w:space="0" w:color="auto"/>
          <w:lang w:val="pt-BR"/>
        </w:rPr>
        <w:t xml:space="preserve"> Estado de</w:t>
      </w:r>
      <w:r w:rsidRPr="006E0CFC">
        <w:rPr>
          <w:rFonts w:ascii="Cambria" w:eastAsia="Times New Roman" w:hAnsi="Cambria"/>
          <w:sz w:val="20"/>
          <w:szCs w:val="20"/>
          <w:bdr w:val="none" w:sz="0" w:space="0" w:color="auto"/>
          <w:lang w:val="pt-BR"/>
        </w:rPr>
        <w:t>v</w:t>
      </w:r>
      <w:r w:rsidRPr="002A23A0">
        <w:rPr>
          <w:rFonts w:ascii="Cambria" w:eastAsia="Times New Roman" w:hAnsi="Cambria"/>
          <w:sz w:val="20"/>
          <w:szCs w:val="20"/>
          <w:bdr w:val="none" w:sz="0" w:space="0" w:color="auto"/>
          <w:lang w:val="pt-BR"/>
        </w:rPr>
        <w:t>erá fortalecer a capacidad</w:t>
      </w:r>
      <w:r w:rsidRPr="006E0CFC">
        <w:rPr>
          <w:rFonts w:ascii="Cambria" w:eastAsia="Times New Roman" w:hAnsi="Cambria"/>
          <w:sz w:val="20"/>
          <w:szCs w:val="20"/>
          <w:bdr w:val="none" w:sz="0" w:space="0" w:color="auto"/>
          <w:lang w:val="pt-BR"/>
        </w:rPr>
        <w:t>e</w:t>
      </w:r>
      <w:r w:rsidRPr="002A23A0">
        <w:rPr>
          <w:rFonts w:ascii="Cambria" w:eastAsia="Times New Roman" w:hAnsi="Cambria"/>
          <w:sz w:val="20"/>
          <w:szCs w:val="20"/>
          <w:bdr w:val="none" w:sz="0" w:space="0" w:color="auto"/>
          <w:lang w:val="pt-BR"/>
        </w:rPr>
        <w:t xml:space="preserve"> investigativa d</w:t>
      </w:r>
      <w:r w:rsidRPr="006E0CFC">
        <w:rPr>
          <w:rFonts w:ascii="Cambria" w:eastAsia="Times New Roman" w:hAnsi="Cambria"/>
          <w:sz w:val="20"/>
          <w:szCs w:val="20"/>
          <w:bdr w:val="none" w:sz="0" w:space="0" w:color="auto"/>
          <w:lang w:val="pt-BR"/>
        </w:rPr>
        <w:t>e</w:t>
      </w:r>
      <w:r w:rsidRPr="002A23A0">
        <w:rPr>
          <w:rFonts w:ascii="Cambria" w:eastAsia="Times New Roman" w:hAnsi="Cambria"/>
          <w:sz w:val="20"/>
          <w:szCs w:val="20"/>
          <w:bdr w:val="none" w:sz="0" w:space="0" w:color="auto"/>
          <w:lang w:val="pt-BR"/>
        </w:rPr>
        <w:t>ste tipo de cr</w:t>
      </w:r>
      <w:r w:rsidRPr="006E0CFC">
        <w:rPr>
          <w:rFonts w:ascii="Cambria" w:eastAsia="Times New Roman" w:hAnsi="Cambria"/>
          <w:sz w:val="20"/>
          <w:szCs w:val="20"/>
          <w:bdr w:val="none" w:sz="0" w:space="0" w:color="auto"/>
          <w:lang w:val="pt-BR"/>
        </w:rPr>
        <w:t>i</w:t>
      </w:r>
      <w:r w:rsidRPr="002A23A0">
        <w:rPr>
          <w:rFonts w:ascii="Cambria" w:eastAsia="Times New Roman" w:hAnsi="Cambria"/>
          <w:sz w:val="20"/>
          <w:szCs w:val="20"/>
          <w:bdr w:val="none" w:sz="0" w:space="0" w:color="auto"/>
          <w:lang w:val="pt-BR"/>
        </w:rPr>
        <w:t>me, a</w:t>
      </w:r>
      <w:r w:rsidRPr="006E0CFC">
        <w:rPr>
          <w:rFonts w:ascii="Cambria" w:eastAsia="Times New Roman" w:hAnsi="Cambria"/>
          <w:sz w:val="20"/>
          <w:szCs w:val="20"/>
          <w:bdr w:val="none" w:sz="0" w:space="0" w:color="auto"/>
          <w:lang w:val="pt-BR"/>
        </w:rPr>
        <w:t>s</w:t>
      </w:r>
      <w:r w:rsidRPr="002A23A0">
        <w:rPr>
          <w:rFonts w:ascii="Cambria" w:eastAsia="Times New Roman" w:hAnsi="Cambria"/>
          <w:sz w:val="20"/>
          <w:szCs w:val="20"/>
          <w:bdr w:val="none" w:sz="0" w:space="0" w:color="auto"/>
          <w:lang w:val="pt-BR"/>
        </w:rPr>
        <w:t>segurando que se c</w:t>
      </w:r>
      <w:r w:rsidRPr="006E0CFC">
        <w:rPr>
          <w:rFonts w:ascii="Cambria" w:eastAsia="Times New Roman" w:hAnsi="Cambria"/>
          <w:sz w:val="20"/>
          <w:szCs w:val="20"/>
          <w:bdr w:val="none" w:sz="0" w:space="0" w:color="auto"/>
          <w:lang w:val="pt-BR"/>
        </w:rPr>
        <w:t>o</w:t>
      </w:r>
      <w:r w:rsidRPr="002A23A0">
        <w:rPr>
          <w:rFonts w:ascii="Cambria" w:eastAsia="Times New Roman" w:hAnsi="Cambria"/>
          <w:sz w:val="20"/>
          <w:szCs w:val="20"/>
          <w:bdr w:val="none" w:sz="0" w:space="0" w:color="auto"/>
          <w:lang w:val="pt-BR"/>
        </w:rPr>
        <w:t>nte co</w:t>
      </w:r>
      <w:r w:rsidRPr="006E0CFC">
        <w:rPr>
          <w:rFonts w:ascii="Cambria" w:eastAsia="Times New Roman" w:hAnsi="Cambria"/>
          <w:sz w:val="20"/>
          <w:szCs w:val="20"/>
          <w:bdr w:val="none" w:sz="0" w:space="0" w:color="auto"/>
          <w:lang w:val="pt-BR"/>
        </w:rPr>
        <w:t>m</w:t>
      </w:r>
      <w:r w:rsidRPr="002A23A0">
        <w:rPr>
          <w:rFonts w:ascii="Cambria" w:eastAsia="Times New Roman" w:hAnsi="Cambria"/>
          <w:sz w:val="20"/>
          <w:szCs w:val="20"/>
          <w:bdr w:val="none" w:sz="0" w:space="0" w:color="auto"/>
          <w:lang w:val="pt-BR"/>
        </w:rPr>
        <w:t xml:space="preserve"> todos </w:t>
      </w:r>
      <w:r w:rsidRPr="006E0CFC">
        <w:rPr>
          <w:rFonts w:ascii="Cambria" w:eastAsia="Times New Roman" w:hAnsi="Cambria"/>
          <w:sz w:val="20"/>
          <w:szCs w:val="20"/>
          <w:bdr w:val="none" w:sz="0" w:space="0" w:color="auto"/>
          <w:lang w:val="pt-BR"/>
        </w:rPr>
        <w:t>os</w:t>
      </w:r>
      <w:r w:rsidRPr="002A23A0">
        <w:rPr>
          <w:rFonts w:ascii="Cambria" w:eastAsia="Times New Roman" w:hAnsi="Cambria"/>
          <w:sz w:val="20"/>
          <w:szCs w:val="20"/>
          <w:bdr w:val="none" w:sz="0" w:space="0" w:color="auto"/>
          <w:lang w:val="pt-BR"/>
        </w:rPr>
        <w:t xml:space="preserve"> meios neces</w:t>
      </w:r>
      <w:r w:rsidRPr="006E0CFC">
        <w:rPr>
          <w:rFonts w:ascii="Cambria" w:eastAsia="Times New Roman" w:hAnsi="Cambria"/>
          <w:sz w:val="20"/>
          <w:szCs w:val="20"/>
          <w:bdr w:val="none" w:sz="0" w:space="0" w:color="auto"/>
          <w:lang w:val="pt-BR"/>
        </w:rPr>
        <w:t>sá</w:t>
      </w:r>
      <w:r w:rsidRPr="002A23A0">
        <w:rPr>
          <w:rFonts w:ascii="Cambria" w:eastAsia="Times New Roman" w:hAnsi="Cambria"/>
          <w:sz w:val="20"/>
          <w:szCs w:val="20"/>
          <w:bdr w:val="none" w:sz="0" w:space="0" w:color="auto"/>
          <w:lang w:val="pt-BR"/>
        </w:rPr>
        <w:t>rios para esclar</w:t>
      </w:r>
      <w:r w:rsidRPr="006E0CFC">
        <w:rPr>
          <w:rFonts w:ascii="Cambria" w:eastAsia="Times New Roman" w:hAnsi="Cambria"/>
          <w:sz w:val="20"/>
          <w:szCs w:val="20"/>
          <w:bdr w:val="none" w:sz="0" w:space="0" w:color="auto"/>
          <w:lang w:val="pt-BR"/>
        </w:rPr>
        <w:t>ecê-</w:t>
      </w:r>
      <w:r w:rsidRPr="002A23A0">
        <w:rPr>
          <w:rFonts w:ascii="Cambria" w:eastAsia="Times New Roman" w:hAnsi="Cambria"/>
          <w:sz w:val="20"/>
          <w:szCs w:val="20"/>
          <w:bdr w:val="none" w:sz="0" w:space="0" w:color="auto"/>
          <w:lang w:val="pt-BR"/>
        </w:rPr>
        <w:t>los ade</w:t>
      </w:r>
      <w:r w:rsidRPr="006E0CFC">
        <w:rPr>
          <w:rFonts w:ascii="Cambria" w:eastAsia="Times New Roman" w:hAnsi="Cambria"/>
          <w:sz w:val="20"/>
          <w:szCs w:val="20"/>
          <w:bdr w:val="none" w:sz="0" w:space="0" w:color="auto"/>
          <w:lang w:val="pt-BR"/>
        </w:rPr>
        <w:t>q</w:t>
      </w:r>
      <w:r w:rsidRPr="002A23A0">
        <w:rPr>
          <w:rFonts w:ascii="Cambria" w:eastAsia="Times New Roman" w:hAnsi="Cambria"/>
          <w:sz w:val="20"/>
          <w:szCs w:val="20"/>
          <w:bdr w:val="none" w:sz="0" w:space="0" w:color="auto"/>
          <w:lang w:val="pt-BR"/>
        </w:rPr>
        <w:t xml:space="preserve">uadamente </w:t>
      </w:r>
      <w:r w:rsidRPr="006E0CFC">
        <w:rPr>
          <w:rFonts w:ascii="Cambria" w:eastAsia="Times New Roman" w:hAnsi="Cambria"/>
          <w:sz w:val="20"/>
          <w:szCs w:val="20"/>
          <w:bdr w:val="none" w:sz="0" w:space="0" w:color="auto"/>
          <w:lang w:val="pt-BR"/>
        </w:rPr>
        <w:t>e</w:t>
      </w:r>
      <w:r w:rsidRPr="002A23A0">
        <w:rPr>
          <w:rFonts w:ascii="Cambria" w:eastAsia="Times New Roman" w:hAnsi="Cambria"/>
          <w:sz w:val="20"/>
          <w:szCs w:val="20"/>
          <w:bdr w:val="none" w:sz="0" w:space="0" w:color="auto"/>
          <w:lang w:val="pt-BR"/>
        </w:rPr>
        <w:t xml:space="preserve"> para desentra</w:t>
      </w:r>
      <w:r w:rsidRPr="006E0CFC">
        <w:rPr>
          <w:rFonts w:ascii="Cambria" w:eastAsia="Times New Roman" w:hAnsi="Cambria"/>
          <w:sz w:val="20"/>
          <w:szCs w:val="20"/>
          <w:bdr w:val="none" w:sz="0" w:space="0" w:color="auto"/>
          <w:lang w:val="pt-BR"/>
        </w:rPr>
        <w:t>nh</w:t>
      </w:r>
      <w:r w:rsidRPr="002A23A0">
        <w:rPr>
          <w:rFonts w:ascii="Cambria" w:eastAsia="Times New Roman" w:hAnsi="Cambria"/>
          <w:sz w:val="20"/>
          <w:szCs w:val="20"/>
          <w:bdr w:val="none" w:sz="0" w:space="0" w:color="auto"/>
          <w:lang w:val="pt-BR"/>
        </w:rPr>
        <w:t>ar as estruturas de poder que permite</w:t>
      </w:r>
      <w:r w:rsidRPr="006E0CFC">
        <w:rPr>
          <w:rFonts w:ascii="Cambria" w:eastAsia="Times New Roman" w:hAnsi="Cambria"/>
          <w:sz w:val="20"/>
          <w:szCs w:val="20"/>
          <w:bdr w:val="none" w:sz="0" w:space="0" w:color="auto"/>
          <w:lang w:val="pt-BR"/>
        </w:rPr>
        <w:t>m</w:t>
      </w:r>
      <w:r w:rsidRPr="002A23A0">
        <w:rPr>
          <w:rFonts w:ascii="Cambria" w:eastAsia="Times New Roman" w:hAnsi="Cambria"/>
          <w:sz w:val="20"/>
          <w:szCs w:val="20"/>
          <w:bdr w:val="none" w:sz="0" w:space="0" w:color="auto"/>
          <w:lang w:val="pt-BR"/>
        </w:rPr>
        <w:t xml:space="preserve"> su</w:t>
      </w:r>
      <w:r w:rsidRPr="006E0CFC">
        <w:rPr>
          <w:rFonts w:ascii="Cambria" w:eastAsia="Times New Roman" w:hAnsi="Cambria"/>
          <w:sz w:val="20"/>
          <w:szCs w:val="20"/>
          <w:bdr w:val="none" w:sz="0" w:space="0" w:color="auto"/>
          <w:lang w:val="pt-BR"/>
        </w:rPr>
        <w:t>a</w:t>
      </w:r>
      <w:r w:rsidRPr="002A23A0">
        <w:rPr>
          <w:rFonts w:ascii="Cambria" w:eastAsia="Times New Roman" w:hAnsi="Cambria"/>
          <w:sz w:val="20"/>
          <w:szCs w:val="20"/>
          <w:bdr w:val="none" w:sz="0" w:space="0" w:color="auto"/>
          <w:lang w:val="pt-BR"/>
        </w:rPr>
        <w:t xml:space="preserve"> continuidad</w:t>
      </w:r>
      <w:r w:rsidRPr="006E0CFC">
        <w:rPr>
          <w:rFonts w:ascii="Cambria" w:eastAsia="Times New Roman" w:hAnsi="Cambria"/>
          <w:sz w:val="20"/>
          <w:szCs w:val="20"/>
          <w:bdr w:val="none" w:sz="0" w:space="0" w:color="auto"/>
          <w:lang w:val="pt-BR"/>
        </w:rPr>
        <w:t>e</w:t>
      </w:r>
      <w:r w:rsidRPr="002A23A0">
        <w:rPr>
          <w:rFonts w:ascii="Cambria" w:eastAsia="Times New Roman" w:hAnsi="Cambria"/>
          <w:sz w:val="20"/>
          <w:szCs w:val="20"/>
          <w:bdr w:val="none" w:sz="0" w:space="0" w:color="auto"/>
          <w:lang w:val="pt-BR"/>
        </w:rPr>
        <w:t xml:space="preserve">.  </w:t>
      </w:r>
      <w:r w:rsidRPr="006E0CFC">
        <w:rPr>
          <w:rFonts w:ascii="Cambria" w:eastAsia="Times New Roman" w:hAnsi="Cambria"/>
          <w:sz w:val="20"/>
          <w:szCs w:val="20"/>
          <w:bdr w:val="none" w:sz="0" w:space="0" w:color="auto"/>
          <w:lang w:val="pt-BR"/>
        </w:rPr>
        <w:t xml:space="preserve"> </w:t>
      </w:r>
    </w:p>
    <w:p w14:paraId="44A02B23" w14:textId="77777777" w:rsidR="004503D2" w:rsidRDefault="004503D2" w:rsidP="0071702C">
      <w:pPr>
        <w:pStyle w:val="ListParagraph"/>
        <w:rPr>
          <w:rFonts w:ascii="Cambria" w:eastAsia="Times New Roman" w:hAnsi="Cambria"/>
          <w:sz w:val="14"/>
          <w:szCs w:val="14"/>
          <w:bdr w:val="none" w:sz="0" w:space="0" w:color="auto"/>
          <w:lang w:val="pt-BR"/>
        </w:rPr>
      </w:pPr>
    </w:p>
    <w:bookmarkEnd w:id="0"/>
    <w:p w14:paraId="06824A01" w14:textId="77777777" w:rsidR="003B63C2" w:rsidRDefault="003B63C2" w:rsidP="003B6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Cambria"/>
          <w:color w:val="000000"/>
          <w:sz w:val="20"/>
          <w:szCs w:val="20"/>
          <w:u w:color="000000"/>
          <w:bdr w:val="none" w:sz="0" w:space="0" w:color="auto"/>
          <w:lang w:val="pt-BR" w:eastAsia="es-ES"/>
        </w:rPr>
      </w:pPr>
    </w:p>
    <w:p w14:paraId="4F5DC521" w14:textId="77777777" w:rsidR="003B63C2" w:rsidRPr="006B490B" w:rsidRDefault="003B63C2" w:rsidP="003B63C2">
      <w:pPr>
        <w:ind w:firstLine="720"/>
        <w:jc w:val="both"/>
        <w:rPr>
          <w:rFonts w:ascii="Cambria" w:hAnsi="Cambria" w:cs="BookAntiqua"/>
          <w:sz w:val="20"/>
          <w:szCs w:val="20"/>
          <w:lang w:val="pt-BR"/>
        </w:rPr>
      </w:pPr>
      <w:r w:rsidRPr="006B490B">
        <w:rPr>
          <w:rFonts w:ascii="Cambria" w:hAnsi="Cambria" w:cs="BookAntiqua"/>
          <w:sz w:val="20"/>
          <w:szCs w:val="20"/>
          <w:lang w:val="pt-BR"/>
        </w:rPr>
        <w:t xml:space="preserve">Aprovado pela Commissão Interamericana de Direitos Humanos aos </w:t>
      </w:r>
      <w:r>
        <w:rPr>
          <w:rFonts w:ascii="Cambria" w:hAnsi="Cambria" w:cs="BookAntiqua"/>
          <w:sz w:val="20"/>
          <w:szCs w:val="20"/>
          <w:lang w:val="pt-BR"/>
        </w:rPr>
        <w:t>28</w:t>
      </w:r>
      <w:r w:rsidRPr="006B490B">
        <w:rPr>
          <w:rFonts w:ascii="Cambria" w:hAnsi="Cambria" w:cs="BookAntiqua"/>
          <w:sz w:val="20"/>
          <w:szCs w:val="20"/>
          <w:lang w:val="pt-BR"/>
        </w:rPr>
        <w:t xml:space="preserve"> dias do mês de </w:t>
      </w:r>
      <w:r>
        <w:rPr>
          <w:rFonts w:ascii="Cambria" w:hAnsi="Cambria" w:cs="BookAntiqua"/>
          <w:sz w:val="20"/>
          <w:szCs w:val="20"/>
          <w:lang w:val="pt-BR"/>
        </w:rPr>
        <w:t>setembro</w:t>
      </w:r>
      <w:r w:rsidRPr="006B490B">
        <w:rPr>
          <w:rFonts w:ascii="Cambria" w:hAnsi="Cambria" w:cs="BookAntiqua"/>
          <w:sz w:val="20"/>
          <w:szCs w:val="20"/>
          <w:lang w:val="pt-BR"/>
        </w:rPr>
        <w:t xml:space="preserve"> de 2019. (Assinado): </w:t>
      </w:r>
      <w:r w:rsidRPr="006B490B">
        <w:rPr>
          <w:rFonts w:ascii="Cambria" w:hAnsi="Cambria"/>
          <w:sz w:val="20"/>
          <w:szCs w:val="20"/>
          <w:lang w:val="pt-BR"/>
        </w:rPr>
        <w:t>Esmeralda E. Arosemena Bernal de Troitiño, Presidenta; Joel Hernández García, Primeiro Vice-presidente; Antonia Urrejola, Segunda Vice-presidenta; Margarette May Macaulay, Francisco José Eguigure</w:t>
      </w:r>
      <w:r>
        <w:rPr>
          <w:rFonts w:ascii="Cambria" w:hAnsi="Cambria"/>
          <w:sz w:val="20"/>
          <w:szCs w:val="20"/>
          <w:lang w:val="pt-BR"/>
        </w:rPr>
        <w:t xml:space="preserve">n Praeli e </w:t>
      </w:r>
      <w:r w:rsidRPr="006B490B">
        <w:rPr>
          <w:rFonts w:ascii="Cambria" w:hAnsi="Cambria"/>
          <w:sz w:val="20"/>
          <w:szCs w:val="20"/>
          <w:lang w:val="pt-BR"/>
        </w:rPr>
        <w:t>Luis Ernesto Vargas Silva,</w:t>
      </w:r>
      <w:r w:rsidRPr="006B490B">
        <w:rPr>
          <w:rFonts w:ascii="Cambria" w:hAnsi="Cambria" w:cs="BookAntiqua"/>
          <w:sz w:val="20"/>
          <w:szCs w:val="20"/>
          <w:lang w:val="pt-BR"/>
        </w:rPr>
        <w:t xml:space="preserve"> Membros da Comissão.</w:t>
      </w:r>
    </w:p>
    <w:p w14:paraId="5B6068BD" w14:textId="77777777" w:rsidR="003B63C2" w:rsidRPr="006B490B" w:rsidRDefault="003B63C2" w:rsidP="003B63C2">
      <w:pPr>
        <w:ind w:firstLine="720"/>
        <w:jc w:val="both"/>
        <w:rPr>
          <w:rFonts w:ascii="Cambria" w:hAnsi="Cambria" w:cs="BookAntiqua"/>
          <w:sz w:val="20"/>
          <w:szCs w:val="20"/>
          <w:lang w:val="pt-BR"/>
        </w:rPr>
      </w:pPr>
    </w:p>
    <w:p w14:paraId="1C9F0E21" w14:textId="77777777" w:rsidR="003B63C2" w:rsidRDefault="003B63C2" w:rsidP="003B63C2">
      <w:pPr>
        <w:ind w:firstLine="720"/>
        <w:jc w:val="both"/>
        <w:rPr>
          <w:rFonts w:ascii="Cambria" w:hAnsi="Cambria" w:cs="BookAntiqua"/>
          <w:sz w:val="20"/>
          <w:szCs w:val="20"/>
          <w:lang w:val="pt-BR"/>
        </w:rPr>
      </w:pPr>
      <w:r w:rsidRPr="006B490B">
        <w:rPr>
          <w:rFonts w:ascii="Cambria" w:hAnsi="Cambria"/>
          <w:sz w:val="20"/>
          <w:szCs w:val="20"/>
          <w:lang w:val="pt-BR"/>
        </w:rPr>
        <w:t>O</w:t>
      </w:r>
      <w:r w:rsidRPr="006B490B">
        <w:rPr>
          <w:rFonts w:ascii="Cambria" w:hAnsi="Cambria" w:cs="BookAntiqua"/>
          <w:sz w:val="20"/>
          <w:szCs w:val="20"/>
          <w:lang w:val="pt-BR"/>
        </w:rPr>
        <w:t xml:space="preserve"> abaixo assinado, Paulo Abrão, </w:t>
      </w:r>
      <w:r w:rsidRPr="006B490B">
        <w:rPr>
          <w:rFonts w:ascii="Cambria" w:hAnsi="Cambria"/>
          <w:sz w:val="20"/>
          <w:lang w:val="pt-BR"/>
        </w:rPr>
        <w:t xml:space="preserve">em seu caráter de Secretário Executivo </w:t>
      </w:r>
      <w:r w:rsidRPr="006B490B">
        <w:rPr>
          <w:rFonts w:ascii="Cambria" w:hAnsi="Cambria" w:cs="BookAntiqua"/>
          <w:sz w:val="20"/>
          <w:szCs w:val="20"/>
          <w:lang w:val="pt-BR"/>
        </w:rPr>
        <w:t>da Comissão Interamericana de Direitos Humanos e em conformidade com o artigo 49 do Regulamento da Comissão, certifica que este documento é copia fiel do original depositado nos arquivos da Secretaria da CIDH.</w:t>
      </w:r>
    </w:p>
    <w:p w14:paraId="1CEDB7F2" w14:textId="77777777" w:rsidR="003B63C2" w:rsidRPr="006B490B" w:rsidRDefault="003B63C2" w:rsidP="003B63C2">
      <w:pPr>
        <w:ind w:firstLine="720"/>
        <w:jc w:val="both"/>
        <w:rPr>
          <w:rFonts w:ascii="Cambria" w:hAnsi="Cambria" w:cs="BookAntiqua"/>
          <w:sz w:val="20"/>
          <w:szCs w:val="20"/>
          <w:lang w:val="pt-BR"/>
        </w:rPr>
      </w:pPr>
    </w:p>
    <w:p w14:paraId="66B67BFB" w14:textId="77777777" w:rsidR="003B63C2" w:rsidRPr="006B490B" w:rsidRDefault="003B63C2" w:rsidP="003B63C2">
      <w:pPr>
        <w:tabs>
          <w:tab w:val="center" w:pos="5400"/>
        </w:tabs>
        <w:suppressAutoHyphens/>
        <w:ind w:firstLine="360"/>
        <w:rPr>
          <w:rFonts w:ascii="Cambria" w:hAnsi="Cambria"/>
          <w:sz w:val="20"/>
          <w:szCs w:val="20"/>
          <w:lang w:val="pt-BR"/>
        </w:rPr>
      </w:pPr>
      <w:r w:rsidRPr="00E23DF3">
        <w:rPr>
          <w:noProof/>
          <w:lang w:val="es-US"/>
        </w:rPr>
        <w:t xml:space="preserve">                                                  </w:t>
      </w:r>
      <w:r>
        <w:rPr>
          <w:noProof/>
        </w:rPr>
        <w:drawing>
          <wp:inline distT="0" distB="0" distL="0" distR="0" wp14:anchorId="1239B493" wp14:editId="4AD1380E">
            <wp:extent cx="1936288" cy="984150"/>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2542" cy="1038155"/>
                    </a:xfrm>
                    <a:prstGeom prst="rect">
                      <a:avLst/>
                    </a:prstGeom>
                    <a:noFill/>
                    <a:ln>
                      <a:noFill/>
                    </a:ln>
                  </pic:spPr>
                </pic:pic>
              </a:graphicData>
            </a:graphic>
          </wp:inline>
        </w:drawing>
      </w:r>
      <w:r>
        <w:rPr>
          <w:noProof/>
        </w:rPr>
        <w:t xml:space="preserve">            </w:t>
      </w:r>
    </w:p>
    <w:p w14:paraId="01BF2773" w14:textId="77777777" w:rsidR="003B63C2" w:rsidRDefault="003B63C2" w:rsidP="003B63C2">
      <w:pPr>
        <w:suppressAutoHyphens/>
        <w:jc w:val="center"/>
        <w:rPr>
          <w:rFonts w:ascii="Cambria" w:hAnsi="Cambria"/>
          <w:sz w:val="20"/>
          <w:lang w:val="pt-BR"/>
        </w:rPr>
      </w:pPr>
      <w:r w:rsidRPr="006B490B">
        <w:rPr>
          <w:rFonts w:ascii="Cambria" w:hAnsi="Cambria" w:cs="BookAntiqua"/>
          <w:sz w:val="20"/>
          <w:szCs w:val="20"/>
          <w:lang w:val="pt-BR"/>
        </w:rPr>
        <w:t>Paulo Abrão</w:t>
      </w:r>
    </w:p>
    <w:p w14:paraId="1D592366" w14:textId="77777777" w:rsidR="003B63C2" w:rsidRDefault="003B63C2" w:rsidP="003B63C2">
      <w:pPr>
        <w:suppressAutoHyphens/>
        <w:jc w:val="center"/>
        <w:rPr>
          <w:rFonts w:ascii="Cambria" w:hAnsi="Cambria" w:cs="BookAntiqua"/>
          <w:sz w:val="20"/>
          <w:szCs w:val="20"/>
          <w:lang w:val="pt-BR"/>
        </w:rPr>
      </w:pPr>
      <w:r w:rsidRPr="006B490B">
        <w:rPr>
          <w:rFonts w:ascii="Cambria" w:hAnsi="Cambria"/>
          <w:sz w:val="20"/>
          <w:lang w:val="pt-BR"/>
        </w:rPr>
        <w:t>Secretário Executivo</w:t>
      </w:r>
    </w:p>
    <w:p w14:paraId="7FAFB182" w14:textId="77777777" w:rsidR="003B63C2" w:rsidRDefault="003B63C2" w:rsidP="003B6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Cambria"/>
          <w:color w:val="000000"/>
          <w:sz w:val="20"/>
          <w:szCs w:val="20"/>
          <w:u w:color="000000"/>
          <w:bdr w:val="none" w:sz="0" w:space="0" w:color="auto"/>
          <w:lang w:val="pt-BR" w:eastAsia="es-ES"/>
        </w:rPr>
      </w:pPr>
    </w:p>
    <w:p w14:paraId="4FA3B1DC" w14:textId="77777777" w:rsidR="004503D2" w:rsidRPr="006E0CFC" w:rsidRDefault="004503D2" w:rsidP="0071702C">
      <w:pPr>
        <w:rPr>
          <w:rFonts w:ascii="Cambria" w:eastAsia="Times New Roman" w:hAnsi="Cambria"/>
          <w:sz w:val="14"/>
          <w:szCs w:val="14"/>
          <w:bdr w:val="none" w:sz="0" w:space="0" w:color="auto"/>
          <w:lang w:val="pt-BR"/>
        </w:rPr>
      </w:pPr>
    </w:p>
    <w:sectPr w:rsidR="004503D2" w:rsidRPr="006E0CFC" w:rsidSect="0071702C">
      <w:pgSz w:w="12240" w:h="15840"/>
      <w:pgMar w:top="1440" w:right="1325"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8428" w14:textId="77777777" w:rsidR="001961B2" w:rsidRDefault="001961B2">
      <w:r>
        <w:separator/>
      </w:r>
    </w:p>
  </w:endnote>
  <w:endnote w:type="continuationSeparator" w:id="0">
    <w:p w14:paraId="5CD39F35" w14:textId="77777777" w:rsidR="001961B2" w:rsidRDefault="001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3200" w14:textId="188F72DE" w:rsidR="00B03A37" w:rsidRPr="00934A2C" w:rsidRDefault="00B03A3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E1010">
      <w:rPr>
        <w:noProof/>
        <w:sz w:val="16"/>
        <w:szCs w:val="22"/>
      </w:rPr>
      <w:t>16</w:t>
    </w:r>
    <w:r w:rsidRPr="00934A2C">
      <w:rPr>
        <w:noProof/>
        <w:sz w:val="16"/>
        <w:szCs w:val="22"/>
      </w:rPr>
      <w:fldChar w:fldCharType="end"/>
    </w:r>
  </w:p>
  <w:p w14:paraId="7D900E1A" w14:textId="77777777" w:rsidR="00B03A37" w:rsidRDefault="00B0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F6C7" w14:textId="77777777" w:rsidR="00B03A37" w:rsidRPr="00934A2C" w:rsidRDefault="00B03A37">
    <w:pPr>
      <w:pStyle w:val="Footer"/>
      <w:jc w:val="center"/>
      <w:rPr>
        <w:sz w:val="16"/>
        <w:szCs w:val="22"/>
      </w:rPr>
    </w:pPr>
  </w:p>
  <w:p w14:paraId="4F0C1273" w14:textId="77777777" w:rsidR="00B03A37" w:rsidRDefault="00B0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88A1" w14:textId="77777777" w:rsidR="001961B2" w:rsidRPr="00FB3D19" w:rsidRDefault="001961B2">
      <w:pPr>
        <w:rPr>
          <w:rFonts w:ascii="Cambria" w:hAnsi="Cambria"/>
          <w:sz w:val="16"/>
          <w:szCs w:val="16"/>
        </w:rPr>
      </w:pPr>
      <w:r w:rsidRPr="00FB3D19">
        <w:rPr>
          <w:rFonts w:ascii="Cambria" w:hAnsi="Cambria"/>
          <w:sz w:val="16"/>
          <w:szCs w:val="16"/>
        </w:rPr>
        <w:separator/>
      </w:r>
    </w:p>
  </w:footnote>
  <w:footnote w:type="continuationSeparator" w:id="0">
    <w:p w14:paraId="5848A90A" w14:textId="77777777" w:rsidR="001961B2" w:rsidRPr="00FB3D19" w:rsidRDefault="001961B2" w:rsidP="000F35ED">
      <w:pPr>
        <w:rPr>
          <w:rFonts w:ascii="Cambria" w:hAnsi="Cambria"/>
          <w:sz w:val="16"/>
          <w:szCs w:val="16"/>
        </w:rPr>
      </w:pPr>
      <w:r w:rsidRPr="00FB3D19">
        <w:rPr>
          <w:rFonts w:ascii="Cambria" w:hAnsi="Cambria"/>
          <w:sz w:val="16"/>
          <w:szCs w:val="16"/>
        </w:rPr>
        <w:separator/>
      </w:r>
    </w:p>
    <w:p w14:paraId="7689D89E" w14:textId="77777777" w:rsidR="001961B2" w:rsidRPr="00FB3D19" w:rsidRDefault="001961B2" w:rsidP="000F35ED">
      <w:pPr>
        <w:pStyle w:val="Footer"/>
        <w:rPr>
          <w:sz w:val="16"/>
          <w:szCs w:val="16"/>
        </w:rPr>
      </w:pPr>
      <w:r w:rsidRPr="00FB3D19">
        <w:rPr>
          <w:sz w:val="16"/>
          <w:szCs w:val="16"/>
        </w:rPr>
        <w:t xml:space="preserve">[… </w:t>
      </w:r>
      <w:r w:rsidRPr="00125D8F">
        <w:rPr>
          <w:sz w:val="16"/>
          <w:szCs w:val="16"/>
          <w:lang w:val="pt-BR"/>
        </w:rPr>
        <w:t>Continuação</w:t>
      </w:r>
      <w:r w:rsidRPr="00FB3D19">
        <w:rPr>
          <w:sz w:val="16"/>
          <w:szCs w:val="16"/>
        </w:rPr>
        <w:t>]</w:t>
      </w:r>
    </w:p>
  </w:footnote>
  <w:footnote w:type="continuationNotice" w:id="1">
    <w:p w14:paraId="68DFCACB" w14:textId="77777777" w:rsidR="001961B2" w:rsidRPr="00FB3D19" w:rsidRDefault="001961B2" w:rsidP="000F35ED">
      <w:pPr>
        <w:jc w:val="right"/>
        <w:rPr>
          <w:rFonts w:ascii="Cambria" w:hAnsi="Cambria"/>
          <w:sz w:val="16"/>
          <w:szCs w:val="16"/>
          <w:lang w:val="es-ES"/>
        </w:rPr>
      </w:pPr>
      <w:r w:rsidRPr="00FB3D19">
        <w:rPr>
          <w:rFonts w:ascii="Cambria" w:hAnsi="Cambria"/>
          <w:sz w:val="16"/>
          <w:szCs w:val="16"/>
          <w:lang w:val="es-ES"/>
        </w:rPr>
        <w:t>[continúa…]</w:t>
      </w:r>
    </w:p>
  </w:footnote>
  <w:footnote w:id="2">
    <w:p w14:paraId="65E4F6B5" w14:textId="77777777" w:rsidR="00B03A37" w:rsidRPr="007373D2" w:rsidRDefault="00B03A37" w:rsidP="00A63DD8">
      <w:pPr>
        <w:pStyle w:val="FootnoteText"/>
        <w:jc w:val="both"/>
        <w:rPr>
          <w:szCs w:val="16"/>
          <w:lang w:val="pt-BR"/>
        </w:rPr>
      </w:pPr>
      <w:r w:rsidRPr="007373D2">
        <w:rPr>
          <w:rStyle w:val="FootnoteReference"/>
          <w:szCs w:val="16"/>
        </w:rPr>
        <w:footnoteRef/>
      </w:r>
      <w:r w:rsidRPr="007373D2">
        <w:rPr>
          <w:szCs w:val="16"/>
          <w:lang w:val="pt-BR"/>
        </w:rPr>
        <w:t xml:space="preserve"> Conforme disposto no artigo 17.2 do Regulamento da Comissão, a Comissária Flávia Piovesan, de nacionalidade brasileira, não participou do debate nem da decisão do presente cas</w:t>
      </w:r>
      <w:r w:rsidRPr="007373D2">
        <w:rPr>
          <w:color w:val="auto"/>
          <w:szCs w:val="16"/>
          <w:lang w:val="pt-BR"/>
        </w:rPr>
        <w:t xml:space="preserve">o. </w:t>
      </w:r>
    </w:p>
  </w:footnote>
  <w:footnote w:id="3">
    <w:p w14:paraId="1BD97AA9" w14:textId="77777777" w:rsidR="00B03A37" w:rsidRPr="007373D2" w:rsidRDefault="00B03A37" w:rsidP="008E4EE6">
      <w:pPr>
        <w:pStyle w:val="FootnoteText"/>
        <w:jc w:val="both"/>
        <w:rPr>
          <w:szCs w:val="16"/>
          <w:lang w:val="pt-BR"/>
        </w:rPr>
      </w:pPr>
      <w:r w:rsidRPr="007373D2">
        <w:rPr>
          <w:rStyle w:val="FootnoteReference"/>
          <w:color w:val="auto"/>
          <w:szCs w:val="16"/>
          <w:lang w:val="pt-BR"/>
        </w:rPr>
        <w:footnoteRef/>
      </w:r>
      <w:r w:rsidRPr="007373D2">
        <w:rPr>
          <w:color w:val="auto"/>
          <w:szCs w:val="16"/>
          <w:lang w:val="pt-BR"/>
        </w:rPr>
        <w:t xml:space="preserve"> </w:t>
      </w:r>
      <w:r w:rsidRPr="002F7301">
        <w:rPr>
          <w:color w:val="auto"/>
          <w:szCs w:val="16"/>
          <w:lang w:val="pt-BR"/>
        </w:rPr>
        <w:t xml:space="preserve">CIDH. Relatório de admissibilidade Nº </w:t>
      </w:r>
      <w:r>
        <w:rPr>
          <w:color w:val="auto"/>
          <w:szCs w:val="16"/>
          <w:lang w:val="pt-BR"/>
        </w:rPr>
        <w:t>83</w:t>
      </w:r>
      <w:r w:rsidRPr="002F7301">
        <w:rPr>
          <w:color w:val="auto"/>
          <w:szCs w:val="16"/>
          <w:lang w:val="pt-BR"/>
        </w:rPr>
        <w:t>/0</w:t>
      </w:r>
      <w:r>
        <w:rPr>
          <w:color w:val="auto"/>
          <w:szCs w:val="16"/>
          <w:lang w:val="pt-BR"/>
        </w:rPr>
        <w:t>6</w:t>
      </w:r>
      <w:r w:rsidRPr="002F7301">
        <w:rPr>
          <w:color w:val="auto"/>
          <w:szCs w:val="16"/>
          <w:lang w:val="pt-BR"/>
        </w:rPr>
        <w:t>. Caso 12.</w:t>
      </w:r>
      <w:r>
        <w:rPr>
          <w:color w:val="auto"/>
          <w:szCs w:val="16"/>
          <w:lang w:val="pt-BR"/>
        </w:rPr>
        <w:t>570</w:t>
      </w:r>
      <w:r w:rsidRPr="002F7301">
        <w:rPr>
          <w:color w:val="auto"/>
          <w:szCs w:val="16"/>
          <w:lang w:val="pt-BR"/>
        </w:rPr>
        <w:t xml:space="preserve">. </w:t>
      </w:r>
      <w:r>
        <w:rPr>
          <w:color w:val="auto"/>
          <w:szCs w:val="16"/>
          <w:lang w:val="pt-BR"/>
        </w:rPr>
        <w:t>Manoel Luiz da Silva</w:t>
      </w:r>
      <w:r w:rsidRPr="002F7301">
        <w:rPr>
          <w:color w:val="auto"/>
          <w:szCs w:val="16"/>
          <w:lang w:val="pt-BR"/>
        </w:rPr>
        <w:t xml:space="preserve">. Brasil, </w:t>
      </w:r>
      <w:r>
        <w:rPr>
          <w:color w:val="auto"/>
          <w:szCs w:val="16"/>
          <w:lang w:val="pt-BR"/>
        </w:rPr>
        <w:t>21</w:t>
      </w:r>
      <w:r w:rsidRPr="002F7301">
        <w:rPr>
          <w:color w:val="auto"/>
          <w:szCs w:val="16"/>
          <w:lang w:val="pt-BR"/>
        </w:rPr>
        <w:t xml:space="preserve"> de </w:t>
      </w:r>
      <w:r>
        <w:rPr>
          <w:color w:val="auto"/>
          <w:szCs w:val="16"/>
          <w:lang w:val="pt-BR"/>
        </w:rPr>
        <w:t>outubro</w:t>
      </w:r>
      <w:r w:rsidRPr="002F7301">
        <w:rPr>
          <w:color w:val="auto"/>
          <w:szCs w:val="16"/>
          <w:lang w:val="pt-BR"/>
        </w:rPr>
        <w:t xml:space="preserve"> de 200</w:t>
      </w:r>
      <w:r>
        <w:rPr>
          <w:color w:val="auto"/>
          <w:szCs w:val="16"/>
          <w:lang w:val="pt-BR"/>
        </w:rPr>
        <w:t>6</w:t>
      </w:r>
      <w:r w:rsidRPr="002F7301">
        <w:rPr>
          <w:color w:val="auto"/>
          <w:szCs w:val="16"/>
          <w:lang w:val="pt-BR"/>
        </w:rPr>
        <w:t xml:space="preserve">. A Comissão admitiu </w:t>
      </w:r>
      <w:r>
        <w:rPr>
          <w:color w:val="auto"/>
          <w:szCs w:val="16"/>
          <w:lang w:val="pt-BR"/>
        </w:rPr>
        <w:t>a alega</w:t>
      </w:r>
      <w:r w:rsidRPr="002F7301">
        <w:rPr>
          <w:szCs w:val="16"/>
          <w:lang w:val="pt-BR"/>
        </w:rPr>
        <w:t>ção</w:t>
      </w:r>
      <w:r>
        <w:rPr>
          <w:szCs w:val="16"/>
          <w:lang w:val="pt-BR"/>
        </w:rPr>
        <w:t xml:space="preserve"> de suposta viola</w:t>
      </w:r>
      <w:r w:rsidRPr="002F7301">
        <w:rPr>
          <w:szCs w:val="16"/>
          <w:lang w:val="pt-BR"/>
        </w:rPr>
        <w:t>ção</w:t>
      </w:r>
      <w:r>
        <w:rPr>
          <w:szCs w:val="16"/>
          <w:lang w:val="pt-BR"/>
        </w:rPr>
        <w:t xml:space="preserve"> a</w:t>
      </w:r>
      <w:r w:rsidRPr="002F7301">
        <w:rPr>
          <w:color w:val="auto"/>
          <w:szCs w:val="16"/>
          <w:lang w:val="pt-BR"/>
        </w:rPr>
        <w:t xml:space="preserve">os artigos </w:t>
      </w:r>
      <w:r>
        <w:rPr>
          <w:color w:val="auto"/>
          <w:szCs w:val="16"/>
          <w:lang w:val="pt-BR"/>
        </w:rPr>
        <w:t xml:space="preserve">4, </w:t>
      </w:r>
      <w:r w:rsidRPr="002F7301">
        <w:rPr>
          <w:color w:val="auto"/>
          <w:szCs w:val="16"/>
          <w:lang w:val="pt-BR"/>
        </w:rPr>
        <w:t>8 e 25 da Convenção Americana, em conexão com a obrigação geral contida no</w:t>
      </w:r>
      <w:r>
        <w:rPr>
          <w:color w:val="auto"/>
          <w:szCs w:val="16"/>
          <w:lang w:val="pt-BR"/>
        </w:rPr>
        <w:t xml:space="preserve">s </w:t>
      </w:r>
      <w:r w:rsidRPr="002F7301">
        <w:rPr>
          <w:color w:val="auto"/>
          <w:szCs w:val="16"/>
          <w:lang w:val="pt-BR"/>
        </w:rPr>
        <w:t xml:space="preserve"> artigo</w:t>
      </w:r>
      <w:r>
        <w:rPr>
          <w:color w:val="auto"/>
          <w:szCs w:val="16"/>
          <w:lang w:val="pt-BR"/>
        </w:rPr>
        <w:t xml:space="preserve">s </w:t>
      </w:r>
      <w:r w:rsidRPr="002F7301">
        <w:rPr>
          <w:color w:val="auto"/>
          <w:szCs w:val="16"/>
          <w:lang w:val="pt-BR"/>
        </w:rPr>
        <w:t xml:space="preserve"> 1.1</w:t>
      </w:r>
      <w:r>
        <w:rPr>
          <w:color w:val="auto"/>
          <w:szCs w:val="16"/>
          <w:lang w:val="pt-BR"/>
        </w:rPr>
        <w:t xml:space="preserve"> e 2 </w:t>
      </w:r>
      <w:r w:rsidRPr="002F7301">
        <w:rPr>
          <w:color w:val="auto"/>
          <w:szCs w:val="16"/>
          <w:lang w:val="pt-BR"/>
        </w:rPr>
        <w:t xml:space="preserve"> do mesmo instrumento</w:t>
      </w:r>
      <w:r w:rsidRPr="002F7301">
        <w:rPr>
          <w:szCs w:val="16"/>
          <w:lang w:val="pt-BR"/>
        </w:rPr>
        <w:t>.</w:t>
      </w:r>
      <w:r w:rsidRPr="007373D2">
        <w:rPr>
          <w:color w:val="auto"/>
          <w:szCs w:val="16"/>
          <w:lang w:val="pt-BR"/>
        </w:rPr>
        <w:t xml:space="preserve"> </w:t>
      </w:r>
      <w:r>
        <w:rPr>
          <w:color w:val="auto"/>
          <w:szCs w:val="16"/>
          <w:lang w:val="pt-BR"/>
        </w:rPr>
        <w:t xml:space="preserve">A </w:t>
      </w:r>
      <w:r w:rsidRPr="002F7301">
        <w:rPr>
          <w:color w:val="auto"/>
          <w:szCs w:val="16"/>
          <w:lang w:val="pt-BR"/>
        </w:rPr>
        <w:t>Comissão</w:t>
      </w:r>
      <w:r>
        <w:rPr>
          <w:color w:val="auto"/>
          <w:szCs w:val="16"/>
          <w:lang w:val="pt-BR"/>
        </w:rPr>
        <w:t xml:space="preserve"> inadmitiu a alega</w:t>
      </w:r>
      <w:r w:rsidRPr="002F7301">
        <w:rPr>
          <w:szCs w:val="16"/>
          <w:lang w:val="pt-BR"/>
        </w:rPr>
        <w:t>ção</w:t>
      </w:r>
      <w:r>
        <w:rPr>
          <w:szCs w:val="16"/>
          <w:lang w:val="pt-BR"/>
        </w:rPr>
        <w:t xml:space="preserve"> de suposta viola</w:t>
      </w:r>
      <w:r w:rsidRPr="002F7301">
        <w:rPr>
          <w:szCs w:val="16"/>
          <w:lang w:val="pt-BR"/>
        </w:rPr>
        <w:t>ção</w:t>
      </w:r>
      <w:r>
        <w:rPr>
          <w:szCs w:val="16"/>
          <w:lang w:val="pt-BR"/>
        </w:rPr>
        <w:t xml:space="preserve"> a</w:t>
      </w:r>
      <w:r w:rsidRPr="002F7301">
        <w:rPr>
          <w:color w:val="auto"/>
          <w:szCs w:val="16"/>
          <w:lang w:val="pt-BR"/>
        </w:rPr>
        <w:t>o</w:t>
      </w:r>
      <w:r>
        <w:rPr>
          <w:color w:val="auto"/>
          <w:szCs w:val="16"/>
          <w:lang w:val="pt-BR"/>
        </w:rPr>
        <w:t xml:space="preserve"> artigo 5 da </w:t>
      </w:r>
      <w:r w:rsidRPr="002F7301">
        <w:rPr>
          <w:color w:val="auto"/>
          <w:szCs w:val="16"/>
          <w:lang w:val="pt-BR"/>
        </w:rPr>
        <w:t>Convenção Americana</w:t>
      </w:r>
      <w:r>
        <w:rPr>
          <w:color w:val="auto"/>
          <w:szCs w:val="16"/>
          <w:lang w:val="pt-BR"/>
        </w:rPr>
        <w:t xml:space="preserve">, por entender que a alegação se enquadraria em potencial violação do artigo 4 do mesmo Tratado. </w:t>
      </w:r>
    </w:p>
  </w:footnote>
  <w:footnote w:id="4">
    <w:p w14:paraId="0143775F"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E93C16">
        <w:rPr>
          <w:lang w:val="pt-BR"/>
        </w:rPr>
        <w:t>Cf. ONU, Comissão de Direitos Humanos, Relatório apresentado pelo Relator Especial sobre habitação adequada, como parte do direito a um padrão de vida adequado, Miloon Kothari, Missão ao Brasil, Doc. E/CN.4/2005/48/Add.3; 18 de fevereiro de 2004, par. 37 e seguintes.</w:t>
      </w:r>
    </w:p>
  </w:footnote>
  <w:footnote w:id="5">
    <w:p w14:paraId="1447200D"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E93C16">
        <w:rPr>
          <w:lang w:val="pt-BR"/>
        </w:rPr>
        <w:t>CIDH, Relatório sobre a Situação dos Direitos Humanos no Brasil, OEA/Ser.L/V/II.97, Doc. 29 rev.1, 29 de setembro de 1997, Capítulo VII: A propriedade de terras rurais e os direitos humanos dos trabalhadores rurais.</w:t>
      </w:r>
    </w:p>
  </w:footnote>
  <w:footnote w:id="6">
    <w:p w14:paraId="07A55078"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E93C16">
        <w:rPr>
          <w:lang w:val="pt-BR"/>
        </w:rPr>
        <w:t>Dados da Comissão Pastoral da Terra, citados por Bernardo Mancano Fernandes no artigo “Brasil: 500 anos de luta pela terra”, disponível na página oficial do Instituto Nacional de Colonização e Reforma Agrária (INCRA), http://www.incra.gov.br/_htm/serveinf/_htm/pubs/pubs.htm.</w:t>
      </w:r>
    </w:p>
  </w:footnote>
  <w:footnote w:id="7">
    <w:p w14:paraId="6C0CBDFB"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w:t>
      </w:r>
      <w:r w:rsidRPr="00E93C16">
        <w:rPr>
          <w:lang w:val="pt-BR"/>
        </w:rPr>
        <w:t>Cf. Milícias Privadas: Estratégias para impedir a reforma agrária em defesa do latifúndio. Relatório da Terra de Direitos, organização de defesa dos direitos humanos.</w:t>
      </w:r>
    </w:p>
  </w:footnote>
  <w:footnote w:id="8">
    <w:p w14:paraId="3FE13916"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w:t>
      </w:r>
      <w:r w:rsidRPr="00E93C16">
        <w:rPr>
          <w:lang w:val="pt-BR"/>
        </w:rPr>
        <w:t>A esse respeito, ver os casos sobre defensores de direitos humanos de trabalhadores rurais compilados nos relatórios: “Na Linha de Frente: Defensores de Direitos Humanos no Brasil. 1997-2001”, Front Line &amp; Justiça Global; e “Na Linha de Frente: Defensores de Direitos Humanos no Brasil. 2002-2005”, Justiça Global e Terra de Direitos (coordenadores).</w:t>
      </w:r>
    </w:p>
  </w:footnote>
  <w:footnote w:id="9">
    <w:p w14:paraId="3E57DCA1"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w:t>
      </w:r>
      <w:r w:rsidRPr="00220696">
        <w:rPr>
          <w:lang w:val="pt-BR"/>
        </w:rPr>
        <w:t>ONU, Comissão de Direitos Humanos, Relatório especial sobre a missão ao Brasil da Relatora Especial sobre Execuções Extrajudiciais, Sumárias ou Arbitrárias, Asma Jahanguir, Doc. E/CN.4/2004/7/Add.3, página 18 (tradução não oficial).</w:t>
      </w:r>
    </w:p>
  </w:footnote>
  <w:footnote w:id="10">
    <w:p w14:paraId="69E38C7C"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CIDH, Relatório nº 32/04 (Mérito), Caso 11.556, Corumbiara (Brasil), 11 de março de 2004.</w:t>
      </w:r>
    </w:p>
  </w:footnote>
  <w:footnote w:id="11">
    <w:p w14:paraId="59916EA0"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w:t>
      </w:r>
      <w:r w:rsidRPr="007373D2">
        <w:rPr>
          <w:szCs w:val="16"/>
          <w:lang w:val="pt-BR"/>
        </w:rPr>
        <w:t>Petição Inicial de</w:t>
      </w:r>
      <w:r>
        <w:rPr>
          <w:szCs w:val="16"/>
          <w:lang w:val="pt-BR"/>
        </w:rPr>
        <w:t xml:space="preserve"> 27 de agosto de 2003.</w:t>
      </w:r>
    </w:p>
  </w:footnote>
  <w:footnote w:id="12">
    <w:p w14:paraId="3B4DDA73"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ONU. Comissão de Direitos Humanos. </w:t>
      </w:r>
      <w:r w:rsidRPr="006E0CFC">
        <w:rPr>
          <w:i/>
          <w:lang w:val="pt-BR"/>
        </w:rPr>
        <w:t>Relatório especial sobre a missão ao Brasil da Relatora Especial sobre Execuções Extrajudiciais, Sumárias ou Arbitrárias, Asma Jahangir.</w:t>
      </w:r>
      <w:r w:rsidRPr="006E0CFC">
        <w:rPr>
          <w:lang w:val="pt-BR"/>
        </w:rPr>
        <w:t xml:space="preserve"> Doc. E/CN.4/2004/7/Add.3.  página 18 (tradução não oficial).</w:t>
      </w:r>
    </w:p>
  </w:footnote>
  <w:footnote w:id="13">
    <w:p w14:paraId="34C23DF4"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João Canuto de Oliveira Vs. Brasil</w:t>
      </w:r>
      <w:r w:rsidRPr="006E0CFC">
        <w:rPr>
          <w:lang w:val="pt-BR"/>
        </w:rPr>
        <w:t xml:space="preserve">. </w:t>
      </w:r>
      <w:r w:rsidRPr="006E0CFC">
        <w:rPr>
          <w:szCs w:val="16"/>
          <w:lang w:val="pt-BR"/>
        </w:rPr>
        <w:t>Mérito</w:t>
      </w:r>
      <w:r w:rsidRPr="006E0CFC">
        <w:rPr>
          <w:lang w:val="pt-BR"/>
        </w:rPr>
        <w:t>. 7 de abril de 1998.</w:t>
      </w:r>
    </w:p>
  </w:footnote>
  <w:footnote w:id="14">
    <w:p w14:paraId="1ACF7AC2"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Corumbiara Vs. Brasil</w:t>
      </w:r>
      <w:r w:rsidRPr="006E0CFC">
        <w:rPr>
          <w:lang w:val="pt-BR"/>
        </w:rPr>
        <w:t xml:space="preserve">. </w:t>
      </w:r>
      <w:r w:rsidRPr="006E0CFC">
        <w:rPr>
          <w:szCs w:val="16"/>
          <w:lang w:val="pt-BR"/>
        </w:rPr>
        <w:t>Mérito.</w:t>
      </w:r>
      <w:r w:rsidRPr="006E0CFC">
        <w:rPr>
          <w:lang w:val="pt-BR"/>
        </w:rPr>
        <w:t xml:space="preserve"> 11 de março de 2004.</w:t>
      </w:r>
    </w:p>
  </w:footnote>
  <w:footnote w:id="15">
    <w:p w14:paraId="24A51209"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w:t>
      </w:r>
      <w:r>
        <w:rPr>
          <w:szCs w:val="16"/>
          <w:lang w:val="pt-BR"/>
        </w:rPr>
        <w:t xml:space="preserve">Informação da </w:t>
      </w:r>
      <w:r w:rsidRPr="006E0CFC">
        <w:rPr>
          <w:color w:val="auto"/>
          <w:szCs w:val="16"/>
          <w:lang w:val="pt-BR"/>
        </w:rPr>
        <w:t>parte peticionária de 24 de janeiro de 2007.</w:t>
      </w:r>
    </w:p>
  </w:footnote>
  <w:footnote w:id="16">
    <w:p w14:paraId="6BB1A787"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17">
    <w:p w14:paraId="1974D218"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18">
    <w:p w14:paraId="31AC9380"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19">
    <w:p w14:paraId="44A3527E"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 xml:space="preserve">Informação da parte peticionária na </w:t>
      </w:r>
      <w:r w:rsidRPr="007373D2">
        <w:rPr>
          <w:szCs w:val="16"/>
          <w:lang w:val="pt-BR"/>
        </w:rPr>
        <w:t>Petição Inicial de</w:t>
      </w:r>
      <w:r>
        <w:rPr>
          <w:szCs w:val="16"/>
          <w:lang w:val="pt-BR"/>
        </w:rPr>
        <w:t xml:space="preserve"> 27 de agosto de 2003.</w:t>
      </w:r>
    </w:p>
  </w:footnote>
  <w:footnote w:id="20">
    <w:p w14:paraId="48A08011"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1">
    <w:p w14:paraId="505DF347"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 xml:space="preserve">2. Depoimento de </w:t>
      </w:r>
      <w:r w:rsidRPr="00DC431D">
        <w:rPr>
          <w:szCs w:val="16"/>
          <w:lang w:val="pt-BR"/>
        </w:rPr>
        <w:t>Maria Antero de Souza e Silva</w:t>
      </w:r>
      <w:r>
        <w:rPr>
          <w:szCs w:val="16"/>
          <w:lang w:val="pt-BR"/>
        </w:rPr>
        <w:t xml:space="preserve"> no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2">
    <w:p w14:paraId="3F4AC23C"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 xml:space="preserve">2. Depoimento de </w:t>
      </w:r>
      <w:r w:rsidRPr="00B03F19">
        <w:rPr>
          <w:szCs w:val="16"/>
          <w:lang w:val="pt-BR"/>
        </w:rPr>
        <w:t>João Maximiliano da Silva</w:t>
      </w:r>
      <w:r>
        <w:rPr>
          <w:szCs w:val="16"/>
          <w:lang w:val="pt-BR"/>
        </w:rPr>
        <w:t xml:space="preserve"> no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3">
    <w:p w14:paraId="320A50AA"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 xml:space="preserve">2. Depoimento de </w:t>
      </w:r>
      <w:r w:rsidRPr="000B15E0">
        <w:rPr>
          <w:szCs w:val="16"/>
          <w:lang w:val="pt-BR"/>
        </w:rPr>
        <w:t xml:space="preserve">Manoel Luis Silva </w:t>
      </w:r>
      <w:r>
        <w:rPr>
          <w:szCs w:val="16"/>
          <w:lang w:val="pt-BR"/>
        </w:rPr>
        <w:t>no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4">
    <w:p w14:paraId="50C54D91"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 xml:space="preserve">2. Depoimento de </w:t>
      </w:r>
      <w:r w:rsidRPr="000B15E0">
        <w:rPr>
          <w:szCs w:val="16"/>
          <w:lang w:val="pt-BR"/>
        </w:rPr>
        <w:t xml:space="preserve">Sebastião Félix Silva </w:t>
      </w:r>
      <w:r>
        <w:rPr>
          <w:szCs w:val="16"/>
          <w:lang w:val="pt-BR"/>
        </w:rPr>
        <w:t>no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5">
    <w:p w14:paraId="3C3D9C47"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6">
    <w:p w14:paraId="22A11926"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7">
    <w:p w14:paraId="194E99FA"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 xml:space="preserve">2. Depoimento de </w:t>
      </w:r>
      <w:r w:rsidRPr="0012597C">
        <w:rPr>
          <w:szCs w:val="16"/>
          <w:lang w:val="pt-BR"/>
        </w:rPr>
        <w:t xml:space="preserve">Alcides Vieira de Azevedo </w:t>
      </w:r>
      <w:r>
        <w:rPr>
          <w:szCs w:val="16"/>
          <w:lang w:val="pt-BR"/>
        </w:rPr>
        <w:t>no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8">
    <w:p w14:paraId="7775D71F"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Depoimento de</w:t>
      </w:r>
      <w:r w:rsidRPr="006E0CFC">
        <w:rPr>
          <w:lang w:val="pt-BR"/>
        </w:rPr>
        <w:t xml:space="preserve"> </w:t>
      </w:r>
      <w:r w:rsidRPr="004C6C26">
        <w:rPr>
          <w:szCs w:val="16"/>
          <w:lang w:val="pt-BR"/>
        </w:rPr>
        <w:t>José Caetano da Silva</w:t>
      </w:r>
      <w:r>
        <w:rPr>
          <w:szCs w:val="16"/>
          <w:lang w:val="pt-BR"/>
        </w:rPr>
        <w:t xml:space="preserve"> no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29">
    <w:p w14:paraId="7ECAAF27"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30">
    <w:p w14:paraId="40AE64C7"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Inquérito Policial n. 027-97.</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31">
    <w:p w14:paraId="7D5CF8A3" w14:textId="77777777" w:rsidR="00B03A37" w:rsidRPr="006E0CFC" w:rsidRDefault="00B03A37" w:rsidP="004503D2">
      <w:pPr>
        <w:pStyle w:val="FootnoteText"/>
        <w:jc w:val="both"/>
        <w:rPr>
          <w:lang w:val="pt-BR"/>
        </w:rPr>
      </w:pPr>
      <w:r>
        <w:rPr>
          <w:rStyle w:val="FootnoteReference"/>
        </w:rPr>
        <w:footnoteRef/>
      </w:r>
      <w:r>
        <w:rPr>
          <w:szCs w:val="16"/>
          <w:lang w:val="pt-BR"/>
        </w:rPr>
        <w:t xml:space="preserve"> </w:t>
      </w:r>
      <w:r w:rsidRPr="007373D2">
        <w:rPr>
          <w:szCs w:val="16"/>
          <w:lang w:val="pt-BR"/>
        </w:rPr>
        <w:t xml:space="preserve">Anexo </w:t>
      </w:r>
      <w:r>
        <w:rPr>
          <w:szCs w:val="16"/>
          <w:lang w:val="pt-BR"/>
        </w:rPr>
        <w:t>2. Denúncia.</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32">
    <w:p w14:paraId="72BB76F4"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 xml:space="preserve">2. Interrogatório de </w:t>
      </w:r>
      <w:r w:rsidRPr="008B7CA2">
        <w:rPr>
          <w:szCs w:val="16"/>
          <w:lang w:val="pt-BR"/>
        </w:rPr>
        <w:t>Severino Lima da Silva</w:t>
      </w:r>
      <w:r>
        <w:rPr>
          <w:szCs w:val="16"/>
          <w:lang w:val="pt-BR"/>
        </w:rPr>
        <w:t xml:space="preserve"> no Processo Penal 028970001773</w:t>
      </w:r>
      <w:r w:rsidRPr="008B7CA2">
        <w:rPr>
          <w:szCs w:val="16"/>
          <w:lang w:val="pt-BR"/>
        </w:rPr>
        <w:t>.</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33">
    <w:p w14:paraId="1CCF64A8"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Carta Precatória do Processo Penal 028970001773</w:t>
      </w:r>
      <w:r w:rsidRPr="008B7CA2">
        <w:rPr>
          <w:szCs w:val="16"/>
          <w:lang w:val="pt-BR"/>
        </w:rPr>
        <w:t>.</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34">
    <w:p w14:paraId="5B5537CD"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 xml:space="preserve">2. Interrogatório de </w:t>
      </w:r>
      <w:r w:rsidRPr="00987567">
        <w:rPr>
          <w:szCs w:val="16"/>
          <w:lang w:val="pt-BR"/>
        </w:rPr>
        <w:t>José Caetano da Silva</w:t>
      </w:r>
      <w:r>
        <w:rPr>
          <w:szCs w:val="16"/>
          <w:lang w:val="pt-BR"/>
        </w:rPr>
        <w:t xml:space="preserve"> no Processo Penal 028970001773</w:t>
      </w:r>
      <w:r w:rsidRPr="008B7CA2">
        <w:rPr>
          <w:szCs w:val="16"/>
          <w:lang w:val="pt-BR"/>
        </w:rPr>
        <w:t>.</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35">
    <w:p w14:paraId="6F4AAB35"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2. Decisão datada de 08 de outubro de 2001 do Processo Penal 028970001773</w:t>
      </w:r>
      <w:r w:rsidRPr="008B7CA2">
        <w:rPr>
          <w:szCs w:val="16"/>
          <w:lang w:val="pt-BR"/>
        </w:rPr>
        <w:t>.</w:t>
      </w:r>
      <w:r w:rsidRPr="00657AF7">
        <w:rPr>
          <w:lang w:val="pt-BR"/>
        </w:rPr>
        <w:t xml:space="preserve"> </w:t>
      </w:r>
      <w:r>
        <w:rPr>
          <w:lang w:val="pt-BR"/>
        </w:rPr>
        <w:t xml:space="preserve">Anexo à </w:t>
      </w:r>
      <w:r w:rsidRPr="007373D2">
        <w:rPr>
          <w:szCs w:val="16"/>
          <w:lang w:val="pt-BR"/>
        </w:rPr>
        <w:t>Petição Inicial de</w:t>
      </w:r>
      <w:r>
        <w:rPr>
          <w:szCs w:val="16"/>
          <w:lang w:val="pt-BR"/>
        </w:rPr>
        <w:t xml:space="preserve"> 27 de agosto de 2003</w:t>
      </w:r>
    </w:p>
  </w:footnote>
  <w:footnote w:id="36">
    <w:p w14:paraId="1E96F423"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Anexo </w:t>
      </w:r>
      <w:r>
        <w:rPr>
          <w:szCs w:val="16"/>
          <w:lang w:val="pt-BR"/>
        </w:rPr>
        <w:t>A. Sentença de Pronúncia</w:t>
      </w:r>
      <w:r w:rsidRPr="008B7CA2">
        <w:rPr>
          <w:szCs w:val="16"/>
          <w:lang w:val="pt-BR"/>
        </w:rPr>
        <w:t>.</w:t>
      </w:r>
      <w:r w:rsidRPr="00657AF7">
        <w:rPr>
          <w:lang w:val="pt-BR"/>
        </w:rPr>
        <w:t xml:space="preserve"> </w:t>
      </w:r>
      <w:r>
        <w:rPr>
          <w:lang w:val="pt-BR"/>
        </w:rPr>
        <w:t xml:space="preserve">Anexa ao informe do peticionário de 24 de outubro de </w:t>
      </w:r>
      <w:r>
        <w:rPr>
          <w:szCs w:val="16"/>
          <w:lang w:val="pt-BR"/>
        </w:rPr>
        <w:t>2005.</w:t>
      </w:r>
    </w:p>
  </w:footnote>
  <w:footnote w:id="37">
    <w:p w14:paraId="20209B23" w14:textId="77777777" w:rsidR="00B03A37" w:rsidRPr="006E0CFC" w:rsidRDefault="00B03A37" w:rsidP="004503D2">
      <w:pPr>
        <w:pStyle w:val="FootnoteText"/>
        <w:rPr>
          <w:lang w:val="pt-BR"/>
        </w:rPr>
      </w:pPr>
      <w:r>
        <w:rPr>
          <w:rStyle w:val="FootnoteReference"/>
        </w:rPr>
        <w:footnoteRef/>
      </w:r>
      <w:r w:rsidRPr="006E0CFC">
        <w:rPr>
          <w:lang w:val="pt-BR"/>
        </w:rPr>
        <w:t xml:space="preserve"> Anexo </w:t>
      </w:r>
      <w:r>
        <w:rPr>
          <w:lang w:val="pt-BR"/>
        </w:rPr>
        <w:t>B</w:t>
      </w:r>
      <w:r w:rsidRPr="006E0CFC">
        <w:rPr>
          <w:lang w:val="pt-BR"/>
        </w:rPr>
        <w:t xml:space="preserve">. </w:t>
      </w:r>
      <w:r>
        <w:rPr>
          <w:lang w:val="pt-BR"/>
        </w:rPr>
        <w:t>Recurso em Sentido Estrito.</w:t>
      </w:r>
      <w:r w:rsidRPr="006E0CFC">
        <w:rPr>
          <w:lang w:val="pt-BR"/>
        </w:rPr>
        <w:t xml:space="preserve"> Anex</w:t>
      </w:r>
      <w:r>
        <w:rPr>
          <w:lang w:val="pt-BR"/>
        </w:rPr>
        <w:t>o</w:t>
      </w:r>
      <w:r w:rsidRPr="006E0CFC">
        <w:rPr>
          <w:lang w:val="pt-BR"/>
        </w:rPr>
        <w:t xml:space="preserve"> ao informe do peticionário de 24 de outubro de 2005.</w:t>
      </w:r>
    </w:p>
  </w:footnote>
  <w:footnote w:id="38">
    <w:p w14:paraId="1DEC5EF1"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69212B">
        <w:rPr>
          <w:lang w:val="pt-BR"/>
        </w:rPr>
        <w:t xml:space="preserve">Anexo </w:t>
      </w:r>
      <w:r>
        <w:rPr>
          <w:lang w:val="pt-BR"/>
        </w:rPr>
        <w:t>F</w:t>
      </w:r>
      <w:r w:rsidRPr="0069212B">
        <w:rPr>
          <w:lang w:val="pt-BR"/>
        </w:rPr>
        <w:t xml:space="preserve">. </w:t>
      </w:r>
      <w:r>
        <w:rPr>
          <w:lang w:val="pt-BR"/>
        </w:rPr>
        <w:t>Decisão do Desembargador Relator. An</w:t>
      </w:r>
      <w:r w:rsidRPr="0069212B">
        <w:rPr>
          <w:lang w:val="pt-BR"/>
        </w:rPr>
        <w:t>ex</w:t>
      </w:r>
      <w:r>
        <w:rPr>
          <w:lang w:val="pt-BR"/>
        </w:rPr>
        <w:t>o</w:t>
      </w:r>
      <w:r w:rsidRPr="0069212B">
        <w:rPr>
          <w:lang w:val="pt-BR"/>
        </w:rPr>
        <w:t xml:space="preserve"> ao informe do peticionário de 24 de outubro de 2005.</w:t>
      </w:r>
    </w:p>
  </w:footnote>
  <w:footnote w:id="39">
    <w:p w14:paraId="1002F322"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Escrito do</w:t>
      </w:r>
      <w:r w:rsidRPr="0069212B">
        <w:rPr>
          <w:lang w:val="pt-BR"/>
        </w:rPr>
        <w:t xml:space="preserve"> informe do peticionário de 24 de outubro de 2005.</w:t>
      </w:r>
    </w:p>
  </w:footnote>
  <w:footnote w:id="40">
    <w:p w14:paraId="5C361FF0"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Escrito do informe do peticionário de 20</w:t>
      </w:r>
      <w:r w:rsidRPr="0069212B">
        <w:rPr>
          <w:lang w:val="pt-BR"/>
        </w:rPr>
        <w:t xml:space="preserve"> de </w:t>
      </w:r>
      <w:r>
        <w:rPr>
          <w:lang w:val="pt-BR"/>
        </w:rPr>
        <w:t>abril de 2006</w:t>
      </w:r>
    </w:p>
  </w:footnote>
  <w:footnote w:id="41">
    <w:p w14:paraId="23742A0F"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Escrito do informe do peticionário de 20</w:t>
      </w:r>
      <w:r w:rsidRPr="0069212B">
        <w:rPr>
          <w:lang w:val="pt-BR"/>
        </w:rPr>
        <w:t xml:space="preserve"> de </w:t>
      </w:r>
      <w:r>
        <w:rPr>
          <w:lang w:val="pt-BR"/>
        </w:rPr>
        <w:t>abril de 2006</w:t>
      </w:r>
      <w:r w:rsidRPr="0069212B">
        <w:rPr>
          <w:lang w:val="pt-BR"/>
        </w:rPr>
        <w:t>.</w:t>
      </w:r>
    </w:p>
  </w:footnote>
  <w:footnote w:id="42">
    <w:p w14:paraId="3A7E3C32"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Escrito do informe do peticionário de 20</w:t>
      </w:r>
      <w:r w:rsidRPr="0069212B">
        <w:rPr>
          <w:lang w:val="pt-BR"/>
        </w:rPr>
        <w:t xml:space="preserve"> de </w:t>
      </w:r>
      <w:r>
        <w:rPr>
          <w:lang w:val="pt-BR"/>
        </w:rPr>
        <w:t>abril de 2006</w:t>
      </w:r>
      <w:r w:rsidRPr="0069212B">
        <w:rPr>
          <w:lang w:val="pt-BR"/>
        </w:rPr>
        <w:t>.</w:t>
      </w:r>
    </w:p>
  </w:footnote>
  <w:footnote w:id="43">
    <w:p w14:paraId="17D80D3A"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Anexo 1. Sentença de Absolvição de 23 de março de 2006. Anexo ao Informe do peticionário de 20</w:t>
      </w:r>
      <w:r w:rsidRPr="0069212B">
        <w:rPr>
          <w:lang w:val="pt-BR"/>
        </w:rPr>
        <w:t xml:space="preserve"> de </w:t>
      </w:r>
      <w:r>
        <w:rPr>
          <w:lang w:val="pt-BR"/>
        </w:rPr>
        <w:t>abril de 2006</w:t>
      </w:r>
      <w:r w:rsidRPr="0069212B">
        <w:rPr>
          <w:lang w:val="pt-BR"/>
        </w:rPr>
        <w:t>.</w:t>
      </w:r>
    </w:p>
  </w:footnote>
  <w:footnote w:id="44">
    <w:p w14:paraId="56803359"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Escrito do informe do peticionário de 24</w:t>
      </w:r>
      <w:r w:rsidRPr="0069212B">
        <w:rPr>
          <w:lang w:val="pt-BR"/>
        </w:rPr>
        <w:t xml:space="preserve"> de </w:t>
      </w:r>
      <w:r>
        <w:rPr>
          <w:lang w:val="pt-BR"/>
        </w:rPr>
        <w:t>janeiro de 2007</w:t>
      </w:r>
      <w:r w:rsidRPr="0069212B">
        <w:rPr>
          <w:lang w:val="pt-BR"/>
        </w:rPr>
        <w:t>.</w:t>
      </w:r>
    </w:p>
  </w:footnote>
  <w:footnote w:id="45">
    <w:p w14:paraId="0F3ECFE7"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Pr>
          <w:lang w:val="pt-BR"/>
        </w:rPr>
        <w:t>Escrito do informe do peticionário de 20</w:t>
      </w:r>
      <w:r w:rsidRPr="0069212B">
        <w:rPr>
          <w:lang w:val="pt-BR"/>
        </w:rPr>
        <w:t xml:space="preserve"> de </w:t>
      </w:r>
      <w:r>
        <w:rPr>
          <w:lang w:val="pt-BR"/>
        </w:rPr>
        <w:t>abril de 2006</w:t>
      </w:r>
      <w:r w:rsidRPr="0069212B">
        <w:rPr>
          <w:lang w:val="pt-BR"/>
        </w:rPr>
        <w:t>.</w:t>
      </w:r>
    </w:p>
  </w:footnote>
  <w:footnote w:id="46">
    <w:p w14:paraId="77BA79FA" w14:textId="77777777" w:rsidR="00B03A37" w:rsidRPr="00A618EA" w:rsidRDefault="00B03A37" w:rsidP="004503D2">
      <w:pPr>
        <w:pStyle w:val="FootnoteText"/>
        <w:jc w:val="both"/>
        <w:rPr>
          <w:lang w:val="pt-BR"/>
        </w:rPr>
      </w:pPr>
      <w:r>
        <w:rPr>
          <w:rStyle w:val="FootnoteReference"/>
        </w:rPr>
        <w:footnoteRef/>
      </w:r>
      <w:r>
        <w:rPr>
          <w:lang w:val="pt-BR"/>
        </w:rPr>
        <w:t xml:space="preserve"> </w:t>
      </w:r>
      <w:r w:rsidRPr="00A618EA">
        <w:rPr>
          <w:lang w:val="pt-BR"/>
        </w:rPr>
        <w:t>Artigo 4(1): "Toda pessoa tem o direito de que se respeite sua vida. Esse direito deve ser protegido pela lei e, em geral, desde o momento da concepção. Ninguém pode ser privado da vida arbitrariamente". Artigo 1(1): "Os Estados Partes nesta Convenção comprometem-se a respeitar os direitos e liberdades nela reconhecidos e a garantir seu livre e pleno exercício a toda pessoa que esteja sujeita à sua jurisdição, sem discriminação...".</w:t>
      </w:r>
    </w:p>
  </w:footnote>
  <w:footnote w:id="47">
    <w:p w14:paraId="47E65A57" w14:textId="77777777" w:rsidR="00B03A37" w:rsidRPr="0007776A" w:rsidRDefault="00B03A37" w:rsidP="004503D2">
      <w:pPr>
        <w:pStyle w:val="FootnoteText"/>
        <w:tabs>
          <w:tab w:val="left" w:pos="900"/>
          <w:tab w:val="left" w:pos="1080"/>
        </w:tabs>
        <w:jc w:val="both"/>
        <w:rPr>
          <w:szCs w:val="16"/>
          <w:lang w:val="pt-BR"/>
        </w:rPr>
      </w:pPr>
      <w:r w:rsidRPr="006D21B0">
        <w:rPr>
          <w:rStyle w:val="FootnoteReference"/>
          <w:szCs w:val="16"/>
          <w:lang w:val="pt-BR"/>
        </w:rPr>
        <w:footnoteRef/>
      </w:r>
      <w:r w:rsidRPr="001A6143">
        <w:rPr>
          <w:szCs w:val="16"/>
          <w:lang w:val="pt-BR"/>
        </w:rPr>
        <w:t xml:space="preserve"> CIDH. </w:t>
      </w:r>
      <w:r w:rsidRPr="006D21B0">
        <w:rPr>
          <w:i/>
          <w:szCs w:val="16"/>
          <w:lang w:val="pt-BR"/>
        </w:rPr>
        <w:t xml:space="preserve">Informe sobre Terrorismo </w:t>
      </w:r>
      <w:r w:rsidRPr="006E0CFC">
        <w:rPr>
          <w:i/>
          <w:szCs w:val="16"/>
          <w:lang w:val="pt-BR"/>
        </w:rPr>
        <w:t>e</w:t>
      </w:r>
      <w:r w:rsidRPr="006D21B0">
        <w:rPr>
          <w:i/>
          <w:szCs w:val="16"/>
          <w:lang w:val="pt-BR"/>
        </w:rPr>
        <w:t xml:space="preserve"> D</w:t>
      </w:r>
      <w:r w:rsidRPr="006E0CFC">
        <w:rPr>
          <w:i/>
          <w:szCs w:val="16"/>
          <w:lang w:val="pt-BR"/>
        </w:rPr>
        <w:t>ireitos</w:t>
      </w:r>
      <w:r w:rsidRPr="006D21B0">
        <w:rPr>
          <w:i/>
          <w:szCs w:val="16"/>
          <w:lang w:val="pt-BR"/>
        </w:rPr>
        <w:t xml:space="preserve"> Humanos. </w:t>
      </w:r>
      <w:r w:rsidRPr="006D21B0">
        <w:rPr>
          <w:szCs w:val="16"/>
          <w:lang w:val="pt-BR"/>
        </w:rPr>
        <w:t xml:space="preserve">2002. </w:t>
      </w:r>
      <w:r w:rsidRPr="006E0CFC">
        <w:rPr>
          <w:szCs w:val="16"/>
          <w:lang w:val="pt-BR"/>
        </w:rPr>
        <w:t>Parágrafo</w:t>
      </w:r>
      <w:r w:rsidRPr="006D21B0">
        <w:rPr>
          <w:szCs w:val="16"/>
          <w:lang w:val="pt-BR"/>
        </w:rPr>
        <w:t xml:space="preserve"> 81;</w:t>
      </w:r>
      <w:r>
        <w:rPr>
          <w:szCs w:val="16"/>
          <w:lang w:val="pt-BR"/>
        </w:rPr>
        <w:t xml:space="preserve"> </w:t>
      </w:r>
      <w:r w:rsidRPr="00D474C0">
        <w:rPr>
          <w:szCs w:val="16"/>
          <w:lang w:val="pt-BR"/>
        </w:rPr>
        <w:t>Corte IDH.</w:t>
      </w:r>
      <w:r>
        <w:rPr>
          <w:szCs w:val="16"/>
          <w:lang w:val="pt-BR"/>
        </w:rPr>
        <w:t xml:space="preserve"> </w:t>
      </w:r>
      <w:r w:rsidRPr="0007776A">
        <w:rPr>
          <w:szCs w:val="16"/>
          <w:lang w:val="pt-BR"/>
        </w:rPr>
        <w:t xml:space="preserve"> </w:t>
      </w:r>
      <w:r w:rsidRPr="00A523B8">
        <w:rPr>
          <w:i/>
          <w:szCs w:val="16"/>
          <w:lang w:val="pt-BR"/>
        </w:rPr>
        <w:t>Caso Johan Alexis Ortiz Hernández Vs. Venezuela</w:t>
      </w:r>
      <w:r>
        <w:rPr>
          <w:szCs w:val="16"/>
          <w:lang w:val="pt-BR"/>
        </w:rPr>
        <w:t xml:space="preserve">. </w:t>
      </w:r>
      <w:r w:rsidRPr="0007776A">
        <w:rPr>
          <w:szCs w:val="16"/>
          <w:lang w:val="pt-BR"/>
        </w:rPr>
        <w:t>Mérito</w:t>
      </w:r>
      <w:r>
        <w:rPr>
          <w:szCs w:val="16"/>
          <w:lang w:val="pt-BR"/>
        </w:rPr>
        <w:t>.</w:t>
      </w:r>
      <w:r w:rsidRPr="0007776A">
        <w:rPr>
          <w:szCs w:val="16"/>
          <w:lang w:val="pt-BR"/>
        </w:rPr>
        <w:t xml:space="preserve"> 29 de janeiro de 2015</w:t>
      </w:r>
      <w:r>
        <w:rPr>
          <w:szCs w:val="16"/>
          <w:lang w:val="pt-BR"/>
        </w:rPr>
        <w:t>.</w:t>
      </w:r>
      <w:r w:rsidRPr="0007776A">
        <w:rPr>
          <w:szCs w:val="16"/>
          <w:lang w:val="pt-BR"/>
        </w:rPr>
        <w:t xml:space="preserve"> Pa</w:t>
      </w:r>
      <w:r>
        <w:rPr>
          <w:szCs w:val="16"/>
          <w:lang w:val="pt-BR"/>
        </w:rPr>
        <w:t>r.</w:t>
      </w:r>
      <w:r w:rsidRPr="0007776A">
        <w:rPr>
          <w:szCs w:val="16"/>
          <w:lang w:val="pt-BR"/>
        </w:rPr>
        <w:t xml:space="preserve"> 185.</w:t>
      </w:r>
    </w:p>
  </w:footnote>
  <w:footnote w:id="48">
    <w:p w14:paraId="6B249272" w14:textId="77777777" w:rsidR="00B03A37" w:rsidRPr="0007776A" w:rsidRDefault="00B03A37" w:rsidP="004503D2">
      <w:pPr>
        <w:pStyle w:val="FootnoteText"/>
        <w:tabs>
          <w:tab w:val="left" w:pos="720"/>
          <w:tab w:val="left" w:pos="900"/>
          <w:tab w:val="left" w:pos="1080"/>
        </w:tabs>
        <w:jc w:val="both"/>
        <w:rPr>
          <w:szCs w:val="16"/>
          <w:lang w:val="pt-BR"/>
        </w:rPr>
      </w:pPr>
      <w:r w:rsidRPr="0007776A">
        <w:rPr>
          <w:rStyle w:val="FootnoteReference"/>
          <w:szCs w:val="16"/>
          <w:lang w:val="pt-BR"/>
        </w:rPr>
        <w:footnoteRef/>
      </w:r>
      <w:r w:rsidRPr="0007776A">
        <w:rPr>
          <w:szCs w:val="16"/>
          <w:lang w:val="pt-BR"/>
        </w:rPr>
        <w:t xml:space="preserve"> </w:t>
      </w:r>
      <w:r w:rsidRPr="00D474C0">
        <w:rPr>
          <w:szCs w:val="16"/>
          <w:lang w:val="pt-BR"/>
        </w:rPr>
        <w:t>Corte IDH.</w:t>
      </w:r>
      <w:r>
        <w:rPr>
          <w:szCs w:val="16"/>
          <w:lang w:val="pt-BR"/>
        </w:rPr>
        <w:t xml:space="preserve"> </w:t>
      </w:r>
      <w:r w:rsidRPr="00A523B8">
        <w:rPr>
          <w:i/>
          <w:szCs w:val="16"/>
          <w:lang w:val="pt-BR"/>
        </w:rPr>
        <w:t>Caso Johan Alexis Ortiz Hernández Vs. Venezuela</w:t>
      </w:r>
      <w:r>
        <w:rPr>
          <w:szCs w:val="16"/>
          <w:lang w:val="pt-BR"/>
        </w:rPr>
        <w:t xml:space="preserve">. </w:t>
      </w:r>
      <w:r w:rsidRPr="0007776A">
        <w:rPr>
          <w:szCs w:val="16"/>
          <w:lang w:val="pt-BR"/>
        </w:rPr>
        <w:t>Mérito</w:t>
      </w:r>
      <w:r>
        <w:rPr>
          <w:szCs w:val="16"/>
          <w:lang w:val="pt-BR"/>
        </w:rPr>
        <w:t>.</w:t>
      </w:r>
      <w:r w:rsidRPr="0007776A">
        <w:rPr>
          <w:szCs w:val="16"/>
          <w:lang w:val="pt-BR"/>
        </w:rPr>
        <w:t xml:space="preserve"> 29 de janeiro de 2015</w:t>
      </w:r>
      <w:r>
        <w:rPr>
          <w:szCs w:val="16"/>
          <w:lang w:val="pt-BR"/>
        </w:rPr>
        <w:t>.</w:t>
      </w:r>
      <w:r w:rsidRPr="0007776A">
        <w:rPr>
          <w:szCs w:val="16"/>
          <w:lang w:val="pt-BR"/>
        </w:rPr>
        <w:t xml:space="preserve"> Pa</w:t>
      </w:r>
      <w:r>
        <w:rPr>
          <w:szCs w:val="16"/>
          <w:lang w:val="pt-BR"/>
        </w:rPr>
        <w:t>r.</w:t>
      </w:r>
      <w:r w:rsidRPr="0007776A">
        <w:rPr>
          <w:szCs w:val="16"/>
          <w:lang w:val="pt-BR"/>
        </w:rPr>
        <w:t xml:space="preserve">186. Veja também: Corte IDH. </w:t>
      </w:r>
      <w:r w:rsidRPr="00D474C0">
        <w:rPr>
          <w:bCs/>
          <w:i/>
          <w:szCs w:val="16"/>
          <w:lang w:val="pt-BR"/>
        </w:rPr>
        <w:t xml:space="preserve">Caso Zambrano Vélez e outros Vs. Equador. </w:t>
      </w:r>
      <w:r w:rsidRPr="0007776A">
        <w:rPr>
          <w:szCs w:val="16"/>
          <w:lang w:val="pt-BR"/>
        </w:rPr>
        <w:t>Mérito, Reparações e Custas. Sentença de 4 de</w:t>
      </w:r>
      <w:r>
        <w:rPr>
          <w:szCs w:val="16"/>
          <w:lang w:val="pt-BR"/>
        </w:rPr>
        <w:t xml:space="preserve"> julho de 2007. Série C, Nº 166. Par.</w:t>
      </w:r>
      <w:r w:rsidRPr="0007776A">
        <w:rPr>
          <w:szCs w:val="16"/>
          <w:lang w:val="pt-BR"/>
        </w:rPr>
        <w:t xml:space="preserve"> 80. </w:t>
      </w:r>
    </w:p>
  </w:footnote>
  <w:footnote w:id="49">
    <w:p w14:paraId="75130D42" w14:textId="77777777" w:rsidR="00B03A37" w:rsidRPr="006E0CFC" w:rsidRDefault="00B03A37" w:rsidP="004503D2">
      <w:pPr>
        <w:pStyle w:val="FootnoteText"/>
        <w:tabs>
          <w:tab w:val="left" w:pos="9356"/>
        </w:tabs>
        <w:jc w:val="both"/>
        <w:rPr>
          <w:szCs w:val="16"/>
          <w:lang w:val="pt-BR"/>
        </w:rPr>
      </w:pPr>
      <w:r w:rsidRPr="0007776A">
        <w:rPr>
          <w:rStyle w:val="FootnoteReference"/>
          <w:szCs w:val="16"/>
        </w:rPr>
        <w:footnoteRef/>
      </w:r>
      <w:r w:rsidRPr="006E0CFC">
        <w:rPr>
          <w:szCs w:val="16"/>
          <w:lang w:val="pt-BR"/>
        </w:rPr>
        <w:t xml:space="preserve"> </w:t>
      </w:r>
      <w:r w:rsidRPr="0007776A">
        <w:rPr>
          <w:szCs w:val="16"/>
          <w:lang w:val="pt-BR"/>
        </w:rPr>
        <w:t xml:space="preserve">Corte IDH. </w:t>
      </w:r>
      <w:r w:rsidRPr="00D474C0">
        <w:rPr>
          <w:bCs/>
          <w:i/>
          <w:szCs w:val="16"/>
          <w:lang w:val="pt-BR"/>
        </w:rPr>
        <w:t xml:space="preserve">Caso Zambrano Vélez e outros Vs. Equador. </w:t>
      </w:r>
      <w:r w:rsidRPr="0007776A">
        <w:rPr>
          <w:szCs w:val="16"/>
          <w:lang w:val="pt-BR"/>
        </w:rPr>
        <w:t>Mérito, Reparações e Custas. Sentença de 4 de</w:t>
      </w:r>
      <w:r>
        <w:rPr>
          <w:szCs w:val="16"/>
          <w:lang w:val="pt-BR"/>
        </w:rPr>
        <w:t xml:space="preserve"> julho de 2007. Série C, Nº 166. Par. </w:t>
      </w:r>
      <w:r w:rsidRPr="006E0CFC">
        <w:rPr>
          <w:szCs w:val="16"/>
          <w:lang w:val="pt-BR"/>
        </w:rPr>
        <w:t xml:space="preserve">79; </w:t>
      </w:r>
      <w:hyperlink r:id="rId1" w:history="1">
        <w:r w:rsidRPr="00B170AC">
          <w:rPr>
            <w:szCs w:val="16"/>
            <w:lang w:val="pt-BR"/>
          </w:rPr>
          <w:t xml:space="preserve">Corte IDH. </w:t>
        </w:r>
        <w:r w:rsidRPr="00D474C0">
          <w:rPr>
            <w:i/>
            <w:szCs w:val="16"/>
            <w:lang w:val="pt-BR"/>
          </w:rPr>
          <w:t>Caso Baldeón García Vs. Peru.</w:t>
        </w:r>
        <w:r w:rsidRPr="007373D2">
          <w:rPr>
            <w:szCs w:val="16"/>
            <w:lang w:val="pt-BR"/>
          </w:rPr>
          <w:t xml:space="preserve"> Mérito, Reparações e Custas. Sentença de 6 de abril de 2006. Série C Nº 147</w:t>
        </w:r>
      </w:hyperlink>
      <w:r w:rsidRPr="007373D2">
        <w:rPr>
          <w:szCs w:val="16"/>
          <w:lang w:val="pt-BR"/>
        </w:rPr>
        <w:t>,</w:t>
      </w:r>
      <w:r>
        <w:rPr>
          <w:szCs w:val="16"/>
          <w:lang w:val="pt-BR"/>
        </w:rPr>
        <w:t xml:space="preserve"> </w:t>
      </w:r>
      <w:r w:rsidRPr="006E0CFC">
        <w:rPr>
          <w:szCs w:val="16"/>
          <w:lang w:val="pt-BR"/>
        </w:rPr>
        <w:t xml:space="preserve">par. 83. </w:t>
      </w:r>
    </w:p>
  </w:footnote>
  <w:footnote w:id="50">
    <w:p w14:paraId="76F081E7" w14:textId="77777777" w:rsidR="00B03A37" w:rsidRPr="007373D2" w:rsidRDefault="00B03A37" w:rsidP="004503D2">
      <w:pPr>
        <w:jc w:val="both"/>
        <w:rPr>
          <w:rFonts w:ascii="Cambria" w:hAnsi="Cambria"/>
          <w:sz w:val="16"/>
          <w:szCs w:val="16"/>
          <w:lang w:val="pt-BR"/>
        </w:rPr>
      </w:pPr>
      <w:r w:rsidRPr="0007776A">
        <w:rPr>
          <w:rFonts w:ascii="Cambria" w:hAnsi="Cambria" w:cs="Arial"/>
          <w:sz w:val="16"/>
          <w:szCs w:val="16"/>
          <w:vertAlign w:val="superscript"/>
          <w:lang w:val="pt-BR"/>
        </w:rPr>
        <w:footnoteRef/>
      </w:r>
      <w:r w:rsidRPr="0007776A">
        <w:rPr>
          <w:rFonts w:ascii="Cambria" w:hAnsi="Cambria" w:cs="Arial"/>
          <w:sz w:val="16"/>
          <w:szCs w:val="16"/>
          <w:lang w:val="pt-BR"/>
        </w:rPr>
        <w:t xml:space="preserve"> </w:t>
      </w:r>
      <w:hyperlink r:id="rId2" w:history="1">
        <w:r w:rsidRPr="0007776A">
          <w:rPr>
            <w:rFonts w:ascii="Cambria" w:hAnsi="Cambria"/>
            <w:sz w:val="16"/>
            <w:szCs w:val="16"/>
            <w:lang w:val="pt-BR"/>
          </w:rPr>
          <w:t xml:space="preserve">Corte IDH. </w:t>
        </w:r>
        <w:r w:rsidRPr="00B170AC">
          <w:rPr>
            <w:rFonts w:ascii="Cambria" w:hAnsi="Cambria"/>
            <w:i/>
            <w:sz w:val="16"/>
            <w:szCs w:val="16"/>
            <w:lang w:val="pt-BR"/>
          </w:rPr>
          <w:t>Caso González Medina e familiares Vs. República Dominicana</w:t>
        </w:r>
        <w:r w:rsidRPr="0007776A">
          <w:rPr>
            <w:rFonts w:ascii="Cambria" w:hAnsi="Cambria"/>
            <w:sz w:val="16"/>
            <w:szCs w:val="16"/>
            <w:lang w:val="pt-BR"/>
          </w:rPr>
          <w:t>. Exceções Preliminares, Mérito, Reparações e Custas. Sentença de 27 de fevereiro de 2012 Série C Nº 240</w:t>
        </w:r>
      </w:hyperlink>
      <w:r w:rsidRPr="0007776A">
        <w:rPr>
          <w:rFonts w:ascii="Cambria" w:hAnsi="Cambria"/>
          <w:sz w:val="16"/>
          <w:szCs w:val="16"/>
          <w:lang w:val="pt-BR"/>
        </w:rPr>
        <w:t xml:space="preserve">, parágrafo133; </w:t>
      </w:r>
      <w:r>
        <w:rPr>
          <w:rFonts w:ascii="Cambria" w:hAnsi="Cambria" w:cs="Arial"/>
          <w:sz w:val="16"/>
          <w:szCs w:val="16"/>
          <w:lang w:val="pt-BR"/>
        </w:rPr>
        <w:t>Corte I</w:t>
      </w:r>
      <w:r w:rsidRPr="0007776A">
        <w:rPr>
          <w:rFonts w:ascii="Cambria" w:hAnsi="Cambria" w:cs="Arial"/>
          <w:sz w:val="16"/>
          <w:szCs w:val="16"/>
          <w:lang w:val="pt-BR"/>
        </w:rPr>
        <w:t>DH</w:t>
      </w:r>
      <w:r>
        <w:rPr>
          <w:rFonts w:ascii="Cambria" w:hAnsi="Cambria" w:cs="Arial"/>
          <w:sz w:val="16"/>
          <w:szCs w:val="16"/>
          <w:lang w:val="pt-BR"/>
        </w:rPr>
        <w:t>.</w:t>
      </w:r>
      <w:r w:rsidRPr="0007776A">
        <w:rPr>
          <w:rFonts w:ascii="Cambria" w:hAnsi="Cambria" w:cs="Arial"/>
          <w:sz w:val="16"/>
          <w:szCs w:val="16"/>
          <w:lang w:val="pt-BR"/>
        </w:rPr>
        <w:t xml:space="preserve"> </w:t>
      </w:r>
      <w:r w:rsidRPr="00B170AC">
        <w:rPr>
          <w:rFonts w:ascii="Cambria" w:hAnsi="Cambria" w:cs="Arial"/>
          <w:i/>
          <w:sz w:val="16"/>
          <w:szCs w:val="16"/>
          <w:lang w:val="pt-BR"/>
        </w:rPr>
        <w:t>Caso do Massacre de Pueblo Bello vs. Colômbia</w:t>
      </w:r>
      <w:r>
        <w:rPr>
          <w:rFonts w:ascii="Cambria" w:hAnsi="Cambria" w:cs="Arial"/>
          <w:sz w:val="16"/>
          <w:szCs w:val="16"/>
          <w:lang w:val="pt-BR"/>
        </w:rPr>
        <w:t>.</w:t>
      </w:r>
      <w:r w:rsidRPr="0007776A">
        <w:rPr>
          <w:rFonts w:ascii="Cambria" w:hAnsi="Cambria" w:cs="Arial"/>
          <w:sz w:val="16"/>
          <w:szCs w:val="16"/>
          <w:lang w:val="pt-BR"/>
        </w:rPr>
        <w:t xml:space="preserve"> Sentença de 31 de janeiro de 2006, Série C Nº 140, par</w:t>
      </w:r>
      <w:r>
        <w:rPr>
          <w:rFonts w:ascii="Cambria" w:hAnsi="Cambria" w:cs="Arial"/>
          <w:sz w:val="16"/>
          <w:szCs w:val="16"/>
          <w:lang w:val="pt-BR"/>
        </w:rPr>
        <w:t>.</w:t>
      </w:r>
      <w:r w:rsidRPr="0007776A">
        <w:rPr>
          <w:rFonts w:ascii="Cambria" w:hAnsi="Cambria" w:cs="Arial"/>
          <w:sz w:val="16"/>
          <w:szCs w:val="16"/>
          <w:lang w:val="pt-BR"/>
        </w:rPr>
        <w:t xml:space="preserve"> 112.</w:t>
      </w:r>
    </w:p>
  </w:footnote>
  <w:footnote w:id="51">
    <w:p w14:paraId="03B46E89" w14:textId="77777777" w:rsidR="00B03A37" w:rsidRPr="007373D2" w:rsidRDefault="00B03A37" w:rsidP="004503D2">
      <w:pPr>
        <w:jc w:val="both"/>
        <w:rPr>
          <w:rFonts w:ascii="Cambria" w:hAnsi="Cambria"/>
          <w:sz w:val="16"/>
          <w:szCs w:val="16"/>
          <w:lang w:val="pt-BR"/>
        </w:rPr>
      </w:pPr>
      <w:r w:rsidRPr="007373D2">
        <w:rPr>
          <w:rStyle w:val="FootnoteReference"/>
          <w:rFonts w:ascii="Cambria" w:hAnsi="Cambria"/>
          <w:sz w:val="16"/>
          <w:szCs w:val="16"/>
          <w:lang w:val="pt-BR"/>
        </w:rPr>
        <w:footnoteRef/>
      </w:r>
      <w:r w:rsidRPr="007373D2">
        <w:rPr>
          <w:rFonts w:ascii="Cambria" w:hAnsi="Cambria"/>
          <w:sz w:val="16"/>
          <w:szCs w:val="16"/>
          <w:lang w:val="pt-BR"/>
        </w:rPr>
        <w:t xml:space="preserve"> Corte IDH. </w:t>
      </w:r>
      <w:r w:rsidRPr="00D67702">
        <w:rPr>
          <w:rFonts w:ascii="Cambria" w:hAnsi="Cambria"/>
          <w:i/>
          <w:sz w:val="16"/>
          <w:szCs w:val="16"/>
          <w:lang w:val="pt-BR"/>
        </w:rPr>
        <w:t>Caso Velásquez Rodríguez Vs. Honduras</w:t>
      </w:r>
      <w:r w:rsidRPr="007373D2">
        <w:rPr>
          <w:rFonts w:ascii="Cambria" w:hAnsi="Cambria"/>
          <w:sz w:val="16"/>
          <w:szCs w:val="16"/>
          <w:lang w:val="pt-BR"/>
        </w:rPr>
        <w:t xml:space="preserve">. </w:t>
      </w:r>
      <w:hyperlink r:id="rId3" w:history="1">
        <w:r w:rsidRPr="007373D2">
          <w:rPr>
            <w:rStyle w:val="Hyperlink"/>
            <w:rFonts w:ascii="Cambria" w:hAnsi="Cambria" w:cs="Arial"/>
            <w:sz w:val="16"/>
            <w:szCs w:val="16"/>
            <w:u w:val="none"/>
            <w:shd w:val="clear" w:color="auto" w:fill="FFFFFF"/>
            <w:lang w:val="pt-BR"/>
          </w:rPr>
          <w:t>Mérito. Sentença de 29 de julho de 1988. Série C Nº 4</w:t>
        </w:r>
      </w:hyperlink>
      <w:r w:rsidRPr="007373D2">
        <w:rPr>
          <w:rStyle w:val="Hyperlink"/>
          <w:rFonts w:ascii="Cambria" w:hAnsi="Cambria" w:cs="Arial"/>
          <w:sz w:val="16"/>
          <w:szCs w:val="16"/>
          <w:u w:val="none"/>
          <w:shd w:val="clear" w:color="auto" w:fill="FFFFFF"/>
          <w:lang w:val="pt-BR"/>
        </w:rPr>
        <w:t xml:space="preserve">. Parágrafo 166. </w:t>
      </w:r>
    </w:p>
  </w:footnote>
  <w:footnote w:id="52">
    <w:p w14:paraId="3C013BBC" w14:textId="77777777" w:rsidR="00B03A37" w:rsidRPr="007373D2" w:rsidRDefault="00B03A37" w:rsidP="004503D2">
      <w:pPr>
        <w:jc w:val="both"/>
        <w:rPr>
          <w:rFonts w:ascii="Cambria" w:hAnsi="Cambria"/>
          <w:sz w:val="16"/>
          <w:szCs w:val="16"/>
          <w:lang w:val="pt-BR"/>
        </w:rPr>
      </w:pPr>
      <w:r w:rsidRPr="007373D2">
        <w:rPr>
          <w:rStyle w:val="FootnoteReference"/>
          <w:rFonts w:ascii="Cambria" w:hAnsi="Cambria"/>
          <w:sz w:val="16"/>
          <w:szCs w:val="16"/>
          <w:lang w:val="pt-BR"/>
        </w:rPr>
        <w:footnoteRef/>
      </w:r>
      <w:r w:rsidRPr="007373D2">
        <w:rPr>
          <w:rFonts w:ascii="Cambria" w:hAnsi="Cambria"/>
          <w:sz w:val="16"/>
          <w:szCs w:val="16"/>
          <w:lang w:val="pt-BR"/>
        </w:rPr>
        <w:t xml:space="preserve"> Corte IDH. </w:t>
      </w:r>
      <w:r w:rsidRPr="00D67702">
        <w:rPr>
          <w:rFonts w:ascii="Cambria" w:hAnsi="Cambria"/>
          <w:i/>
          <w:iCs/>
          <w:sz w:val="16"/>
          <w:szCs w:val="16"/>
          <w:lang w:val="pt-BR"/>
        </w:rPr>
        <w:t>Caso</w:t>
      </w:r>
      <w:r w:rsidRPr="00D67702">
        <w:rPr>
          <w:rFonts w:ascii="Cambria" w:hAnsi="Cambria"/>
          <w:i/>
          <w:sz w:val="16"/>
          <w:szCs w:val="16"/>
          <w:lang w:val="pt-BR"/>
        </w:rPr>
        <w:t xml:space="preserve"> do </w:t>
      </w:r>
      <w:r w:rsidRPr="00D67702">
        <w:rPr>
          <w:rFonts w:ascii="Cambria" w:hAnsi="Cambria"/>
          <w:i/>
          <w:iCs/>
          <w:sz w:val="16"/>
          <w:szCs w:val="16"/>
          <w:lang w:val="pt-BR"/>
        </w:rPr>
        <w:t>Massacre de Pueblo Bello</w:t>
      </w:r>
      <w:r w:rsidRPr="006E0CFC">
        <w:rPr>
          <w:lang w:val="pt-BR"/>
        </w:rPr>
        <w:t xml:space="preserve"> </w:t>
      </w:r>
      <w:r w:rsidRPr="0016644E">
        <w:rPr>
          <w:rFonts w:ascii="Cambria" w:hAnsi="Cambria"/>
          <w:i/>
          <w:iCs/>
          <w:sz w:val="16"/>
          <w:szCs w:val="16"/>
          <w:lang w:val="pt-BR"/>
        </w:rPr>
        <w:t>Vs. Colômbia</w:t>
      </w:r>
      <w:r w:rsidRPr="007373D2">
        <w:rPr>
          <w:rFonts w:ascii="Cambria" w:hAnsi="Cambria"/>
          <w:sz w:val="16"/>
          <w:szCs w:val="16"/>
          <w:lang w:val="pt-BR"/>
        </w:rPr>
        <w:t>. Sentença de 31 de janeiro de 2006. Série C Nº 140. Parágrafo 113.</w:t>
      </w:r>
    </w:p>
  </w:footnote>
  <w:footnote w:id="53">
    <w:p w14:paraId="165D7D75" w14:textId="77777777" w:rsidR="00B03A37" w:rsidRPr="007373D2" w:rsidRDefault="00B03A37" w:rsidP="004503D2">
      <w:pPr>
        <w:pStyle w:val="FootnoteText"/>
        <w:tabs>
          <w:tab w:val="left" w:pos="720"/>
        </w:tabs>
        <w:jc w:val="both"/>
        <w:rPr>
          <w:szCs w:val="16"/>
          <w:lang w:val="pt-BR"/>
        </w:rPr>
      </w:pPr>
      <w:r w:rsidRPr="007373D2">
        <w:rPr>
          <w:rStyle w:val="FootnoteReference"/>
          <w:szCs w:val="16"/>
          <w:lang w:val="pt-BR"/>
        </w:rPr>
        <w:footnoteRef/>
      </w:r>
      <w:r w:rsidRPr="007373D2">
        <w:rPr>
          <w:szCs w:val="16"/>
          <w:lang w:val="pt-BR"/>
        </w:rPr>
        <w:t xml:space="preserve"> Corte IDH</w:t>
      </w:r>
      <w:r>
        <w:rPr>
          <w:szCs w:val="16"/>
          <w:lang w:val="pt-BR"/>
        </w:rPr>
        <w:t>.</w:t>
      </w:r>
      <w:r w:rsidRPr="007373D2">
        <w:rPr>
          <w:szCs w:val="16"/>
          <w:lang w:val="pt-BR"/>
        </w:rPr>
        <w:t xml:space="preserve"> </w:t>
      </w:r>
      <w:r w:rsidRPr="00D67702">
        <w:rPr>
          <w:i/>
          <w:iCs/>
          <w:szCs w:val="16"/>
          <w:lang w:val="pt-BR"/>
        </w:rPr>
        <w:t>Caso do Massacre de Mapiripán</w:t>
      </w:r>
      <w:r w:rsidRPr="007373D2">
        <w:rPr>
          <w:szCs w:val="16"/>
          <w:lang w:val="pt-BR"/>
        </w:rPr>
        <w:t xml:space="preserve">. Sentença de 15 de setembro de 2005. Série C Nº 134. </w:t>
      </w:r>
      <w:r>
        <w:rPr>
          <w:szCs w:val="16"/>
          <w:lang w:val="pt-BR"/>
        </w:rPr>
        <w:t>P</w:t>
      </w:r>
      <w:r w:rsidRPr="007373D2">
        <w:rPr>
          <w:szCs w:val="16"/>
          <w:lang w:val="pt-BR"/>
        </w:rPr>
        <w:t>arágrafo 111.</w:t>
      </w:r>
    </w:p>
  </w:footnote>
  <w:footnote w:id="54">
    <w:p w14:paraId="1BA2A309" w14:textId="77777777" w:rsidR="00B03A37" w:rsidRPr="007373D2" w:rsidRDefault="00B03A37" w:rsidP="004503D2">
      <w:pPr>
        <w:pStyle w:val="FootnoteText"/>
        <w:tabs>
          <w:tab w:val="left" w:pos="720"/>
        </w:tabs>
        <w:jc w:val="both"/>
        <w:rPr>
          <w:szCs w:val="16"/>
          <w:lang w:val="pt-BR"/>
        </w:rPr>
      </w:pPr>
      <w:r w:rsidRPr="007373D2">
        <w:rPr>
          <w:rStyle w:val="FootnoteReference"/>
          <w:szCs w:val="16"/>
          <w:lang w:val="pt-BR"/>
        </w:rPr>
        <w:footnoteRef/>
      </w:r>
      <w:r w:rsidRPr="007373D2">
        <w:rPr>
          <w:szCs w:val="16"/>
          <w:lang w:val="pt-BR"/>
        </w:rPr>
        <w:t xml:space="preserve"> Corte IDH</w:t>
      </w:r>
      <w:r>
        <w:rPr>
          <w:szCs w:val="16"/>
          <w:lang w:val="pt-BR"/>
        </w:rPr>
        <w:t>.</w:t>
      </w:r>
      <w:r w:rsidRPr="007373D2">
        <w:rPr>
          <w:szCs w:val="16"/>
          <w:lang w:val="pt-BR"/>
        </w:rPr>
        <w:t xml:space="preserve"> </w:t>
      </w:r>
      <w:r w:rsidRPr="00D67702">
        <w:rPr>
          <w:i/>
          <w:iCs/>
          <w:szCs w:val="16"/>
          <w:lang w:val="pt-BR"/>
        </w:rPr>
        <w:t>Caso</w:t>
      </w:r>
      <w:r w:rsidRPr="00D67702">
        <w:rPr>
          <w:i/>
          <w:szCs w:val="16"/>
          <w:lang w:val="pt-BR"/>
        </w:rPr>
        <w:t xml:space="preserve"> do </w:t>
      </w:r>
      <w:r w:rsidRPr="00D67702">
        <w:rPr>
          <w:i/>
          <w:iCs/>
          <w:szCs w:val="16"/>
          <w:lang w:val="pt-BR"/>
        </w:rPr>
        <w:t>Massacre de Pueblo Bello</w:t>
      </w:r>
      <w:r>
        <w:rPr>
          <w:szCs w:val="16"/>
          <w:lang w:val="pt-BR"/>
        </w:rPr>
        <w:t xml:space="preserve"> </w:t>
      </w:r>
      <w:r w:rsidRPr="0016644E">
        <w:rPr>
          <w:i/>
          <w:szCs w:val="16"/>
          <w:lang w:val="pt-BR"/>
        </w:rPr>
        <w:t>Vs. Colômbia</w:t>
      </w:r>
      <w:r w:rsidRPr="0016644E">
        <w:rPr>
          <w:szCs w:val="16"/>
          <w:lang w:val="pt-BR"/>
        </w:rPr>
        <w:t xml:space="preserve">. </w:t>
      </w:r>
      <w:r w:rsidRPr="007373D2">
        <w:rPr>
          <w:szCs w:val="16"/>
          <w:lang w:val="pt-BR"/>
        </w:rPr>
        <w:t>Sentença de 31 de janeiro de 2006. Série C Nº 140. Parágrafo 117.</w:t>
      </w:r>
    </w:p>
  </w:footnote>
  <w:footnote w:id="55">
    <w:p w14:paraId="49554638"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A jurisprudência da Corte Europeia a respeito dos elementos assinalados no dever de prevenção foi retomada pela Corte Interamericana em várias de suas sentenças. Neste sentido, ver: Corte IDH. </w:t>
      </w:r>
      <w:r w:rsidRPr="006E0CFC">
        <w:rPr>
          <w:i/>
          <w:lang w:val="pt-BR"/>
        </w:rPr>
        <w:t>Caso do Massacre de Pueblo Bello Vs. Colômbia</w:t>
      </w:r>
      <w:r w:rsidRPr="006E0CFC">
        <w:rPr>
          <w:lang w:val="pt-BR"/>
        </w:rPr>
        <w:t xml:space="preserve">. Sentença de 31 de janeiro de 2006. Série C Nº 140. Parágrafo 124.  Corte IDH. </w:t>
      </w:r>
      <w:r w:rsidRPr="006E0CFC">
        <w:rPr>
          <w:i/>
          <w:lang w:val="pt-BR"/>
        </w:rPr>
        <w:t>Caso González e outras (“Campo Algodonero”) Vs. México</w:t>
      </w:r>
      <w:r w:rsidRPr="006E0CFC">
        <w:rPr>
          <w:lang w:val="pt-BR"/>
        </w:rPr>
        <w:t xml:space="preserve">. Exceção Preliminar, Mérito, Reparações e Custas. Sentença de 16 de novembro de 2009. Série C Nº205. Parágrafo 284; Corte IDH. </w:t>
      </w:r>
      <w:r w:rsidRPr="006E0CFC">
        <w:rPr>
          <w:i/>
          <w:lang w:val="pt-BR"/>
        </w:rPr>
        <w:t>Caso Luna López Vs. Honduras</w:t>
      </w:r>
      <w:r w:rsidRPr="006E0CFC">
        <w:rPr>
          <w:lang w:val="pt-BR"/>
        </w:rPr>
        <w:t>. Mérito, Reparações e Custas. Sentença de 10 de outubro de 2013. Série C Nº 269. Parágrafo 124.</w:t>
      </w:r>
    </w:p>
  </w:footnote>
  <w:footnote w:id="56">
    <w:p w14:paraId="6773A3CA" w14:textId="77777777" w:rsidR="00B03A37" w:rsidRPr="006E0CFC" w:rsidRDefault="00B03A37" w:rsidP="004503D2">
      <w:pPr>
        <w:pStyle w:val="FootnoteText"/>
        <w:tabs>
          <w:tab w:val="left" w:pos="720"/>
        </w:tabs>
        <w:jc w:val="both"/>
        <w:rPr>
          <w:szCs w:val="16"/>
        </w:rPr>
      </w:pPr>
      <w:r w:rsidRPr="007373D2">
        <w:rPr>
          <w:rStyle w:val="FootnoteReference"/>
          <w:szCs w:val="16"/>
          <w:lang w:val="pt-BR"/>
        </w:rPr>
        <w:footnoteRef/>
      </w:r>
      <w:r w:rsidRPr="007373D2">
        <w:rPr>
          <w:szCs w:val="16"/>
          <w:lang w:val="pt-BR"/>
        </w:rPr>
        <w:t xml:space="preserve"> Corte IDH. </w:t>
      </w:r>
      <w:r w:rsidRPr="0016644E">
        <w:rPr>
          <w:i/>
          <w:iCs/>
          <w:szCs w:val="16"/>
          <w:lang w:val="pt-BR"/>
        </w:rPr>
        <w:t>Caso</w:t>
      </w:r>
      <w:r w:rsidRPr="0016644E">
        <w:rPr>
          <w:i/>
          <w:szCs w:val="16"/>
          <w:lang w:val="pt-BR"/>
        </w:rPr>
        <w:t xml:space="preserve"> do </w:t>
      </w:r>
      <w:r w:rsidRPr="0016644E">
        <w:rPr>
          <w:i/>
          <w:iCs/>
          <w:szCs w:val="16"/>
          <w:lang w:val="pt-BR"/>
        </w:rPr>
        <w:t>Massacre de Pueblo Bello</w:t>
      </w:r>
      <w:r>
        <w:rPr>
          <w:iCs/>
          <w:szCs w:val="16"/>
          <w:lang w:val="pt-BR"/>
        </w:rPr>
        <w:t xml:space="preserve"> </w:t>
      </w:r>
      <w:r w:rsidRPr="0016644E">
        <w:rPr>
          <w:i/>
          <w:iCs/>
          <w:szCs w:val="16"/>
          <w:lang w:val="pt-BR"/>
        </w:rPr>
        <w:t>Vs. Colômbia</w:t>
      </w:r>
      <w:r w:rsidRPr="007373D2">
        <w:rPr>
          <w:szCs w:val="16"/>
          <w:lang w:val="pt-BR"/>
        </w:rPr>
        <w:t xml:space="preserve">. Sentença de 31 de janeiro de 2006. </w:t>
      </w:r>
      <w:r w:rsidRPr="006E0CFC">
        <w:rPr>
          <w:szCs w:val="16"/>
        </w:rPr>
        <w:t>Série C Nº 140. Parágrafo 117.</w:t>
      </w:r>
    </w:p>
  </w:footnote>
  <w:footnote w:id="57">
    <w:p w14:paraId="5A5F673B" w14:textId="77777777" w:rsidR="00B03A37" w:rsidRPr="007373D2" w:rsidRDefault="00B03A37" w:rsidP="004503D2">
      <w:pPr>
        <w:jc w:val="both"/>
        <w:rPr>
          <w:rFonts w:ascii="Cambria" w:eastAsia="Times New Roman" w:hAnsi="Cambria"/>
          <w:sz w:val="16"/>
          <w:szCs w:val="16"/>
          <w:lang w:val="pt-BR"/>
        </w:rPr>
      </w:pPr>
      <w:r w:rsidRPr="007373D2">
        <w:rPr>
          <w:rStyle w:val="FootnoteReference"/>
          <w:rFonts w:ascii="Cambria" w:hAnsi="Cambria"/>
          <w:sz w:val="16"/>
          <w:szCs w:val="16"/>
          <w:lang w:val="pt-BR"/>
        </w:rPr>
        <w:footnoteRef/>
      </w:r>
      <w:r w:rsidRPr="006E0CFC">
        <w:rPr>
          <w:rFonts w:ascii="Cambria" w:hAnsi="Cambria" w:cs="Arial"/>
          <w:sz w:val="16"/>
          <w:szCs w:val="16"/>
        </w:rPr>
        <w:t xml:space="preserve"> Cf. European Court of Human Rights, </w:t>
      </w:r>
      <w:r w:rsidRPr="006E0CFC">
        <w:rPr>
          <w:rFonts w:ascii="Cambria" w:hAnsi="Cambria" w:cs="Arial"/>
          <w:i/>
          <w:sz w:val="16"/>
          <w:szCs w:val="16"/>
        </w:rPr>
        <w:t>Kiliç v. Turkey</w:t>
      </w:r>
      <w:r w:rsidRPr="006E0CFC">
        <w:rPr>
          <w:rFonts w:ascii="Cambria" w:hAnsi="Cambria" w:cs="Arial"/>
          <w:sz w:val="16"/>
          <w:szCs w:val="16"/>
        </w:rPr>
        <w:t xml:space="preserve">, judgment of 28 March 2000, Application No. 22492/93, paras. 62 and 63; Osman v. the United Kingdom, judgment of 28 October 1998, Reports of Judgments and Decisions 1998-VIII , paras. </w:t>
      </w:r>
      <w:r w:rsidRPr="00E341ED">
        <w:rPr>
          <w:rFonts w:ascii="Cambria" w:hAnsi="Cambria" w:cs="Arial"/>
          <w:sz w:val="16"/>
          <w:szCs w:val="16"/>
          <w:lang w:val="pt-BR"/>
        </w:rPr>
        <w:t xml:space="preserve">115 and 116. Tradução da Secretaria da Corte Interamericana de Direitos Humanos, Cf. Corte IDH, </w:t>
      </w:r>
      <w:r w:rsidRPr="004B23B8">
        <w:rPr>
          <w:rFonts w:ascii="Cambria" w:hAnsi="Cambria" w:cs="Arial"/>
          <w:i/>
          <w:sz w:val="16"/>
          <w:szCs w:val="16"/>
          <w:lang w:val="pt-BR"/>
        </w:rPr>
        <w:t>Caso do Massacre de Pueblo Bello</w:t>
      </w:r>
      <w:r>
        <w:rPr>
          <w:rFonts w:ascii="Cambria" w:hAnsi="Cambria" w:cs="Arial"/>
          <w:sz w:val="16"/>
          <w:szCs w:val="16"/>
          <w:lang w:val="pt-BR"/>
        </w:rPr>
        <w:t xml:space="preserve"> </w:t>
      </w:r>
      <w:r w:rsidRPr="0016644E">
        <w:rPr>
          <w:rFonts w:ascii="Cambria" w:hAnsi="Cambria"/>
          <w:i/>
          <w:iCs/>
          <w:sz w:val="16"/>
          <w:szCs w:val="16"/>
          <w:lang w:val="pt-BR"/>
        </w:rPr>
        <w:t>Vs. Colômbia</w:t>
      </w:r>
      <w:r w:rsidRPr="00E341ED">
        <w:rPr>
          <w:rFonts w:ascii="Cambria" w:hAnsi="Cambria" w:cs="Arial"/>
          <w:sz w:val="16"/>
          <w:szCs w:val="16"/>
          <w:lang w:val="pt-BR"/>
        </w:rPr>
        <w:t>. Sentença de 31 de janeiro de 2006</w:t>
      </w:r>
      <w:r>
        <w:rPr>
          <w:rFonts w:ascii="Cambria" w:hAnsi="Cambria" w:cs="Arial"/>
          <w:sz w:val="16"/>
          <w:szCs w:val="16"/>
          <w:lang w:val="pt-BR"/>
        </w:rPr>
        <w:t xml:space="preserve">. </w:t>
      </w:r>
      <w:r w:rsidRPr="007373D2">
        <w:rPr>
          <w:rFonts w:ascii="Cambria" w:hAnsi="Cambria"/>
          <w:sz w:val="16"/>
          <w:szCs w:val="16"/>
          <w:lang w:val="pt-BR"/>
        </w:rPr>
        <w:t>Série C Nº 140. Parágrafo</w:t>
      </w:r>
      <w:r>
        <w:rPr>
          <w:rFonts w:ascii="Cambria" w:hAnsi="Cambria" w:cs="Arial"/>
          <w:sz w:val="16"/>
          <w:szCs w:val="16"/>
          <w:lang w:val="pt-BR"/>
        </w:rPr>
        <w:t xml:space="preserve"> 124. C</w:t>
      </w:r>
      <w:r w:rsidRPr="00E341ED">
        <w:rPr>
          <w:rFonts w:ascii="Cambria" w:hAnsi="Cambria" w:cs="Arial"/>
          <w:sz w:val="16"/>
          <w:szCs w:val="16"/>
          <w:lang w:val="pt-BR"/>
        </w:rPr>
        <w:t>itação de pé de página 203.</w:t>
      </w:r>
    </w:p>
  </w:footnote>
  <w:footnote w:id="58">
    <w:p w14:paraId="19081D06" w14:textId="77777777" w:rsidR="00B03A37" w:rsidRPr="00416D6D" w:rsidRDefault="00B03A37" w:rsidP="00C2603D">
      <w:pPr>
        <w:tabs>
          <w:tab w:val="left" w:pos="720"/>
          <w:tab w:val="left" w:pos="1440"/>
        </w:tabs>
        <w:jc w:val="both"/>
        <w:rPr>
          <w:rFonts w:ascii="Cambria" w:hAnsi="Cambria" w:cs="Arial"/>
          <w:b/>
          <w:bCs/>
          <w:iCs/>
          <w:sz w:val="16"/>
          <w:szCs w:val="16"/>
          <w:lang w:val="pt-BR"/>
        </w:rPr>
      </w:pPr>
      <w:r w:rsidRPr="00345B1E">
        <w:rPr>
          <w:rStyle w:val="FootnoteReference"/>
          <w:rFonts w:ascii="Cambria" w:hAnsi="Cambria"/>
          <w:sz w:val="16"/>
          <w:szCs w:val="16"/>
          <w:lang w:val="pt-BR"/>
        </w:rPr>
        <w:footnoteRef/>
      </w:r>
      <w:r w:rsidRPr="00345B1E">
        <w:rPr>
          <w:rFonts w:ascii="Cambria" w:hAnsi="Cambria"/>
          <w:sz w:val="16"/>
          <w:szCs w:val="16"/>
          <w:lang w:val="pt-BR"/>
        </w:rPr>
        <w:t xml:space="preserve"> </w:t>
      </w:r>
      <w:r w:rsidRPr="00345B1E">
        <w:rPr>
          <w:rStyle w:val="Strong"/>
          <w:rFonts w:ascii="Cambria" w:hAnsi="Cambria"/>
          <w:b w:val="0"/>
          <w:sz w:val="16"/>
          <w:szCs w:val="16"/>
          <w:lang w:val="pt-BR"/>
        </w:rPr>
        <w:t>Corte IDH. Caso González e outras (“Campo Algodonero”) Vs. México. Exceção Preliminar, Mérito, Reparações e Custas. Sentença de 16 de novembro de 2009. Série C No. 205,</w:t>
      </w:r>
      <w:r w:rsidRPr="00345B1E">
        <w:rPr>
          <w:rStyle w:val="Strong"/>
          <w:rFonts w:ascii="Cambria" w:hAnsi="Cambria"/>
          <w:sz w:val="16"/>
          <w:szCs w:val="16"/>
          <w:lang w:val="pt-BR"/>
        </w:rPr>
        <w:t xml:space="preserve"> </w:t>
      </w:r>
      <w:r w:rsidRPr="00345B1E">
        <w:rPr>
          <w:rFonts w:ascii="Cambria" w:hAnsi="Cambria"/>
          <w:sz w:val="16"/>
          <w:szCs w:val="16"/>
          <w:lang w:val="pt-BR"/>
        </w:rPr>
        <w:t>parágrafo 282.</w:t>
      </w:r>
      <w:r w:rsidRPr="00416D6D">
        <w:rPr>
          <w:rFonts w:ascii="Cambria" w:hAnsi="Cambria"/>
          <w:sz w:val="16"/>
          <w:szCs w:val="16"/>
          <w:lang w:val="pt-BR"/>
        </w:rPr>
        <w:t xml:space="preserve"> </w:t>
      </w:r>
    </w:p>
  </w:footnote>
  <w:footnote w:id="59">
    <w:p w14:paraId="674E39CE"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O artigo 8 da Convenção Americana consagra o seguinte: 1. </w:t>
      </w:r>
      <w:r w:rsidRPr="007373D2">
        <w:rPr>
          <w:spacing w:val="-3"/>
          <w:szCs w:val="16"/>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r w:rsidRPr="007373D2">
        <w:rPr>
          <w:szCs w:val="16"/>
          <w:lang w:val="pt-BR"/>
        </w:rPr>
        <w:t>.</w:t>
      </w:r>
    </w:p>
  </w:footnote>
  <w:footnote w:id="60">
    <w:p w14:paraId="3F0C90BE"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O artigo 25 da Convenção Americana assinala: 1.</w:t>
      </w:r>
      <w:r w:rsidRPr="007373D2">
        <w:rPr>
          <w:spacing w:val="-3"/>
          <w:szCs w:val="16"/>
          <w:lang w:val="pt-BR"/>
        </w:rPr>
        <w:t xml:space="preserve"> Toda pessoa 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r w:rsidRPr="007373D2">
        <w:rPr>
          <w:szCs w:val="16"/>
          <w:lang w:val="pt-BR"/>
        </w:rPr>
        <w:t>.</w:t>
      </w:r>
    </w:p>
  </w:footnote>
  <w:footnote w:id="61">
    <w:p w14:paraId="60199AFE"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Corte IDH. </w:t>
      </w:r>
      <w:r w:rsidRPr="00742DA5">
        <w:rPr>
          <w:i/>
          <w:szCs w:val="16"/>
          <w:lang w:val="pt-BR"/>
        </w:rPr>
        <w:t>Caso Defensor de Direitos Humanos e outros Vs. Guatemala</w:t>
      </w:r>
      <w:r w:rsidRPr="007373D2">
        <w:rPr>
          <w:szCs w:val="16"/>
          <w:lang w:val="pt-BR"/>
        </w:rPr>
        <w:t>. Exceções Preliminares, Mérito, Reparações e Custas. Sentença de 28 de agosto de 2014. Série C Nº 283, parágrafo 199.</w:t>
      </w:r>
    </w:p>
  </w:footnote>
  <w:footnote w:id="62">
    <w:p w14:paraId="515BF789" w14:textId="77777777" w:rsidR="00B03A37" w:rsidRPr="007373D2" w:rsidRDefault="00B03A37" w:rsidP="004503D2">
      <w:pPr>
        <w:pStyle w:val="FootnoteText"/>
        <w:jc w:val="both"/>
        <w:rPr>
          <w:b/>
          <w:szCs w:val="16"/>
          <w:lang w:val="pt-BR"/>
        </w:rPr>
      </w:pPr>
      <w:r w:rsidRPr="007373D2">
        <w:rPr>
          <w:rStyle w:val="FootnoteReference"/>
          <w:szCs w:val="16"/>
          <w:lang w:val="pt-BR"/>
        </w:rPr>
        <w:footnoteRef/>
      </w:r>
      <w:r w:rsidRPr="007373D2">
        <w:rPr>
          <w:szCs w:val="16"/>
          <w:lang w:val="pt-BR"/>
        </w:rPr>
        <w:t xml:space="preserve"> </w:t>
      </w:r>
      <w:r w:rsidRPr="007373D2">
        <w:rPr>
          <w:rStyle w:val="Strong"/>
          <w:b w:val="0"/>
          <w:szCs w:val="16"/>
          <w:shd w:val="clear" w:color="auto" w:fill="FFFFFF"/>
          <w:lang w:val="pt-BR"/>
        </w:rPr>
        <w:t xml:space="preserve">Corte IDH. </w:t>
      </w:r>
      <w:r w:rsidRPr="00742DA5">
        <w:rPr>
          <w:rStyle w:val="Strong"/>
          <w:b w:val="0"/>
          <w:i/>
          <w:szCs w:val="16"/>
          <w:shd w:val="clear" w:color="auto" w:fill="FFFFFF"/>
          <w:lang w:val="es-ES"/>
        </w:rPr>
        <w:t>Caso Espinoza Gonzáles Vs. Peru</w:t>
      </w:r>
      <w:r w:rsidRPr="007373D2">
        <w:rPr>
          <w:rStyle w:val="Strong"/>
          <w:b w:val="0"/>
          <w:szCs w:val="16"/>
          <w:shd w:val="clear" w:color="auto" w:fill="FFFFFF"/>
          <w:lang w:val="es-ES"/>
        </w:rPr>
        <w:t xml:space="preserve">. </w:t>
      </w:r>
      <w:r w:rsidRPr="007373D2">
        <w:rPr>
          <w:rStyle w:val="Strong"/>
          <w:b w:val="0"/>
          <w:szCs w:val="16"/>
          <w:shd w:val="clear" w:color="auto" w:fill="FFFFFF"/>
          <w:lang w:val="pt-BR"/>
        </w:rPr>
        <w:t>Exceções Preliminares, Mérito, Reparações e Custas. Sentença de 20 de novembro de 2014. Série C Nº 289, parágrafo 237.</w:t>
      </w:r>
    </w:p>
  </w:footnote>
  <w:footnote w:id="63">
    <w:p w14:paraId="503426E0" w14:textId="77777777" w:rsidR="00B03A37" w:rsidRPr="007C2764" w:rsidRDefault="00B03A37" w:rsidP="004503D2">
      <w:pPr>
        <w:pStyle w:val="FootnoteText"/>
        <w:jc w:val="both"/>
        <w:rPr>
          <w:lang w:val="pt-BR"/>
        </w:rPr>
      </w:pPr>
      <w:r>
        <w:rPr>
          <w:rStyle w:val="FootnoteReference"/>
        </w:rPr>
        <w:footnoteRef/>
      </w:r>
      <w:r w:rsidRPr="007C2764">
        <w:rPr>
          <w:lang w:val="pt-BR"/>
        </w:rPr>
        <w:t xml:space="preserve"> Corte IDH. </w:t>
      </w:r>
      <w:r w:rsidRPr="002D0168">
        <w:rPr>
          <w:i/>
          <w:lang w:val="es-US"/>
        </w:rPr>
        <w:t>Caso Velásquez Rodríguez Vs. Honduras</w:t>
      </w:r>
      <w:r>
        <w:rPr>
          <w:lang w:val="es-US"/>
        </w:rPr>
        <w:t>.</w:t>
      </w:r>
      <w:r w:rsidRPr="001D0660">
        <w:rPr>
          <w:lang w:val="es-US"/>
        </w:rPr>
        <w:t xml:space="preserve"> </w:t>
      </w:r>
      <w:r w:rsidRPr="007C2764">
        <w:rPr>
          <w:lang w:val="pt-BR"/>
        </w:rPr>
        <w:t xml:space="preserve">Mérito. Sentença de 29 de julho de 1988. Série C Nº 4. Par. 77. Corte IDH. </w:t>
      </w:r>
      <w:r w:rsidRPr="007C2764">
        <w:rPr>
          <w:i/>
          <w:lang w:val="pt-BR"/>
        </w:rPr>
        <w:t>Caso Castañeda Gutman Vs. México</w:t>
      </w:r>
      <w:r w:rsidRPr="007C2764">
        <w:rPr>
          <w:lang w:val="pt-BR"/>
        </w:rPr>
        <w:t xml:space="preserve">. Exceções Preliminares, Mérito, Reparações e Custas. Sentença de 6 de agosto de 2008. Ser. C. No. 184. Par. 34.  Corte IDH. </w:t>
      </w:r>
      <w:r w:rsidRPr="007C2764">
        <w:rPr>
          <w:i/>
          <w:lang w:val="pt-BR"/>
        </w:rPr>
        <w:t>Caso Fernández Ortega e outros</w:t>
      </w:r>
      <w:r w:rsidRPr="007C2764">
        <w:rPr>
          <w:lang w:val="pt-BR"/>
        </w:rPr>
        <w:t xml:space="preserve"> </w:t>
      </w:r>
      <w:r w:rsidRPr="007C2764">
        <w:rPr>
          <w:i/>
          <w:szCs w:val="16"/>
          <w:lang w:val="pt-BR"/>
        </w:rPr>
        <w:t xml:space="preserve">versus México. </w:t>
      </w:r>
      <w:r w:rsidRPr="007C2764">
        <w:rPr>
          <w:szCs w:val="16"/>
          <w:lang w:val="pt-BR"/>
        </w:rPr>
        <w:t>Exceção Preliminar. Mérito. Reparações e Custas. Sentença de 30 de agosto de 2010. Série C Nº 215. P</w:t>
      </w:r>
      <w:r w:rsidRPr="007C2764">
        <w:rPr>
          <w:lang w:val="pt-BR"/>
        </w:rPr>
        <w:t>ar. 191. e Corte IDH.</w:t>
      </w:r>
      <w:r w:rsidRPr="007C2764">
        <w:rPr>
          <w:i/>
          <w:szCs w:val="16"/>
          <w:lang w:val="pt-BR"/>
        </w:rPr>
        <w:t xml:space="preserve"> Caso Rosendo Cantú e outra versus México. </w:t>
      </w:r>
      <w:r w:rsidRPr="007C2764">
        <w:rPr>
          <w:szCs w:val="16"/>
          <w:lang w:val="pt-BR"/>
        </w:rPr>
        <w:t>Exceção Preliminar, Mérito, Reparações e Custas. Sentença de 31 de agosto de 2010. Série C Nº216. Par</w:t>
      </w:r>
      <w:r w:rsidRPr="007C2764">
        <w:rPr>
          <w:lang w:val="pt-BR"/>
        </w:rPr>
        <w:t>. 175.</w:t>
      </w:r>
    </w:p>
  </w:footnote>
  <w:footnote w:id="64">
    <w:p w14:paraId="7BC42C9F"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Corte IDH. </w:t>
      </w:r>
      <w:r w:rsidRPr="00D53438">
        <w:rPr>
          <w:i/>
          <w:szCs w:val="16"/>
          <w:lang w:val="pt-BR"/>
        </w:rPr>
        <w:t>Caso Defensor de Direitos Humanos e outros Vs. Guatemala</w:t>
      </w:r>
      <w:r w:rsidRPr="007373D2">
        <w:rPr>
          <w:szCs w:val="16"/>
          <w:lang w:val="pt-BR"/>
        </w:rPr>
        <w:t>. Exceções Preliminares, Mérito, Reparações e Custas. Sentença de 28 de agosto de 2014. Série C Nº 283, parágrafo 199.</w:t>
      </w:r>
    </w:p>
  </w:footnote>
  <w:footnote w:id="65">
    <w:p w14:paraId="2FF0DA61"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Familia Barrios vs. Venezuela</w:t>
      </w:r>
      <w:r w:rsidRPr="006E0CFC">
        <w:rPr>
          <w:lang w:val="pt-BR"/>
        </w:rPr>
        <w:t xml:space="preserve">. Sentença de 24 de novembro de 2011. Mérito, Reparações e Custas. Ser. C. No. 237. Par. 178. Corte IDH. </w:t>
      </w:r>
      <w:r w:rsidRPr="006E0CFC">
        <w:rPr>
          <w:i/>
          <w:lang w:val="pt-BR"/>
        </w:rPr>
        <w:t>Caso Valle Jaramillo y otros Vs. Colombia.</w:t>
      </w:r>
      <w:r w:rsidRPr="006E0CFC">
        <w:rPr>
          <w:lang w:val="pt-BR"/>
        </w:rPr>
        <w:t xml:space="preserve"> Mérito, Reparações e Custas. Sentença de 27 de novembro de 2008. Ser. C. No. 192. Par. 120. Corte IDH. </w:t>
      </w:r>
      <w:r w:rsidRPr="006E0CFC">
        <w:rPr>
          <w:i/>
          <w:lang w:val="pt-BR"/>
        </w:rPr>
        <w:t>Caso Durand e Ugarte Vs. Peru</w:t>
      </w:r>
      <w:r w:rsidRPr="006E0CFC">
        <w:rPr>
          <w:lang w:val="pt-BR"/>
        </w:rPr>
        <w:t xml:space="preserve">. Mérito. Sentença de 16 de agosto de 2000. </w:t>
      </w:r>
      <w:r w:rsidRPr="0068526A">
        <w:rPr>
          <w:lang w:val="es-US"/>
        </w:rPr>
        <w:t>Ser. C</w:t>
      </w:r>
      <w:r>
        <w:rPr>
          <w:lang w:val="es-US"/>
        </w:rPr>
        <w:t>.</w:t>
      </w:r>
      <w:r w:rsidRPr="0068526A">
        <w:rPr>
          <w:lang w:val="es-US"/>
        </w:rPr>
        <w:t xml:space="preserve"> No. 68</w:t>
      </w:r>
      <w:r>
        <w:rPr>
          <w:lang w:val="es-US"/>
        </w:rPr>
        <w:t>. P</w:t>
      </w:r>
      <w:r w:rsidRPr="0068526A">
        <w:rPr>
          <w:lang w:val="es-US"/>
        </w:rPr>
        <w:t>ar. 130</w:t>
      </w:r>
      <w:r>
        <w:rPr>
          <w:lang w:val="es-US"/>
        </w:rPr>
        <w:t>. Corte IDH.</w:t>
      </w:r>
      <w:r w:rsidRPr="0068526A">
        <w:rPr>
          <w:lang w:val="es-US"/>
        </w:rPr>
        <w:t xml:space="preserve"> </w:t>
      </w:r>
      <w:r w:rsidRPr="00AE0CF2">
        <w:rPr>
          <w:i/>
          <w:lang w:val="es-US"/>
        </w:rPr>
        <w:t xml:space="preserve">Caso Ticona Estrada y Otros Vs. </w:t>
      </w:r>
      <w:r w:rsidRPr="006E0CFC">
        <w:rPr>
          <w:i/>
          <w:lang w:val="pt-BR"/>
        </w:rPr>
        <w:t>Bolivia</w:t>
      </w:r>
      <w:r w:rsidRPr="006E0CFC">
        <w:rPr>
          <w:lang w:val="pt-BR"/>
        </w:rPr>
        <w:t xml:space="preserve">. Mérito, Reparações e Custas. Sentença de 27 de novembro de 2008. Ser. C. No. 191. Par. 81. Corte IDH. </w:t>
      </w:r>
      <w:r w:rsidRPr="006E0CFC">
        <w:rPr>
          <w:i/>
          <w:lang w:val="pt-BR"/>
        </w:rPr>
        <w:t xml:space="preserve">Caso Heliodoro Portugal Vs. Panama. </w:t>
      </w:r>
      <w:r w:rsidRPr="006E0CFC">
        <w:rPr>
          <w:lang w:val="pt-BR"/>
        </w:rPr>
        <w:t xml:space="preserve">Exceções Preliminares, Mérito, Reparações e Custas. Sentença de 12 de agosto de 2008. Ser. C. No. 186. Par. 146. Corte IDH. </w:t>
      </w:r>
      <w:r w:rsidRPr="006E0CFC">
        <w:rPr>
          <w:i/>
          <w:lang w:val="pt-BR"/>
        </w:rPr>
        <w:t>Caso Garibaldi vs. Brasil</w:t>
      </w:r>
      <w:r w:rsidRPr="006E0CFC">
        <w:rPr>
          <w:lang w:val="pt-BR"/>
        </w:rPr>
        <w:t xml:space="preserve">. Exceções Preliminares, Mérito, Reparações e Custas. Sentença de 23 de setembro de 2009. Ser. C. No. 203. Par. 117. Corte IDH. </w:t>
      </w:r>
      <w:r w:rsidRPr="006E0CFC">
        <w:rPr>
          <w:i/>
          <w:lang w:val="pt-BR"/>
        </w:rPr>
        <w:t>Caso Familia Barrios vs. Venezuela</w:t>
      </w:r>
      <w:r w:rsidRPr="006E0CFC">
        <w:rPr>
          <w:lang w:val="pt-BR"/>
        </w:rPr>
        <w:t>. Sentença de 24 de novembro de 2011. Mérito, Reparações e Custas. Ser. C. No. 237. Par. 179.</w:t>
      </w:r>
    </w:p>
  </w:footnote>
  <w:footnote w:id="66">
    <w:p w14:paraId="45F69693"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A fim de verificar se a condução do processo interno foi realizada com o objetivo de se buscar a verdade real, a Comissão Interamericana considera que o Estado deve demonstrar que realizou uma investigação imediata, exaustiva, séria e imparcial dos fatos. </w:t>
      </w:r>
      <w:r w:rsidRPr="00B0428F">
        <w:rPr>
          <w:lang w:val="es-US"/>
        </w:rPr>
        <w:t>Cf. CIDH</w:t>
      </w:r>
      <w:r>
        <w:rPr>
          <w:lang w:val="es-US"/>
        </w:rPr>
        <w:t xml:space="preserve">. </w:t>
      </w:r>
      <w:r w:rsidRPr="000D23B9">
        <w:rPr>
          <w:i/>
          <w:lang w:val="es-US"/>
        </w:rPr>
        <w:t>Caso Juan Carlos Abella y otros Vs. Argentina</w:t>
      </w:r>
      <w:r>
        <w:rPr>
          <w:lang w:val="es-US"/>
        </w:rPr>
        <w:t xml:space="preserve">. </w:t>
      </w:r>
      <w:r w:rsidRPr="006E0CFC">
        <w:rPr>
          <w:lang w:val="pt-BR"/>
        </w:rPr>
        <w:t xml:space="preserve">Par. 412. e CIDH. </w:t>
      </w:r>
      <w:r w:rsidRPr="006E0CFC">
        <w:rPr>
          <w:i/>
          <w:lang w:val="pt-BR"/>
        </w:rPr>
        <w:t>Caso Arges Sequeira Mangas Vs. Nicaragua</w:t>
      </w:r>
      <w:r w:rsidRPr="006E0CFC">
        <w:rPr>
          <w:lang w:val="pt-BR"/>
        </w:rPr>
        <w:t>. Par.96 e 97.</w:t>
      </w:r>
    </w:p>
  </w:footnote>
  <w:footnote w:id="67">
    <w:p w14:paraId="1FFB6F5A"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w:t>
      </w:r>
      <w:r w:rsidRPr="007373D2">
        <w:rPr>
          <w:szCs w:val="16"/>
          <w:lang w:val="pt-BR"/>
        </w:rPr>
        <w:t>Corte IDH</w:t>
      </w:r>
      <w:r>
        <w:rPr>
          <w:szCs w:val="16"/>
          <w:lang w:val="pt-BR"/>
        </w:rPr>
        <w:t>.</w:t>
      </w:r>
      <w:r w:rsidRPr="007373D2">
        <w:rPr>
          <w:szCs w:val="16"/>
          <w:lang w:val="pt-BR"/>
        </w:rPr>
        <w:t xml:space="preserve"> </w:t>
      </w:r>
      <w:r w:rsidRPr="00D67702">
        <w:rPr>
          <w:i/>
          <w:iCs/>
          <w:szCs w:val="16"/>
          <w:lang w:val="pt-BR"/>
        </w:rPr>
        <w:t>Caso</w:t>
      </w:r>
      <w:r w:rsidRPr="00D67702">
        <w:rPr>
          <w:i/>
          <w:szCs w:val="16"/>
          <w:lang w:val="pt-BR"/>
        </w:rPr>
        <w:t xml:space="preserve"> do </w:t>
      </w:r>
      <w:r w:rsidRPr="00D67702">
        <w:rPr>
          <w:i/>
          <w:iCs/>
          <w:szCs w:val="16"/>
          <w:lang w:val="pt-BR"/>
        </w:rPr>
        <w:t>Massacre de Pueblo Bello</w:t>
      </w:r>
      <w:r>
        <w:rPr>
          <w:szCs w:val="16"/>
          <w:lang w:val="pt-BR"/>
        </w:rPr>
        <w:t xml:space="preserve"> </w:t>
      </w:r>
      <w:r w:rsidRPr="0016644E">
        <w:rPr>
          <w:i/>
          <w:szCs w:val="16"/>
          <w:lang w:val="pt-BR"/>
        </w:rPr>
        <w:t>Vs. Colômbia</w:t>
      </w:r>
      <w:r w:rsidRPr="0016644E">
        <w:rPr>
          <w:szCs w:val="16"/>
          <w:lang w:val="pt-BR"/>
        </w:rPr>
        <w:t xml:space="preserve">. </w:t>
      </w:r>
      <w:r w:rsidRPr="007373D2">
        <w:rPr>
          <w:szCs w:val="16"/>
          <w:lang w:val="pt-BR"/>
        </w:rPr>
        <w:t xml:space="preserve">Sentença de 31 de janeiro de 2006. Série C Nº 140. Parágrafo </w:t>
      </w:r>
      <w:r w:rsidRPr="006E0CFC">
        <w:rPr>
          <w:lang w:val="pt-BR"/>
        </w:rPr>
        <w:t>143. No mesmo sentido:</w:t>
      </w:r>
      <w:r w:rsidRPr="00A65304">
        <w:rPr>
          <w:szCs w:val="16"/>
          <w:lang w:val="pt-BR"/>
        </w:rPr>
        <w:t xml:space="preserve"> </w:t>
      </w:r>
      <w:r w:rsidRPr="007373D2">
        <w:rPr>
          <w:szCs w:val="16"/>
          <w:lang w:val="pt-BR"/>
        </w:rPr>
        <w:t>Corte IDH</w:t>
      </w:r>
      <w:r>
        <w:rPr>
          <w:szCs w:val="16"/>
          <w:lang w:val="pt-BR"/>
        </w:rPr>
        <w:t>.</w:t>
      </w:r>
      <w:r w:rsidRPr="007373D2">
        <w:rPr>
          <w:szCs w:val="16"/>
          <w:lang w:val="pt-BR"/>
        </w:rPr>
        <w:t xml:space="preserve"> </w:t>
      </w:r>
      <w:r w:rsidRPr="006E0CFC">
        <w:rPr>
          <w:i/>
          <w:lang w:val="pt-BR"/>
        </w:rPr>
        <w:t>Caso Masacre de Mapiripán</w:t>
      </w:r>
      <w:r w:rsidRPr="006E0CFC">
        <w:rPr>
          <w:lang w:val="pt-BR"/>
        </w:rPr>
        <w:t xml:space="preserve">. Mérito, Reparações e Custas. Sentença de 15 de setembro de 2005, Ser. C, No. 134, par. 223. </w:t>
      </w:r>
      <w:r w:rsidRPr="007373D2">
        <w:rPr>
          <w:szCs w:val="16"/>
          <w:lang w:val="pt-BR"/>
        </w:rPr>
        <w:t>Corte IDH</w:t>
      </w:r>
      <w:r>
        <w:rPr>
          <w:szCs w:val="16"/>
          <w:lang w:val="pt-BR"/>
        </w:rPr>
        <w:t>.</w:t>
      </w:r>
      <w:r w:rsidRPr="007373D2">
        <w:rPr>
          <w:szCs w:val="16"/>
          <w:lang w:val="pt-BR"/>
        </w:rPr>
        <w:t xml:space="preserve"> </w:t>
      </w:r>
      <w:r w:rsidRPr="006E0CFC">
        <w:rPr>
          <w:i/>
          <w:lang w:val="pt-BR"/>
        </w:rPr>
        <w:t>Caso Comunidad Moiwana vs. Suriname</w:t>
      </w:r>
      <w:r w:rsidRPr="006E0CFC">
        <w:rPr>
          <w:lang w:val="pt-BR"/>
        </w:rPr>
        <w:t xml:space="preserve">. Exceções Preliminares, Mérito, Reparações e Custas. Sentença de 15 de junho de 2005. Ser. C. No. 124. Par. 146-147. </w:t>
      </w:r>
      <w:r w:rsidRPr="007373D2">
        <w:rPr>
          <w:szCs w:val="16"/>
          <w:lang w:val="pt-BR"/>
        </w:rPr>
        <w:t>Corte IDH</w:t>
      </w:r>
      <w:r>
        <w:rPr>
          <w:szCs w:val="16"/>
          <w:lang w:val="pt-BR"/>
        </w:rPr>
        <w:t>.</w:t>
      </w:r>
      <w:r w:rsidRPr="007373D2">
        <w:rPr>
          <w:szCs w:val="16"/>
          <w:lang w:val="pt-BR"/>
        </w:rPr>
        <w:t xml:space="preserve"> </w:t>
      </w:r>
      <w:r w:rsidRPr="003344FE">
        <w:rPr>
          <w:i/>
          <w:szCs w:val="16"/>
          <w:lang w:val="pt-BR"/>
        </w:rPr>
        <w:t>Caso Velásquez Rodríguez Vs. Honduras</w:t>
      </w:r>
      <w:r w:rsidRPr="003344FE">
        <w:rPr>
          <w:szCs w:val="16"/>
          <w:lang w:val="pt-BR"/>
        </w:rPr>
        <w:t xml:space="preserve">. </w:t>
      </w:r>
      <w:hyperlink r:id="rId4" w:history="1">
        <w:r w:rsidRPr="003344FE">
          <w:rPr>
            <w:rStyle w:val="Hyperlink"/>
            <w:rFonts w:cs="Arial"/>
            <w:szCs w:val="16"/>
            <w:u w:val="none"/>
            <w:shd w:val="clear" w:color="auto" w:fill="FFFFFF"/>
            <w:lang w:val="pt-BR"/>
          </w:rPr>
          <w:t>Mérito. Sentença de 29 de julho de 1988. Série C Nº 4</w:t>
        </w:r>
      </w:hyperlink>
      <w:r w:rsidRPr="003344FE">
        <w:rPr>
          <w:rStyle w:val="Hyperlink"/>
          <w:rFonts w:cs="Arial"/>
          <w:szCs w:val="16"/>
          <w:u w:val="none"/>
          <w:shd w:val="clear" w:color="auto" w:fill="FFFFFF"/>
          <w:lang w:val="pt-BR"/>
        </w:rPr>
        <w:t xml:space="preserve">. Parágrafo </w:t>
      </w:r>
      <w:r w:rsidRPr="006E0CFC">
        <w:rPr>
          <w:lang w:val="pt-BR"/>
        </w:rPr>
        <w:t xml:space="preserve">177. </w:t>
      </w:r>
      <w:r w:rsidRPr="007373D2">
        <w:rPr>
          <w:szCs w:val="16"/>
          <w:lang w:val="pt-BR"/>
        </w:rPr>
        <w:t>Corte IDH</w:t>
      </w:r>
      <w:r>
        <w:rPr>
          <w:szCs w:val="16"/>
          <w:lang w:val="pt-BR"/>
        </w:rPr>
        <w:t>.</w:t>
      </w:r>
      <w:r w:rsidRPr="006E0CFC">
        <w:rPr>
          <w:lang w:val="pt-BR"/>
        </w:rPr>
        <w:t xml:space="preserve"> </w:t>
      </w:r>
      <w:r w:rsidRPr="006E0CFC">
        <w:rPr>
          <w:i/>
          <w:lang w:val="pt-BR"/>
        </w:rPr>
        <w:t>Caso Torres Millacura y otros V. Argentina</w:t>
      </w:r>
      <w:r w:rsidRPr="006E0CFC">
        <w:rPr>
          <w:lang w:val="pt-BR"/>
        </w:rPr>
        <w:t xml:space="preserve">. Mérito, Reparações e Custas. Sentença de 26 de agosto de 2011. Ser. C. No. 229. Par. 112. </w:t>
      </w:r>
      <w:r w:rsidRPr="007373D2">
        <w:rPr>
          <w:szCs w:val="16"/>
          <w:lang w:val="pt-BR"/>
        </w:rPr>
        <w:t>Corte IDH</w:t>
      </w:r>
      <w:r>
        <w:rPr>
          <w:szCs w:val="16"/>
          <w:lang w:val="pt-BR"/>
        </w:rPr>
        <w:t>.</w:t>
      </w:r>
      <w:r w:rsidRPr="006E0CFC">
        <w:rPr>
          <w:lang w:val="pt-BR"/>
        </w:rPr>
        <w:t xml:space="preserve"> </w:t>
      </w:r>
      <w:r w:rsidRPr="006E0CFC">
        <w:rPr>
          <w:i/>
          <w:lang w:val="pt-BR"/>
        </w:rPr>
        <w:t>Caso Hermanos Gómez Paquiyauri Vs. Peru.</w:t>
      </w:r>
      <w:r w:rsidRPr="006E0CFC">
        <w:rPr>
          <w:lang w:val="pt-BR"/>
        </w:rPr>
        <w:t xml:space="preserve"> Mérito, Reparações e Custas. Sentença de 8 de julho de 2004. Ser. C.No. 110. Par. 146. </w:t>
      </w:r>
    </w:p>
  </w:footnote>
  <w:footnote w:id="68">
    <w:p w14:paraId="0BEBA365" w14:textId="77777777" w:rsidR="00B03A37" w:rsidRPr="000B43C8" w:rsidRDefault="00B03A37" w:rsidP="004503D2">
      <w:pPr>
        <w:pStyle w:val="FootnoteText"/>
        <w:tabs>
          <w:tab w:val="left" w:pos="720"/>
        </w:tabs>
        <w:jc w:val="both"/>
        <w:rPr>
          <w:szCs w:val="16"/>
          <w:lang w:val="pt-BR"/>
        </w:rPr>
      </w:pPr>
      <w:r>
        <w:rPr>
          <w:rStyle w:val="FootnoteReference"/>
        </w:rPr>
        <w:footnoteRef/>
      </w:r>
      <w:r w:rsidRPr="006E0CFC">
        <w:rPr>
          <w:lang w:val="pt-BR"/>
        </w:rPr>
        <w:t xml:space="preserve"> CIDH. </w:t>
      </w:r>
      <w:r w:rsidRPr="000B43C8">
        <w:rPr>
          <w:i/>
          <w:lang w:val="es-US"/>
        </w:rPr>
        <w:t xml:space="preserve">Caso Juan Carlos Abella y otros Vs. </w:t>
      </w:r>
      <w:r w:rsidRPr="006E0CFC">
        <w:rPr>
          <w:i/>
          <w:lang w:val="pt-BR"/>
        </w:rPr>
        <w:t>Argentina</w:t>
      </w:r>
      <w:r w:rsidRPr="006E0CFC">
        <w:rPr>
          <w:lang w:val="pt-BR"/>
        </w:rPr>
        <w:t xml:space="preserve">. Par. 412. e CIDH. </w:t>
      </w:r>
      <w:r w:rsidRPr="006E0CFC">
        <w:rPr>
          <w:i/>
          <w:lang w:val="pt-BR"/>
        </w:rPr>
        <w:t>Caso Arges Sequeira Mangas Vs. Nicaragua</w:t>
      </w:r>
      <w:r w:rsidRPr="006E0CFC">
        <w:rPr>
          <w:lang w:val="pt-BR"/>
        </w:rPr>
        <w:t>. Par.96 e 97.</w:t>
      </w:r>
    </w:p>
  </w:footnote>
  <w:footnote w:id="69">
    <w:p w14:paraId="69E8090B"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Heliodoro Portugal Vs. Panama</w:t>
      </w:r>
      <w:r w:rsidRPr="006E0CFC">
        <w:rPr>
          <w:lang w:val="pt-BR"/>
        </w:rPr>
        <w:t>. Exceções Preliminares, Mérito, Reparações e Custas. Sentença de 12 de agosto de 2008. Ser. C. No. 186. Par 144.</w:t>
      </w:r>
    </w:p>
  </w:footnote>
  <w:footnote w:id="70">
    <w:p w14:paraId="05AFE369" w14:textId="77777777" w:rsidR="00B03A37" w:rsidRPr="004503D2" w:rsidRDefault="00B03A37" w:rsidP="004503D2">
      <w:pPr>
        <w:pStyle w:val="FootnoteText"/>
        <w:jc w:val="both"/>
        <w:rPr>
          <w:lang w:val="pt-BR"/>
        </w:rPr>
      </w:pPr>
      <w:r>
        <w:rPr>
          <w:rStyle w:val="FootnoteReference"/>
        </w:rPr>
        <w:footnoteRef/>
      </w:r>
      <w:r w:rsidRPr="006E0CFC">
        <w:rPr>
          <w:lang w:val="pt-BR"/>
        </w:rPr>
        <w:t xml:space="preserve"> Corte IDH. </w:t>
      </w:r>
      <w:r w:rsidRPr="003536FE">
        <w:rPr>
          <w:i/>
          <w:lang w:val="es-US"/>
        </w:rPr>
        <w:t xml:space="preserve">Caso García Prieto y otros Vs. </w:t>
      </w:r>
      <w:r w:rsidRPr="006E0CFC">
        <w:rPr>
          <w:i/>
          <w:lang w:val="pt-BR"/>
        </w:rPr>
        <w:t>El Salvador.</w:t>
      </w:r>
      <w:r w:rsidRPr="006E0CFC">
        <w:rPr>
          <w:lang w:val="pt-BR"/>
        </w:rPr>
        <w:t xml:space="preserve"> Exceções Preliminares, Mérito, Reparações e Custas. Sentença de 20 de novembro de 2007. Ser. C. No. 168. Par. 104. Corte IDH. </w:t>
      </w:r>
      <w:r w:rsidRPr="006E0CFC">
        <w:rPr>
          <w:i/>
          <w:lang w:val="pt-BR"/>
        </w:rPr>
        <w:t>Caso Vera Vera y outra Vs. Ecuador</w:t>
      </w:r>
      <w:r w:rsidRPr="006E0CFC">
        <w:rPr>
          <w:lang w:val="pt-BR"/>
        </w:rPr>
        <w:t xml:space="preserve">. Exceções Preliminares, Mérito, Reparações e Custas, Sentença de 19 de maio de 2011. Ser. C. No. 224. Par. 86. Corte IDH. </w:t>
      </w:r>
      <w:r w:rsidRPr="005F0BEF">
        <w:rPr>
          <w:rStyle w:val="Strong"/>
          <w:b w:val="0"/>
          <w:i/>
          <w:szCs w:val="16"/>
          <w:shd w:val="clear" w:color="auto" w:fill="FFFFFF"/>
          <w:lang w:val="pt-BR"/>
        </w:rPr>
        <w:t>Caso Familia Barrios vs. Venezuela</w:t>
      </w:r>
      <w:r w:rsidRPr="00FD3903">
        <w:rPr>
          <w:rStyle w:val="Strong"/>
          <w:b w:val="0"/>
          <w:szCs w:val="16"/>
          <w:shd w:val="clear" w:color="auto" w:fill="FFFFFF"/>
          <w:lang w:val="pt-BR"/>
        </w:rPr>
        <w:t xml:space="preserve">. Sentença de 24 de novembro de 2011. Mérito, Reparações e Custas. Ser. C. No. 237. Par. </w:t>
      </w:r>
      <w:r w:rsidRPr="004503D2">
        <w:rPr>
          <w:lang w:val="pt-BR"/>
        </w:rPr>
        <w:t xml:space="preserve"> 180</w:t>
      </w:r>
    </w:p>
  </w:footnote>
  <w:footnote w:id="71">
    <w:p w14:paraId="47B3E2A6"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w:t>
      </w:r>
      <w:r w:rsidRPr="007373D2">
        <w:rPr>
          <w:rStyle w:val="Strong"/>
          <w:b w:val="0"/>
          <w:szCs w:val="16"/>
          <w:shd w:val="clear" w:color="auto" w:fill="FFFFFF"/>
          <w:lang w:val="pt-BR"/>
        </w:rPr>
        <w:t xml:space="preserve">Corte IDH. </w:t>
      </w:r>
      <w:r w:rsidRPr="00115FDD">
        <w:rPr>
          <w:rStyle w:val="Strong"/>
          <w:b w:val="0"/>
          <w:i/>
          <w:szCs w:val="16"/>
          <w:shd w:val="clear" w:color="auto" w:fill="FFFFFF"/>
          <w:lang w:val="pt-BR"/>
        </w:rPr>
        <w:t>Caso Chitay Nech e outros Vs. Guatemala</w:t>
      </w:r>
      <w:r w:rsidRPr="007373D2">
        <w:rPr>
          <w:rStyle w:val="Strong"/>
          <w:b w:val="0"/>
          <w:szCs w:val="16"/>
          <w:shd w:val="clear" w:color="auto" w:fill="FFFFFF"/>
          <w:lang w:val="pt-BR"/>
        </w:rPr>
        <w:t>. Exceções Preliminares, Mérito, Reparações e Custas. Sentença de 25 de maio de 2010. Série C Nº 212, parágrafo 192.</w:t>
      </w:r>
      <w:r>
        <w:rPr>
          <w:rStyle w:val="Strong"/>
          <w:b w:val="0"/>
          <w:szCs w:val="16"/>
          <w:shd w:val="clear" w:color="auto" w:fill="FFFFFF"/>
          <w:lang w:val="pt-BR"/>
        </w:rPr>
        <w:t xml:space="preserve"> </w:t>
      </w:r>
      <w:r w:rsidRPr="007373D2">
        <w:rPr>
          <w:rStyle w:val="Strong"/>
          <w:b w:val="0"/>
          <w:szCs w:val="16"/>
          <w:shd w:val="clear" w:color="auto" w:fill="FFFFFF"/>
          <w:lang w:val="pt-BR"/>
        </w:rPr>
        <w:t xml:space="preserve">Corte IDH. </w:t>
      </w:r>
      <w:r w:rsidRPr="003344FE">
        <w:rPr>
          <w:i/>
          <w:szCs w:val="16"/>
          <w:lang w:val="pt-BR"/>
        </w:rPr>
        <w:t>Caso Velásquez Rodríguez Vs. Honduras</w:t>
      </w:r>
      <w:r w:rsidRPr="003344FE">
        <w:rPr>
          <w:szCs w:val="16"/>
          <w:lang w:val="pt-BR"/>
        </w:rPr>
        <w:t xml:space="preserve">. </w:t>
      </w:r>
      <w:hyperlink r:id="rId5" w:history="1">
        <w:r w:rsidRPr="003344FE">
          <w:rPr>
            <w:rStyle w:val="Hyperlink"/>
            <w:rFonts w:cs="Arial"/>
            <w:szCs w:val="16"/>
            <w:u w:val="none"/>
            <w:shd w:val="clear" w:color="auto" w:fill="FFFFFF"/>
            <w:lang w:val="pt-BR"/>
          </w:rPr>
          <w:t>Mérito. Sentença de 29 de julho de 1988. Série C Nº 4</w:t>
        </w:r>
      </w:hyperlink>
      <w:r w:rsidRPr="003344FE">
        <w:rPr>
          <w:rStyle w:val="Hyperlink"/>
          <w:rFonts w:cs="Arial"/>
          <w:szCs w:val="16"/>
          <w:u w:val="none"/>
          <w:shd w:val="clear" w:color="auto" w:fill="FFFFFF"/>
          <w:lang w:val="pt-BR"/>
        </w:rPr>
        <w:t>. Parágrafo</w:t>
      </w:r>
      <w:r w:rsidRPr="00D25CA3">
        <w:rPr>
          <w:rStyle w:val="Strong"/>
          <w:b w:val="0"/>
          <w:szCs w:val="16"/>
          <w:shd w:val="clear" w:color="auto" w:fill="FFFFFF"/>
          <w:lang w:val="pt-BR"/>
        </w:rPr>
        <w:t>. 177</w:t>
      </w:r>
      <w:r>
        <w:rPr>
          <w:rStyle w:val="Strong"/>
          <w:b w:val="0"/>
          <w:szCs w:val="16"/>
          <w:shd w:val="clear" w:color="auto" w:fill="FFFFFF"/>
          <w:lang w:val="pt-BR"/>
        </w:rPr>
        <w:t xml:space="preserve">. </w:t>
      </w:r>
      <w:r w:rsidRPr="006E0CFC">
        <w:rPr>
          <w:lang w:val="pt-BR"/>
        </w:rPr>
        <w:t xml:space="preserve">Corte IDH. </w:t>
      </w:r>
      <w:r w:rsidRPr="006E0CFC">
        <w:rPr>
          <w:i/>
          <w:lang w:val="pt-BR"/>
        </w:rPr>
        <w:t>Caso Fernández Ortega e outros</w:t>
      </w:r>
      <w:r w:rsidRPr="006E0CFC">
        <w:rPr>
          <w:lang w:val="pt-BR"/>
        </w:rPr>
        <w:t xml:space="preserve"> </w:t>
      </w:r>
      <w:r w:rsidRPr="006E0CFC">
        <w:rPr>
          <w:i/>
          <w:szCs w:val="16"/>
          <w:lang w:val="pt-BR"/>
        </w:rPr>
        <w:t>versus México. Exceção Preliminar. Mérito. Reparações e Custas</w:t>
      </w:r>
      <w:r w:rsidRPr="006E0CFC">
        <w:rPr>
          <w:szCs w:val="16"/>
          <w:lang w:val="pt-BR"/>
        </w:rPr>
        <w:t>. Sentença de 30 de agosto de 2010. Série C Nº 215. P</w:t>
      </w:r>
      <w:r w:rsidRPr="006E0CFC">
        <w:rPr>
          <w:lang w:val="pt-BR"/>
        </w:rPr>
        <w:t>ar.</w:t>
      </w:r>
      <w:r w:rsidRPr="00D25CA3">
        <w:rPr>
          <w:rStyle w:val="Strong"/>
          <w:b w:val="0"/>
          <w:szCs w:val="16"/>
          <w:shd w:val="clear" w:color="auto" w:fill="FFFFFF"/>
          <w:lang w:val="pt-BR"/>
        </w:rPr>
        <w:t xml:space="preserve"> 191</w:t>
      </w:r>
      <w:r>
        <w:rPr>
          <w:rStyle w:val="Strong"/>
          <w:b w:val="0"/>
          <w:szCs w:val="16"/>
          <w:shd w:val="clear" w:color="auto" w:fill="FFFFFF"/>
          <w:lang w:val="pt-BR"/>
        </w:rPr>
        <w:t>.</w:t>
      </w:r>
      <w:r w:rsidRPr="00D25CA3">
        <w:rPr>
          <w:rStyle w:val="Strong"/>
          <w:b w:val="0"/>
          <w:szCs w:val="16"/>
          <w:shd w:val="clear" w:color="auto" w:fill="FFFFFF"/>
          <w:lang w:val="pt-BR"/>
        </w:rPr>
        <w:t xml:space="preserve"> e </w:t>
      </w:r>
      <w:r w:rsidRPr="006E0CFC">
        <w:rPr>
          <w:lang w:val="pt-BR"/>
        </w:rPr>
        <w:t>Corte IDH.</w:t>
      </w:r>
      <w:r w:rsidRPr="006E0CFC">
        <w:rPr>
          <w:i/>
          <w:szCs w:val="16"/>
          <w:lang w:val="pt-BR"/>
        </w:rPr>
        <w:t xml:space="preserve"> Caso Rosendo Cantú e outra versus México. Exceção Preliminar</w:t>
      </w:r>
      <w:r w:rsidRPr="006E0CFC">
        <w:rPr>
          <w:szCs w:val="16"/>
          <w:lang w:val="pt-BR"/>
        </w:rPr>
        <w:t>,</w:t>
      </w:r>
      <w:r w:rsidRPr="006E0CFC">
        <w:rPr>
          <w:i/>
          <w:szCs w:val="16"/>
          <w:lang w:val="pt-BR"/>
        </w:rPr>
        <w:t xml:space="preserve"> Mérito</w:t>
      </w:r>
      <w:r w:rsidRPr="006E0CFC">
        <w:rPr>
          <w:szCs w:val="16"/>
          <w:lang w:val="pt-BR"/>
        </w:rPr>
        <w:t>,</w:t>
      </w:r>
      <w:r w:rsidRPr="006E0CFC">
        <w:rPr>
          <w:i/>
          <w:szCs w:val="16"/>
          <w:lang w:val="pt-BR"/>
        </w:rPr>
        <w:t xml:space="preserve"> Reparações e Custas</w:t>
      </w:r>
      <w:r w:rsidRPr="006E0CFC">
        <w:rPr>
          <w:szCs w:val="16"/>
          <w:lang w:val="pt-BR"/>
        </w:rPr>
        <w:t>. Sentença de 31 de agosto de 2010. Série C Nº216. Par</w:t>
      </w:r>
      <w:r w:rsidRPr="006E0CFC">
        <w:rPr>
          <w:lang w:val="pt-BR"/>
        </w:rPr>
        <w:t>.</w:t>
      </w:r>
      <w:r>
        <w:rPr>
          <w:rStyle w:val="Strong"/>
          <w:b w:val="0"/>
          <w:szCs w:val="16"/>
          <w:shd w:val="clear" w:color="auto" w:fill="FFFFFF"/>
          <w:lang w:val="pt-BR"/>
        </w:rPr>
        <w:t>175.</w:t>
      </w:r>
    </w:p>
  </w:footnote>
  <w:footnote w:id="72">
    <w:p w14:paraId="5B0ADA49"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Corte IDH. </w:t>
      </w:r>
      <w:r w:rsidRPr="008C7091">
        <w:rPr>
          <w:i/>
          <w:szCs w:val="16"/>
          <w:lang w:val="pt-BR"/>
        </w:rPr>
        <w:t>Caso Juan Humberto Sánchez Vs. Honduras</w:t>
      </w:r>
      <w:r w:rsidRPr="007373D2">
        <w:rPr>
          <w:szCs w:val="16"/>
          <w:lang w:val="pt-BR"/>
        </w:rPr>
        <w:t>. Exceção Preliminar, Mérito, Reparações e Custas. Sentença de 7 de junho de 2003. Série C Nº 99, parágrafo 127.</w:t>
      </w:r>
    </w:p>
  </w:footnote>
  <w:footnote w:id="73">
    <w:p w14:paraId="4A651682" w14:textId="77777777" w:rsidR="00B03A37" w:rsidRPr="006E0CFC" w:rsidRDefault="00B03A37" w:rsidP="004503D2">
      <w:pPr>
        <w:pStyle w:val="FootnoteText"/>
        <w:tabs>
          <w:tab w:val="left" w:pos="720"/>
        </w:tabs>
        <w:jc w:val="both"/>
        <w:rPr>
          <w:lang w:val="pt-BR"/>
        </w:rPr>
      </w:pPr>
      <w:r>
        <w:rPr>
          <w:rStyle w:val="FootnoteReference"/>
        </w:rPr>
        <w:footnoteRef/>
      </w:r>
      <w:r w:rsidRPr="006E0CFC">
        <w:rPr>
          <w:lang w:val="pt-BR"/>
        </w:rPr>
        <w:t xml:space="preserve"> Corte IDH. </w:t>
      </w:r>
      <w:r w:rsidRPr="00212E2B">
        <w:rPr>
          <w:i/>
          <w:lang w:val="pt-BR"/>
        </w:rPr>
        <w:t xml:space="preserve">Caso Myrna Mack Chang Vs. </w:t>
      </w:r>
      <w:r w:rsidRPr="006E0CFC">
        <w:rPr>
          <w:i/>
          <w:lang w:val="pt-BR"/>
        </w:rPr>
        <w:t>Guatemala</w:t>
      </w:r>
      <w:r w:rsidRPr="006E0CFC">
        <w:rPr>
          <w:lang w:val="pt-BR"/>
        </w:rPr>
        <w:t xml:space="preserve">. Mérito, Reparações e Custas. Sentença de 25 de novembro de 2003. Ser. C, No. 101, par, 217. No mesmo sentido: </w:t>
      </w:r>
      <w:r w:rsidRPr="007373D2">
        <w:rPr>
          <w:szCs w:val="16"/>
          <w:lang w:val="pt-BR"/>
        </w:rPr>
        <w:t>Corte IDH</w:t>
      </w:r>
      <w:r>
        <w:rPr>
          <w:szCs w:val="16"/>
          <w:lang w:val="pt-BR"/>
        </w:rPr>
        <w:t>.</w:t>
      </w:r>
      <w:r w:rsidRPr="007373D2">
        <w:rPr>
          <w:szCs w:val="16"/>
          <w:lang w:val="pt-BR"/>
        </w:rPr>
        <w:t xml:space="preserve"> </w:t>
      </w:r>
      <w:r w:rsidRPr="00D67702">
        <w:rPr>
          <w:i/>
          <w:iCs/>
          <w:szCs w:val="16"/>
          <w:lang w:val="pt-BR"/>
        </w:rPr>
        <w:t>Caso</w:t>
      </w:r>
      <w:r w:rsidRPr="00D67702">
        <w:rPr>
          <w:i/>
          <w:szCs w:val="16"/>
          <w:lang w:val="pt-BR"/>
        </w:rPr>
        <w:t xml:space="preserve"> do </w:t>
      </w:r>
      <w:r w:rsidRPr="00D67702">
        <w:rPr>
          <w:i/>
          <w:iCs/>
          <w:szCs w:val="16"/>
          <w:lang w:val="pt-BR"/>
        </w:rPr>
        <w:t>Massacre de Pueblo Bello</w:t>
      </w:r>
      <w:r>
        <w:rPr>
          <w:szCs w:val="16"/>
          <w:lang w:val="pt-BR"/>
        </w:rPr>
        <w:t xml:space="preserve"> </w:t>
      </w:r>
      <w:r w:rsidRPr="0016644E">
        <w:rPr>
          <w:i/>
          <w:szCs w:val="16"/>
          <w:lang w:val="pt-BR"/>
        </w:rPr>
        <w:t>Vs. Colômbia</w:t>
      </w:r>
      <w:r w:rsidRPr="0016644E">
        <w:rPr>
          <w:szCs w:val="16"/>
          <w:lang w:val="pt-BR"/>
        </w:rPr>
        <w:t xml:space="preserve">. </w:t>
      </w:r>
      <w:r w:rsidRPr="007373D2">
        <w:rPr>
          <w:szCs w:val="16"/>
          <w:lang w:val="pt-BR"/>
        </w:rPr>
        <w:t>Sentença de 31 de janeiro de 2006. Série C Nº 140. Parágrafo</w:t>
      </w:r>
      <w:r w:rsidRPr="006E0CFC">
        <w:rPr>
          <w:lang w:val="pt-BR"/>
        </w:rPr>
        <w:t xml:space="preserve"> 143. </w:t>
      </w:r>
      <w:r w:rsidRPr="007373D2">
        <w:rPr>
          <w:szCs w:val="16"/>
          <w:lang w:val="pt-BR"/>
        </w:rPr>
        <w:t>Corte IDH</w:t>
      </w:r>
      <w:r>
        <w:rPr>
          <w:szCs w:val="16"/>
          <w:lang w:val="pt-BR"/>
        </w:rPr>
        <w:t>.</w:t>
      </w:r>
      <w:r w:rsidRPr="007373D2">
        <w:rPr>
          <w:szCs w:val="16"/>
          <w:lang w:val="pt-BR"/>
        </w:rPr>
        <w:t xml:space="preserve"> </w:t>
      </w:r>
      <w:r w:rsidRPr="006E0CFC">
        <w:rPr>
          <w:i/>
          <w:lang w:val="pt-BR"/>
        </w:rPr>
        <w:t>Caso Manuel Cepeda Vargas vs. Colômbia</w:t>
      </w:r>
      <w:r w:rsidRPr="006E0CFC">
        <w:rPr>
          <w:lang w:val="pt-BR"/>
        </w:rPr>
        <w:t xml:space="preserve">. Exceções Preliminares, Mérito, Reparações e Custas. Sentença de 26 de maio de 2010. Ser. C, No. 213, par. 117. </w:t>
      </w:r>
      <w:r w:rsidRPr="00FD3903">
        <w:rPr>
          <w:rStyle w:val="Strong"/>
          <w:b w:val="0"/>
          <w:szCs w:val="16"/>
          <w:shd w:val="clear" w:color="auto" w:fill="FFFFFF"/>
          <w:lang w:val="pt-BR"/>
        </w:rPr>
        <w:t xml:space="preserve">Corte IDH. </w:t>
      </w:r>
      <w:r w:rsidRPr="005F0BEF">
        <w:rPr>
          <w:rStyle w:val="Strong"/>
          <w:b w:val="0"/>
          <w:i/>
          <w:szCs w:val="16"/>
          <w:shd w:val="clear" w:color="auto" w:fill="FFFFFF"/>
          <w:lang w:val="pt-BR"/>
        </w:rPr>
        <w:t>Caso Familia Barrios vs. Venezuela</w:t>
      </w:r>
      <w:r w:rsidRPr="00FD3903">
        <w:rPr>
          <w:rStyle w:val="Strong"/>
          <w:b w:val="0"/>
          <w:szCs w:val="16"/>
          <w:shd w:val="clear" w:color="auto" w:fill="FFFFFF"/>
          <w:lang w:val="pt-BR"/>
        </w:rPr>
        <w:t>. Sentença de 24 de novembro de 2011. Mérito, Reparações e Custas. Ser. C. No. 237. Par. 17</w:t>
      </w:r>
      <w:r>
        <w:rPr>
          <w:rStyle w:val="Strong"/>
          <w:b w:val="0"/>
          <w:szCs w:val="16"/>
          <w:shd w:val="clear" w:color="auto" w:fill="FFFFFF"/>
          <w:lang w:val="pt-BR"/>
        </w:rPr>
        <w:t>6</w:t>
      </w:r>
      <w:r w:rsidRPr="00FD3903">
        <w:rPr>
          <w:rStyle w:val="Strong"/>
          <w:b w:val="0"/>
          <w:szCs w:val="16"/>
          <w:shd w:val="clear" w:color="auto" w:fill="FFFFFF"/>
          <w:lang w:val="pt-BR"/>
        </w:rPr>
        <w:t>.</w:t>
      </w:r>
      <w:r>
        <w:rPr>
          <w:rStyle w:val="Strong"/>
          <w:b w:val="0"/>
          <w:szCs w:val="16"/>
          <w:shd w:val="clear" w:color="auto" w:fill="FFFFFF"/>
          <w:lang w:val="pt-BR"/>
        </w:rPr>
        <w:t xml:space="preserve"> </w:t>
      </w:r>
      <w:r w:rsidRPr="006E0CFC">
        <w:rPr>
          <w:lang w:val="pt-BR"/>
        </w:rPr>
        <w:t xml:space="preserve"> </w:t>
      </w:r>
      <w:r w:rsidRPr="00FD3903">
        <w:rPr>
          <w:rStyle w:val="Strong"/>
          <w:b w:val="0"/>
          <w:szCs w:val="16"/>
          <w:shd w:val="clear" w:color="auto" w:fill="FFFFFF"/>
          <w:lang w:val="pt-BR"/>
        </w:rPr>
        <w:t xml:space="preserve">Corte IDH. </w:t>
      </w:r>
      <w:r w:rsidRPr="006E0CFC">
        <w:rPr>
          <w:i/>
          <w:lang w:val="pt-BR"/>
        </w:rPr>
        <w:t>Caso Miguel Castro Vs. Peru</w:t>
      </w:r>
      <w:r w:rsidRPr="006E0CFC">
        <w:rPr>
          <w:lang w:val="pt-BR"/>
        </w:rPr>
        <w:t xml:space="preserve">. Mérito, Reparações e Custas. Sentença de 25 de novembro de 2006, Ser. C, No. 160, par. 111. </w:t>
      </w:r>
      <w:r w:rsidRPr="00FD3903">
        <w:rPr>
          <w:rStyle w:val="Strong"/>
          <w:b w:val="0"/>
          <w:szCs w:val="16"/>
          <w:shd w:val="clear" w:color="auto" w:fill="FFFFFF"/>
          <w:lang w:val="pt-BR"/>
        </w:rPr>
        <w:t xml:space="preserve">Corte IDH. </w:t>
      </w:r>
      <w:r>
        <w:rPr>
          <w:rStyle w:val="Strong"/>
          <w:b w:val="0"/>
          <w:szCs w:val="16"/>
          <w:shd w:val="clear" w:color="auto" w:fill="FFFFFF"/>
          <w:lang w:val="pt-BR"/>
        </w:rPr>
        <w:t xml:space="preserve"> </w:t>
      </w:r>
      <w:r w:rsidRPr="006E0CFC">
        <w:rPr>
          <w:i/>
          <w:lang w:val="pt-BR"/>
        </w:rPr>
        <w:t>Caso Massacre de La Rochela Vs. Colombia</w:t>
      </w:r>
      <w:r w:rsidRPr="006E0CFC">
        <w:rPr>
          <w:lang w:val="pt-BR"/>
        </w:rPr>
        <w:t>. Mérito, Reparações e Custas. Sentença de 11 de maio de 2007, Ser. C., No. 163, par. 148.</w:t>
      </w:r>
    </w:p>
  </w:footnote>
  <w:footnote w:id="74">
    <w:p w14:paraId="231D59F6"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Kawas Fernández Vs. Honduras</w:t>
      </w:r>
      <w:r w:rsidRPr="006E0CFC">
        <w:rPr>
          <w:lang w:val="pt-BR"/>
        </w:rPr>
        <w:t>. Mérito, Reparações e Custas. Sentença de 3 de abril de 2009. Ser. C, No. 196, par. 96.</w:t>
      </w:r>
    </w:p>
  </w:footnote>
  <w:footnote w:id="75">
    <w:p w14:paraId="3810F8F3"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ED258A">
        <w:rPr>
          <w:i/>
          <w:lang w:val="es-US"/>
        </w:rPr>
        <w:t xml:space="preserve">Caso García Prieto y otros Vs. </w:t>
      </w:r>
      <w:r w:rsidRPr="006E0CFC">
        <w:rPr>
          <w:i/>
          <w:lang w:val="pt-BR"/>
        </w:rPr>
        <w:t>El Salvador</w:t>
      </w:r>
      <w:r w:rsidRPr="006E0CFC">
        <w:rPr>
          <w:lang w:val="pt-BR"/>
        </w:rPr>
        <w:t xml:space="preserve">. Exceções Preliminares, Mérito, Reparações e Custas. Sentença de 20 de novembro de 2007. Ser. C. No. 168. Par. 116. e Corte IDH. </w:t>
      </w:r>
      <w:r w:rsidRPr="006E0CFC">
        <w:rPr>
          <w:i/>
          <w:lang w:val="pt-BR"/>
        </w:rPr>
        <w:t>Caso Valle Jaramillo y otros Vs. Colombia</w:t>
      </w:r>
      <w:r w:rsidRPr="006E0CFC">
        <w:rPr>
          <w:lang w:val="pt-BR"/>
        </w:rPr>
        <w:t>. Mérito, Reparações e Custas. Sentença de 27 de novembro de 2008. Ser. C. No. 192. Par. 168.</w:t>
      </w:r>
    </w:p>
  </w:footnote>
  <w:footnote w:id="76">
    <w:p w14:paraId="7E2B6029"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Sebastião Camargo Filho Vs Brasil</w:t>
      </w:r>
      <w:r w:rsidRPr="006E0CFC">
        <w:rPr>
          <w:lang w:val="pt-BR"/>
        </w:rPr>
        <w:t xml:space="preserve">. Mérito. Sentença de 19 de março de 2009. Par 114 citando ONU. </w:t>
      </w:r>
      <w:r w:rsidRPr="006E0CFC">
        <w:rPr>
          <w:i/>
          <w:lang w:val="pt-BR"/>
        </w:rPr>
        <w:t>Manual sobre a prevenção e investigação eficazes das execuções extrajudiciais, sumárias ou arbitrárias. Protocolo modelo para a investigação legal de execuções extralegais, arbitrárias ou sumárias (Protocolo de Minnesota).</w:t>
      </w:r>
      <w:r w:rsidRPr="006E0CFC">
        <w:rPr>
          <w:lang w:val="pt-BR"/>
        </w:rPr>
        <w:t xml:space="preserve"> E/ST/CSDHA/.12, 1991, III.C.</w:t>
      </w:r>
    </w:p>
  </w:footnote>
  <w:footnote w:id="77">
    <w:p w14:paraId="6114F596"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ONU. </w:t>
      </w:r>
      <w:r w:rsidRPr="006E0CFC">
        <w:rPr>
          <w:i/>
          <w:lang w:val="pt-BR"/>
        </w:rPr>
        <w:t xml:space="preserve">Manual sobre a prevenção e investigação eficazes das execuções extrajudiciais, sumárias ou arbitrárias. Protocolo modelo para a investigação legal de execuções extralegais, arbitrárias ou sumárias (Protocolo de Minnesota). </w:t>
      </w:r>
      <w:r w:rsidRPr="006E0CFC">
        <w:rPr>
          <w:lang w:val="pt-BR"/>
        </w:rPr>
        <w:t xml:space="preserve">E/ST/CSDHA/.12, 1991, III.C. </w:t>
      </w:r>
    </w:p>
  </w:footnote>
  <w:footnote w:id="78">
    <w:p w14:paraId="7C1E5C85" w14:textId="77777777" w:rsidR="00B03A37" w:rsidRPr="00C37EE0" w:rsidRDefault="00B03A37" w:rsidP="004503D2">
      <w:pPr>
        <w:pStyle w:val="FootnoteText"/>
        <w:jc w:val="both"/>
        <w:rPr>
          <w:lang w:val="es-US"/>
        </w:rPr>
      </w:pPr>
      <w:r>
        <w:rPr>
          <w:rStyle w:val="FootnoteReference"/>
        </w:rPr>
        <w:footnoteRef/>
      </w:r>
      <w:r w:rsidRPr="006E0CFC">
        <w:rPr>
          <w:lang w:val="pt-BR"/>
        </w:rPr>
        <w:t xml:space="preserve"> Corte IDH. </w:t>
      </w:r>
      <w:r w:rsidRPr="006E0CFC">
        <w:rPr>
          <w:i/>
          <w:lang w:val="pt-BR"/>
        </w:rPr>
        <w:t>Caso Sebastião Camargo Filho Vs Brasil.</w:t>
      </w:r>
      <w:r w:rsidRPr="006E0CFC">
        <w:rPr>
          <w:lang w:val="pt-BR"/>
        </w:rPr>
        <w:t xml:space="preserve"> Merito. 19 de março de 2009, par 114 citando ONU. </w:t>
      </w:r>
      <w:r w:rsidRPr="006E0CFC">
        <w:rPr>
          <w:i/>
          <w:lang w:val="pt-BR"/>
        </w:rPr>
        <w:t>Manual sobre a prevenção e investigação eficazes das execuções extrajudiciais, sumárias ou arbitrárias. Protocolo modelo para a investigação legal de execuções extralegais, arbitrárias ou sumárias (Protocolo de Minnesota).</w:t>
      </w:r>
      <w:r w:rsidRPr="006E0CFC">
        <w:rPr>
          <w:lang w:val="pt-BR"/>
        </w:rPr>
        <w:t xml:space="preserve"> </w:t>
      </w:r>
      <w:r w:rsidRPr="001041AC">
        <w:rPr>
          <w:lang w:val="es-US"/>
        </w:rPr>
        <w:t>E/ST/CSDHA/.12, 1991, III.C.</w:t>
      </w:r>
    </w:p>
  </w:footnote>
  <w:footnote w:id="79">
    <w:p w14:paraId="33D06323" w14:textId="77777777" w:rsidR="00B03A37" w:rsidRPr="006E0CFC" w:rsidRDefault="00B03A37" w:rsidP="004503D2">
      <w:pPr>
        <w:pStyle w:val="FootnoteText"/>
        <w:jc w:val="both"/>
        <w:rPr>
          <w:lang w:val="pt-BR"/>
        </w:rPr>
      </w:pPr>
      <w:r>
        <w:rPr>
          <w:rStyle w:val="FootnoteReference"/>
        </w:rPr>
        <w:footnoteRef/>
      </w:r>
      <w:r w:rsidRPr="00C37EE0">
        <w:rPr>
          <w:lang w:val="es-US"/>
        </w:rPr>
        <w:t xml:space="preserve"> CIDH. </w:t>
      </w:r>
      <w:r w:rsidRPr="00520986">
        <w:rPr>
          <w:i/>
          <w:lang w:val="es-US"/>
        </w:rPr>
        <w:t>Caso James Zapata Valencia y José Heriberto Ramírez Llanos Vs. Colombia</w:t>
      </w:r>
      <w:r>
        <w:rPr>
          <w:lang w:val="es-US"/>
        </w:rPr>
        <w:t xml:space="preserve">. </w:t>
      </w:r>
      <w:r w:rsidRPr="006E0CFC">
        <w:rPr>
          <w:lang w:val="pt-BR"/>
        </w:rPr>
        <w:t>Mérito. 21 de julho de 2011, par. 176.</w:t>
      </w:r>
    </w:p>
  </w:footnote>
  <w:footnote w:id="80">
    <w:p w14:paraId="5C780344"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Ximenes Lopes v. Brasil.</w:t>
      </w:r>
      <w:r w:rsidRPr="006E0CFC">
        <w:rPr>
          <w:lang w:val="pt-BR"/>
        </w:rPr>
        <w:t xml:space="preserve"> Sentença de 4 de julho de 2006, Ser. C, No. 149, par. 189</w:t>
      </w:r>
    </w:p>
  </w:footnote>
  <w:footnote w:id="81">
    <w:p w14:paraId="03222179"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6E0CFC">
        <w:rPr>
          <w:i/>
          <w:lang w:val="pt-BR"/>
        </w:rPr>
        <w:t>Caso de la Comunidade Moiwana v. Suriname</w:t>
      </w:r>
      <w:r w:rsidRPr="006E0CFC">
        <w:rPr>
          <w:lang w:val="pt-BR"/>
        </w:rPr>
        <w:t xml:space="preserve">. Sentença de 15 de julho de 2005, Ser. C., No. 124, par. 149. Corte IDH. </w:t>
      </w:r>
      <w:r w:rsidRPr="006E0CFC">
        <w:rPr>
          <w:i/>
          <w:lang w:val="pt-BR"/>
        </w:rPr>
        <w:t>Caso Juan Humberto Sánchez v. Honduras.</w:t>
      </w:r>
      <w:r w:rsidRPr="006E0CFC">
        <w:rPr>
          <w:lang w:val="pt-BR"/>
        </w:rPr>
        <w:t xml:space="preserve"> Sentença de 26 de novembro de 2003. Ser. C, No. 102, par., 127 e 132.</w:t>
      </w:r>
    </w:p>
  </w:footnote>
  <w:footnote w:id="82">
    <w:p w14:paraId="4F6AC34C"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w:t>
      </w:r>
      <w:r w:rsidRPr="006E0CFC">
        <w:rPr>
          <w:i/>
          <w:lang w:val="pt-BR"/>
        </w:rPr>
        <w:t>. Massacre de Pueblo Bello v. Colômbia</w:t>
      </w:r>
      <w:r w:rsidRPr="006E0CFC">
        <w:rPr>
          <w:lang w:val="pt-BR"/>
        </w:rPr>
        <w:t>. Sentença de 31 de janeiro de 2006, Ser. C., No. 140, par. 178.</w:t>
      </w:r>
    </w:p>
  </w:footnote>
  <w:footnote w:id="83">
    <w:p w14:paraId="4DD3181F" w14:textId="77777777" w:rsidR="00B03A37" w:rsidRPr="007373D2" w:rsidRDefault="00B03A37" w:rsidP="004503D2">
      <w:pPr>
        <w:pStyle w:val="FootnoteText"/>
        <w:tabs>
          <w:tab w:val="left" w:pos="9356"/>
        </w:tabs>
        <w:jc w:val="both"/>
        <w:rPr>
          <w:szCs w:val="16"/>
          <w:lang w:val="pt-BR"/>
        </w:rPr>
      </w:pPr>
      <w:r w:rsidRPr="007373D2">
        <w:rPr>
          <w:rStyle w:val="FootnoteReference"/>
          <w:szCs w:val="16"/>
          <w:lang w:val="pt-BR"/>
        </w:rPr>
        <w:footnoteRef/>
      </w:r>
      <w:r w:rsidRPr="007373D2">
        <w:rPr>
          <w:szCs w:val="16"/>
          <w:lang w:val="pt-BR"/>
        </w:rPr>
        <w:t xml:space="preserve"> </w:t>
      </w:r>
      <w:hyperlink r:id="rId6" w:history="1">
        <w:r w:rsidRPr="007373D2">
          <w:rPr>
            <w:szCs w:val="16"/>
            <w:lang w:val="pt-BR"/>
          </w:rPr>
          <w:t xml:space="preserve">Corte IDH. </w:t>
        </w:r>
        <w:r w:rsidRPr="003F5499">
          <w:rPr>
            <w:i/>
            <w:szCs w:val="16"/>
            <w:lang w:val="pt-BR"/>
          </w:rPr>
          <w:t>Caso Vargas Areco Vs. Paraguai.</w:t>
        </w:r>
        <w:r w:rsidRPr="007373D2">
          <w:rPr>
            <w:szCs w:val="16"/>
            <w:lang w:val="pt-BR"/>
          </w:rPr>
          <w:t xml:space="preserve"> Sentença de 26 de setembro de 2006. Série C Nº 155</w:t>
        </w:r>
      </w:hyperlink>
      <w:r w:rsidRPr="007373D2">
        <w:rPr>
          <w:szCs w:val="16"/>
          <w:lang w:val="pt-BR"/>
        </w:rPr>
        <w:t>, parágrafo 196</w:t>
      </w:r>
      <w:r>
        <w:rPr>
          <w:szCs w:val="16"/>
          <w:lang w:val="pt-BR"/>
        </w:rPr>
        <w:t xml:space="preserve">. </w:t>
      </w:r>
      <w:r w:rsidRPr="003F5499">
        <w:rPr>
          <w:szCs w:val="16"/>
          <w:lang w:val="pt-BR"/>
        </w:rPr>
        <w:t>Corte IDH.</w:t>
      </w:r>
      <w:hyperlink r:id="rId7" w:history="1">
        <w:r w:rsidRPr="003F5499">
          <w:rPr>
            <w:i/>
            <w:szCs w:val="16"/>
            <w:lang w:val="pt-BR"/>
          </w:rPr>
          <w:t xml:space="preserve">Caso dos Massacres de Ituango Vs. Colômbia. </w:t>
        </w:r>
        <w:r w:rsidRPr="007373D2">
          <w:rPr>
            <w:szCs w:val="16"/>
            <w:lang w:val="pt-BR"/>
          </w:rPr>
          <w:t>Sentença de 1º de julho de 2006</w:t>
        </w:r>
        <w:r>
          <w:rPr>
            <w:szCs w:val="16"/>
            <w:lang w:val="pt-BR"/>
          </w:rPr>
          <w:t>.</w:t>
        </w:r>
        <w:r w:rsidRPr="007373D2">
          <w:rPr>
            <w:szCs w:val="16"/>
            <w:lang w:val="pt-BR"/>
          </w:rPr>
          <w:t xml:space="preserve"> Série C</w:t>
        </w:r>
        <w:r>
          <w:rPr>
            <w:szCs w:val="16"/>
            <w:lang w:val="pt-BR"/>
          </w:rPr>
          <w:t>.</w:t>
        </w:r>
        <w:r w:rsidRPr="007373D2">
          <w:rPr>
            <w:szCs w:val="16"/>
            <w:lang w:val="pt-BR"/>
          </w:rPr>
          <w:t xml:space="preserve"> Nº 148</w:t>
        </w:r>
      </w:hyperlink>
      <w:r>
        <w:rPr>
          <w:szCs w:val="16"/>
          <w:lang w:val="pt-BR"/>
        </w:rPr>
        <w:t>. P</w:t>
      </w:r>
      <w:r w:rsidRPr="007373D2">
        <w:rPr>
          <w:szCs w:val="16"/>
          <w:lang w:val="pt-BR"/>
        </w:rPr>
        <w:t>arágrafo 289</w:t>
      </w:r>
      <w:r>
        <w:rPr>
          <w:szCs w:val="16"/>
          <w:lang w:val="pt-BR"/>
        </w:rPr>
        <w:t>.</w:t>
      </w:r>
      <w:r w:rsidRPr="007373D2">
        <w:rPr>
          <w:szCs w:val="16"/>
          <w:lang w:val="pt-BR"/>
        </w:rPr>
        <w:t xml:space="preserve"> </w:t>
      </w:r>
      <w:hyperlink r:id="rId8" w:history="1">
        <w:r w:rsidRPr="007373D2">
          <w:rPr>
            <w:szCs w:val="16"/>
            <w:lang w:val="pt-BR"/>
          </w:rPr>
          <w:t xml:space="preserve">Corte IDH. </w:t>
        </w:r>
        <w:r w:rsidRPr="003F5499">
          <w:rPr>
            <w:i/>
            <w:szCs w:val="16"/>
            <w:lang w:val="pt-BR"/>
          </w:rPr>
          <w:t>Caso Baldeón García Vs. Peru</w:t>
        </w:r>
        <w:r w:rsidRPr="007373D2">
          <w:rPr>
            <w:szCs w:val="16"/>
            <w:lang w:val="pt-BR"/>
          </w:rPr>
          <w:t>. Mérito, Reparações e Custas. Sentença de 6 de abril de 2006. Série C Nº 147</w:t>
        </w:r>
      </w:hyperlink>
      <w:r w:rsidRPr="007373D2">
        <w:rPr>
          <w:szCs w:val="16"/>
          <w:lang w:val="pt-BR"/>
        </w:rPr>
        <w:t>, parágrafo 151.</w:t>
      </w:r>
    </w:p>
  </w:footnote>
  <w:footnote w:id="84">
    <w:p w14:paraId="3651421E" w14:textId="77777777" w:rsidR="00B03A37" w:rsidRPr="007373D2" w:rsidRDefault="00B03A37" w:rsidP="004503D2">
      <w:pPr>
        <w:pStyle w:val="FootnoteText"/>
        <w:tabs>
          <w:tab w:val="left" w:pos="9356"/>
        </w:tabs>
        <w:jc w:val="both"/>
        <w:rPr>
          <w:szCs w:val="16"/>
          <w:lang w:val="pt-BR"/>
        </w:rPr>
      </w:pPr>
      <w:r w:rsidRPr="007373D2">
        <w:rPr>
          <w:rStyle w:val="FootnoteReference"/>
          <w:szCs w:val="16"/>
          <w:lang w:val="pt-BR"/>
        </w:rPr>
        <w:footnoteRef/>
      </w:r>
      <w:r w:rsidRPr="007373D2">
        <w:rPr>
          <w:szCs w:val="16"/>
          <w:lang w:val="pt-BR"/>
        </w:rPr>
        <w:t xml:space="preserve"> Corte IDH. </w:t>
      </w:r>
      <w:r w:rsidRPr="003F5499">
        <w:rPr>
          <w:i/>
          <w:szCs w:val="16"/>
          <w:lang w:val="pt-BR"/>
        </w:rPr>
        <w:t>Caso Valle Jaramillo e outros Vs. Colômbia</w:t>
      </w:r>
      <w:r w:rsidRPr="007373D2">
        <w:rPr>
          <w:szCs w:val="16"/>
          <w:lang w:val="pt-BR"/>
        </w:rPr>
        <w:t>. Mérito, Reparações e Custas. Sentença de 27 de novembro de 2008. Série C Nº 192, parágrafo 155.</w:t>
      </w:r>
    </w:p>
  </w:footnote>
  <w:footnote w:id="85">
    <w:p w14:paraId="66623F1B"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Corte IDH. </w:t>
      </w:r>
      <w:r w:rsidRPr="00DF03CF">
        <w:rPr>
          <w:i/>
          <w:lang w:val="es-US"/>
        </w:rPr>
        <w:t>Caso La Cantuta Vs. Perú</w:t>
      </w:r>
      <w:r>
        <w:rPr>
          <w:i/>
          <w:lang w:val="es-US"/>
        </w:rPr>
        <w:t>.</w:t>
      </w:r>
      <w:r w:rsidRPr="00F0237D">
        <w:rPr>
          <w:lang w:val="es-US"/>
        </w:rPr>
        <w:t xml:space="preserve"> </w:t>
      </w:r>
      <w:r w:rsidRPr="006E0CFC">
        <w:rPr>
          <w:lang w:val="pt-BR"/>
        </w:rPr>
        <w:t>Mérito, Reparações e Custas, Sentença de 29 de novembro de 2006, Série C. No. 162, par. 149.</w:t>
      </w:r>
    </w:p>
  </w:footnote>
  <w:footnote w:id="86">
    <w:p w14:paraId="621BD037" w14:textId="77777777" w:rsidR="00B03A37" w:rsidRPr="005169D4" w:rsidRDefault="00B03A37" w:rsidP="004503D2">
      <w:pPr>
        <w:pStyle w:val="FootnoteText"/>
        <w:jc w:val="both"/>
        <w:rPr>
          <w:lang w:val="es-US"/>
        </w:rPr>
      </w:pPr>
      <w:r>
        <w:rPr>
          <w:rStyle w:val="FootnoteReference"/>
        </w:rPr>
        <w:footnoteRef/>
      </w:r>
      <w:r w:rsidRPr="00F0237D">
        <w:rPr>
          <w:lang w:val="es-US"/>
        </w:rPr>
        <w:t xml:space="preserve"> Corte IDH</w:t>
      </w:r>
      <w:r>
        <w:rPr>
          <w:lang w:val="es-US"/>
        </w:rPr>
        <w:t>.</w:t>
      </w:r>
      <w:r w:rsidRPr="00F0237D">
        <w:rPr>
          <w:lang w:val="es-US"/>
        </w:rPr>
        <w:t xml:space="preserve"> </w:t>
      </w:r>
      <w:r w:rsidRPr="00DF03CF">
        <w:rPr>
          <w:i/>
          <w:lang w:val="es-US"/>
        </w:rPr>
        <w:t xml:space="preserve">Caso Valle Jaramillo y otros Vs. </w:t>
      </w:r>
      <w:r w:rsidRPr="006E0CFC">
        <w:rPr>
          <w:i/>
          <w:lang w:val="pt-BR"/>
        </w:rPr>
        <w:t>Colombia</w:t>
      </w:r>
      <w:r w:rsidRPr="006E0CFC">
        <w:rPr>
          <w:lang w:val="pt-BR"/>
        </w:rPr>
        <w:t xml:space="preserve">. Mérito, Reparações e Custas, Sentença de 27 de novembro de 2008, Ser. </w:t>
      </w:r>
      <w:r w:rsidRPr="005169D4">
        <w:rPr>
          <w:lang w:val="es-US"/>
        </w:rPr>
        <w:t>C, No. 192, par. 156.</w:t>
      </w:r>
    </w:p>
  </w:footnote>
  <w:footnote w:id="87">
    <w:p w14:paraId="600FACEA" w14:textId="77777777" w:rsidR="00B03A37" w:rsidRPr="006E0CFC" w:rsidRDefault="00B03A37" w:rsidP="004503D2">
      <w:pPr>
        <w:pStyle w:val="FootnoteText"/>
        <w:jc w:val="both"/>
        <w:rPr>
          <w:lang w:val="pt-BR"/>
        </w:rPr>
      </w:pPr>
      <w:r>
        <w:rPr>
          <w:rStyle w:val="FootnoteReference"/>
        </w:rPr>
        <w:footnoteRef/>
      </w:r>
      <w:r>
        <w:rPr>
          <w:lang w:val="es-US"/>
        </w:rPr>
        <w:t xml:space="preserve"> Corte IDH.</w:t>
      </w:r>
      <w:r w:rsidRPr="005169D4">
        <w:rPr>
          <w:lang w:val="es-US"/>
        </w:rPr>
        <w:t xml:space="preserve"> </w:t>
      </w:r>
      <w:r w:rsidRPr="00DF03CF">
        <w:rPr>
          <w:i/>
          <w:lang w:val="es-US"/>
        </w:rPr>
        <w:t xml:space="preserve">Caso Masacre de Pueblo Bello Vs. </w:t>
      </w:r>
      <w:r w:rsidRPr="006E0CFC">
        <w:rPr>
          <w:i/>
          <w:lang w:val="pt-BR"/>
        </w:rPr>
        <w:t>Colombia</w:t>
      </w:r>
      <w:r w:rsidRPr="006E0CFC">
        <w:rPr>
          <w:lang w:val="pt-BR"/>
        </w:rPr>
        <w:t>. Mérito, Reparações e Custas, Sentença de 31 de janeiro de 2006, Ser. C No. 140, par. 198.</w:t>
      </w:r>
    </w:p>
  </w:footnote>
  <w:footnote w:id="88">
    <w:p w14:paraId="54696C2A" w14:textId="77777777" w:rsidR="00B03A37" w:rsidRPr="004503D2" w:rsidRDefault="00B03A37" w:rsidP="004503D2">
      <w:pPr>
        <w:pStyle w:val="FootnoteText"/>
        <w:jc w:val="both"/>
        <w:rPr>
          <w:lang w:val="pt-BR"/>
        </w:rPr>
      </w:pPr>
      <w:r>
        <w:rPr>
          <w:rStyle w:val="FootnoteReference"/>
        </w:rPr>
        <w:footnoteRef/>
      </w:r>
      <w:r w:rsidRPr="006E0CFC">
        <w:rPr>
          <w:lang w:val="pt-BR"/>
        </w:rPr>
        <w:t xml:space="preserve"> Corte IDH. Opinião Consultiva No. 9/87, de 6 de outubro de 1987, Garantias Judiciais em Estados de Emergência, Ser. A, No. 9, para. 24. Corte IDH. </w:t>
      </w:r>
      <w:r w:rsidRPr="006E0CFC">
        <w:rPr>
          <w:i/>
          <w:lang w:val="pt-BR"/>
        </w:rPr>
        <w:t>Caso Comerciantes.</w:t>
      </w:r>
      <w:r w:rsidRPr="006E0CFC">
        <w:rPr>
          <w:lang w:val="pt-BR"/>
        </w:rPr>
        <w:t xml:space="preserve"> Mérito, Reparações e Custas, Sentença de 5 de julho de 2004, Ser. </w:t>
      </w:r>
      <w:r w:rsidRPr="00D84EF0">
        <w:rPr>
          <w:lang w:val="es-US"/>
        </w:rPr>
        <w:t>C, No. 109, par. 192</w:t>
      </w:r>
      <w:r>
        <w:rPr>
          <w:lang w:val="es-US"/>
        </w:rPr>
        <w:t xml:space="preserve">. </w:t>
      </w:r>
      <w:r w:rsidRPr="00D84EF0">
        <w:rPr>
          <w:lang w:val="es-US"/>
        </w:rPr>
        <w:t>Corte IDH</w:t>
      </w:r>
      <w:r w:rsidRPr="00700E81">
        <w:rPr>
          <w:i/>
          <w:lang w:val="es-US"/>
        </w:rPr>
        <w:t xml:space="preserve">. </w:t>
      </w:r>
      <w:r w:rsidRPr="00212E2B">
        <w:rPr>
          <w:i/>
          <w:lang w:val="es-US"/>
        </w:rPr>
        <w:t>Caso Baena Ricardo y Otros V. Panama.</w:t>
      </w:r>
      <w:r w:rsidRPr="00212E2B">
        <w:rPr>
          <w:lang w:val="es-US"/>
        </w:rPr>
        <w:t xml:space="preserve"> </w:t>
      </w:r>
      <w:r w:rsidRPr="006E0CFC">
        <w:rPr>
          <w:lang w:val="pt-BR"/>
        </w:rPr>
        <w:t xml:space="preserve">Mérito, Reparações e Custas, Sentença de 2 de fevereiro de 2001, Ser. C, No. 72, par. 77. Corte IDH. </w:t>
      </w:r>
      <w:r w:rsidRPr="006E0CFC">
        <w:rPr>
          <w:i/>
          <w:lang w:val="pt-BR"/>
        </w:rPr>
        <w:t>Caso Cinco Pensionistas Vs. Perú</w:t>
      </w:r>
      <w:r w:rsidRPr="006E0CFC">
        <w:rPr>
          <w:lang w:val="pt-BR"/>
        </w:rPr>
        <w:t xml:space="preserve">. Mérito, Reparações e Custas, Sentença de 28 de fevereiro de 2003, Ser. </w:t>
      </w:r>
      <w:r w:rsidRPr="004503D2">
        <w:rPr>
          <w:lang w:val="pt-BR"/>
        </w:rPr>
        <w:t>C, No. 98, par. 12.</w:t>
      </w:r>
    </w:p>
  </w:footnote>
  <w:footnote w:id="89">
    <w:p w14:paraId="6B677B52" w14:textId="77777777" w:rsidR="00B03A37" w:rsidRPr="006E0CFC" w:rsidRDefault="00B03A37" w:rsidP="004503D2">
      <w:pPr>
        <w:pStyle w:val="FootnoteText"/>
        <w:jc w:val="both"/>
        <w:rPr>
          <w:lang w:val="pt-BR"/>
        </w:rPr>
      </w:pPr>
      <w:r>
        <w:rPr>
          <w:rStyle w:val="FootnoteReference"/>
        </w:rPr>
        <w:footnoteRef/>
      </w:r>
      <w:r w:rsidRPr="006E0CFC">
        <w:rPr>
          <w:lang w:val="pt-BR"/>
        </w:rPr>
        <w:t xml:space="preserve"> CIDH. Relatório n.º 34/00. Caso 11.291, Carandiru, Brasil, 13 de abril de 2000, par. 49.</w:t>
      </w:r>
    </w:p>
  </w:footnote>
  <w:footnote w:id="90">
    <w:p w14:paraId="7BF2E07D" w14:textId="77777777" w:rsidR="00B03A37" w:rsidRPr="007373D2" w:rsidRDefault="00B03A37" w:rsidP="004503D2">
      <w:pPr>
        <w:pStyle w:val="FootnoteText"/>
        <w:jc w:val="both"/>
        <w:rPr>
          <w:szCs w:val="16"/>
          <w:lang w:val="pt-BR"/>
        </w:rPr>
      </w:pPr>
      <w:r w:rsidRPr="007373D2">
        <w:rPr>
          <w:rStyle w:val="FootnoteReference"/>
          <w:szCs w:val="16"/>
          <w:lang w:val="pt-BR"/>
        </w:rPr>
        <w:footnoteRef/>
      </w:r>
      <w:r w:rsidRPr="007373D2">
        <w:rPr>
          <w:szCs w:val="16"/>
          <w:lang w:val="pt-BR"/>
        </w:rPr>
        <w:t xml:space="preserve"> Artigo 5.1: </w:t>
      </w:r>
      <w:r w:rsidRPr="007373D2">
        <w:rPr>
          <w:rFonts w:cs="Tahoma"/>
          <w:szCs w:val="16"/>
          <w:lang w:val="pt-BR"/>
        </w:rPr>
        <w:t>Toda pessoa tem direito a que se respeite sua integridade física, psíquica e moral.</w:t>
      </w:r>
    </w:p>
  </w:footnote>
  <w:footnote w:id="91">
    <w:p w14:paraId="2F9B043C" w14:textId="77777777" w:rsidR="00B03A37" w:rsidRPr="006E0CFC" w:rsidRDefault="00B03A37" w:rsidP="004503D2">
      <w:pPr>
        <w:pStyle w:val="FootnoteText"/>
        <w:rPr>
          <w:lang w:val="pt-BR"/>
        </w:rPr>
      </w:pPr>
      <w:r>
        <w:rPr>
          <w:rStyle w:val="FootnoteReference"/>
        </w:rPr>
        <w:footnoteRef/>
      </w:r>
      <w:r w:rsidRPr="006E0CFC">
        <w:rPr>
          <w:lang w:val="pt-BR"/>
        </w:rPr>
        <w:t xml:space="preserve"> </w:t>
      </w:r>
      <w:r w:rsidRPr="007373D2">
        <w:rPr>
          <w:szCs w:val="16"/>
          <w:lang w:val="pt-BR"/>
        </w:rPr>
        <w:t xml:space="preserve">Corte IDH. </w:t>
      </w:r>
      <w:r w:rsidRPr="007373D2">
        <w:rPr>
          <w:i/>
          <w:szCs w:val="16"/>
          <w:lang w:val="pt-BR"/>
        </w:rPr>
        <w:t>Caso Valle Jaramillo e outros Vs. Colômbia</w:t>
      </w:r>
      <w:r w:rsidRPr="007373D2">
        <w:rPr>
          <w:szCs w:val="16"/>
          <w:lang w:val="pt-BR"/>
        </w:rPr>
        <w:t>. Mérito, Reparações e Custas. Sentença de 27 de novembro de 2008, parágrafo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14DA" w14:textId="77777777" w:rsidR="00B03A37" w:rsidRDefault="00B03A37" w:rsidP="00BD292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897B3AF" w14:textId="77777777" w:rsidR="00B03A37" w:rsidRDefault="00B0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71B" w14:textId="77777777" w:rsidR="00B03A37" w:rsidRDefault="00B03A37" w:rsidP="00A50FCF">
    <w:pPr>
      <w:pStyle w:val="Header"/>
      <w:tabs>
        <w:tab w:val="clear" w:pos="4320"/>
        <w:tab w:val="clear" w:pos="8640"/>
      </w:tabs>
      <w:jc w:val="center"/>
      <w:rPr>
        <w:sz w:val="22"/>
        <w:szCs w:val="22"/>
      </w:rPr>
    </w:pPr>
    <w:r w:rsidRPr="00FB3D19">
      <w:rPr>
        <w:noProof/>
        <w:sz w:val="22"/>
        <w:szCs w:val="22"/>
      </w:rPr>
      <w:drawing>
        <wp:inline distT="0" distB="0" distL="0" distR="0" wp14:anchorId="2970C4C6" wp14:editId="6639A46A">
          <wp:extent cx="1971675" cy="104775"/>
          <wp:effectExtent l="0" t="0" r="0" b="0"/>
          <wp:docPr id="31"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58A8E6FC" w14:textId="77777777" w:rsidR="00B03A37" w:rsidRPr="00EC7D62" w:rsidRDefault="009E7D2E" w:rsidP="00A50FCF">
    <w:pPr>
      <w:pStyle w:val="Header"/>
      <w:tabs>
        <w:tab w:val="clear" w:pos="4320"/>
        <w:tab w:val="clear" w:pos="8640"/>
      </w:tabs>
      <w:jc w:val="center"/>
      <w:rPr>
        <w:sz w:val="22"/>
        <w:szCs w:val="22"/>
      </w:rPr>
    </w:pPr>
    <w:r>
      <w:rPr>
        <w:noProof/>
        <w:sz w:val="22"/>
        <w:szCs w:val="22"/>
      </w:rPr>
      <w:pict w14:anchorId="4C65511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6BF"/>
    <w:multiLevelType w:val="multilevel"/>
    <w:tmpl w:val="07EE9BBC"/>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8591537"/>
    <w:multiLevelType w:val="hybridMultilevel"/>
    <w:tmpl w:val="6E4CDDFA"/>
    <w:lvl w:ilvl="0" w:tplc="4834882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BC558AF"/>
    <w:multiLevelType w:val="hybridMultilevel"/>
    <w:tmpl w:val="708C2CA4"/>
    <w:lvl w:ilvl="0" w:tplc="0DBE906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422FBC"/>
    <w:multiLevelType w:val="hybridMultilevel"/>
    <w:tmpl w:val="174AB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5A5906"/>
    <w:multiLevelType w:val="hybridMultilevel"/>
    <w:tmpl w:val="D1F4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75F3253"/>
    <w:multiLevelType w:val="multilevel"/>
    <w:tmpl w:val="7B22424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5" w15:restartNumberingAfterBreak="0">
    <w:nsid w:val="5A681F10"/>
    <w:multiLevelType w:val="hybridMultilevel"/>
    <w:tmpl w:val="0D70D25A"/>
    <w:lvl w:ilvl="0" w:tplc="41AE073E">
      <w:start w:val="1"/>
      <w:numFmt w:val="decimal"/>
      <w:lvlText w:val="%1."/>
      <w:lvlJc w:val="left"/>
      <w:pPr>
        <w:ind w:left="1425" w:hanging="705"/>
      </w:pPr>
      <w:rPr>
        <w:rFonts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C003559"/>
    <w:multiLevelType w:val="hybridMultilevel"/>
    <w:tmpl w:val="93188838"/>
    <w:lvl w:ilvl="0" w:tplc="5624F84A">
      <w:start w:val="68"/>
      <w:numFmt w:val="decimal"/>
      <w:lvlText w:val="%1."/>
      <w:lvlJc w:val="left"/>
      <w:pPr>
        <w:tabs>
          <w:tab w:val="num" w:pos="720"/>
        </w:tabs>
        <w:ind w:left="720" w:hanging="360"/>
      </w:pPr>
      <w:rPr>
        <w:rFonts w:ascii="Cambria" w:hAnsi="Cambria"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7D4B9D"/>
    <w:multiLevelType w:val="hybridMultilevel"/>
    <w:tmpl w:val="8092E7DC"/>
    <w:lvl w:ilvl="0" w:tplc="9CD87524">
      <w:start w:val="1"/>
      <w:numFmt w:val="decimal"/>
      <w:lvlText w:val="%1."/>
      <w:lvlJc w:val="left"/>
      <w:pPr>
        <w:ind w:left="117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8203E3"/>
    <w:multiLevelType w:val="hybridMultilevel"/>
    <w:tmpl w:val="B41C1528"/>
    <w:lvl w:ilvl="0" w:tplc="F594D4C8">
      <w:start w:val="1"/>
      <w:numFmt w:val="upperLetter"/>
      <w:lvlText w:val="%1."/>
      <w:lvlJc w:val="left"/>
      <w:pPr>
        <w:ind w:left="720" w:hanging="360"/>
      </w:pPr>
      <w:rPr>
        <w:rFonts w:ascii="Cambria" w:hAnsi="Cambr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A33EFDA4"/>
    <w:lvl w:ilvl="0" w:tplc="F82EA342">
      <w:start w:val="1"/>
      <w:numFmt w:val="upp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3179A9"/>
    <w:multiLevelType w:val="hybridMultilevel"/>
    <w:tmpl w:val="A48A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2"/>
  </w:num>
  <w:num w:numId="5">
    <w:abstractNumId w:val="52"/>
  </w:num>
  <w:num w:numId="6">
    <w:abstractNumId w:val="28"/>
  </w:num>
  <w:num w:numId="7">
    <w:abstractNumId w:val="6"/>
  </w:num>
  <w:num w:numId="8">
    <w:abstractNumId w:val="18"/>
  </w:num>
  <w:num w:numId="9">
    <w:abstractNumId w:val="43"/>
  </w:num>
  <w:num w:numId="10">
    <w:abstractNumId w:val="1"/>
  </w:num>
  <w:num w:numId="11">
    <w:abstractNumId w:val="38"/>
  </w:num>
  <w:num w:numId="12">
    <w:abstractNumId w:val="39"/>
  </w:num>
  <w:num w:numId="13">
    <w:abstractNumId w:val="46"/>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51"/>
  </w:num>
  <w:num w:numId="42">
    <w:abstractNumId w:val="53"/>
  </w:num>
  <w:num w:numId="43">
    <w:abstractNumId w:val="54"/>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1"/>
  </w:num>
  <w:num w:numId="52">
    <w:abstractNumId w:val="42"/>
  </w:num>
  <w:num w:numId="53">
    <w:abstractNumId w:val="55"/>
  </w:num>
  <w:num w:numId="54">
    <w:abstractNumId w:val="47"/>
  </w:num>
  <w:num w:numId="55">
    <w:abstractNumId w:val="49"/>
  </w:num>
  <w:num w:numId="56">
    <w:abstractNumId w:val="45"/>
  </w:num>
  <w:num w:numId="57">
    <w:abstractNumId w:val="17"/>
  </w:num>
  <w:num w:numId="58">
    <w:abstractNumId w:val="50"/>
  </w:num>
  <w:num w:numId="59">
    <w:abstractNumId w:val="57"/>
  </w:num>
  <w:num w:numId="60">
    <w:abstractNumId w:val="26"/>
  </w:num>
  <w:num w:numId="61">
    <w:abstractNumId w:val="30"/>
  </w:num>
  <w:num w:numId="62">
    <w:abstractNumId w:val="0"/>
  </w:num>
  <w:num w:numId="63">
    <w:abstractNumId w:val="16"/>
  </w:num>
  <w:num w:numId="64">
    <w:abstractNumId w:val="48"/>
  </w:num>
  <w:num w:numId="65">
    <w:abstractNumId w:val="44"/>
  </w:num>
  <w:num w:numId="66">
    <w:abstractNumId w:val="17"/>
    <w:lvlOverride w:ilvl="0">
      <w:startOverride w:val="1"/>
    </w:lvlOverride>
  </w:num>
  <w:num w:numId="67">
    <w:abstractNumId w:val="17"/>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hideSpellingErrors/>
  <w:defaultTabStop w:val="36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88"/>
    <w:rsid w:val="000015B8"/>
    <w:rsid w:val="0000205D"/>
    <w:rsid w:val="00002660"/>
    <w:rsid w:val="00003796"/>
    <w:rsid w:val="00003D04"/>
    <w:rsid w:val="0000442E"/>
    <w:rsid w:val="00004BED"/>
    <w:rsid w:val="000054F1"/>
    <w:rsid w:val="0000556D"/>
    <w:rsid w:val="000055B1"/>
    <w:rsid w:val="00005FE7"/>
    <w:rsid w:val="00006896"/>
    <w:rsid w:val="00006B5B"/>
    <w:rsid w:val="00006E1F"/>
    <w:rsid w:val="000070D7"/>
    <w:rsid w:val="000071F9"/>
    <w:rsid w:val="0000720D"/>
    <w:rsid w:val="00007415"/>
    <w:rsid w:val="00010529"/>
    <w:rsid w:val="00010FC9"/>
    <w:rsid w:val="00011504"/>
    <w:rsid w:val="00011803"/>
    <w:rsid w:val="00011DEF"/>
    <w:rsid w:val="00012250"/>
    <w:rsid w:val="000126F9"/>
    <w:rsid w:val="000134F7"/>
    <w:rsid w:val="00013F0E"/>
    <w:rsid w:val="0001436A"/>
    <w:rsid w:val="0001472F"/>
    <w:rsid w:val="00014A34"/>
    <w:rsid w:val="00014B0C"/>
    <w:rsid w:val="000158FD"/>
    <w:rsid w:val="000163CE"/>
    <w:rsid w:val="00016639"/>
    <w:rsid w:val="0001682E"/>
    <w:rsid w:val="00016EF5"/>
    <w:rsid w:val="000171F5"/>
    <w:rsid w:val="0001732C"/>
    <w:rsid w:val="0001776D"/>
    <w:rsid w:val="0001788C"/>
    <w:rsid w:val="00017CE9"/>
    <w:rsid w:val="00020757"/>
    <w:rsid w:val="00020DA8"/>
    <w:rsid w:val="00021819"/>
    <w:rsid w:val="0002245C"/>
    <w:rsid w:val="0002299A"/>
    <w:rsid w:val="00022CAE"/>
    <w:rsid w:val="00023863"/>
    <w:rsid w:val="00024D81"/>
    <w:rsid w:val="00025694"/>
    <w:rsid w:val="00026313"/>
    <w:rsid w:val="00026A9B"/>
    <w:rsid w:val="00027098"/>
    <w:rsid w:val="00027B07"/>
    <w:rsid w:val="00027B78"/>
    <w:rsid w:val="00030388"/>
    <w:rsid w:val="000303FA"/>
    <w:rsid w:val="00030BAF"/>
    <w:rsid w:val="000311E0"/>
    <w:rsid w:val="00031227"/>
    <w:rsid w:val="000312DC"/>
    <w:rsid w:val="0003192A"/>
    <w:rsid w:val="0003225F"/>
    <w:rsid w:val="00032E6B"/>
    <w:rsid w:val="00032EE9"/>
    <w:rsid w:val="0003413C"/>
    <w:rsid w:val="00034407"/>
    <w:rsid w:val="00034785"/>
    <w:rsid w:val="00034E8E"/>
    <w:rsid w:val="00034F0A"/>
    <w:rsid w:val="00035AF2"/>
    <w:rsid w:val="00036C87"/>
    <w:rsid w:val="000372D8"/>
    <w:rsid w:val="00037B6F"/>
    <w:rsid w:val="00037C34"/>
    <w:rsid w:val="00040C3A"/>
    <w:rsid w:val="00040FF0"/>
    <w:rsid w:val="00041309"/>
    <w:rsid w:val="00042185"/>
    <w:rsid w:val="00042A53"/>
    <w:rsid w:val="00042C3D"/>
    <w:rsid w:val="000438E1"/>
    <w:rsid w:val="00044411"/>
    <w:rsid w:val="000448F8"/>
    <w:rsid w:val="00044D2A"/>
    <w:rsid w:val="000454BA"/>
    <w:rsid w:val="00045DDA"/>
    <w:rsid w:val="000466BE"/>
    <w:rsid w:val="000466FD"/>
    <w:rsid w:val="00046C07"/>
    <w:rsid w:val="00047CEE"/>
    <w:rsid w:val="00047D80"/>
    <w:rsid w:val="000508EB"/>
    <w:rsid w:val="00050A26"/>
    <w:rsid w:val="00050CD4"/>
    <w:rsid w:val="00051558"/>
    <w:rsid w:val="0005164C"/>
    <w:rsid w:val="00051935"/>
    <w:rsid w:val="0005198B"/>
    <w:rsid w:val="00053E22"/>
    <w:rsid w:val="000547A9"/>
    <w:rsid w:val="00054931"/>
    <w:rsid w:val="00054F24"/>
    <w:rsid w:val="0005612A"/>
    <w:rsid w:val="0005656C"/>
    <w:rsid w:val="00056C5A"/>
    <w:rsid w:val="00057061"/>
    <w:rsid w:val="00060433"/>
    <w:rsid w:val="00060BFF"/>
    <w:rsid w:val="00061022"/>
    <w:rsid w:val="00061B6D"/>
    <w:rsid w:val="00061CCB"/>
    <w:rsid w:val="00061D1C"/>
    <w:rsid w:val="00061EA3"/>
    <w:rsid w:val="0006327E"/>
    <w:rsid w:val="00063790"/>
    <w:rsid w:val="00064F40"/>
    <w:rsid w:val="0006512E"/>
    <w:rsid w:val="0006541C"/>
    <w:rsid w:val="00065665"/>
    <w:rsid w:val="00065694"/>
    <w:rsid w:val="0006616F"/>
    <w:rsid w:val="0006627A"/>
    <w:rsid w:val="0006673B"/>
    <w:rsid w:val="00067A5D"/>
    <w:rsid w:val="00067BD0"/>
    <w:rsid w:val="00067DD1"/>
    <w:rsid w:val="00070650"/>
    <w:rsid w:val="00070D54"/>
    <w:rsid w:val="000716C5"/>
    <w:rsid w:val="000723B9"/>
    <w:rsid w:val="0007253A"/>
    <w:rsid w:val="00072906"/>
    <w:rsid w:val="00072F89"/>
    <w:rsid w:val="00073694"/>
    <w:rsid w:val="000744F4"/>
    <w:rsid w:val="00074599"/>
    <w:rsid w:val="00074C7B"/>
    <w:rsid w:val="00075E23"/>
    <w:rsid w:val="00075EBE"/>
    <w:rsid w:val="000763BE"/>
    <w:rsid w:val="00076849"/>
    <w:rsid w:val="0007776A"/>
    <w:rsid w:val="000779F2"/>
    <w:rsid w:val="00077F6F"/>
    <w:rsid w:val="0008080B"/>
    <w:rsid w:val="000809D6"/>
    <w:rsid w:val="000809DA"/>
    <w:rsid w:val="00080E69"/>
    <w:rsid w:val="00081995"/>
    <w:rsid w:val="000832CF"/>
    <w:rsid w:val="000834EF"/>
    <w:rsid w:val="00083511"/>
    <w:rsid w:val="00084206"/>
    <w:rsid w:val="00084433"/>
    <w:rsid w:val="00084547"/>
    <w:rsid w:val="00085483"/>
    <w:rsid w:val="00085CEE"/>
    <w:rsid w:val="00085DA3"/>
    <w:rsid w:val="00086817"/>
    <w:rsid w:val="00086AD8"/>
    <w:rsid w:val="0008714D"/>
    <w:rsid w:val="0008768F"/>
    <w:rsid w:val="00087D0A"/>
    <w:rsid w:val="00087EB9"/>
    <w:rsid w:val="00090A5A"/>
    <w:rsid w:val="00091880"/>
    <w:rsid w:val="000919F2"/>
    <w:rsid w:val="0009213E"/>
    <w:rsid w:val="00092251"/>
    <w:rsid w:val="0009233C"/>
    <w:rsid w:val="0009312F"/>
    <w:rsid w:val="0009344A"/>
    <w:rsid w:val="00093BAD"/>
    <w:rsid w:val="00094301"/>
    <w:rsid w:val="00094ACE"/>
    <w:rsid w:val="00094CA8"/>
    <w:rsid w:val="00094FF6"/>
    <w:rsid w:val="00095B0B"/>
    <w:rsid w:val="00095BCB"/>
    <w:rsid w:val="00095E3C"/>
    <w:rsid w:val="00095E47"/>
    <w:rsid w:val="0009623D"/>
    <w:rsid w:val="00096882"/>
    <w:rsid w:val="00097106"/>
    <w:rsid w:val="000974C6"/>
    <w:rsid w:val="00097689"/>
    <w:rsid w:val="000A073D"/>
    <w:rsid w:val="000A083A"/>
    <w:rsid w:val="000A1B8A"/>
    <w:rsid w:val="000A1BDC"/>
    <w:rsid w:val="000A392E"/>
    <w:rsid w:val="000A575F"/>
    <w:rsid w:val="000A576A"/>
    <w:rsid w:val="000A5F31"/>
    <w:rsid w:val="000A66C6"/>
    <w:rsid w:val="000A6DD2"/>
    <w:rsid w:val="000A7CF0"/>
    <w:rsid w:val="000B1D6C"/>
    <w:rsid w:val="000B22AE"/>
    <w:rsid w:val="000B2417"/>
    <w:rsid w:val="000B2A19"/>
    <w:rsid w:val="000B2E9D"/>
    <w:rsid w:val="000B41DB"/>
    <w:rsid w:val="000B43C8"/>
    <w:rsid w:val="000B4416"/>
    <w:rsid w:val="000B4F70"/>
    <w:rsid w:val="000B5741"/>
    <w:rsid w:val="000B6412"/>
    <w:rsid w:val="000B6666"/>
    <w:rsid w:val="000B6B68"/>
    <w:rsid w:val="000B7061"/>
    <w:rsid w:val="000B7291"/>
    <w:rsid w:val="000B76D4"/>
    <w:rsid w:val="000B7938"/>
    <w:rsid w:val="000B7992"/>
    <w:rsid w:val="000C0289"/>
    <w:rsid w:val="000C1684"/>
    <w:rsid w:val="000C27A7"/>
    <w:rsid w:val="000C3205"/>
    <w:rsid w:val="000C4FD9"/>
    <w:rsid w:val="000C52B8"/>
    <w:rsid w:val="000C566F"/>
    <w:rsid w:val="000C5A03"/>
    <w:rsid w:val="000C5AFC"/>
    <w:rsid w:val="000C5B44"/>
    <w:rsid w:val="000C6ABA"/>
    <w:rsid w:val="000C6DCC"/>
    <w:rsid w:val="000C6EB1"/>
    <w:rsid w:val="000D0868"/>
    <w:rsid w:val="000D0F4B"/>
    <w:rsid w:val="000D10DB"/>
    <w:rsid w:val="000D23B9"/>
    <w:rsid w:val="000D2686"/>
    <w:rsid w:val="000D2FAA"/>
    <w:rsid w:val="000D32CB"/>
    <w:rsid w:val="000D34BD"/>
    <w:rsid w:val="000D3EE9"/>
    <w:rsid w:val="000D4342"/>
    <w:rsid w:val="000D44E2"/>
    <w:rsid w:val="000D4652"/>
    <w:rsid w:val="000D49AF"/>
    <w:rsid w:val="000D513E"/>
    <w:rsid w:val="000D5593"/>
    <w:rsid w:val="000D596E"/>
    <w:rsid w:val="000D6713"/>
    <w:rsid w:val="000D6A41"/>
    <w:rsid w:val="000D6B1A"/>
    <w:rsid w:val="000D6DA8"/>
    <w:rsid w:val="000D6F25"/>
    <w:rsid w:val="000E0EA5"/>
    <w:rsid w:val="000E1348"/>
    <w:rsid w:val="000E1AAB"/>
    <w:rsid w:val="000E281F"/>
    <w:rsid w:val="000E3429"/>
    <w:rsid w:val="000E3453"/>
    <w:rsid w:val="000E370C"/>
    <w:rsid w:val="000E3A9B"/>
    <w:rsid w:val="000E4190"/>
    <w:rsid w:val="000E43D7"/>
    <w:rsid w:val="000E4C90"/>
    <w:rsid w:val="000E4F3F"/>
    <w:rsid w:val="000E5264"/>
    <w:rsid w:val="000E5EB5"/>
    <w:rsid w:val="000E65B2"/>
    <w:rsid w:val="000E67E7"/>
    <w:rsid w:val="000E6B77"/>
    <w:rsid w:val="000E70C7"/>
    <w:rsid w:val="000E7A83"/>
    <w:rsid w:val="000F110F"/>
    <w:rsid w:val="000F1F5F"/>
    <w:rsid w:val="000F35ED"/>
    <w:rsid w:val="000F3731"/>
    <w:rsid w:val="000F3826"/>
    <w:rsid w:val="000F3F6E"/>
    <w:rsid w:val="000F5F61"/>
    <w:rsid w:val="000F631F"/>
    <w:rsid w:val="000F686B"/>
    <w:rsid w:val="000F6DB3"/>
    <w:rsid w:val="000F792D"/>
    <w:rsid w:val="00100663"/>
    <w:rsid w:val="00101513"/>
    <w:rsid w:val="001016EE"/>
    <w:rsid w:val="00101D2C"/>
    <w:rsid w:val="00102325"/>
    <w:rsid w:val="0010264C"/>
    <w:rsid w:val="00102BE8"/>
    <w:rsid w:val="00103B51"/>
    <w:rsid w:val="00103C2D"/>
    <w:rsid w:val="001041AC"/>
    <w:rsid w:val="0010434D"/>
    <w:rsid w:val="00105127"/>
    <w:rsid w:val="00105455"/>
    <w:rsid w:val="00106ADA"/>
    <w:rsid w:val="001070F5"/>
    <w:rsid w:val="00107131"/>
    <w:rsid w:val="0010736F"/>
    <w:rsid w:val="00107605"/>
    <w:rsid w:val="0010761C"/>
    <w:rsid w:val="001076DA"/>
    <w:rsid w:val="00110691"/>
    <w:rsid w:val="00111355"/>
    <w:rsid w:val="00111EE3"/>
    <w:rsid w:val="00111F69"/>
    <w:rsid w:val="00111FD7"/>
    <w:rsid w:val="001126AC"/>
    <w:rsid w:val="001126B1"/>
    <w:rsid w:val="00112900"/>
    <w:rsid w:val="00112B74"/>
    <w:rsid w:val="00113C51"/>
    <w:rsid w:val="00113D06"/>
    <w:rsid w:val="00113F73"/>
    <w:rsid w:val="00114335"/>
    <w:rsid w:val="00114C2E"/>
    <w:rsid w:val="00115B5A"/>
    <w:rsid w:val="00115EA4"/>
    <w:rsid w:val="00115FDD"/>
    <w:rsid w:val="0011622A"/>
    <w:rsid w:val="001164A2"/>
    <w:rsid w:val="00116BDF"/>
    <w:rsid w:val="001171B2"/>
    <w:rsid w:val="001174FE"/>
    <w:rsid w:val="00117D76"/>
    <w:rsid w:val="00117DCD"/>
    <w:rsid w:val="00117F5E"/>
    <w:rsid w:val="00120168"/>
    <w:rsid w:val="001202BD"/>
    <w:rsid w:val="001214F0"/>
    <w:rsid w:val="00121AF0"/>
    <w:rsid w:val="00121CC2"/>
    <w:rsid w:val="001224EA"/>
    <w:rsid w:val="001241DB"/>
    <w:rsid w:val="00124631"/>
    <w:rsid w:val="00124AEF"/>
    <w:rsid w:val="0012505F"/>
    <w:rsid w:val="00125661"/>
    <w:rsid w:val="00125A3A"/>
    <w:rsid w:val="00125D8F"/>
    <w:rsid w:val="00126FBA"/>
    <w:rsid w:val="00127534"/>
    <w:rsid w:val="00127C05"/>
    <w:rsid w:val="00127F1D"/>
    <w:rsid w:val="001303FC"/>
    <w:rsid w:val="0013199F"/>
    <w:rsid w:val="001336B4"/>
    <w:rsid w:val="00133ED7"/>
    <w:rsid w:val="00133EE5"/>
    <w:rsid w:val="00135009"/>
    <w:rsid w:val="00135FFA"/>
    <w:rsid w:val="001361A4"/>
    <w:rsid w:val="0013625E"/>
    <w:rsid w:val="001362C7"/>
    <w:rsid w:val="0013650D"/>
    <w:rsid w:val="0013701B"/>
    <w:rsid w:val="001375E8"/>
    <w:rsid w:val="001400B1"/>
    <w:rsid w:val="00140207"/>
    <w:rsid w:val="00140BE1"/>
    <w:rsid w:val="00141B42"/>
    <w:rsid w:val="00141F5F"/>
    <w:rsid w:val="0014239B"/>
    <w:rsid w:val="00142813"/>
    <w:rsid w:val="00143D60"/>
    <w:rsid w:val="00144FB9"/>
    <w:rsid w:val="00150397"/>
    <w:rsid w:val="00151921"/>
    <w:rsid w:val="001521A5"/>
    <w:rsid w:val="00154564"/>
    <w:rsid w:val="00154B3C"/>
    <w:rsid w:val="00154D9B"/>
    <w:rsid w:val="00154FD9"/>
    <w:rsid w:val="00155DA1"/>
    <w:rsid w:val="001566D2"/>
    <w:rsid w:val="0015674E"/>
    <w:rsid w:val="00156C05"/>
    <w:rsid w:val="00156DD0"/>
    <w:rsid w:val="001571AF"/>
    <w:rsid w:val="00157206"/>
    <w:rsid w:val="00157329"/>
    <w:rsid w:val="00157458"/>
    <w:rsid w:val="001601E2"/>
    <w:rsid w:val="00160F03"/>
    <w:rsid w:val="00161489"/>
    <w:rsid w:val="001619B2"/>
    <w:rsid w:val="00161E51"/>
    <w:rsid w:val="001632D4"/>
    <w:rsid w:val="00163777"/>
    <w:rsid w:val="00163B5D"/>
    <w:rsid w:val="001643E2"/>
    <w:rsid w:val="00164CD9"/>
    <w:rsid w:val="00165272"/>
    <w:rsid w:val="001660CA"/>
    <w:rsid w:val="00166189"/>
    <w:rsid w:val="0016644E"/>
    <w:rsid w:val="001669FF"/>
    <w:rsid w:val="00167016"/>
    <w:rsid w:val="001676B3"/>
    <w:rsid w:val="0016798A"/>
    <w:rsid w:val="00167A34"/>
    <w:rsid w:val="00167A6F"/>
    <w:rsid w:val="0017026B"/>
    <w:rsid w:val="00170B20"/>
    <w:rsid w:val="00170D9C"/>
    <w:rsid w:val="00171434"/>
    <w:rsid w:val="0017289C"/>
    <w:rsid w:val="00173FCA"/>
    <w:rsid w:val="00174DC0"/>
    <w:rsid w:val="00174E0B"/>
    <w:rsid w:val="00175331"/>
    <w:rsid w:val="00175836"/>
    <w:rsid w:val="001759F5"/>
    <w:rsid w:val="00175F22"/>
    <w:rsid w:val="001761C4"/>
    <w:rsid w:val="00177049"/>
    <w:rsid w:val="00180067"/>
    <w:rsid w:val="00180AA4"/>
    <w:rsid w:val="00180B7C"/>
    <w:rsid w:val="00180BE4"/>
    <w:rsid w:val="00181A48"/>
    <w:rsid w:val="00181F34"/>
    <w:rsid w:val="00182E74"/>
    <w:rsid w:val="001832A8"/>
    <w:rsid w:val="00183461"/>
    <w:rsid w:val="00183950"/>
    <w:rsid w:val="00183B79"/>
    <w:rsid w:val="00183C65"/>
    <w:rsid w:val="00184E5E"/>
    <w:rsid w:val="00185121"/>
    <w:rsid w:val="00185375"/>
    <w:rsid w:val="001874E1"/>
    <w:rsid w:val="001876DC"/>
    <w:rsid w:val="00187883"/>
    <w:rsid w:val="00187B63"/>
    <w:rsid w:val="001905B3"/>
    <w:rsid w:val="00192C63"/>
    <w:rsid w:val="00192F7E"/>
    <w:rsid w:val="00194298"/>
    <w:rsid w:val="00194CF3"/>
    <w:rsid w:val="00195A10"/>
    <w:rsid w:val="00195F5E"/>
    <w:rsid w:val="001961B2"/>
    <w:rsid w:val="001963B8"/>
    <w:rsid w:val="001969A3"/>
    <w:rsid w:val="00196C2B"/>
    <w:rsid w:val="001976B6"/>
    <w:rsid w:val="00197B47"/>
    <w:rsid w:val="001A0C18"/>
    <w:rsid w:val="001A0E9A"/>
    <w:rsid w:val="001A136D"/>
    <w:rsid w:val="001A15C8"/>
    <w:rsid w:val="001A1D03"/>
    <w:rsid w:val="001A1F6E"/>
    <w:rsid w:val="001A2B0A"/>
    <w:rsid w:val="001A2BBD"/>
    <w:rsid w:val="001A2D40"/>
    <w:rsid w:val="001A320E"/>
    <w:rsid w:val="001A46B8"/>
    <w:rsid w:val="001A4B6F"/>
    <w:rsid w:val="001A555C"/>
    <w:rsid w:val="001A6505"/>
    <w:rsid w:val="001A76BD"/>
    <w:rsid w:val="001A7870"/>
    <w:rsid w:val="001B13F4"/>
    <w:rsid w:val="001B1EB1"/>
    <w:rsid w:val="001B200E"/>
    <w:rsid w:val="001B2066"/>
    <w:rsid w:val="001B24D7"/>
    <w:rsid w:val="001B2EFE"/>
    <w:rsid w:val="001B3CCC"/>
    <w:rsid w:val="001B3D6D"/>
    <w:rsid w:val="001B4357"/>
    <w:rsid w:val="001B4786"/>
    <w:rsid w:val="001B53C7"/>
    <w:rsid w:val="001B5C51"/>
    <w:rsid w:val="001B67E6"/>
    <w:rsid w:val="001B6CD2"/>
    <w:rsid w:val="001B76E6"/>
    <w:rsid w:val="001B7E29"/>
    <w:rsid w:val="001C0573"/>
    <w:rsid w:val="001C0825"/>
    <w:rsid w:val="001C09DA"/>
    <w:rsid w:val="001C103F"/>
    <w:rsid w:val="001C1A35"/>
    <w:rsid w:val="001C1B41"/>
    <w:rsid w:val="001C2C76"/>
    <w:rsid w:val="001C3145"/>
    <w:rsid w:val="001C3CFD"/>
    <w:rsid w:val="001C4A56"/>
    <w:rsid w:val="001C4ABA"/>
    <w:rsid w:val="001C5042"/>
    <w:rsid w:val="001C5B1C"/>
    <w:rsid w:val="001C5F34"/>
    <w:rsid w:val="001C62F9"/>
    <w:rsid w:val="001C6C3C"/>
    <w:rsid w:val="001C6CAD"/>
    <w:rsid w:val="001C7452"/>
    <w:rsid w:val="001C78E6"/>
    <w:rsid w:val="001C7D00"/>
    <w:rsid w:val="001C7D4B"/>
    <w:rsid w:val="001D0660"/>
    <w:rsid w:val="001D07FB"/>
    <w:rsid w:val="001D0F19"/>
    <w:rsid w:val="001D1228"/>
    <w:rsid w:val="001D18C7"/>
    <w:rsid w:val="001D1A24"/>
    <w:rsid w:val="001D232E"/>
    <w:rsid w:val="001D24C9"/>
    <w:rsid w:val="001D257F"/>
    <w:rsid w:val="001D2896"/>
    <w:rsid w:val="001D2FEE"/>
    <w:rsid w:val="001D3267"/>
    <w:rsid w:val="001D3BE3"/>
    <w:rsid w:val="001D3F9C"/>
    <w:rsid w:val="001D426A"/>
    <w:rsid w:val="001D465F"/>
    <w:rsid w:val="001D46E2"/>
    <w:rsid w:val="001D5DA7"/>
    <w:rsid w:val="001D5DB2"/>
    <w:rsid w:val="001D65CE"/>
    <w:rsid w:val="001D65EF"/>
    <w:rsid w:val="001D6975"/>
    <w:rsid w:val="001E0CEF"/>
    <w:rsid w:val="001E15B6"/>
    <w:rsid w:val="001E1740"/>
    <w:rsid w:val="001E195C"/>
    <w:rsid w:val="001E19CA"/>
    <w:rsid w:val="001E42F8"/>
    <w:rsid w:val="001E44AF"/>
    <w:rsid w:val="001E6013"/>
    <w:rsid w:val="001E6740"/>
    <w:rsid w:val="001E6C97"/>
    <w:rsid w:val="001E72BB"/>
    <w:rsid w:val="001E73F1"/>
    <w:rsid w:val="001F0774"/>
    <w:rsid w:val="001F08B3"/>
    <w:rsid w:val="001F1302"/>
    <w:rsid w:val="001F204A"/>
    <w:rsid w:val="001F25EE"/>
    <w:rsid w:val="001F2835"/>
    <w:rsid w:val="001F2FDD"/>
    <w:rsid w:val="001F3BC9"/>
    <w:rsid w:val="001F3FB0"/>
    <w:rsid w:val="001F43F6"/>
    <w:rsid w:val="001F4478"/>
    <w:rsid w:val="001F4B37"/>
    <w:rsid w:val="001F4E93"/>
    <w:rsid w:val="001F4EF2"/>
    <w:rsid w:val="001F540F"/>
    <w:rsid w:val="001F59EB"/>
    <w:rsid w:val="001F59FB"/>
    <w:rsid w:val="001F5AB2"/>
    <w:rsid w:val="001F5ABA"/>
    <w:rsid w:val="001F5AED"/>
    <w:rsid w:val="001F5E4D"/>
    <w:rsid w:val="001F6540"/>
    <w:rsid w:val="001F7001"/>
    <w:rsid w:val="001F716D"/>
    <w:rsid w:val="002017FA"/>
    <w:rsid w:val="00201A6E"/>
    <w:rsid w:val="00201E63"/>
    <w:rsid w:val="00203F16"/>
    <w:rsid w:val="00204B61"/>
    <w:rsid w:val="002055EE"/>
    <w:rsid w:val="0020601B"/>
    <w:rsid w:val="00206357"/>
    <w:rsid w:val="00206BB7"/>
    <w:rsid w:val="00207952"/>
    <w:rsid w:val="00212AE1"/>
    <w:rsid w:val="00212E2B"/>
    <w:rsid w:val="00212F49"/>
    <w:rsid w:val="00213BF7"/>
    <w:rsid w:val="00214120"/>
    <w:rsid w:val="002143A8"/>
    <w:rsid w:val="00214832"/>
    <w:rsid w:val="00214CA3"/>
    <w:rsid w:val="00215EC8"/>
    <w:rsid w:val="002164B0"/>
    <w:rsid w:val="00217E82"/>
    <w:rsid w:val="00220696"/>
    <w:rsid w:val="002207E9"/>
    <w:rsid w:val="002217DF"/>
    <w:rsid w:val="00221D60"/>
    <w:rsid w:val="00221E77"/>
    <w:rsid w:val="0022240E"/>
    <w:rsid w:val="00222BE0"/>
    <w:rsid w:val="00222C5B"/>
    <w:rsid w:val="002230DB"/>
    <w:rsid w:val="00223412"/>
    <w:rsid w:val="0022503D"/>
    <w:rsid w:val="002250A3"/>
    <w:rsid w:val="0022554E"/>
    <w:rsid w:val="0022628D"/>
    <w:rsid w:val="00227007"/>
    <w:rsid w:val="00227B14"/>
    <w:rsid w:val="0023060C"/>
    <w:rsid w:val="00231388"/>
    <w:rsid w:val="0023264E"/>
    <w:rsid w:val="0023325C"/>
    <w:rsid w:val="00234576"/>
    <w:rsid w:val="00234586"/>
    <w:rsid w:val="002349C7"/>
    <w:rsid w:val="00234E16"/>
    <w:rsid w:val="00234EA1"/>
    <w:rsid w:val="00234F94"/>
    <w:rsid w:val="00235190"/>
    <w:rsid w:val="00235217"/>
    <w:rsid w:val="0023548A"/>
    <w:rsid w:val="00235A4A"/>
    <w:rsid w:val="00235EB7"/>
    <w:rsid w:val="0023607E"/>
    <w:rsid w:val="00236A6C"/>
    <w:rsid w:val="0023725D"/>
    <w:rsid w:val="00237970"/>
    <w:rsid w:val="00240E7B"/>
    <w:rsid w:val="00241249"/>
    <w:rsid w:val="00241F36"/>
    <w:rsid w:val="00242FA6"/>
    <w:rsid w:val="00243572"/>
    <w:rsid w:val="0024400B"/>
    <w:rsid w:val="00244A2C"/>
    <w:rsid w:val="00244C61"/>
    <w:rsid w:val="00244E0E"/>
    <w:rsid w:val="00245568"/>
    <w:rsid w:val="002463C3"/>
    <w:rsid w:val="002466EF"/>
    <w:rsid w:val="0024699D"/>
    <w:rsid w:val="00246A45"/>
    <w:rsid w:val="00246D1F"/>
    <w:rsid w:val="0024706E"/>
    <w:rsid w:val="00247403"/>
    <w:rsid w:val="00247542"/>
    <w:rsid w:val="002501ED"/>
    <w:rsid w:val="002503D7"/>
    <w:rsid w:val="0025066F"/>
    <w:rsid w:val="002506DD"/>
    <w:rsid w:val="0025130B"/>
    <w:rsid w:val="00251BA9"/>
    <w:rsid w:val="00251EE1"/>
    <w:rsid w:val="00252827"/>
    <w:rsid w:val="00252A8D"/>
    <w:rsid w:val="002535ED"/>
    <w:rsid w:val="00253B7D"/>
    <w:rsid w:val="0025457E"/>
    <w:rsid w:val="002549C4"/>
    <w:rsid w:val="00254B93"/>
    <w:rsid w:val="00254BC1"/>
    <w:rsid w:val="002551D2"/>
    <w:rsid w:val="002559EA"/>
    <w:rsid w:val="0025694F"/>
    <w:rsid w:val="00260A43"/>
    <w:rsid w:val="00260C03"/>
    <w:rsid w:val="0026132C"/>
    <w:rsid w:val="002617BE"/>
    <w:rsid w:val="00261B0E"/>
    <w:rsid w:val="002626D7"/>
    <w:rsid w:val="00262E94"/>
    <w:rsid w:val="00262EFC"/>
    <w:rsid w:val="00263F8B"/>
    <w:rsid w:val="00264C08"/>
    <w:rsid w:val="002650F8"/>
    <w:rsid w:val="00265442"/>
    <w:rsid w:val="002654B6"/>
    <w:rsid w:val="00265E5E"/>
    <w:rsid w:val="00266B61"/>
    <w:rsid w:val="0026712A"/>
    <w:rsid w:val="002704DB"/>
    <w:rsid w:val="00270BF6"/>
    <w:rsid w:val="00271432"/>
    <w:rsid w:val="002717ED"/>
    <w:rsid w:val="00271AE3"/>
    <w:rsid w:val="0027303B"/>
    <w:rsid w:val="002731A2"/>
    <w:rsid w:val="00273BA8"/>
    <w:rsid w:val="002740AF"/>
    <w:rsid w:val="00274475"/>
    <w:rsid w:val="002754F5"/>
    <w:rsid w:val="002756BF"/>
    <w:rsid w:val="00276630"/>
    <w:rsid w:val="00276DF8"/>
    <w:rsid w:val="00277D7B"/>
    <w:rsid w:val="00277DF4"/>
    <w:rsid w:val="00277E12"/>
    <w:rsid w:val="00277EF9"/>
    <w:rsid w:val="0028065E"/>
    <w:rsid w:val="00280770"/>
    <w:rsid w:val="00282230"/>
    <w:rsid w:val="002827DD"/>
    <w:rsid w:val="00282CD8"/>
    <w:rsid w:val="00283704"/>
    <w:rsid w:val="00283A53"/>
    <w:rsid w:val="00283A56"/>
    <w:rsid w:val="00283D55"/>
    <w:rsid w:val="00283DB5"/>
    <w:rsid w:val="0028403B"/>
    <w:rsid w:val="00284107"/>
    <w:rsid w:val="002848DD"/>
    <w:rsid w:val="00285B84"/>
    <w:rsid w:val="002869F2"/>
    <w:rsid w:val="00286B56"/>
    <w:rsid w:val="00286CBE"/>
    <w:rsid w:val="00286FF0"/>
    <w:rsid w:val="002870A9"/>
    <w:rsid w:val="00287813"/>
    <w:rsid w:val="00287D51"/>
    <w:rsid w:val="00287DAC"/>
    <w:rsid w:val="0029091C"/>
    <w:rsid w:val="00291187"/>
    <w:rsid w:val="0029142F"/>
    <w:rsid w:val="002942EF"/>
    <w:rsid w:val="00294CA0"/>
    <w:rsid w:val="0029513B"/>
    <w:rsid w:val="0029556E"/>
    <w:rsid w:val="00295BE5"/>
    <w:rsid w:val="00295DAB"/>
    <w:rsid w:val="00296BA5"/>
    <w:rsid w:val="00296C07"/>
    <w:rsid w:val="00296FDC"/>
    <w:rsid w:val="002973D4"/>
    <w:rsid w:val="002A0057"/>
    <w:rsid w:val="002A07A2"/>
    <w:rsid w:val="002A0912"/>
    <w:rsid w:val="002A0AAE"/>
    <w:rsid w:val="002A0E70"/>
    <w:rsid w:val="002A10BF"/>
    <w:rsid w:val="002A21CC"/>
    <w:rsid w:val="002A23A0"/>
    <w:rsid w:val="002A2452"/>
    <w:rsid w:val="002A2C6E"/>
    <w:rsid w:val="002A2E7F"/>
    <w:rsid w:val="002A466F"/>
    <w:rsid w:val="002A468E"/>
    <w:rsid w:val="002A5320"/>
    <w:rsid w:val="002A55C4"/>
    <w:rsid w:val="002A5820"/>
    <w:rsid w:val="002A5B1F"/>
    <w:rsid w:val="002A60D0"/>
    <w:rsid w:val="002A6967"/>
    <w:rsid w:val="002A6A57"/>
    <w:rsid w:val="002A6E57"/>
    <w:rsid w:val="002A7021"/>
    <w:rsid w:val="002A76D2"/>
    <w:rsid w:val="002B0536"/>
    <w:rsid w:val="002B09E2"/>
    <w:rsid w:val="002B0D52"/>
    <w:rsid w:val="002B12DE"/>
    <w:rsid w:val="002B2839"/>
    <w:rsid w:val="002B3087"/>
    <w:rsid w:val="002B34E9"/>
    <w:rsid w:val="002B36CF"/>
    <w:rsid w:val="002B41C2"/>
    <w:rsid w:val="002B597D"/>
    <w:rsid w:val="002B5CB5"/>
    <w:rsid w:val="002B5D4E"/>
    <w:rsid w:val="002B5FB9"/>
    <w:rsid w:val="002B6457"/>
    <w:rsid w:val="002B705A"/>
    <w:rsid w:val="002C0083"/>
    <w:rsid w:val="002C07B9"/>
    <w:rsid w:val="002C14F7"/>
    <w:rsid w:val="002C3085"/>
    <w:rsid w:val="002C3FC5"/>
    <w:rsid w:val="002C440A"/>
    <w:rsid w:val="002C47EB"/>
    <w:rsid w:val="002C49E8"/>
    <w:rsid w:val="002C5095"/>
    <w:rsid w:val="002C5E71"/>
    <w:rsid w:val="002C630C"/>
    <w:rsid w:val="002C6375"/>
    <w:rsid w:val="002C700E"/>
    <w:rsid w:val="002C7851"/>
    <w:rsid w:val="002D0168"/>
    <w:rsid w:val="002D093A"/>
    <w:rsid w:val="002D0EA3"/>
    <w:rsid w:val="002D18B7"/>
    <w:rsid w:val="002D1A1C"/>
    <w:rsid w:val="002D29E6"/>
    <w:rsid w:val="002D2B11"/>
    <w:rsid w:val="002D2B26"/>
    <w:rsid w:val="002D2F6E"/>
    <w:rsid w:val="002D2F6F"/>
    <w:rsid w:val="002D3405"/>
    <w:rsid w:val="002D3588"/>
    <w:rsid w:val="002D5592"/>
    <w:rsid w:val="002D65FC"/>
    <w:rsid w:val="002D6EC4"/>
    <w:rsid w:val="002D6F94"/>
    <w:rsid w:val="002D7507"/>
    <w:rsid w:val="002D7EA2"/>
    <w:rsid w:val="002E09B3"/>
    <w:rsid w:val="002E0DBA"/>
    <w:rsid w:val="002E0F77"/>
    <w:rsid w:val="002E1010"/>
    <w:rsid w:val="002E17C9"/>
    <w:rsid w:val="002E187C"/>
    <w:rsid w:val="002E1BC5"/>
    <w:rsid w:val="002E27A7"/>
    <w:rsid w:val="002E2858"/>
    <w:rsid w:val="002E44D0"/>
    <w:rsid w:val="002E4AA5"/>
    <w:rsid w:val="002E4AEA"/>
    <w:rsid w:val="002E50A8"/>
    <w:rsid w:val="002E599B"/>
    <w:rsid w:val="002E62D0"/>
    <w:rsid w:val="002E67D5"/>
    <w:rsid w:val="002E7967"/>
    <w:rsid w:val="002F0876"/>
    <w:rsid w:val="002F1065"/>
    <w:rsid w:val="002F116D"/>
    <w:rsid w:val="002F2045"/>
    <w:rsid w:val="002F204B"/>
    <w:rsid w:val="002F2CF7"/>
    <w:rsid w:val="002F43A3"/>
    <w:rsid w:val="002F4467"/>
    <w:rsid w:val="002F481E"/>
    <w:rsid w:val="002F4FCD"/>
    <w:rsid w:val="002F575C"/>
    <w:rsid w:val="002F59B2"/>
    <w:rsid w:val="002F5AD6"/>
    <w:rsid w:val="002F6571"/>
    <w:rsid w:val="002F65F4"/>
    <w:rsid w:val="002F6713"/>
    <w:rsid w:val="002F6C7E"/>
    <w:rsid w:val="002F7301"/>
    <w:rsid w:val="002F7FB3"/>
    <w:rsid w:val="003021E6"/>
    <w:rsid w:val="00302295"/>
    <w:rsid w:val="003025CA"/>
    <w:rsid w:val="00302617"/>
    <w:rsid w:val="00302733"/>
    <w:rsid w:val="003038EB"/>
    <w:rsid w:val="00303D52"/>
    <w:rsid w:val="00306103"/>
    <w:rsid w:val="00307249"/>
    <w:rsid w:val="00307ABC"/>
    <w:rsid w:val="00310AC7"/>
    <w:rsid w:val="00310FF8"/>
    <w:rsid w:val="003112FC"/>
    <w:rsid w:val="00311CE4"/>
    <w:rsid w:val="00312A9C"/>
    <w:rsid w:val="003133EE"/>
    <w:rsid w:val="003134D5"/>
    <w:rsid w:val="00314078"/>
    <w:rsid w:val="003146CC"/>
    <w:rsid w:val="0031535D"/>
    <w:rsid w:val="00315B14"/>
    <w:rsid w:val="00317A84"/>
    <w:rsid w:val="00317DE8"/>
    <w:rsid w:val="003208A0"/>
    <w:rsid w:val="00320D99"/>
    <w:rsid w:val="00320DBA"/>
    <w:rsid w:val="00321A4C"/>
    <w:rsid w:val="00321C17"/>
    <w:rsid w:val="00321CB1"/>
    <w:rsid w:val="00321DAC"/>
    <w:rsid w:val="00322A29"/>
    <w:rsid w:val="00323EA3"/>
    <w:rsid w:val="00325DAC"/>
    <w:rsid w:val="00326689"/>
    <w:rsid w:val="00326783"/>
    <w:rsid w:val="00327270"/>
    <w:rsid w:val="00327FE8"/>
    <w:rsid w:val="0033028D"/>
    <w:rsid w:val="00330295"/>
    <w:rsid w:val="003308B9"/>
    <w:rsid w:val="00330CC3"/>
    <w:rsid w:val="0033169F"/>
    <w:rsid w:val="00332408"/>
    <w:rsid w:val="003326E9"/>
    <w:rsid w:val="00333E01"/>
    <w:rsid w:val="00334A28"/>
    <w:rsid w:val="00334ABF"/>
    <w:rsid w:val="00335886"/>
    <w:rsid w:val="00336B6F"/>
    <w:rsid w:val="00337743"/>
    <w:rsid w:val="00337945"/>
    <w:rsid w:val="00340667"/>
    <w:rsid w:val="003416C2"/>
    <w:rsid w:val="00341718"/>
    <w:rsid w:val="00341B78"/>
    <w:rsid w:val="00341DAD"/>
    <w:rsid w:val="003424AD"/>
    <w:rsid w:val="003428A0"/>
    <w:rsid w:val="003430B0"/>
    <w:rsid w:val="003439C5"/>
    <w:rsid w:val="00343F7B"/>
    <w:rsid w:val="0034420F"/>
    <w:rsid w:val="003444F4"/>
    <w:rsid w:val="00344F86"/>
    <w:rsid w:val="0034536E"/>
    <w:rsid w:val="003467A4"/>
    <w:rsid w:val="00346C95"/>
    <w:rsid w:val="0034776E"/>
    <w:rsid w:val="0035033E"/>
    <w:rsid w:val="0035036B"/>
    <w:rsid w:val="00350B18"/>
    <w:rsid w:val="00350C07"/>
    <w:rsid w:val="00350E7E"/>
    <w:rsid w:val="00352DD0"/>
    <w:rsid w:val="003531C8"/>
    <w:rsid w:val="003536FE"/>
    <w:rsid w:val="00353981"/>
    <w:rsid w:val="003539B7"/>
    <w:rsid w:val="003549C9"/>
    <w:rsid w:val="00356042"/>
    <w:rsid w:val="00356185"/>
    <w:rsid w:val="00356ED1"/>
    <w:rsid w:val="0035705E"/>
    <w:rsid w:val="003573E2"/>
    <w:rsid w:val="00357CDB"/>
    <w:rsid w:val="00360380"/>
    <w:rsid w:val="00360BFA"/>
    <w:rsid w:val="00360CCC"/>
    <w:rsid w:val="0036119F"/>
    <w:rsid w:val="00361415"/>
    <w:rsid w:val="003619B2"/>
    <w:rsid w:val="003620C6"/>
    <w:rsid w:val="00362A4F"/>
    <w:rsid w:val="00362D9E"/>
    <w:rsid w:val="0036304B"/>
    <w:rsid w:val="0036315D"/>
    <w:rsid w:val="00364B79"/>
    <w:rsid w:val="00365872"/>
    <w:rsid w:val="003658DD"/>
    <w:rsid w:val="00365E08"/>
    <w:rsid w:val="003662A0"/>
    <w:rsid w:val="003664A6"/>
    <w:rsid w:val="00366C05"/>
    <w:rsid w:val="00366D37"/>
    <w:rsid w:val="00367521"/>
    <w:rsid w:val="00367AAB"/>
    <w:rsid w:val="00367D6D"/>
    <w:rsid w:val="00370992"/>
    <w:rsid w:val="00370B0C"/>
    <w:rsid w:val="003715FA"/>
    <w:rsid w:val="00371DAB"/>
    <w:rsid w:val="00371F6E"/>
    <w:rsid w:val="00373A24"/>
    <w:rsid w:val="003743CE"/>
    <w:rsid w:val="00374517"/>
    <w:rsid w:val="00374683"/>
    <w:rsid w:val="003746C3"/>
    <w:rsid w:val="0037498D"/>
    <w:rsid w:val="003749D5"/>
    <w:rsid w:val="00374E19"/>
    <w:rsid w:val="0037519E"/>
    <w:rsid w:val="00375308"/>
    <w:rsid w:val="00375649"/>
    <w:rsid w:val="00376132"/>
    <w:rsid w:val="00376BFB"/>
    <w:rsid w:val="00376C9C"/>
    <w:rsid w:val="00376F30"/>
    <w:rsid w:val="00377FDA"/>
    <w:rsid w:val="0038078E"/>
    <w:rsid w:val="003815D9"/>
    <w:rsid w:val="00381E0A"/>
    <w:rsid w:val="00382812"/>
    <w:rsid w:val="003843D9"/>
    <w:rsid w:val="003848C8"/>
    <w:rsid w:val="00384D7D"/>
    <w:rsid w:val="0038501E"/>
    <w:rsid w:val="00386B4C"/>
    <w:rsid w:val="00386CF0"/>
    <w:rsid w:val="00386F6D"/>
    <w:rsid w:val="0039049A"/>
    <w:rsid w:val="00390F38"/>
    <w:rsid w:val="003912B4"/>
    <w:rsid w:val="00391B55"/>
    <w:rsid w:val="00391DAD"/>
    <w:rsid w:val="003922D3"/>
    <w:rsid w:val="003928A5"/>
    <w:rsid w:val="00392C50"/>
    <w:rsid w:val="003932D7"/>
    <w:rsid w:val="0039344B"/>
    <w:rsid w:val="00393C38"/>
    <w:rsid w:val="00394656"/>
    <w:rsid w:val="00394983"/>
    <w:rsid w:val="0039503E"/>
    <w:rsid w:val="00395701"/>
    <w:rsid w:val="00395833"/>
    <w:rsid w:val="00396271"/>
    <w:rsid w:val="00396369"/>
    <w:rsid w:val="0039646C"/>
    <w:rsid w:val="00396C08"/>
    <w:rsid w:val="00396F6C"/>
    <w:rsid w:val="003973E0"/>
    <w:rsid w:val="003977D9"/>
    <w:rsid w:val="00397BAC"/>
    <w:rsid w:val="003A01FB"/>
    <w:rsid w:val="003A0F6F"/>
    <w:rsid w:val="003A11F7"/>
    <w:rsid w:val="003A1813"/>
    <w:rsid w:val="003A1E7C"/>
    <w:rsid w:val="003A37BD"/>
    <w:rsid w:val="003A3968"/>
    <w:rsid w:val="003A43A5"/>
    <w:rsid w:val="003A53DF"/>
    <w:rsid w:val="003A681B"/>
    <w:rsid w:val="003A707F"/>
    <w:rsid w:val="003A76B5"/>
    <w:rsid w:val="003A773A"/>
    <w:rsid w:val="003A79C7"/>
    <w:rsid w:val="003A7AFD"/>
    <w:rsid w:val="003A7FA7"/>
    <w:rsid w:val="003B08DA"/>
    <w:rsid w:val="003B0F8E"/>
    <w:rsid w:val="003B180C"/>
    <w:rsid w:val="003B1910"/>
    <w:rsid w:val="003B1ABC"/>
    <w:rsid w:val="003B1CEA"/>
    <w:rsid w:val="003B20A1"/>
    <w:rsid w:val="003B325D"/>
    <w:rsid w:val="003B355B"/>
    <w:rsid w:val="003B4972"/>
    <w:rsid w:val="003B63C2"/>
    <w:rsid w:val="003B662F"/>
    <w:rsid w:val="003B672D"/>
    <w:rsid w:val="003B78DB"/>
    <w:rsid w:val="003C0442"/>
    <w:rsid w:val="003C0717"/>
    <w:rsid w:val="003C0795"/>
    <w:rsid w:val="003C1546"/>
    <w:rsid w:val="003C1BDC"/>
    <w:rsid w:val="003C217F"/>
    <w:rsid w:val="003C29CA"/>
    <w:rsid w:val="003C2A1C"/>
    <w:rsid w:val="003C2B9E"/>
    <w:rsid w:val="003C3797"/>
    <w:rsid w:val="003C3F81"/>
    <w:rsid w:val="003C4757"/>
    <w:rsid w:val="003C499E"/>
    <w:rsid w:val="003C4DBE"/>
    <w:rsid w:val="003C4F09"/>
    <w:rsid w:val="003C5186"/>
    <w:rsid w:val="003C5B50"/>
    <w:rsid w:val="003C61BB"/>
    <w:rsid w:val="003C6352"/>
    <w:rsid w:val="003C676B"/>
    <w:rsid w:val="003C6866"/>
    <w:rsid w:val="003C68B5"/>
    <w:rsid w:val="003C7ACD"/>
    <w:rsid w:val="003C7AE8"/>
    <w:rsid w:val="003D0330"/>
    <w:rsid w:val="003D0FEE"/>
    <w:rsid w:val="003D1B42"/>
    <w:rsid w:val="003D2143"/>
    <w:rsid w:val="003D23F1"/>
    <w:rsid w:val="003D2783"/>
    <w:rsid w:val="003D27DC"/>
    <w:rsid w:val="003D2B38"/>
    <w:rsid w:val="003D370E"/>
    <w:rsid w:val="003D3BC2"/>
    <w:rsid w:val="003D3C10"/>
    <w:rsid w:val="003D3D4D"/>
    <w:rsid w:val="003D3D78"/>
    <w:rsid w:val="003D47A8"/>
    <w:rsid w:val="003D5BC9"/>
    <w:rsid w:val="003D67C7"/>
    <w:rsid w:val="003D74D2"/>
    <w:rsid w:val="003D7C03"/>
    <w:rsid w:val="003D7FAE"/>
    <w:rsid w:val="003E1124"/>
    <w:rsid w:val="003E1733"/>
    <w:rsid w:val="003E1B15"/>
    <w:rsid w:val="003E1FC6"/>
    <w:rsid w:val="003E300F"/>
    <w:rsid w:val="003E3109"/>
    <w:rsid w:val="003E333E"/>
    <w:rsid w:val="003E375F"/>
    <w:rsid w:val="003E3A83"/>
    <w:rsid w:val="003E3B54"/>
    <w:rsid w:val="003E42ED"/>
    <w:rsid w:val="003E432F"/>
    <w:rsid w:val="003E514E"/>
    <w:rsid w:val="003E6CA1"/>
    <w:rsid w:val="003E7207"/>
    <w:rsid w:val="003E7251"/>
    <w:rsid w:val="003E7F32"/>
    <w:rsid w:val="003F00F1"/>
    <w:rsid w:val="003F06A0"/>
    <w:rsid w:val="003F0AD5"/>
    <w:rsid w:val="003F0DB8"/>
    <w:rsid w:val="003F0EC5"/>
    <w:rsid w:val="003F186B"/>
    <w:rsid w:val="003F1A38"/>
    <w:rsid w:val="003F2068"/>
    <w:rsid w:val="003F219A"/>
    <w:rsid w:val="003F257A"/>
    <w:rsid w:val="003F2987"/>
    <w:rsid w:val="003F2EBB"/>
    <w:rsid w:val="003F3618"/>
    <w:rsid w:val="003F3734"/>
    <w:rsid w:val="003F49D8"/>
    <w:rsid w:val="003F5499"/>
    <w:rsid w:val="003F5C2C"/>
    <w:rsid w:val="003F68B0"/>
    <w:rsid w:val="003F7A65"/>
    <w:rsid w:val="003F7AF2"/>
    <w:rsid w:val="003F7E6A"/>
    <w:rsid w:val="0040026D"/>
    <w:rsid w:val="0040152E"/>
    <w:rsid w:val="00401822"/>
    <w:rsid w:val="00401A6F"/>
    <w:rsid w:val="00401DDD"/>
    <w:rsid w:val="00401FAF"/>
    <w:rsid w:val="00402FC5"/>
    <w:rsid w:val="004031BD"/>
    <w:rsid w:val="00404943"/>
    <w:rsid w:val="00404D09"/>
    <w:rsid w:val="004053F7"/>
    <w:rsid w:val="0040670F"/>
    <w:rsid w:val="00410521"/>
    <w:rsid w:val="00410D1C"/>
    <w:rsid w:val="004112D1"/>
    <w:rsid w:val="004113DE"/>
    <w:rsid w:val="004129FA"/>
    <w:rsid w:val="00412B85"/>
    <w:rsid w:val="00413E72"/>
    <w:rsid w:val="0041424D"/>
    <w:rsid w:val="0041448D"/>
    <w:rsid w:val="00415ACD"/>
    <w:rsid w:val="004161A7"/>
    <w:rsid w:val="004165C2"/>
    <w:rsid w:val="00416CDC"/>
    <w:rsid w:val="00417E4C"/>
    <w:rsid w:val="0042007B"/>
    <w:rsid w:val="0042036F"/>
    <w:rsid w:val="00420A40"/>
    <w:rsid w:val="00420AAC"/>
    <w:rsid w:val="00421ACD"/>
    <w:rsid w:val="004220F3"/>
    <w:rsid w:val="004236D0"/>
    <w:rsid w:val="0042372B"/>
    <w:rsid w:val="00423964"/>
    <w:rsid w:val="00424AE4"/>
    <w:rsid w:val="004255F9"/>
    <w:rsid w:val="00426114"/>
    <w:rsid w:val="00426F9C"/>
    <w:rsid w:val="00427106"/>
    <w:rsid w:val="004273B6"/>
    <w:rsid w:val="004274D5"/>
    <w:rsid w:val="00427CAD"/>
    <w:rsid w:val="00427CE7"/>
    <w:rsid w:val="00430CEC"/>
    <w:rsid w:val="00430F18"/>
    <w:rsid w:val="004321F1"/>
    <w:rsid w:val="004322F9"/>
    <w:rsid w:val="00432343"/>
    <w:rsid w:val="00432AB5"/>
    <w:rsid w:val="00432CAA"/>
    <w:rsid w:val="00433276"/>
    <w:rsid w:val="0043425B"/>
    <w:rsid w:val="004343B8"/>
    <w:rsid w:val="00434DA4"/>
    <w:rsid w:val="004365AE"/>
    <w:rsid w:val="00436DDD"/>
    <w:rsid w:val="00437655"/>
    <w:rsid w:val="00437F74"/>
    <w:rsid w:val="0044035E"/>
    <w:rsid w:val="0044069A"/>
    <w:rsid w:val="0044081F"/>
    <w:rsid w:val="00441AFF"/>
    <w:rsid w:val="00441ECB"/>
    <w:rsid w:val="00442CDE"/>
    <w:rsid w:val="00442F01"/>
    <w:rsid w:val="004432D7"/>
    <w:rsid w:val="00443318"/>
    <w:rsid w:val="0044467A"/>
    <w:rsid w:val="004450DF"/>
    <w:rsid w:val="00445514"/>
    <w:rsid w:val="004459D0"/>
    <w:rsid w:val="00445DE6"/>
    <w:rsid w:val="004465D9"/>
    <w:rsid w:val="00446BF9"/>
    <w:rsid w:val="0044711E"/>
    <w:rsid w:val="004472F5"/>
    <w:rsid w:val="0045007D"/>
    <w:rsid w:val="0045009F"/>
    <w:rsid w:val="004502BE"/>
    <w:rsid w:val="004503D2"/>
    <w:rsid w:val="00450529"/>
    <w:rsid w:val="0045090C"/>
    <w:rsid w:val="00450FEB"/>
    <w:rsid w:val="00451139"/>
    <w:rsid w:val="00451BED"/>
    <w:rsid w:val="00451FDE"/>
    <w:rsid w:val="004553BA"/>
    <w:rsid w:val="00455CDE"/>
    <w:rsid w:val="00456299"/>
    <w:rsid w:val="00456BC9"/>
    <w:rsid w:val="00456EC0"/>
    <w:rsid w:val="00457959"/>
    <w:rsid w:val="004579D2"/>
    <w:rsid w:val="00457A6E"/>
    <w:rsid w:val="00457C2A"/>
    <w:rsid w:val="00460349"/>
    <w:rsid w:val="0046073D"/>
    <w:rsid w:val="00460E46"/>
    <w:rsid w:val="00461467"/>
    <w:rsid w:val="00461E8D"/>
    <w:rsid w:val="00461FDF"/>
    <w:rsid w:val="004637B9"/>
    <w:rsid w:val="00464E1D"/>
    <w:rsid w:val="00465947"/>
    <w:rsid w:val="00465D33"/>
    <w:rsid w:val="004664C5"/>
    <w:rsid w:val="0046771C"/>
    <w:rsid w:val="00467B7E"/>
    <w:rsid w:val="00470041"/>
    <w:rsid w:val="004705C4"/>
    <w:rsid w:val="00471189"/>
    <w:rsid w:val="00471568"/>
    <w:rsid w:val="0047206D"/>
    <w:rsid w:val="00472955"/>
    <w:rsid w:val="00472B4E"/>
    <w:rsid w:val="00473375"/>
    <w:rsid w:val="00473874"/>
    <w:rsid w:val="00473C5C"/>
    <w:rsid w:val="00473D1D"/>
    <w:rsid w:val="00475262"/>
    <w:rsid w:val="0047699A"/>
    <w:rsid w:val="00476AFD"/>
    <w:rsid w:val="00477592"/>
    <w:rsid w:val="00477991"/>
    <w:rsid w:val="00477C1F"/>
    <w:rsid w:val="0048053E"/>
    <w:rsid w:val="004806B4"/>
    <w:rsid w:val="00481458"/>
    <w:rsid w:val="00481ECB"/>
    <w:rsid w:val="0048230C"/>
    <w:rsid w:val="00482A5B"/>
    <w:rsid w:val="00482C4B"/>
    <w:rsid w:val="00482D54"/>
    <w:rsid w:val="00482EC8"/>
    <w:rsid w:val="0048304F"/>
    <w:rsid w:val="00483356"/>
    <w:rsid w:val="0048335A"/>
    <w:rsid w:val="004833F9"/>
    <w:rsid w:val="00484427"/>
    <w:rsid w:val="00485611"/>
    <w:rsid w:val="004858E7"/>
    <w:rsid w:val="00485B2D"/>
    <w:rsid w:val="00485B46"/>
    <w:rsid w:val="00486051"/>
    <w:rsid w:val="00486137"/>
    <w:rsid w:val="00486E61"/>
    <w:rsid w:val="00486F1C"/>
    <w:rsid w:val="00486F6E"/>
    <w:rsid w:val="0048732A"/>
    <w:rsid w:val="00487529"/>
    <w:rsid w:val="00490D8E"/>
    <w:rsid w:val="00491659"/>
    <w:rsid w:val="00492D56"/>
    <w:rsid w:val="00493D5D"/>
    <w:rsid w:val="0049419D"/>
    <w:rsid w:val="0049548B"/>
    <w:rsid w:val="00495FAD"/>
    <w:rsid w:val="0049653F"/>
    <w:rsid w:val="0049788D"/>
    <w:rsid w:val="00497B3E"/>
    <w:rsid w:val="004A0FA8"/>
    <w:rsid w:val="004A1FE1"/>
    <w:rsid w:val="004A22F1"/>
    <w:rsid w:val="004A2CD1"/>
    <w:rsid w:val="004A2E7E"/>
    <w:rsid w:val="004A2FAC"/>
    <w:rsid w:val="004A33ED"/>
    <w:rsid w:val="004A4364"/>
    <w:rsid w:val="004A58F9"/>
    <w:rsid w:val="004A67A5"/>
    <w:rsid w:val="004A77E8"/>
    <w:rsid w:val="004B03D1"/>
    <w:rsid w:val="004B1D0E"/>
    <w:rsid w:val="004B22EA"/>
    <w:rsid w:val="004B23B8"/>
    <w:rsid w:val="004B2799"/>
    <w:rsid w:val="004B3355"/>
    <w:rsid w:val="004B43F6"/>
    <w:rsid w:val="004B4AD5"/>
    <w:rsid w:val="004B4B40"/>
    <w:rsid w:val="004B4F6C"/>
    <w:rsid w:val="004B606C"/>
    <w:rsid w:val="004B62C3"/>
    <w:rsid w:val="004B7158"/>
    <w:rsid w:val="004C1CA1"/>
    <w:rsid w:val="004C20D2"/>
    <w:rsid w:val="004C270B"/>
    <w:rsid w:val="004C2ACB"/>
    <w:rsid w:val="004C4B62"/>
    <w:rsid w:val="004C54C9"/>
    <w:rsid w:val="004C556A"/>
    <w:rsid w:val="004C5A8A"/>
    <w:rsid w:val="004C5DE6"/>
    <w:rsid w:val="004C7429"/>
    <w:rsid w:val="004C7652"/>
    <w:rsid w:val="004C790D"/>
    <w:rsid w:val="004C7B00"/>
    <w:rsid w:val="004D0114"/>
    <w:rsid w:val="004D0CBD"/>
    <w:rsid w:val="004D13D2"/>
    <w:rsid w:val="004D1593"/>
    <w:rsid w:val="004D195F"/>
    <w:rsid w:val="004D2720"/>
    <w:rsid w:val="004D29B2"/>
    <w:rsid w:val="004D384A"/>
    <w:rsid w:val="004D3F38"/>
    <w:rsid w:val="004D4878"/>
    <w:rsid w:val="004D4B36"/>
    <w:rsid w:val="004D52A3"/>
    <w:rsid w:val="004D52B4"/>
    <w:rsid w:val="004D5E26"/>
    <w:rsid w:val="004D5F13"/>
    <w:rsid w:val="004D6025"/>
    <w:rsid w:val="004D60EB"/>
    <w:rsid w:val="004D6553"/>
    <w:rsid w:val="004D6618"/>
    <w:rsid w:val="004D774D"/>
    <w:rsid w:val="004D779D"/>
    <w:rsid w:val="004D7940"/>
    <w:rsid w:val="004E16B0"/>
    <w:rsid w:val="004E2649"/>
    <w:rsid w:val="004E2DB6"/>
    <w:rsid w:val="004E35EA"/>
    <w:rsid w:val="004E36F6"/>
    <w:rsid w:val="004E4212"/>
    <w:rsid w:val="004E71BA"/>
    <w:rsid w:val="004E7847"/>
    <w:rsid w:val="004F00DB"/>
    <w:rsid w:val="004F0309"/>
    <w:rsid w:val="004F0590"/>
    <w:rsid w:val="004F095B"/>
    <w:rsid w:val="004F167F"/>
    <w:rsid w:val="004F19B2"/>
    <w:rsid w:val="004F2BEE"/>
    <w:rsid w:val="004F2D19"/>
    <w:rsid w:val="004F47A6"/>
    <w:rsid w:val="004F4822"/>
    <w:rsid w:val="004F4E80"/>
    <w:rsid w:val="004F4E8D"/>
    <w:rsid w:val="004F53AD"/>
    <w:rsid w:val="004F627D"/>
    <w:rsid w:val="004F6405"/>
    <w:rsid w:val="004F7467"/>
    <w:rsid w:val="00501399"/>
    <w:rsid w:val="005015B3"/>
    <w:rsid w:val="00502322"/>
    <w:rsid w:val="005024DB"/>
    <w:rsid w:val="005025C6"/>
    <w:rsid w:val="005028B3"/>
    <w:rsid w:val="00502A33"/>
    <w:rsid w:val="00502A7D"/>
    <w:rsid w:val="00503E30"/>
    <w:rsid w:val="00504BCC"/>
    <w:rsid w:val="0050512A"/>
    <w:rsid w:val="005051CD"/>
    <w:rsid w:val="005053A5"/>
    <w:rsid w:val="00505D87"/>
    <w:rsid w:val="00506331"/>
    <w:rsid w:val="0050633D"/>
    <w:rsid w:val="005066A7"/>
    <w:rsid w:val="00506A7C"/>
    <w:rsid w:val="00506E69"/>
    <w:rsid w:val="0050711F"/>
    <w:rsid w:val="00507701"/>
    <w:rsid w:val="00507BC4"/>
    <w:rsid w:val="005102AB"/>
    <w:rsid w:val="0051125A"/>
    <w:rsid w:val="00511345"/>
    <w:rsid w:val="00511E75"/>
    <w:rsid w:val="005122CB"/>
    <w:rsid w:val="005127B7"/>
    <w:rsid w:val="0051281E"/>
    <w:rsid w:val="005128E4"/>
    <w:rsid w:val="00512B96"/>
    <w:rsid w:val="00512BFD"/>
    <w:rsid w:val="00512ED6"/>
    <w:rsid w:val="00513361"/>
    <w:rsid w:val="005133DB"/>
    <w:rsid w:val="0051354A"/>
    <w:rsid w:val="00513AC6"/>
    <w:rsid w:val="00513D0A"/>
    <w:rsid w:val="00513D0C"/>
    <w:rsid w:val="00513EB8"/>
    <w:rsid w:val="005140A7"/>
    <w:rsid w:val="005142E3"/>
    <w:rsid w:val="00514B49"/>
    <w:rsid w:val="005169D4"/>
    <w:rsid w:val="0051702D"/>
    <w:rsid w:val="005172B2"/>
    <w:rsid w:val="005177CD"/>
    <w:rsid w:val="00517E97"/>
    <w:rsid w:val="0052076F"/>
    <w:rsid w:val="00520986"/>
    <w:rsid w:val="00520FFE"/>
    <w:rsid w:val="00521676"/>
    <w:rsid w:val="0052471F"/>
    <w:rsid w:val="00524847"/>
    <w:rsid w:val="00524D5A"/>
    <w:rsid w:val="0052503E"/>
    <w:rsid w:val="00525560"/>
    <w:rsid w:val="00525A58"/>
    <w:rsid w:val="00525D68"/>
    <w:rsid w:val="00525EC9"/>
    <w:rsid w:val="00526147"/>
    <w:rsid w:val="0052643A"/>
    <w:rsid w:val="00527096"/>
    <w:rsid w:val="005272D3"/>
    <w:rsid w:val="005277FD"/>
    <w:rsid w:val="00527BBA"/>
    <w:rsid w:val="00532720"/>
    <w:rsid w:val="00532CC3"/>
    <w:rsid w:val="005330E5"/>
    <w:rsid w:val="00533458"/>
    <w:rsid w:val="0053391C"/>
    <w:rsid w:val="00534F3D"/>
    <w:rsid w:val="0053536F"/>
    <w:rsid w:val="0053541C"/>
    <w:rsid w:val="005354F3"/>
    <w:rsid w:val="0053649A"/>
    <w:rsid w:val="00536923"/>
    <w:rsid w:val="00536DF8"/>
    <w:rsid w:val="005376B6"/>
    <w:rsid w:val="00537CE4"/>
    <w:rsid w:val="00540FE6"/>
    <w:rsid w:val="00541642"/>
    <w:rsid w:val="00541D0D"/>
    <w:rsid w:val="00542B5D"/>
    <w:rsid w:val="00542E53"/>
    <w:rsid w:val="00542F30"/>
    <w:rsid w:val="005430CE"/>
    <w:rsid w:val="00543182"/>
    <w:rsid w:val="00543D34"/>
    <w:rsid w:val="0054432F"/>
    <w:rsid w:val="00544C49"/>
    <w:rsid w:val="00544F11"/>
    <w:rsid w:val="005454DC"/>
    <w:rsid w:val="00545D86"/>
    <w:rsid w:val="00546281"/>
    <w:rsid w:val="0055045D"/>
    <w:rsid w:val="005504CB"/>
    <w:rsid w:val="00550D40"/>
    <w:rsid w:val="005516A1"/>
    <w:rsid w:val="00552308"/>
    <w:rsid w:val="00553071"/>
    <w:rsid w:val="0055327D"/>
    <w:rsid w:val="00553CE7"/>
    <w:rsid w:val="005557C0"/>
    <w:rsid w:val="00555A75"/>
    <w:rsid w:val="00555D5B"/>
    <w:rsid w:val="00557DDD"/>
    <w:rsid w:val="005605DE"/>
    <w:rsid w:val="00560681"/>
    <w:rsid w:val="00560D99"/>
    <w:rsid w:val="005620E2"/>
    <w:rsid w:val="00562A4E"/>
    <w:rsid w:val="00563083"/>
    <w:rsid w:val="005646A5"/>
    <w:rsid w:val="00564724"/>
    <w:rsid w:val="00564B06"/>
    <w:rsid w:val="00564DB0"/>
    <w:rsid w:val="00564DB1"/>
    <w:rsid w:val="00564FC2"/>
    <w:rsid w:val="00565744"/>
    <w:rsid w:val="00565C49"/>
    <w:rsid w:val="005664A6"/>
    <w:rsid w:val="00566B4A"/>
    <w:rsid w:val="0056727B"/>
    <w:rsid w:val="005673E7"/>
    <w:rsid w:val="00567DE2"/>
    <w:rsid w:val="005710D9"/>
    <w:rsid w:val="0057131E"/>
    <w:rsid w:val="00573015"/>
    <w:rsid w:val="0057336C"/>
    <w:rsid w:val="0057402A"/>
    <w:rsid w:val="00574C37"/>
    <w:rsid w:val="00575155"/>
    <w:rsid w:val="005757E1"/>
    <w:rsid w:val="005762D5"/>
    <w:rsid w:val="0057647B"/>
    <w:rsid w:val="00576521"/>
    <w:rsid w:val="00576BE2"/>
    <w:rsid w:val="00576C64"/>
    <w:rsid w:val="005771D0"/>
    <w:rsid w:val="00577873"/>
    <w:rsid w:val="005779E7"/>
    <w:rsid w:val="00580190"/>
    <w:rsid w:val="0058021F"/>
    <w:rsid w:val="00581B1D"/>
    <w:rsid w:val="00581F7B"/>
    <w:rsid w:val="005821E5"/>
    <w:rsid w:val="00582248"/>
    <w:rsid w:val="005824BD"/>
    <w:rsid w:val="005830F4"/>
    <w:rsid w:val="00583174"/>
    <w:rsid w:val="00583AD2"/>
    <w:rsid w:val="00583EEA"/>
    <w:rsid w:val="00584776"/>
    <w:rsid w:val="00584FF2"/>
    <w:rsid w:val="0058545B"/>
    <w:rsid w:val="0058555B"/>
    <w:rsid w:val="005862C7"/>
    <w:rsid w:val="0058634A"/>
    <w:rsid w:val="00586515"/>
    <w:rsid w:val="0058735F"/>
    <w:rsid w:val="00587492"/>
    <w:rsid w:val="00587C08"/>
    <w:rsid w:val="00587C2C"/>
    <w:rsid w:val="00587F80"/>
    <w:rsid w:val="005907A3"/>
    <w:rsid w:val="00590A4E"/>
    <w:rsid w:val="00591774"/>
    <w:rsid w:val="005918DA"/>
    <w:rsid w:val="0059191A"/>
    <w:rsid w:val="00591977"/>
    <w:rsid w:val="005921FF"/>
    <w:rsid w:val="005922F5"/>
    <w:rsid w:val="00592884"/>
    <w:rsid w:val="005937F1"/>
    <w:rsid w:val="00593F3E"/>
    <w:rsid w:val="00594D2E"/>
    <w:rsid w:val="00595C1D"/>
    <w:rsid w:val="00595F25"/>
    <w:rsid w:val="005A049A"/>
    <w:rsid w:val="005A19B0"/>
    <w:rsid w:val="005A1FC4"/>
    <w:rsid w:val="005A21DC"/>
    <w:rsid w:val="005A26FD"/>
    <w:rsid w:val="005A27AE"/>
    <w:rsid w:val="005A3838"/>
    <w:rsid w:val="005A59B0"/>
    <w:rsid w:val="005A660D"/>
    <w:rsid w:val="005A662D"/>
    <w:rsid w:val="005A6849"/>
    <w:rsid w:val="005A6D0E"/>
    <w:rsid w:val="005A6D14"/>
    <w:rsid w:val="005B00E8"/>
    <w:rsid w:val="005B12FE"/>
    <w:rsid w:val="005B2A78"/>
    <w:rsid w:val="005B2D1B"/>
    <w:rsid w:val="005B3F24"/>
    <w:rsid w:val="005B4E09"/>
    <w:rsid w:val="005B52B0"/>
    <w:rsid w:val="005B59BA"/>
    <w:rsid w:val="005B5CCB"/>
    <w:rsid w:val="005B6806"/>
    <w:rsid w:val="005B71ED"/>
    <w:rsid w:val="005B7347"/>
    <w:rsid w:val="005B7CED"/>
    <w:rsid w:val="005C01A3"/>
    <w:rsid w:val="005C0589"/>
    <w:rsid w:val="005C0732"/>
    <w:rsid w:val="005C0C3A"/>
    <w:rsid w:val="005C222B"/>
    <w:rsid w:val="005C23C3"/>
    <w:rsid w:val="005C2989"/>
    <w:rsid w:val="005C2C99"/>
    <w:rsid w:val="005C31A8"/>
    <w:rsid w:val="005C345A"/>
    <w:rsid w:val="005C3AFF"/>
    <w:rsid w:val="005C3D63"/>
    <w:rsid w:val="005C4225"/>
    <w:rsid w:val="005C4CA5"/>
    <w:rsid w:val="005C51EF"/>
    <w:rsid w:val="005C5519"/>
    <w:rsid w:val="005C597E"/>
    <w:rsid w:val="005C5A99"/>
    <w:rsid w:val="005C6B6D"/>
    <w:rsid w:val="005C7519"/>
    <w:rsid w:val="005C7F16"/>
    <w:rsid w:val="005D0284"/>
    <w:rsid w:val="005D0DB1"/>
    <w:rsid w:val="005D22E1"/>
    <w:rsid w:val="005D28F6"/>
    <w:rsid w:val="005D3FBD"/>
    <w:rsid w:val="005D4B2E"/>
    <w:rsid w:val="005D6673"/>
    <w:rsid w:val="005D67D0"/>
    <w:rsid w:val="005D7A22"/>
    <w:rsid w:val="005E03D5"/>
    <w:rsid w:val="005E0CEB"/>
    <w:rsid w:val="005E16B1"/>
    <w:rsid w:val="005E1E46"/>
    <w:rsid w:val="005E1E48"/>
    <w:rsid w:val="005E37E0"/>
    <w:rsid w:val="005E3EE2"/>
    <w:rsid w:val="005E4FC3"/>
    <w:rsid w:val="005E5794"/>
    <w:rsid w:val="005E5DA3"/>
    <w:rsid w:val="005E6050"/>
    <w:rsid w:val="005E6B49"/>
    <w:rsid w:val="005E6E36"/>
    <w:rsid w:val="005E72FA"/>
    <w:rsid w:val="005E7F79"/>
    <w:rsid w:val="005E7FB9"/>
    <w:rsid w:val="005F0B19"/>
    <w:rsid w:val="005F0B62"/>
    <w:rsid w:val="005F0DAD"/>
    <w:rsid w:val="005F0E86"/>
    <w:rsid w:val="005F0F33"/>
    <w:rsid w:val="005F11CC"/>
    <w:rsid w:val="005F172C"/>
    <w:rsid w:val="005F1AE3"/>
    <w:rsid w:val="005F2493"/>
    <w:rsid w:val="005F300C"/>
    <w:rsid w:val="005F309E"/>
    <w:rsid w:val="005F3293"/>
    <w:rsid w:val="005F33B0"/>
    <w:rsid w:val="005F3616"/>
    <w:rsid w:val="005F4CF8"/>
    <w:rsid w:val="005F4F63"/>
    <w:rsid w:val="005F6001"/>
    <w:rsid w:val="005F60E1"/>
    <w:rsid w:val="005F68C4"/>
    <w:rsid w:val="005F6A2E"/>
    <w:rsid w:val="005F6D1A"/>
    <w:rsid w:val="005F6D2E"/>
    <w:rsid w:val="005F73AD"/>
    <w:rsid w:val="005F7B2C"/>
    <w:rsid w:val="0060000A"/>
    <w:rsid w:val="00600611"/>
    <w:rsid w:val="00600DEB"/>
    <w:rsid w:val="006018D3"/>
    <w:rsid w:val="00601EE6"/>
    <w:rsid w:val="00603085"/>
    <w:rsid w:val="0060308B"/>
    <w:rsid w:val="0060331D"/>
    <w:rsid w:val="006038B3"/>
    <w:rsid w:val="00604377"/>
    <w:rsid w:val="006043B4"/>
    <w:rsid w:val="00604ADF"/>
    <w:rsid w:val="00605068"/>
    <w:rsid w:val="00607345"/>
    <w:rsid w:val="00607391"/>
    <w:rsid w:val="006077A8"/>
    <w:rsid w:val="00610099"/>
    <w:rsid w:val="006106D4"/>
    <w:rsid w:val="00610CD1"/>
    <w:rsid w:val="00610E8A"/>
    <w:rsid w:val="006111D5"/>
    <w:rsid w:val="00611C29"/>
    <w:rsid w:val="00612119"/>
    <w:rsid w:val="006122C6"/>
    <w:rsid w:val="006125C3"/>
    <w:rsid w:val="00612B37"/>
    <w:rsid w:val="00613897"/>
    <w:rsid w:val="0061391A"/>
    <w:rsid w:val="006146F3"/>
    <w:rsid w:val="0061486B"/>
    <w:rsid w:val="00615468"/>
    <w:rsid w:val="00615D10"/>
    <w:rsid w:val="006161D8"/>
    <w:rsid w:val="00616F54"/>
    <w:rsid w:val="00617C76"/>
    <w:rsid w:val="00622579"/>
    <w:rsid w:val="00622E2F"/>
    <w:rsid w:val="0062322D"/>
    <w:rsid w:val="006234FC"/>
    <w:rsid w:val="00623E13"/>
    <w:rsid w:val="006248ED"/>
    <w:rsid w:val="0062557F"/>
    <w:rsid w:val="00625B42"/>
    <w:rsid w:val="00626389"/>
    <w:rsid w:val="006267C4"/>
    <w:rsid w:val="00626D1D"/>
    <w:rsid w:val="00627064"/>
    <w:rsid w:val="006270F4"/>
    <w:rsid w:val="00627581"/>
    <w:rsid w:val="00627C9F"/>
    <w:rsid w:val="0063015F"/>
    <w:rsid w:val="006311E9"/>
    <w:rsid w:val="0063187A"/>
    <w:rsid w:val="0063195F"/>
    <w:rsid w:val="00632354"/>
    <w:rsid w:val="00633497"/>
    <w:rsid w:val="006337CE"/>
    <w:rsid w:val="00633DB1"/>
    <w:rsid w:val="00634ADD"/>
    <w:rsid w:val="006351E9"/>
    <w:rsid w:val="006359B9"/>
    <w:rsid w:val="00635D3C"/>
    <w:rsid w:val="0063647B"/>
    <w:rsid w:val="00636F6A"/>
    <w:rsid w:val="00637003"/>
    <w:rsid w:val="00637353"/>
    <w:rsid w:val="00637FE8"/>
    <w:rsid w:val="0064126F"/>
    <w:rsid w:val="00641277"/>
    <w:rsid w:val="00642114"/>
    <w:rsid w:val="00642323"/>
    <w:rsid w:val="0064254E"/>
    <w:rsid w:val="00642810"/>
    <w:rsid w:val="00644532"/>
    <w:rsid w:val="006468E5"/>
    <w:rsid w:val="00646E5B"/>
    <w:rsid w:val="006477E3"/>
    <w:rsid w:val="006479D1"/>
    <w:rsid w:val="0065101E"/>
    <w:rsid w:val="00651437"/>
    <w:rsid w:val="00651F86"/>
    <w:rsid w:val="00652333"/>
    <w:rsid w:val="00652804"/>
    <w:rsid w:val="006549B2"/>
    <w:rsid w:val="00655406"/>
    <w:rsid w:val="00655B91"/>
    <w:rsid w:val="006560D6"/>
    <w:rsid w:val="00656179"/>
    <w:rsid w:val="00656B40"/>
    <w:rsid w:val="00656D56"/>
    <w:rsid w:val="00657544"/>
    <w:rsid w:val="00657E44"/>
    <w:rsid w:val="00660A41"/>
    <w:rsid w:val="00661398"/>
    <w:rsid w:val="00661A4D"/>
    <w:rsid w:val="00661B5C"/>
    <w:rsid w:val="006627C1"/>
    <w:rsid w:val="006642C5"/>
    <w:rsid w:val="0066455A"/>
    <w:rsid w:val="00665537"/>
    <w:rsid w:val="00665840"/>
    <w:rsid w:val="00665DB9"/>
    <w:rsid w:val="00666818"/>
    <w:rsid w:val="00667390"/>
    <w:rsid w:val="00667864"/>
    <w:rsid w:val="00667E8A"/>
    <w:rsid w:val="006712CC"/>
    <w:rsid w:val="00671E34"/>
    <w:rsid w:val="006726C7"/>
    <w:rsid w:val="006726ED"/>
    <w:rsid w:val="00672B25"/>
    <w:rsid w:val="00675C5D"/>
    <w:rsid w:val="00676E97"/>
    <w:rsid w:val="00676F8C"/>
    <w:rsid w:val="00677155"/>
    <w:rsid w:val="00677229"/>
    <w:rsid w:val="0068009E"/>
    <w:rsid w:val="00680190"/>
    <w:rsid w:val="00682477"/>
    <w:rsid w:val="0068292F"/>
    <w:rsid w:val="00682BBA"/>
    <w:rsid w:val="00682C74"/>
    <w:rsid w:val="00683452"/>
    <w:rsid w:val="006834E2"/>
    <w:rsid w:val="006835C5"/>
    <w:rsid w:val="006847F9"/>
    <w:rsid w:val="00684C2E"/>
    <w:rsid w:val="0068526A"/>
    <w:rsid w:val="00685B30"/>
    <w:rsid w:val="006867D9"/>
    <w:rsid w:val="0068730E"/>
    <w:rsid w:val="00687363"/>
    <w:rsid w:val="0068747E"/>
    <w:rsid w:val="00690005"/>
    <w:rsid w:val="006903C1"/>
    <w:rsid w:val="006907F3"/>
    <w:rsid w:val="006912AC"/>
    <w:rsid w:val="00692219"/>
    <w:rsid w:val="0069247E"/>
    <w:rsid w:val="00692771"/>
    <w:rsid w:val="00692950"/>
    <w:rsid w:val="00692CC3"/>
    <w:rsid w:val="00693300"/>
    <w:rsid w:val="00694B90"/>
    <w:rsid w:val="0069609F"/>
    <w:rsid w:val="00696367"/>
    <w:rsid w:val="0069785F"/>
    <w:rsid w:val="00697966"/>
    <w:rsid w:val="006A0968"/>
    <w:rsid w:val="006A171F"/>
    <w:rsid w:val="006A17D2"/>
    <w:rsid w:val="006A20A8"/>
    <w:rsid w:val="006A2B88"/>
    <w:rsid w:val="006A4B39"/>
    <w:rsid w:val="006A6357"/>
    <w:rsid w:val="006A65C5"/>
    <w:rsid w:val="006A66D5"/>
    <w:rsid w:val="006A72FF"/>
    <w:rsid w:val="006A73E6"/>
    <w:rsid w:val="006B0828"/>
    <w:rsid w:val="006B0E1F"/>
    <w:rsid w:val="006B248E"/>
    <w:rsid w:val="006B2D5C"/>
    <w:rsid w:val="006B36F9"/>
    <w:rsid w:val="006B3703"/>
    <w:rsid w:val="006B3F71"/>
    <w:rsid w:val="006B4533"/>
    <w:rsid w:val="006B4991"/>
    <w:rsid w:val="006B49A8"/>
    <w:rsid w:val="006B4D40"/>
    <w:rsid w:val="006B4DBE"/>
    <w:rsid w:val="006B5809"/>
    <w:rsid w:val="006B5E16"/>
    <w:rsid w:val="006B6046"/>
    <w:rsid w:val="006B6786"/>
    <w:rsid w:val="006B69C4"/>
    <w:rsid w:val="006B6ABA"/>
    <w:rsid w:val="006B7A92"/>
    <w:rsid w:val="006C0710"/>
    <w:rsid w:val="006C0930"/>
    <w:rsid w:val="006C0B5E"/>
    <w:rsid w:val="006C0FD0"/>
    <w:rsid w:val="006C1A20"/>
    <w:rsid w:val="006C2558"/>
    <w:rsid w:val="006C294A"/>
    <w:rsid w:val="006C298F"/>
    <w:rsid w:val="006C2AEA"/>
    <w:rsid w:val="006C2F1F"/>
    <w:rsid w:val="006C3FC0"/>
    <w:rsid w:val="006C45A8"/>
    <w:rsid w:val="006C4EB1"/>
    <w:rsid w:val="006C5783"/>
    <w:rsid w:val="006C5DC8"/>
    <w:rsid w:val="006C6D30"/>
    <w:rsid w:val="006C7060"/>
    <w:rsid w:val="006C70C3"/>
    <w:rsid w:val="006D02E1"/>
    <w:rsid w:val="006D0360"/>
    <w:rsid w:val="006D0619"/>
    <w:rsid w:val="006D0A23"/>
    <w:rsid w:val="006D0F76"/>
    <w:rsid w:val="006D1327"/>
    <w:rsid w:val="006D15CE"/>
    <w:rsid w:val="006D172C"/>
    <w:rsid w:val="006D1D85"/>
    <w:rsid w:val="006D21B0"/>
    <w:rsid w:val="006D262E"/>
    <w:rsid w:val="006D33EB"/>
    <w:rsid w:val="006D346A"/>
    <w:rsid w:val="006D3C84"/>
    <w:rsid w:val="006D42F4"/>
    <w:rsid w:val="006D43E0"/>
    <w:rsid w:val="006D53A2"/>
    <w:rsid w:val="006D57CD"/>
    <w:rsid w:val="006D5AC7"/>
    <w:rsid w:val="006D5C3A"/>
    <w:rsid w:val="006D6DBA"/>
    <w:rsid w:val="006D7B0B"/>
    <w:rsid w:val="006E0101"/>
    <w:rsid w:val="006E0166"/>
    <w:rsid w:val="006E0752"/>
    <w:rsid w:val="006E090D"/>
    <w:rsid w:val="006E0C23"/>
    <w:rsid w:val="006E2C84"/>
    <w:rsid w:val="006E2CA2"/>
    <w:rsid w:val="006E3261"/>
    <w:rsid w:val="006E3714"/>
    <w:rsid w:val="006E3931"/>
    <w:rsid w:val="006E40BE"/>
    <w:rsid w:val="006E52B3"/>
    <w:rsid w:val="006E5F4A"/>
    <w:rsid w:val="006E62FB"/>
    <w:rsid w:val="006E78CC"/>
    <w:rsid w:val="006E7A4F"/>
    <w:rsid w:val="006E7B34"/>
    <w:rsid w:val="006F0369"/>
    <w:rsid w:val="006F0536"/>
    <w:rsid w:val="006F091F"/>
    <w:rsid w:val="006F1229"/>
    <w:rsid w:val="006F13BF"/>
    <w:rsid w:val="006F150F"/>
    <w:rsid w:val="006F18B6"/>
    <w:rsid w:val="006F22BA"/>
    <w:rsid w:val="006F2BDD"/>
    <w:rsid w:val="006F2CFE"/>
    <w:rsid w:val="006F35B2"/>
    <w:rsid w:val="006F384A"/>
    <w:rsid w:val="006F3E1F"/>
    <w:rsid w:val="006F539E"/>
    <w:rsid w:val="006F66BB"/>
    <w:rsid w:val="006F7B1D"/>
    <w:rsid w:val="006F7FC9"/>
    <w:rsid w:val="0070028A"/>
    <w:rsid w:val="007009BD"/>
    <w:rsid w:val="00700E81"/>
    <w:rsid w:val="00701A03"/>
    <w:rsid w:val="00701BAB"/>
    <w:rsid w:val="0070269E"/>
    <w:rsid w:val="00702D0C"/>
    <w:rsid w:val="00702D3C"/>
    <w:rsid w:val="007035EC"/>
    <w:rsid w:val="00703982"/>
    <w:rsid w:val="00703FDD"/>
    <w:rsid w:val="00704E70"/>
    <w:rsid w:val="00705684"/>
    <w:rsid w:val="00705790"/>
    <w:rsid w:val="0070611F"/>
    <w:rsid w:val="00706179"/>
    <w:rsid w:val="00706653"/>
    <w:rsid w:val="0070697F"/>
    <w:rsid w:val="00706F17"/>
    <w:rsid w:val="00707D54"/>
    <w:rsid w:val="00707E13"/>
    <w:rsid w:val="0071139D"/>
    <w:rsid w:val="00711A73"/>
    <w:rsid w:val="00713DBB"/>
    <w:rsid w:val="00713F60"/>
    <w:rsid w:val="00715326"/>
    <w:rsid w:val="00715C6A"/>
    <w:rsid w:val="0071702C"/>
    <w:rsid w:val="00720305"/>
    <w:rsid w:val="007207DE"/>
    <w:rsid w:val="00720CEC"/>
    <w:rsid w:val="00720FCD"/>
    <w:rsid w:val="00721918"/>
    <w:rsid w:val="0072199C"/>
    <w:rsid w:val="00721B45"/>
    <w:rsid w:val="00722C0E"/>
    <w:rsid w:val="00722C9F"/>
    <w:rsid w:val="00722D33"/>
    <w:rsid w:val="0072311E"/>
    <w:rsid w:val="00723A6C"/>
    <w:rsid w:val="0072431C"/>
    <w:rsid w:val="00724778"/>
    <w:rsid w:val="007251CA"/>
    <w:rsid w:val="007253B8"/>
    <w:rsid w:val="00725E5C"/>
    <w:rsid w:val="00726F1B"/>
    <w:rsid w:val="00730B95"/>
    <w:rsid w:val="00730C60"/>
    <w:rsid w:val="00730D29"/>
    <w:rsid w:val="007320AF"/>
    <w:rsid w:val="007343F2"/>
    <w:rsid w:val="007346D0"/>
    <w:rsid w:val="00735129"/>
    <w:rsid w:val="00735E5E"/>
    <w:rsid w:val="0073629D"/>
    <w:rsid w:val="0073631B"/>
    <w:rsid w:val="00736B8E"/>
    <w:rsid w:val="007373D2"/>
    <w:rsid w:val="0073741F"/>
    <w:rsid w:val="00737C9B"/>
    <w:rsid w:val="00737E36"/>
    <w:rsid w:val="00737FBD"/>
    <w:rsid w:val="00740736"/>
    <w:rsid w:val="00741150"/>
    <w:rsid w:val="007417A9"/>
    <w:rsid w:val="00742DA5"/>
    <w:rsid w:val="00742E05"/>
    <w:rsid w:val="00742F13"/>
    <w:rsid w:val="007439CB"/>
    <w:rsid w:val="00743A04"/>
    <w:rsid w:val="00743D75"/>
    <w:rsid w:val="00744047"/>
    <w:rsid w:val="007446E0"/>
    <w:rsid w:val="007448F7"/>
    <w:rsid w:val="007470FF"/>
    <w:rsid w:val="007473EE"/>
    <w:rsid w:val="00747E21"/>
    <w:rsid w:val="0075001E"/>
    <w:rsid w:val="0075105C"/>
    <w:rsid w:val="007512BC"/>
    <w:rsid w:val="00751629"/>
    <w:rsid w:val="00751A3D"/>
    <w:rsid w:val="0075213C"/>
    <w:rsid w:val="007526C9"/>
    <w:rsid w:val="00752FB1"/>
    <w:rsid w:val="00753585"/>
    <w:rsid w:val="00753AF9"/>
    <w:rsid w:val="00754BD0"/>
    <w:rsid w:val="007552B2"/>
    <w:rsid w:val="0075533D"/>
    <w:rsid w:val="00755750"/>
    <w:rsid w:val="00755F99"/>
    <w:rsid w:val="00757472"/>
    <w:rsid w:val="00757659"/>
    <w:rsid w:val="00760041"/>
    <w:rsid w:val="007603A0"/>
    <w:rsid w:val="007606DF"/>
    <w:rsid w:val="00761092"/>
    <w:rsid w:val="00761CE4"/>
    <w:rsid w:val="00761D53"/>
    <w:rsid w:val="00762178"/>
    <w:rsid w:val="00762271"/>
    <w:rsid w:val="00762859"/>
    <w:rsid w:val="00762A9A"/>
    <w:rsid w:val="00762C30"/>
    <w:rsid w:val="00763D09"/>
    <w:rsid w:val="0076455B"/>
    <w:rsid w:val="007656FD"/>
    <w:rsid w:val="0076643F"/>
    <w:rsid w:val="0076688E"/>
    <w:rsid w:val="007669C8"/>
    <w:rsid w:val="00766D7A"/>
    <w:rsid w:val="00767A4A"/>
    <w:rsid w:val="007707E3"/>
    <w:rsid w:val="007712C8"/>
    <w:rsid w:val="007714DD"/>
    <w:rsid w:val="00771F3B"/>
    <w:rsid w:val="00772111"/>
    <w:rsid w:val="007723F6"/>
    <w:rsid w:val="00772BE3"/>
    <w:rsid w:val="00772F56"/>
    <w:rsid w:val="007732C4"/>
    <w:rsid w:val="007735CD"/>
    <w:rsid w:val="007737BE"/>
    <w:rsid w:val="007744DC"/>
    <w:rsid w:val="007756FD"/>
    <w:rsid w:val="007757C5"/>
    <w:rsid w:val="0077626F"/>
    <w:rsid w:val="00776C15"/>
    <w:rsid w:val="00776DDD"/>
    <w:rsid w:val="00777BB2"/>
    <w:rsid w:val="00777F63"/>
    <w:rsid w:val="00780345"/>
    <w:rsid w:val="0078098E"/>
    <w:rsid w:val="007815B2"/>
    <w:rsid w:val="00781BCE"/>
    <w:rsid w:val="007829E2"/>
    <w:rsid w:val="0078300E"/>
    <w:rsid w:val="00783011"/>
    <w:rsid w:val="00783223"/>
    <w:rsid w:val="00783A4C"/>
    <w:rsid w:val="00783B77"/>
    <w:rsid w:val="00784137"/>
    <w:rsid w:val="007842CE"/>
    <w:rsid w:val="00784F06"/>
    <w:rsid w:val="00786068"/>
    <w:rsid w:val="007861A3"/>
    <w:rsid w:val="0078658A"/>
    <w:rsid w:val="00786DB6"/>
    <w:rsid w:val="00787717"/>
    <w:rsid w:val="0078796C"/>
    <w:rsid w:val="00787C74"/>
    <w:rsid w:val="00787D6A"/>
    <w:rsid w:val="00787D8F"/>
    <w:rsid w:val="007902E0"/>
    <w:rsid w:val="007910C6"/>
    <w:rsid w:val="00791BFA"/>
    <w:rsid w:val="00792049"/>
    <w:rsid w:val="00792B73"/>
    <w:rsid w:val="007932AA"/>
    <w:rsid w:val="00793383"/>
    <w:rsid w:val="0079440C"/>
    <w:rsid w:val="00794442"/>
    <w:rsid w:val="00794644"/>
    <w:rsid w:val="00794867"/>
    <w:rsid w:val="00795221"/>
    <w:rsid w:val="0079621C"/>
    <w:rsid w:val="007A0818"/>
    <w:rsid w:val="007A0CB6"/>
    <w:rsid w:val="007A0E61"/>
    <w:rsid w:val="007A16B5"/>
    <w:rsid w:val="007A1972"/>
    <w:rsid w:val="007A1DB1"/>
    <w:rsid w:val="007A1E87"/>
    <w:rsid w:val="007A209C"/>
    <w:rsid w:val="007A2427"/>
    <w:rsid w:val="007A28CD"/>
    <w:rsid w:val="007A2E92"/>
    <w:rsid w:val="007A32D0"/>
    <w:rsid w:val="007A4325"/>
    <w:rsid w:val="007A4833"/>
    <w:rsid w:val="007A52F9"/>
    <w:rsid w:val="007A5817"/>
    <w:rsid w:val="007A5D30"/>
    <w:rsid w:val="007A64C3"/>
    <w:rsid w:val="007A713D"/>
    <w:rsid w:val="007A7FA6"/>
    <w:rsid w:val="007B0BEB"/>
    <w:rsid w:val="007B1365"/>
    <w:rsid w:val="007B143B"/>
    <w:rsid w:val="007B1597"/>
    <w:rsid w:val="007B1B04"/>
    <w:rsid w:val="007B2458"/>
    <w:rsid w:val="007B26AB"/>
    <w:rsid w:val="007B34EA"/>
    <w:rsid w:val="007B38A8"/>
    <w:rsid w:val="007B44D8"/>
    <w:rsid w:val="007B4E94"/>
    <w:rsid w:val="007B5203"/>
    <w:rsid w:val="007B60E9"/>
    <w:rsid w:val="007B6A6A"/>
    <w:rsid w:val="007B6AC4"/>
    <w:rsid w:val="007B6CC3"/>
    <w:rsid w:val="007B7ECD"/>
    <w:rsid w:val="007C07D2"/>
    <w:rsid w:val="007C0A7B"/>
    <w:rsid w:val="007C1208"/>
    <w:rsid w:val="007C180B"/>
    <w:rsid w:val="007C3334"/>
    <w:rsid w:val="007C3BE6"/>
    <w:rsid w:val="007C3E33"/>
    <w:rsid w:val="007C4584"/>
    <w:rsid w:val="007C4DF2"/>
    <w:rsid w:val="007C5064"/>
    <w:rsid w:val="007C5F85"/>
    <w:rsid w:val="007C6184"/>
    <w:rsid w:val="007C62AB"/>
    <w:rsid w:val="007C756A"/>
    <w:rsid w:val="007C7BE0"/>
    <w:rsid w:val="007D0F2D"/>
    <w:rsid w:val="007D1B1C"/>
    <w:rsid w:val="007D1D14"/>
    <w:rsid w:val="007D1DF8"/>
    <w:rsid w:val="007D223D"/>
    <w:rsid w:val="007D2A45"/>
    <w:rsid w:val="007D2B98"/>
    <w:rsid w:val="007D2E5D"/>
    <w:rsid w:val="007D317E"/>
    <w:rsid w:val="007D33AA"/>
    <w:rsid w:val="007D3B71"/>
    <w:rsid w:val="007D40FE"/>
    <w:rsid w:val="007D4604"/>
    <w:rsid w:val="007D4B1C"/>
    <w:rsid w:val="007D6311"/>
    <w:rsid w:val="007D6413"/>
    <w:rsid w:val="007D7D52"/>
    <w:rsid w:val="007D7DAA"/>
    <w:rsid w:val="007E1131"/>
    <w:rsid w:val="007E176E"/>
    <w:rsid w:val="007E1CCD"/>
    <w:rsid w:val="007E214D"/>
    <w:rsid w:val="007E21BC"/>
    <w:rsid w:val="007E24F4"/>
    <w:rsid w:val="007E4962"/>
    <w:rsid w:val="007E5025"/>
    <w:rsid w:val="007E59AB"/>
    <w:rsid w:val="007E5F58"/>
    <w:rsid w:val="007E6B56"/>
    <w:rsid w:val="007E6C29"/>
    <w:rsid w:val="007E7E72"/>
    <w:rsid w:val="007F055C"/>
    <w:rsid w:val="007F10C0"/>
    <w:rsid w:val="007F132F"/>
    <w:rsid w:val="007F2A33"/>
    <w:rsid w:val="007F3901"/>
    <w:rsid w:val="007F4490"/>
    <w:rsid w:val="007F4668"/>
    <w:rsid w:val="007F46B8"/>
    <w:rsid w:val="007F48BE"/>
    <w:rsid w:val="007F5AEB"/>
    <w:rsid w:val="007F60BC"/>
    <w:rsid w:val="007F6B27"/>
    <w:rsid w:val="007F7E9A"/>
    <w:rsid w:val="008003F3"/>
    <w:rsid w:val="00800989"/>
    <w:rsid w:val="00800B4F"/>
    <w:rsid w:val="008023CF"/>
    <w:rsid w:val="008027A1"/>
    <w:rsid w:val="00802C44"/>
    <w:rsid w:val="0080379C"/>
    <w:rsid w:val="00803A2D"/>
    <w:rsid w:val="00803A6E"/>
    <w:rsid w:val="00803E00"/>
    <w:rsid w:val="00803F1C"/>
    <w:rsid w:val="008040DE"/>
    <w:rsid w:val="008055CE"/>
    <w:rsid w:val="0080600E"/>
    <w:rsid w:val="00806508"/>
    <w:rsid w:val="00806664"/>
    <w:rsid w:val="008074C9"/>
    <w:rsid w:val="00807850"/>
    <w:rsid w:val="00807EFD"/>
    <w:rsid w:val="00810996"/>
    <w:rsid w:val="008109D3"/>
    <w:rsid w:val="00810A42"/>
    <w:rsid w:val="00812BD4"/>
    <w:rsid w:val="00813A9D"/>
    <w:rsid w:val="00813FD1"/>
    <w:rsid w:val="00814316"/>
    <w:rsid w:val="008144C0"/>
    <w:rsid w:val="008145F1"/>
    <w:rsid w:val="00814AE2"/>
    <w:rsid w:val="00815021"/>
    <w:rsid w:val="0081520C"/>
    <w:rsid w:val="00815442"/>
    <w:rsid w:val="00815BF1"/>
    <w:rsid w:val="008160B8"/>
    <w:rsid w:val="00816AA0"/>
    <w:rsid w:val="00816EA4"/>
    <w:rsid w:val="00816FD9"/>
    <w:rsid w:val="00817612"/>
    <w:rsid w:val="00820C60"/>
    <w:rsid w:val="008217E6"/>
    <w:rsid w:val="00821BD5"/>
    <w:rsid w:val="00822027"/>
    <w:rsid w:val="00822246"/>
    <w:rsid w:val="00822A17"/>
    <w:rsid w:val="00822D33"/>
    <w:rsid w:val="0082386B"/>
    <w:rsid w:val="008243F0"/>
    <w:rsid w:val="0082453D"/>
    <w:rsid w:val="00825675"/>
    <w:rsid w:val="0082631D"/>
    <w:rsid w:val="008266A7"/>
    <w:rsid w:val="00830406"/>
    <w:rsid w:val="008306C8"/>
    <w:rsid w:val="00830891"/>
    <w:rsid w:val="00830957"/>
    <w:rsid w:val="00830A98"/>
    <w:rsid w:val="00830B0E"/>
    <w:rsid w:val="00830BC7"/>
    <w:rsid w:val="0083184C"/>
    <w:rsid w:val="00831AEF"/>
    <w:rsid w:val="00832004"/>
    <w:rsid w:val="0083223A"/>
    <w:rsid w:val="0083228A"/>
    <w:rsid w:val="00832745"/>
    <w:rsid w:val="00832CFB"/>
    <w:rsid w:val="008334EA"/>
    <w:rsid w:val="008338A4"/>
    <w:rsid w:val="0083435E"/>
    <w:rsid w:val="00835DB5"/>
    <w:rsid w:val="008363EB"/>
    <w:rsid w:val="00836A2D"/>
    <w:rsid w:val="00836E25"/>
    <w:rsid w:val="008371EA"/>
    <w:rsid w:val="008379CC"/>
    <w:rsid w:val="00837C45"/>
    <w:rsid w:val="00840379"/>
    <w:rsid w:val="0084055C"/>
    <w:rsid w:val="008411D0"/>
    <w:rsid w:val="00841A62"/>
    <w:rsid w:val="00841C14"/>
    <w:rsid w:val="008429C8"/>
    <w:rsid w:val="00843249"/>
    <w:rsid w:val="008432AA"/>
    <w:rsid w:val="00844730"/>
    <w:rsid w:val="008457C2"/>
    <w:rsid w:val="008463C1"/>
    <w:rsid w:val="00846504"/>
    <w:rsid w:val="00846B43"/>
    <w:rsid w:val="00846C7A"/>
    <w:rsid w:val="00846F8A"/>
    <w:rsid w:val="00847A21"/>
    <w:rsid w:val="008500F5"/>
    <w:rsid w:val="008507A5"/>
    <w:rsid w:val="00851612"/>
    <w:rsid w:val="00851873"/>
    <w:rsid w:val="00851BE3"/>
    <w:rsid w:val="008521CA"/>
    <w:rsid w:val="00852D70"/>
    <w:rsid w:val="0085363F"/>
    <w:rsid w:val="0085461A"/>
    <w:rsid w:val="008556F7"/>
    <w:rsid w:val="00855747"/>
    <w:rsid w:val="0085574C"/>
    <w:rsid w:val="0085590A"/>
    <w:rsid w:val="00857374"/>
    <w:rsid w:val="00857A82"/>
    <w:rsid w:val="00860312"/>
    <w:rsid w:val="00860370"/>
    <w:rsid w:val="00860AC6"/>
    <w:rsid w:val="00861916"/>
    <w:rsid w:val="008629C2"/>
    <w:rsid w:val="00862F23"/>
    <w:rsid w:val="00862F97"/>
    <w:rsid w:val="00863197"/>
    <w:rsid w:val="0086376F"/>
    <w:rsid w:val="00863846"/>
    <w:rsid w:val="00863CCB"/>
    <w:rsid w:val="00863E2D"/>
    <w:rsid w:val="00864F25"/>
    <w:rsid w:val="008650CE"/>
    <w:rsid w:val="008673F4"/>
    <w:rsid w:val="0086792B"/>
    <w:rsid w:val="0087058C"/>
    <w:rsid w:val="008710FE"/>
    <w:rsid w:val="0087135B"/>
    <w:rsid w:val="008718F4"/>
    <w:rsid w:val="008724C3"/>
    <w:rsid w:val="00873038"/>
    <w:rsid w:val="00873684"/>
    <w:rsid w:val="00873836"/>
    <w:rsid w:val="00873E16"/>
    <w:rsid w:val="00874366"/>
    <w:rsid w:val="008746B0"/>
    <w:rsid w:val="00874E04"/>
    <w:rsid w:val="0087500A"/>
    <w:rsid w:val="00875061"/>
    <w:rsid w:val="008751E8"/>
    <w:rsid w:val="0087588C"/>
    <w:rsid w:val="00875DDD"/>
    <w:rsid w:val="0087685C"/>
    <w:rsid w:val="00876A53"/>
    <w:rsid w:val="00877C5E"/>
    <w:rsid w:val="00877D8A"/>
    <w:rsid w:val="0088071D"/>
    <w:rsid w:val="0088095C"/>
    <w:rsid w:val="00881269"/>
    <w:rsid w:val="008816B2"/>
    <w:rsid w:val="00881AB6"/>
    <w:rsid w:val="0088291E"/>
    <w:rsid w:val="00882F8D"/>
    <w:rsid w:val="0088339A"/>
    <w:rsid w:val="0088450E"/>
    <w:rsid w:val="00884A1A"/>
    <w:rsid w:val="00884C2E"/>
    <w:rsid w:val="00884EC9"/>
    <w:rsid w:val="00885070"/>
    <w:rsid w:val="00885186"/>
    <w:rsid w:val="00885737"/>
    <w:rsid w:val="008863BA"/>
    <w:rsid w:val="00886869"/>
    <w:rsid w:val="008874BA"/>
    <w:rsid w:val="008877EF"/>
    <w:rsid w:val="00887821"/>
    <w:rsid w:val="00887B56"/>
    <w:rsid w:val="00887EFE"/>
    <w:rsid w:val="00890650"/>
    <w:rsid w:val="00890B1C"/>
    <w:rsid w:val="0089172B"/>
    <w:rsid w:val="0089174C"/>
    <w:rsid w:val="0089189B"/>
    <w:rsid w:val="0089190D"/>
    <w:rsid w:val="00891AC6"/>
    <w:rsid w:val="00892DC9"/>
    <w:rsid w:val="0089371A"/>
    <w:rsid w:val="00894152"/>
    <w:rsid w:val="00894CA9"/>
    <w:rsid w:val="008964BF"/>
    <w:rsid w:val="00896FBF"/>
    <w:rsid w:val="00897125"/>
    <w:rsid w:val="00897343"/>
    <w:rsid w:val="008977AE"/>
    <w:rsid w:val="00897E12"/>
    <w:rsid w:val="00897F0C"/>
    <w:rsid w:val="008A0E92"/>
    <w:rsid w:val="008A19D1"/>
    <w:rsid w:val="008A1B34"/>
    <w:rsid w:val="008A20D4"/>
    <w:rsid w:val="008A368A"/>
    <w:rsid w:val="008A3B63"/>
    <w:rsid w:val="008A5497"/>
    <w:rsid w:val="008A6515"/>
    <w:rsid w:val="008A6583"/>
    <w:rsid w:val="008A6D35"/>
    <w:rsid w:val="008A706F"/>
    <w:rsid w:val="008A725A"/>
    <w:rsid w:val="008A7A1F"/>
    <w:rsid w:val="008A7E0F"/>
    <w:rsid w:val="008B12F5"/>
    <w:rsid w:val="008B1667"/>
    <w:rsid w:val="008B2965"/>
    <w:rsid w:val="008B417C"/>
    <w:rsid w:val="008B44C6"/>
    <w:rsid w:val="008B4F9A"/>
    <w:rsid w:val="008B612B"/>
    <w:rsid w:val="008C0345"/>
    <w:rsid w:val="008C0A61"/>
    <w:rsid w:val="008C145D"/>
    <w:rsid w:val="008C2415"/>
    <w:rsid w:val="008C24F8"/>
    <w:rsid w:val="008C3098"/>
    <w:rsid w:val="008C3221"/>
    <w:rsid w:val="008C3D65"/>
    <w:rsid w:val="008C3ED1"/>
    <w:rsid w:val="008C4481"/>
    <w:rsid w:val="008C45B9"/>
    <w:rsid w:val="008C4686"/>
    <w:rsid w:val="008C4726"/>
    <w:rsid w:val="008C4A97"/>
    <w:rsid w:val="008C4CA5"/>
    <w:rsid w:val="008C7091"/>
    <w:rsid w:val="008C7120"/>
    <w:rsid w:val="008C7715"/>
    <w:rsid w:val="008D02AA"/>
    <w:rsid w:val="008D1CBF"/>
    <w:rsid w:val="008D2147"/>
    <w:rsid w:val="008D2AE1"/>
    <w:rsid w:val="008D4074"/>
    <w:rsid w:val="008D40AB"/>
    <w:rsid w:val="008D4212"/>
    <w:rsid w:val="008D4A67"/>
    <w:rsid w:val="008D5293"/>
    <w:rsid w:val="008D54E6"/>
    <w:rsid w:val="008D5602"/>
    <w:rsid w:val="008D6B40"/>
    <w:rsid w:val="008D734F"/>
    <w:rsid w:val="008D7652"/>
    <w:rsid w:val="008D768D"/>
    <w:rsid w:val="008D77BF"/>
    <w:rsid w:val="008D7A32"/>
    <w:rsid w:val="008E0045"/>
    <w:rsid w:val="008E03C0"/>
    <w:rsid w:val="008E10A9"/>
    <w:rsid w:val="008E135D"/>
    <w:rsid w:val="008E1B27"/>
    <w:rsid w:val="008E1CE5"/>
    <w:rsid w:val="008E3049"/>
    <w:rsid w:val="008E3759"/>
    <w:rsid w:val="008E4071"/>
    <w:rsid w:val="008E4855"/>
    <w:rsid w:val="008E4939"/>
    <w:rsid w:val="008E4EE6"/>
    <w:rsid w:val="008E56AF"/>
    <w:rsid w:val="008E5F7B"/>
    <w:rsid w:val="008E6779"/>
    <w:rsid w:val="008E6DE4"/>
    <w:rsid w:val="008E70E1"/>
    <w:rsid w:val="008E7A77"/>
    <w:rsid w:val="008F00A4"/>
    <w:rsid w:val="008F0434"/>
    <w:rsid w:val="008F06D3"/>
    <w:rsid w:val="008F0D82"/>
    <w:rsid w:val="008F12F0"/>
    <w:rsid w:val="008F1912"/>
    <w:rsid w:val="008F1B28"/>
    <w:rsid w:val="008F1DB4"/>
    <w:rsid w:val="008F278D"/>
    <w:rsid w:val="008F3AB3"/>
    <w:rsid w:val="008F4787"/>
    <w:rsid w:val="008F4942"/>
    <w:rsid w:val="008F4CAE"/>
    <w:rsid w:val="008F4CC0"/>
    <w:rsid w:val="008F4EEC"/>
    <w:rsid w:val="008F5D99"/>
    <w:rsid w:val="008F5EE0"/>
    <w:rsid w:val="008F604B"/>
    <w:rsid w:val="008F65B4"/>
    <w:rsid w:val="008F6937"/>
    <w:rsid w:val="008F6959"/>
    <w:rsid w:val="008F6C6B"/>
    <w:rsid w:val="008F7593"/>
    <w:rsid w:val="008F764E"/>
    <w:rsid w:val="009014A4"/>
    <w:rsid w:val="0090233C"/>
    <w:rsid w:val="009026B6"/>
    <w:rsid w:val="0090270B"/>
    <w:rsid w:val="00902D2B"/>
    <w:rsid w:val="00903B8B"/>
    <w:rsid w:val="00904010"/>
    <w:rsid w:val="009041DC"/>
    <w:rsid w:val="009048AE"/>
    <w:rsid w:val="00905424"/>
    <w:rsid w:val="00905480"/>
    <w:rsid w:val="009058E5"/>
    <w:rsid w:val="0090611A"/>
    <w:rsid w:val="0090624C"/>
    <w:rsid w:val="00907C09"/>
    <w:rsid w:val="0091076C"/>
    <w:rsid w:val="0091113E"/>
    <w:rsid w:val="00911194"/>
    <w:rsid w:val="00912100"/>
    <w:rsid w:val="009124C7"/>
    <w:rsid w:val="0091270C"/>
    <w:rsid w:val="00912762"/>
    <w:rsid w:val="00912765"/>
    <w:rsid w:val="00912BA4"/>
    <w:rsid w:val="009139FB"/>
    <w:rsid w:val="009145D5"/>
    <w:rsid w:val="00914825"/>
    <w:rsid w:val="0091523E"/>
    <w:rsid w:val="009153DA"/>
    <w:rsid w:val="009158E6"/>
    <w:rsid w:val="00915963"/>
    <w:rsid w:val="00915F57"/>
    <w:rsid w:val="00915FB8"/>
    <w:rsid w:val="00916728"/>
    <w:rsid w:val="00916BAC"/>
    <w:rsid w:val="00916C9C"/>
    <w:rsid w:val="009172F3"/>
    <w:rsid w:val="00917323"/>
    <w:rsid w:val="00917B5A"/>
    <w:rsid w:val="00917DC8"/>
    <w:rsid w:val="0092034A"/>
    <w:rsid w:val="00920455"/>
    <w:rsid w:val="00920A0C"/>
    <w:rsid w:val="00920A58"/>
    <w:rsid w:val="00920A8C"/>
    <w:rsid w:val="00920B0D"/>
    <w:rsid w:val="00920C3B"/>
    <w:rsid w:val="00920F08"/>
    <w:rsid w:val="0092111F"/>
    <w:rsid w:val="0092140D"/>
    <w:rsid w:val="00921675"/>
    <w:rsid w:val="00923196"/>
    <w:rsid w:val="00924325"/>
    <w:rsid w:val="009262E2"/>
    <w:rsid w:val="00927004"/>
    <w:rsid w:val="00930E45"/>
    <w:rsid w:val="0093150F"/>
    <w:rsid w:val="0093184F"/>
    <w:rsid w:val="00931F4F"/>
    <w:rsid w:val="0093255C"/>
    <w:rsid w:val="00932A9C"/>
    <w:rsid w:val="00932AFD"/>
    <w:rsid w:val="00932D6D"/>
    <w:rsid w:val="009330DB"/>
    <w:rsid w:val="00933D8D"/>
    <w:rsid w:val="00934282"/>
    <w:rsid w:val="00934362"/>
    <w:rsid w:val="009344AC"/>
    <w:rsid w:val="00934A2C"/>
    <w:rsid w:val="00936E0D"/>
    <w:rsid w:val="00937219"/>
    <w:rsid w:val="009375A6"/>
    <w:rsid w:val="0093761E"/>
    <w:rsid w:val="0094071D"/>
    <w:rsid w:val="00941374"/>
    <w:rsid w:val="00941FD5"/>
    <w:rsid w:val="00942634"/>
    <w:rsid w:val="00942E69"/>
    <w:rsid w:val="0094453C"/>
    <w:rsid w:val="00944B98"/>
    <w:rsid w:val="00944C23"/>
    <w:rsid w:val="00944CE3"/>
    <w:rsid w:val="00945038"/>
    <w:rsid w:val="00945389"/>
    <w:rsid w:val="00945E37"/>
    <w:rsid w:val="0094677C"/>
    <w:rsid w:val="009468AE"/>
    <w:rsid w:val="009468EE"/>
    <w:rsid w:val="00947D3F"/>
    <w:rsid w:val="0095060A"/>
    <w:rsid w:val="00950897"/>
    <w:rsid w:val="009512BA"/>
    <w:rsid w:val="0095170B"/>
    <w:rsid w:val="009518FA"/>
    <w:rsid w:val="00951A75"/>
    <w:rsid w:val="00951CBC"/>
    <w:rsid w:val="00952001"/>
    <w:rsid w:val="009521B3"/>
    <w:rsid w:val="0095287C"/>
    <w:rsid w:val="00952CFF"/>
    <w:rsid w:val="00952F84"/>
    <w:rsid w:val="00953189"/>
    <w:rsid w:val="009531DD"/>
    <w:rsid w:val="00953D9A"/>
    <w:rsid w:val="00954A5B"/>
    <w:rsid w:val="00954DB8"/>
    <w:rsid w:val="00955784"/>
    <w:rsid w:val="00956D5C"/>
    <w:rsid w:val="0095796B"/>
    <w:rsid w:val="00957A6A"/>
    <w:rsid w:val="00957B3C"/>
    <w:rsid w:val="00957FAF"/>
    <w:rsid w:val="00960225"/>
    <w:rsid w:val="0096143E"/>
    <w:rsid w:val="00961CF7"/>
    <w:rsid w:val="00962626"/>
    <w:rsid w:val="00962730"/>
    <w:rsid w:val="0096548B"/>
    <w:rsid w:val="009654CD"/>
    <w:rsid w:val="00965A41"/>
    <w:rsid w:val="00965B5A"/>
    <w:rsid w:val="00966C51"/>
    <w:rsid w:val="00966F79"/>
    <w:rsid w:val="0096706E"/>
    <w:rsid w:val="0096716D"/>
    <w:rsid w:val="0097045C"/>
    <w:rsid w:val="009706E7"/>
    <w:rsid w:val="00970761"/>
    <w:rsid w:val="00970CC7"/>
    <w:rsid w:val="00970D93"/>
    <w:rsid w:val="009711D3"/>
    <w:rsid w:val="009716FD"/>
    <w:rsid w:val="00971F44"/>
    <w:rsid w:val="00972029"/>
    <w:rsid w:val="00972919"/>
    <w:rsid w:val="00973067"/>
    <w:rsid w:val="00973C00"/>
    <w:rsid w:val="00973FC7"/>
    <w:rsid w:val="00974FCE"/>
    <w:rsid w:val="00975929"/>
    <w:rsid w:val="00975C4E"/>
    <w:rsid w:val="00976752"/>
    <w:rsid w:val="0097767F"/>
    <w:rsid w:val="009802B7"/>
    <w:rsid w:val="00980762"/>
    <w:rsid w:val="00980AE9"/>
    <w:rsid w:val="00981B52"/>
    <w:rsid w:val="00981E62"/>
    <w:rsid w:val="00981FBA"/>
    <w:rsid w:val="0098217D"/>
    <w:rsid w:val="00982D86"/>
    <w:rsid w:val="00985E61"/>
    <w:rsid w:val="00985F82"/>
    <w:rsid w:val="009864F6"/>
    <w:rsid w:val="009866C0"/>
    <w:rsid w:val="009867A4"/>
    <w:rsid w:val="0099072A"/>
    <w:rsid w:val="00990C6B"/>
    <w:rsid w:val="00990F40"/>
    <w:rsid w:val="00993284"/>
    <w:rsid w:val="009941CE"/>
    <w:rsid w:val="00995937"/>
    <w:rsid w:val="00997947"/>
    <w:rsid w:val="00997A96"/>
    <w:rsid w:val="00997BC5"/>
    <w:rsid w:val="00997D62"/>
    <w:rsid w:val="00997F00"/>
    <w:rsid w:val="00997F78"/>
    <w:rsid w:val="009A0BE3"/>
    <w:rsid w:val="009A173F"/>
    <w:rsid w:val="009A1D13"/>
    <w:rsid w:val="009A2210"/>
    <w:rsid w:val="009A248D"/>
    <w:rsid w:val="009A2DA8"/>
    <w:rsid w:val="009A3C8E"/>
    <w:rsid w:val="009A3E8A"/>
    <w:rsid w:val="009A434B"/>
    <w:rsid w:val="009A44CC"/>
    <w:rsid w:val="009A45D2"/>
    <w:rsid w:val="009A4D54"/>
    <w:rsid w:val="009A4F41"/>
    <w:rsid w:val="009A555D"/>
    <w:rsid w:val="009A5EF6"/>
    <w:rsid w:val="009A6031"/>
    <w:rsid w:val="009A64BA"/>
    <w:rsid w:val="009A6882"/>
    <w:rsid w:val="009A6998"/>
    <w:rsid w:val="009A6AAA"/>
    <w:rsid w:val="009A785B"/>
    <w:rsid w:val="009B0148"/>
    <w:rsid w:val="009B041D"/>
    <w:rsid w:val="009B0855"/>
    <w:rsid w:val="009B0D6E"/>
    <w:rsid w:val="009B1207"/>
    <w:rsid w:val="009B1E54"/>
    <w:rsid w:val="009B2078"/>
    <w:rsid w:val="009B20A7"/>
    <w:rsid w:val="009B2A6C"/>
    <w:rsid w:val="009B2A78"/>
    <w:rsid w:val="009B3381"/>
    <w:rsid w:val="009B346C"/>
    <w:rsid w:val="009B381B"/>
    <w:rsid w:val="009B3B76"/>
    <w:rsid w:val="009B407A"/>
    <w:rsid w:val="009B512B"/>
    <w:rsid w:val="009B5CB3"/>
    <w:rsid w:val="009B6069"/>
    <w:rsid w:val="009B6510"/>
    <w:rsid w:val="009B696A"/>
    <w:rsid w:val="009B6ACA"/>
    <w:rsid w:val="009B6B66"/>
    <w:rsid w:val="009B78E0"/>
    <w:rsid w:val="009C0366"/>
    <w:rsid w:val="009C04E0"/>
    <w:rsid w:val="009C0C1D"/>
    <w:rsid w:val="009C35A0"/>
    <w:rsid w:val="009C3F32"/>
    <w:rsid w:val="009C4022"/>
    <w:rsid w:val="009C4AF8"/>
    <w:rsid w:val="009C4EAA"/>
    <w:rsid w:val="009C5230"/>
    <w:rsid w:val="009C53E4"/>
    <w:rsid w:val="009C6848"/>
    <w:rsid w:val="009C6F52"/>
    <w:rsid w:val="009C7297"/>
    <w:rsid w:val="009C734A"/>
    <w:rsid w:val="009C75AF"/>
    <w:rsid w:val="009D01BD"/>
    <w:rsid w:val="009D0BEB"/>
    <w:rsid w:val="009D1753"/>
    <w:rsid w:val="009D2052"/>
    <w:rsid w:val="009D233C"/>
    <w:rsid w:val="009D2B26"/>
    <w:rsid w:val="009D2E55"/>
    <w:rsid w:val="009D3E9B"/>
    <w:rsid w:val="009D3F9F"/>
    <w:rsid w:val="009D51AB"/>
    <w:rsid w:val="009D531A"/>
    <w:rsid w:val="009D5ABA"/>
    <w:rsid w:val="009D5D6F"/>
    <w:rsid w:val="009D6855"/>
    <w:rsid w:val="009D7019"/>
    <w:rsid w:val="009D71DA"/>
    <w:rsid w:val="009D7351"/>
    <w:rsid w:val="009D7611"/>
    <w:rsid w:val="009D7616"/>
    <w:rsid w:val="009E0337"/>
    <w:rsid w:val="009E0B61"/>
    <w:rsid w:val="009E0EB4"/>
    <w:rsid w:val="009E1286"/>
    <w:rsid w:val="009E1C95"/>
    <w:rsid w:val="009E25D0"/>
    <w:rsid w:val="009E302A"/>
    <w:rsid w:val="009E31F5"/>
    <w:rsid w:val="009E34B1"/>
    <w:rsid w:val="009E3DC5"/>
    <w:rsid w:val="009E43CB"/>
    <w:rsid w:val="009E4C00"/>
    <w:rsid w:val="009E505A"/>
    <w:rsid w:val="009E53DE"/>
    <w:rsid w:val="009E5D8F"/>
    <w:rsid w:val="009E6508"/>
    <w:rsid w:val="009E707C"/>
    <w:rsid w:val="009E721F"/>
    <w:rsid w:val="009E751B"/>
    <w:rsid w:val="009E791A"/>
    <w:rsid w:val="009E7B03"/>
    <w:rsid w:val="009E7D2E"/>
    <w:rsid w:val="009F08A5"/>
    <w:rsid w:val="009F15B8"/>
    <w:rsid w:val="009F1C67"/>
    <w:rsid w:val="009F1C8F"/>
    <w:rsid w:val="009F228F"/>
    <w:rsid w:val="009F4A05"/>
    <w:rsid w:val="009F4CC6"/>
    <w:rsid w:val="009F53D4"/>
    <w:rsid w:val="009F5EA5"/>
    <w:rsid w:val="009F61ED"/>
    <w:rsid w:val="009F633F"/>
    <w:rsid w:val="00A00525"/>
    <w:rsid w:val="00A00CEC"/>
    <w:rsid w:val="00A010F9"/>
    <w:rsid w:val="00A02D3A"/>
    <w:rsid w:val="00A0396E"/>
    <w:rsid w:val="00A03999"/>
    <w:rsid w:val="00A0428D"/>
    <w:rsid w:val="00A04C00"/>
    <w:rsid w:val="00A04FBC"/>
    <w:rsid w:val="00A062EA"/>
    <w:rsid w:val="00A069C6"/>
    <w:rsid w:val="00A06E97"/>
    <w:rsid w:val="00A076FD"/>
    <w:rsid w:val="00A07806"/>
    <w:rsid w:val="00A07BBB"/>
    <w:rsid w:val="00A10252"/>
    <w:rsid w:val="00A10C19"/>
    <w:rsid w:val="00A128D2"/>
    <w:rsid w:val="00A13211"/>
    <w:rsid w:val="00A13326"/>
    <w:rsid w:val="00A1422A"/>
    <w:rsid w:val="00A1512B"/>
    <w:rsid w:val="00A154EF"/>
    <w:rsid w:val="00A177DD"/>
    <w:rsid w:val="00A2051E"/>
    <w:rsid w:val="00A209AB"/>
    <w:rsid w:val="00A21028"/>
    <w:rsid w:val="00A21183"/>
    <w:rsid w:val="00A2238F"/>
    <w:rsid w:val="00A223EA"/>
    <w:rsid w:val="00A22DAC"/>
    <w:rsid w:val="00A22FA8"/>
    <w:rsid w:val="00A23907"/>
    <w:rsid w:val="00A23A43"/>
    <w:rsid w:val="00A243A0"/>
    <w:rsid w:val="00A243A3"/>
    <w:rsid w:val="00A24D55"/>
    <w:rsid w:val="00A2598E"/>
    <w:rsid w:val="00A25B91"/>
    <w:rsid w:val="00A26B59"/>
    <w:rsid w:val="00A26FB7"/>
    <w:rsid w:val="00A2709A"/>
    <w:rsid w:val="00A27335"/>
    <w:rsid w:val="00A3024F"/>
    <w:rsid w:val="00A304D7"/>
    <w:rsid w:val="00A30AEE"/>
    <w:rsid w:val="00A30C84"/>
    <w:rsid w:val="00A310C3"/>
    <w:rsid w:val="00A31697"/>
    <w:rsid w:val="00A318EB"/>
    <w:rsid w:val="00A31B9C"/>
    <w:rsid w:val="00A326C7"/>
    <w:rsid w:val="00A328B3"/>
    <w:rsid w:val="00A33062"/>
    <w:rsid w:val="00A33B1E"/>
    <w:rsid w:val="00A34425"/>
    <w:rsid w:val="00A34F5E"/>
    <w:rsid w:val="00A3516D"/>
    <w:rsid w:val="00A35371"/>
    <w:rsid w:val="00A35E91"/>
    <w:rsid w:val="00A37CC5"/>
    <w:rsid w:val="00A40989"/>
    <w:rsid w:val="00A409F2"/>
    <w:rsid w:val="00A40EFE"/>
    <w:rsid w:val="00A40FEF"/>
    <w:rsid w:val="00A41B11"/>
    <w:rsid w:val="00A428D6"/>
    <w:rsid w:val="00A4291E"/>
    <w:rsid w:val="00A42BEF"/>
    <w:rsid w:val="00A42F4E"/>
    <w:rsid w:val="00A4360D"/>
    <w:rsid w:val="00A43907"/>
    <w:rsid w:val="00A451C2"/>
    <w:rsid w:val="00A45A4D"/>
    <w:rsid w:val="00A45BF8"/>
    <w:rsid w:val="00A46028"/>
    <w:rsid w:val="00A46205"/>
    <w:rsid w:val="00A465DB"/>
    <w:rsid w:val="00A47206"/>
    <w:rsid w:val="00A47715"/>
    <w:rsid w:val="00A47722"/>
    <w:rsid w:val="00A5056D"/>
    <w:rsid w:val="00A5076D"/>
    <w:rsid w:val="00A50FCF"/>
    <w:rsid w:val="00A523B8"/>
    <w:rsid w:val="00A527B5"/>
    <w:rsid w:val="00A528D1"/>
    <w:rsid w:val="00A52DAC"/>
    <w:rsid w:val="00A536F8"/>
    <w:rsid w:val="00A5426A"/>
    <w:rsid w:val="00A5479B"/>
    <w:rsid w:val="00A54E89"/>
    <w:rsid w:val="00A570D7"/>
    <w:rsid w:val="00A5746E"/>
    <w:rsid w:val="00A57E36"/>
    <w:rsid w:val="00A60BC2"/>
    <w:rsid w:val="00A610CD"/>
    <w:rsid w:val="00A611D7"/>
    <w:rsid w:val="00A618CB"/>
    <w:rsid w:val="00A61BEB"/>
    <w:rsid w:val="00A62861"/>
    <w:rsid w:val="00A62DFB"/>
    <w:rsid w:val="00A62FFD"/>
    <w:rsid w:val="00A6356E"/>
    <w:rsid w:val="00A63631"/>
    <w:rsid w:val="00A63CF5"/>
    <w:rsid w:val="00A63DD8"/>
    <w:rsid w:val="00A63E1A"/>
    <w:rsid w:val="00A6443F"/>
    <w:rsid w:val="00A64EE6"/>
    <w:rsid w:val="00A65190"/>
    <w:rsid w:val="00A65304"/>
    <w:rsid w:val="00A65573"/>
    <w:rsid w:val="00A656BB"/>
    <w:rsid w:val="00A6597F"/>
    <w:rsid w:val="00A65C3E"/>
    <w:rsid w:val="00A65DA9"/>
    <w:rsid w:val="00A66E3A"/>
    <w:rsid w:val="00A66F14"/>
    <w:rsid w:val="00A67661"/>
    <w:rsid w:val="00A678A9"/>
    <w:rsid w:val="00A67BA6"/>
    <w:rsid w:val="00A70F9D"/>
    <w:rsid w:val="00A71671"/>
    <w:rsid w:val="00A7167F"/>
    <w:rsid w:val="00A71A75"/>
    <w:rsid w:val="00A71B1C"/>
    <w:rsid w:val="00A71FC4"/>
    <w:rsid w:val="00A72FA2"/>
    <w:rsid w:val="00A736C5"/>
    <w:rsid w:val="00A73F4C"/>
    <w:rsid w:val="00A74050"/>
    <w:rsid w:val="00A75127"/>
    <w:rsid w:val="00A756CC"/>
    <w:rsid w:val="00A75E63"/>
    <w:rsid w:val="00A75F40"/>
    <w:rsid w:val="00A763A2"/>
    <w:rsid w:val="00A766B4"/>
    <w:rsid w:val="00A7687D"/>
    <w:rsid w:val="00A77937"/>
    <w:rsid w:val="00A779B0"/>
    <w:rsid w:val="00A779C6"/>
    <w:rsid w:val="00A8031E"/>
    <w:rsid w:val="00A80F45"/>
    <w:rsid w:val="00A812E9"/>
    <w:rsid w:val="00A814FA"/>
    <w:rsid w:val="00A81716"/>
    <w:rsid w:val="00A81FAC"/>
    <w:rsid w:val="00A83DD1"/>
    <w:rsid w:val="00A84FCB"/>
    <w:rsid w:val="00A850F0"/>
    <w:rsid w:val="00A85E03"/>
    <w:rsid w:val="00A865F6"/>
    <w:rsid w:val="00A8703C"/>
    <w:rsid w:val="00A87ED5"/>
    <w:rsid w:val="00A91C7D"/>
    <w:rsid w:val="00A9202D"/>
    <w:rsid w:val="00A9241D"/>
    <w:rsid w:val="00A92B0D"/>
    <w:rsid w:val="00A93C15"/>
    <w:rsid w:val="00A93F06"/>
    <w:rsid w:val="00A94855"/>
    <w:rsid w:val="00A94E92"/>
    <w:rsid w:val="00A956E5"/>
    <w:rsid w:val="00A95987"/>
    <w:rsid w:val="00A95D00"/>
    <w:rsid w:val="00A95E7A"/>
    <w:rsid w:val="00A95ED8"/>
    <w:rsid w:val="00A95F3F"/>
    <w:rsid w:val="00A96A09"/>
    <w:rsid w:val="00A96CDC"/>
    <w:rsid w:val="00A96DBD"/>
    <w:rsid w:val="00A971C5"/>
    <w:rsid w:val="00A975A2"/>
    <w:rsid w:val="00A97D1F"/>
    <w:rsid w:val="00A97ED4"/>
    <w:rsid w:val="00AA05C8"/>
    <w:rsid w:val="00AA09A2"/>
    <w:rsid w:val="00AA2BE1"/>
    <w:rsid w:val="00AA2FA3"/>
    <w:rsid w:val="00AA3B1A"/>
    <w:rsid w:val="00AA436D"/>
    <w:rsid w:val="00AA5A7B"/>
    <w:rsid w:val="00AA679A"/>
    <w:rsid w:val="00AA682F"/>
    <w:rsid w:val="00AA751A"/>
    <w:rsid w:val="00AA7996"/>
    <w:rsid w:val="00AB022B"/>
    <w:rsid w:val="00AB04F0"/>
    <w:rsid w:val="00AB0DFA"/>
    <w:rsid w:val="00AB11E3"/>
    <w:rsid w:val="00AB158E"/>
    <w:rsid w:val="00AB1A20"/>
    <w:rsid w:val="00AB1ED1"/>
    <w:rsid w:val="00AB268F"/>
    <w:rsid w:val="00AB32FB"/>
    <w:rsid w:val="00AB3551"/>
    <w:rsid w:val="00AB3622"/>
    <w:rsid w:val="00AB38D3"/>
    <w:rsid w:val="00AB3BC4"/>
    <w:rsid w:val="00AB5876"/>
    <w:rsid w:val="00AB6EAC"/>
    <w:rsid w:val="00AB6EC8"/>
    <w:rsid w:val="00AB769D"/>
    <w:rsid w:val="00AC011B"/>
    <w:rsid w:val="00AC099C"/>
    <w:rsid w:val="00AC09DD"/>
    <w:rsid w:val="00AC14A6"/>
    <w:rsid w:val="00AC19CB"/>
    <w:rsid w:val="00AC1DE0"/>
    <w:rsid w:val="00AC212C"/>
    <w:rsid w:val="00AC246B"/>
    <w:rsid w:val="00AC2932"/>
    <w:rsid w:val="00AC2C6F"/>
    <w:rsid w:val="00AC34E1"/>
    <w:rsid w:val="00AC3DE8"/>
    <w:rsid w:val="00AC51C4"/>
    <w:rsid w:val="00AC55D4"/>
    <w:rsid w:val="00AC5668"/>
    <w:rsid w:val="00AC56E3"/>
    <w:rsid w:val="00AC5ADD"/>
    <w:rsid w:val="00AC5E43"/>
    <w:rsid w:val="00AC6C79"/>
    <w:rsid w:val="00AC6D0C"/>
    <w:rsid w:val="00AD013A"/>
    <w:rsid w:val="00AD0C34"/>
    <w:rsid w:val="00AD20CB"/>
    <w:rsid w:val="00AD2A4F"/>
    <w:rsid w:val="00AD2FE7"/>
    <w:rsid w:val="00AD40EF"/>
    <w:rsid w:val="00AD499B"/>
    <w:rsid w:val="00AD57D2"/>
    <w:rsid w:val="00AD5F77"/>
    <w:rsid w:val="00AD6A86"/>
    <w:rsid w:val="00AE01FE"/>
    <w:rsid w:val="00AE0240"/>
    <w:rsid w:val="00AE0A84"/>
    <w:rsid w:val="00AE0CF2"/>
    <w:rsid w:val="00AE2692"/>
    <w:rsid w:val="00AE3002"/>
    <w:rsid w:val="00AE3760"/>
    <w:rsid w:val="00AE437B"/>
    <w:rsid w:val="00AE43EA"/>
    <w:rsid w:val="00AE5189"/>
    <w:rsid w:val="00AE5488"/>
    <w:rsid w:val="00AE556D"/>
    <w:rsid w:val="00AE63A3"/>
    <w:rsid w:val="00AE6A05"/>
    <w:rsid w:val="00AE6D7E"/>
    <w:rsid w:val="00AE6DE0"/>
    <w:rsid w:val="00AE6F91"/>
    <w:rsid w:val="00AE7D81"/>
    <w:rsid w:val="00AF05AF"/>
    <w:rsid w:val="00AF0821"/>
    <w:rsid w:val="00AF0B69"/>
    <w:rsid w:val="00AF0BD1"/>
    <w:rsid w:val="00AF0CC0"/>
    <w:rsid w:val="00AF2554"/>
    <w:rsid w:val="00AF25A6"/>
    <w:rsid w:val="00AF3041"/>
    <w:rsid w:val="00AF307E"/>
    <w:rsid w:val="00AF35CD"/>
    <w:rsid w:val="00AF47E5"/>
    <w:rsid w:val="00AF4E1A"/>
    <w:rsid w:val="00AF511D"/>
    <w:rsid w:val="00AF5178"/>
    <w:rsid w:val="00AF5416"/>
    <w:rsid w:val="00AF5571"/>
    <w:rsid w:val="00AF5B3A"/>
    <w:rsid w:val="00AF61C3"/>
    <w:rsid w:val="00AF65CD"/>
    <w:rsid w:val="00AF6747"/>
    <w:rsid w:val="00AF69F7"/>
    <w:rsid w:val="00AF7408"/>
    <w:rsid w:val="00AF7705"/>
    <w:rsid w:val="00AF7988"/>
    <w:rsid w:val="00AF7E92"/>
    <w:rsid w:val="00B01973"/>
    <w:rsid w:val="00B03395"/>
    <w:rsid w:val="00B03A37"/>
    <w:rsid w:val="00B03DBD"/>
    <w:rsid w:val="00B03F49"/>
    <w:rsid w:val="00B0428F"/>
    <w:rsid w:val="00B04807"/>
    <w:rsid w:val="00B0491E"/>
    <w:rsid w:val="00B04E8D"/>
    <w:rsid w:val="00B05089"/>
    <w:rsid w:val="00B0543B"/>
    <w:rsid w:val="00B05744"/>
    <w:rsid w:val="00B059B8"/>
    <w:rsid w:val="00B070A1"/>
    <w:rsid w:val="00B07184"/>
    <w:rsid w:val="00B07341"/>
    <w:rsid w:val="00B07353"/>
    <w:rsid w:val="00B07AA0"/>
    <w:rsid w:val="00B10D3C"/>
    <w:rsid w:val="00B11EDC"/>
    <w:rsid w:val="00B124C4"/>
    <w:rsid w:val="00B12A79"/>
    <w:rsid w:val="00B12E8D"/>
    <w:rsid w:val="00B1363B"/>
    <w:rsid w:val="00B13CD4"/>
    <w:rsid w:val="00B1521D"/>
    <w:rsid w:val="00B1530D"/>
    <w:rsid w:val="00B153EA"/>
    <w:rsid w:val="00B15964"/>
    <w:rsid w:val="00B15AD3"/>
    <w:rsid w:val="00B16D29"/>
    <w:rsid w:val="00B170AC"/>
    <w:rsid w:val="00B17797"/>
    <w:rsid w:val="00B2011D"/>
    <w:rsid w:val="00B2052F"/>
    <w:rsid w:val="00B21324"/>
    <w:rsid w:val="00B2150B"/>
    <w:rsid w:val="00B216A7"/>
    <w:rsid w:val="00B22C11"/>
    <w:rsid w:val="00B230E6"/>
    <w:rsid w:val="00B23424"/>
    <w:rsid w:val="00B235A3"/>
    <w:rsid w:val="00B23919"/>
    <w:rsid w:val="00B239E1"/>
    <w:rsid w:val="00B23D39"/>
    <w:rsid w:val="00B25759"/>
    <w:rsid w:val="00B25EDF"/>
    <w:rsid w:val="00B26735"/>
    <w:rsid w:val="00B26DD2"/>
    <w:rsid w:val="00B277D6"/>
    <w:rsid w:val="00B30539"/>
    <w:rsid w:val="00B307C7"/>
    <w:rsid w:val="00B314DB"/>
    <w:rsid w:val="00B323DE"/>
    <w:rsid w:val="00B32B2D"/>
    <w:rsid w:val="00B33402"/>
    <w:rsid w:val="00B33B28"/>
    <w:rsid w:val="00B340F3"/>
    <w:rsid w:val="00B345BC"/>
    <w:rsid w:val="00B34657"/>
    <w:rsid w:val="00B346EA"/>
    <w:rsid w:val="00B3488B"/>
    <w:rsid w:val="00B34CE7"/>
    <w:rsid w:val="00B35117"/>
    <w:rsid w:val="00B35BB8"/>
    <w:rsid w:val="00B35C3F"/>
    <w:rsid w:val="00B361F2"/>
    <w:rsid w:val="00B363F3"/>
    <w:rsid w:val="00B3647D"/>
    <w:rsid w:val="00B3718B"/>
    <w:rsid w:val="00B3757A"/>
    <w:rsid w:val="00B3770A"/>
    <w:rsid w:val="00B379EA"/>
    <w:rsid w:val="00B37C50"/>
    <w:rsid w:val="00B37D14"/>
    <w:rsid w:val="00B405AB"/>
    <w:rsid w:val="00B41BB0"/>
    <w:rsid w:val="00B4204A"/>
    <w:rsid w:val="00B42DBF"/>
    <w:rsid w:val="00B434BF"/>
    <w:rsid w:val="00B43864"/>
    <w:rsid w:val="00B45805"/>
    <w:rsid w:val="00B45DD5"/>
    <w:rsid w:val="00B45E2E"/>
    <w:rsid w:val="00B4632A"/>
    <w:rsid w:val="00B46AD6"/>
    <w:rsid w:val="00B470F7"/>
    <w:rsid w:val="00B47FF6"/>
    <w:rsid w:val="00B513B1"/>
    <w:rsid w:val="00B52CFF"/>
    <w:rsid w:val="00B52E17"/>
    <w:rsid w:val="00B52F9B"/>
    <w:rsid w:val="00B5300C"/>
    <w:rsid w:val="00B530F1"/>
    <w:rsid w:val="00B531D5"/>
    <w:rsid w:val="00B5323A"/>
    <w:rsid w:val="00B54400"/>
    <w:rsid w:val="00B54A0C"/>
    <w:rsid w:val="00B54D68"/>
    <w:rsid w:val="00B557F1"/>
    <w:rsid w:val="00B55836"/>
    <w:rsid w:val="00B55DC6"/>
    <w:rsid w:val="00B56114"/>
    <w:rsid w:val="00B57C21"/>
    <w:rsid w:val="00B60D19"/>
    <w:rsid w:val="00B62996"/>
    <w:rsid w:val="00B632D6"/>
    <w:rsid w:val="00B6392B"/>
    <w:rsid w:val="00B63A4F"/>
    <w:rsid w:val="00B63B1E"/>
    <w:rsid w:val="00B63DC6"/>
    <w:rsid w:val="00B64168"/>
    <w:rsid w:val="00B65364"/>
    <w:rsid w:val="00B65C94"/>
    <w:rsid w:val="00B65DAD"/>
    <w:rsid w:val="00B665C6"/>
    <w:rsid w:val="00B66930"/>
    <w:rsid w:val="00B66DD5"/>
    <w:rsid w:val="00B67A21"/>
    <w:rsid w:val="00B67AB8"/>
    <w:rsid w:val="00B70976"/>
    <w:rsid w:val="00B709C6"/>
    <w:rsid w:val="00B70BC6"/>
    <w:rsid w:val="00B70C6D"/>
    <w:rsid w:val="00B70F49"/>
    <w:rsid w:val="00B71C2E"/>
    <w:rsid w:val="00B71F37"/>
    <w:rsid w:val="00B71FF1"/>
    <w:rsid w:val="00B72EFC"/>
    <w:rsid w:val="00B7322D"/>
    <w:rsid w:val="00B735B9"/>
    <w:rsid w:val="00B73F14"/>
    <w:rsid w:val="00B74106"/>
    <w:rsid w:val="00B74CB5"/>
    <w:rsid w:val="00B74F28"/>
    <w:rsid w:val="00B753B4"/>
    <w:rsid w:val="00B758DE"/>
    <w:rsid w:val="00B76779"/>
    <w:rsid w:val="00B771EA"/>
    <w:rsid w:val="00B7735F"/>
    <w:rsid w:val="00B77EEB"/>
    <w:rsid w:val="00B80CC2"/>
    <w:rsid w:val="00B80DA9"/>
    <w:rsid w:val="00B818EC"/>
    <w:rsid w:val="00B82B53"/>
    <w:rsid w:val="00B83F64"/>
    <w:rsid w:val="00B84713"/>
    <w:rsid w:val="00B852BE"/>
    <w:rsid w:val="00B8553B"/>
    <w:rsid w:val="00B857C0"/>
    <w:rsid w:val="00B86484"/>
    <w:rsid w:val="00B86587"/>
    <w:rsid w:val="00B86EC4"/>
    <w:rsid w:val="00B900BA"/>
    <w:rsid w:val="00B9070F"/>
    <w:rsid w:val="00B912C0"/>
    <w:rsid w:val="00B91AC5"/>
    <w:rsid w:val="00B91CD6"/>
    <w:rsid w:val="00B92693"/>
    <w:rsid w:val="00B92893"/>
    <w:rsid w:val="00B92C76"/>
    <w:rsid w:val="00B92D55"/>
    <w:rsid w:val="00B9392D"/>
    <w:rsid w:val="00B93D71"/>
    <w:rsid w:val="00B940E5"/>
    <w:rsid w:val="00B947A8"/>
    <w:rsid w:val="00B94B91"/>
    <w:rsid w:val="00B95648"/>
    <w:rsid w:val="00B956D7"/>
    <w:rsid w:val="00B95E4A"/>
    <w:rsid w:val="00B95E9C"/>
    <w:rsid w:val="00B9663D"/>
    <w:rsid w:val="00B9727B"/>
    <w:rsid w:val="00B9776F"/>
    <w:rsid w:val="00B97B0C"/>
    <w:rsid w:val="00B97B7B"/>
    <w:rsid w:val="00BA006D"/>
    <w:rsid w:val="00BA02BD"/>
    <w:rsid w:val="00BA03DC"/>
    <w:rsid w:val="00BA05D1"/>
    <w:rsid w:val="00BA07BB"/>
    <w:rsid w:val="00BA081D"/>
    <w:rsid w:val="00BA0F29"/>
    <w:rsid w:val="00BA1833"/>
    <w:rsid w:val="00BA1D19"/>
    <w:rsid w:val="00BA1E49"/>
    <w:rsid w:val="00BA1F09"/>
    <w:rsid w:val="00BA276C"/>
    <w:rsid w:val="00BA3BB7"/>
    <w:rsid w:val="00BA461E"/>
    <w:rsid w:val="00BA5355"/>
    <w:rsid w:val="00BA66AE"/>
    <w:rsid w:val="00BA6E56"/>
    <w:rsid w:val="00BA7955"/>
    <w:rsid w:val="00BB0E2C"/>
    <w:rsid w:val="00BB1331"/>
    <w:rsid w:val="00BB2A5F"/>
    <w:rsid w:val="00BB306F"/>
    <w:rsid w:val="00BB33E3"/>
    <w:rsid w:val="00BB3A22"/>
    <w:rsid w:val="00BB3F15"/>
    <w:rsid w:val="00BB488F"/>
    <w:rsid w:val="00BB49CF"/>
    <w:rsid w:val="00BB4D48"/>
    <w:rsid w:val="00BB5679"/>
    <w:rsid w:val="00BB60C2"/>
    <w:rsid w:val="00BB624F"/>
    <w:rsid w:val="00BB6F44"/>
    <w:rsid w:val="00BB70E9"/>
    <w:rsid w:val="00BB7308"/>
    <w:rsid w:val="00BB7B15"/>
    <w:rsid w:val="00BB7FE9"/>
    <w:rsid w:val="00BC0E90"/>
    <w:rsid w:val="00BC1180"/>
    <w:rsid w:val="00BC2254"/>
    <w:rsid w:val="00BC2BBE"/>
    <w:rsid w:val="00BC36C2"/>
    <w:rsid w:val="00BC5335"/>
    <w:rsid w:val="00BC6476"/>
    <w:rsid w:val="00BC680B"/>
    <w:rsid w:val="00BC699B"/>
    <w:rsid w:val="00BD0F33"/>
    <w:rsid w:val="00BD19F1"/>
    <w:rsid w:val="00BD1F6A"/>
    <w:rsid w:val="00BD22E3"/>
    <w:rsid w:val="00BD22EA"/>
    <w:rsid w:val="00BD23C8"/>
    <w:rsid w:val="00BD2923"/>
    <w:rsid w:val="00BD32C1"/>
    <w:rsid w:val="00BD356F"/>
    <w:rsid w:val="00BD378A"/>
    <w:rsid w:val="00BD42A1"/>
    <w:rsid w:val="00BD42BB"/>
    <w:rsid w:val="00BD45BF"/>
    <w:rsid w:val="00BD4B89"/>
    <w:rsid w:val="00BD521A"/>
    <w:rsid w:val="00BD5908"/>
    <w:rsid w:val="00BD5954"/>
    <w:rsid w:val="00BD5E60"/>
    <w:rsid w:val="00BD5EE7"/>
    <w:rsid w:val="00BD6768"/>
    <w:rsid w:val="00BD6A23"/>
    <w:rsid w:val="00BD6AC5"/>
    <w:rsid w:val="00BD6E18"/>
    <w:rsid w:val="00BD72BD"/>
    <w:rsid w:val="00BD782D"/>
    <w:rsid w:val="00BE16D9"/>
    <w:rsid w:val="00BE1974"/>
    <w:rsid w:val="00BE219E"/>
    <w:rsid w:val="00BE2489"/>
    <w:rsid w:val="00BE2521"/>
    <w:rsid w:val="00BE2E8C"/>
    <w:rsid w:val="00BE37AC"/>
    <w:rsid w:val="00BE39A1"/>
    <w:rsid w:val="00BE3A4C"/>
    <w:rsid w:val="00BE3CB9"/>
    <w:rsid w:val="00BE3F6A"/>
    <w:rsid w:val="00BE49B0"/>
    <w:rsid w:val="00BE4F59"/>
    <w:rsid w:val="00BE52D9"/>
    <w:rsid w:val="00BE576A"/>
    <w:rsid w:val="00BE58B1"/>
    <w:rsid w:val="00BE5BEC"/>
    <w:rsid w:val="00BE5CD8"/>
    <w:rsid w:val="00BE6BFC"/>
    <w:rsid w:val="00BE7542"/>
    <w:rsid w:val="00BE7BF5"/>
    <w:rsid w:val="00BF02CB"/>
    <w:rsid w:val="00BF047F"/>
    <w:rsid w:val="00BF068A"/>
    <w:rsid w:val="00BF0DC8"/>
    <w:rsid w:val="00BF11D3"/>
    <w:rsid w:val="00BF17B4"/>
    <w:rsid w:val="00BF1C0D"/>
    <w:rsid w:val="00BF2140"/>
    <w:rsid w:val="00BF22F4"/>
    <w:rsid w:val="00BF2BEF"/>
    <w:rsid w:val="00BF2F62"/>
    <w:rsid w:val="00BF33EA"/>
    <w:rsid w:val="00BF41C7"/>
    <w:rsid w:val="00BF4768"/>
    <w:rsid w:val="00BF4F08"/>
    <w:rsid w:val="00BF656F"/>
    <w:rsid w:val="00BF6667"/>
    <w:rsid w:val="00BF6DA7"/>
    <w:rsid w:val="00BF6DAD"/>
    <w:rsid w:val="00BF6FD8"/>
    <w:rsid w:val="00BF7294"/>
    <w:rsid w:val="00BF72CE"/>
    <w:rsid w:val="00BF7DF0"/>
    <w:rsid w:val="00BF7F23"/>
    <w:rsid w:val="00C00AC9"/>
    <w:rsid w:val="00C00B19"/>
    <w:rsid w:val="00C01064"/>
    <w:rsid w:val="00C01154"/>
    <w:rsid w:val="00C0206C"/>
    <w:rsid w:val="00C02834"/>
    <w:rsid w:val="00C0359C"/>
    <w:rsid w:val="00C03680"/>
    <w:rsid w:val="00C036F3"/>
    <w:rsid w:val="00C038AE"/>
    <w:rsid w:val="00C03CA5"/>
    <w:rsid w:val="00C03FC4"/>
    <w:rsid w:val="00C04AF5"/>
    <w:rsid w:val="00C054DF"/>
    <w:rsid w:val="00C059B0"/>
    <w:rsid w:val="00C05E44"/>
    <w:rsid w:val="00C061E3"/>
    <w:rsid w:val="00C0640C"/>
    <w:rsid w:val="00C0673D"/>
    <w:rsid w:val="00C06944"/>
    <w:rsid w:val="00C06C50"/>
    <w:rsid w:val="00C07760"/>
    <w:rsid w:val="00C10092"/>
    <w:rsid w:val="00C10337"/>
    <w:rsid w:val="00C1066A"/>
    <w:rsid w:val="00C1083D"/>
    <w:rsid w:val="00C10AAF"/>
    <w:rsid w:val="00C10D78"/>
    <w:rsid w:val="00C1130D"/>
    <w:rsid w:val="00C1197D"/>
    <w:rsid w:val="00C11CDE"/>
    <w:rsid w:val="00C1222A"/>
    <w:rsid w:val="00C1256B"/>
    <w:rsid w:val="00C12E1A"/>
    <w:rsid w:val="00C13041"/>
    <w:rsid w:val="00C131DD"/>
    <w:rsid w:val="00C13A4B"/>
    <w:rsid w:val="00C13A54"/>
    <w:rsid w:val="00C1544C"/>
    <w:rsid w:val="00C15CDA"/>
    <w:rsid w:val="00C16828"/>
    <w:rsid w:val="00C16B94"/>
    <w:rsid w:val="00C16BE4"/>
    <w:rsid w:val="00C16DF1"/>
    <w:rsid w:val="00C17B45"/>
    <w:rsid w:val="00C20B18"/>
    <w:rsid w:val="00C211E7"/>
    <w:rsid w:val="00C21762"/>
    <w:rsid w:val="00C21F97"/>
    <w:rsid w:val="00C22AF7"/>
    <w:rsid w:val="00C23508"/>
    <w:rsid w:val="00C23AEE"/>
    <w:rsid w:val="00C24543"/>
    <w:rsid w:val="00C24B98"/>
    <w:rsid w:val="00C24CD1"/>
    <w:rsid w:val="00C2518F"/>
    <w:rsid w:val="00C25550"/>
    <w:rsid w:val="00C256A2"/>
    <w:rsid w:val="00C257D0"/>
    <w:rsid w:val="00C2587E"/>
    <w:rsid w:val="00C2603D"/>
    <w:rsid w:val="00C263B3"/>
    <w:rsid w:val="00C2647E"/>
    <w:rsid w:val="00C26744"/>
    <w:rsid w:val="00C26CD3"/>
    <w:rsid w:val="00C26EB0"/>
    <w:rsid w:val="00C313FD"/>
    <w:rsid w:val="00C32B21"/>
    <w:rsid w:val="00C335CD"/>
    <w:rsid w:val="00C3371B"/>
    <w:rsid w:val="00C337AE"/>
    <w:rsid w:val="00C33AEE"/>
    <w:rsid w:val="00C33FAD"/>
    <w:rsid w:val="00C34045"/>
    <w:rsid w:val="00C34448"/>
    <w:rsid w:val="00C34C20"/>
    <w:rsid w:val="00C3532A"/>
    <w:rsid w:val="00C36E81"/>
    <w:rsid w:val="00C371EE"/>
    <w:rsid w:val="00C3788F"/>
    <w:rsid w:val="00C379F9"/>
    <w:rsid w:val="00C37EE0"/>
    <w:rsid w:val="00C37F3F"/>
    <w:rsid w:val="00C406ED"/>
    <w:rsid w:val="00C40789"/>
    <w:rsid w:val="00C40CE9"/>
    <w:rsid w:val="00C41CCD"/>
    <w:rsid w:val="00C43595"/>
    <w:rsid w:val="00C436C8"/>
    <w:rsid w:val="00C43826"/>
    <w:rsid w:val="00C440FC"/>
    <w:rsid w:val="00C44C37"/>
    <w:rsid w:val="00C44D8F"/>
    <w:rsid w:val="00C454A4"/>
    <w:rsid w:val="00C45A43"/>
    <w:rsid w:val="00C46DBE"/>
    <w:rsid w:val="00C46DF9"/>
    <w:rsid w:val="00C46EE5"/>
    <w:rsid w:val="00C47E0C"/>
    <w:rsid w:val="00C50C67"/>
    <w:rsid w:val="00C50F54"/>
    <w:rsid w:val="00C5119A"/>
    <w:rsid w:val="00C5123F"/>
    <w:rsid w:val="00C51515"/>
    <w:rsid w:val="00C515F5"/>
    <w:rsid w:val="00C51756"/>
    <w:rsid w:val="00C518F1"/>
    <w:rsid w:val="00C52016"/>
    <w:rsid w:val="00C5262F"/>
    <w:rsid w:val="00C5307F"/>
    <w:rsid w:val="00C539F0"/>
    <w:rsid w:val="00C54422"/>
    <w:rsid w:val="00C54730"/>
    <w:rsid w:val="00C54DC8"/>
    <w:rsid w:val="00C55401"/>
    <w:rsid w:val="00C55A42"/>
    <w:rsid w:val="00C55D1B"/>
    <w:rsid w:val="00C55D38"/>
    <w:rsid w:val="00C55E46"/>
    <w:rsid w:val="00C55EDA"/>
    <w:rsid w:val="00C5660B"/>
    <w:rsid w:val="00C60376"/>
    <w:rsid w:val="00C60A67"/>
    <w:rsid w:val="00C62A75"/>
    <w:rsid w:val="00C63291"/>
    <w:rsid w:val="00C63708"/>
    <w:rsid w:val="00C640DA"/>
    <w:rsid w:val="00C64144"/>
    <w:rsid w:val="00C65779"/>
    <w:rsid w:val="00C65831"/>
    <w:rsid w:val="00C65899"/>
    <w:rsid w:val="00C65CE8"/>
    <w:rsid w:val="00C65D05"/>
    <w:rsid w:val="00C65EB4"/>
    <w:rsid w:val="00C65FE9"/>
    <w:rsid w:val="00C6641C"/>
    <w:rsid w:val="00C66B72"/>
    <w:rsid w:val="00C66BFB"/>
    <w:rsid w:val="00C66C7D"/>
    <w:rsid w:val="00C67106"/>
    <w:rsid w:val="00C67F45"/>
    <w:rsid w:val="00C702E0"/>
    <w:rsid w:val="00C70315"/>
    <w:rsid w:val="00C707E4"/>
    <w:rsid w:val="00C70F04"/>
    <w:rsid w:val="00C7112F"/>
    <w:rsid w:val="00C71264"/>
    <w:rsid w:val="00C715E4"/>
    <w:rsid w:val="00C716C3"/>
    <w:rsid w:val="00C717B9"/>
    <w:rsid w:val="00C7221E"/>
    <w:rsid w:val="00C72387"/>
    <w:rsid w:val="00C72C5D"/>
    <w:rsid w:val="00C72DCE"/>
    <w:rsid w:val="00C731EB"/>
    <w:rsid w:val="00C7324A"/>
    <w:rsid w:val="00C737E8"/>
    <w:rsid w:val="00C75439"/>
    <w:rsid w:val="00C755AF"/>
    <w:rsid w:val="00C75EA2"/>
    <w:rsid w:val="00C7696E"/>
    <w:rsid w:val="00C76FDE"/>
    <w:rsid w:val="00C77010"/>
    <w:rsid w:val="00C80B5D"/>
    <w:rsid w:val="00C810D8"/>
    <w:rsid w:val="00C81668"/>
    <w:rsid w:val="00C825F2"/>
    <w:rsid w:val="00C827E0"/>
    <w:rsid w:val="00C82E44"/>
    <w:rsid w:val="00C83605"/>
    <w:rsid w:val="00C844C6"/>
    <w:rsid w:val="00C87539"/>
    <w:rsid w:val="00C87C09"/>
    <w:rsid w:val="00C9008D"/>
    <w:rsid w:val="00C9075C"/>
    <w:rsid w:val="00C9127A"/>
    <w:rsid w:val="00C91558"/>
    <w:rsid w:val="00C91C3C"/>
    <w:rsid w:val="00C91E68"/>
    <w:rsid w:val="00C91FE0"/>
    <w:rsid w:val="00C921CC"/>
    <w:rsid w:val="00C9273C"/>
    <w:rsid w:val="00C93E78"/>
    <w:rsid w:val="00C9567A"/>
    <w:rsid w:val="00C957F7"/>
    <w:rsid w:val="00C96907"/>
    <w:rsid w:val="00C96B91"/>
    <w:rsid w:val="00C96C93"/>
    <w:rsid w:val="00C97129"/>
    <w:rsid w:val="00C974AF"/>
    <w:rsid w:val="00C97C9A"/>
    <w:rsid w:val="00C97CF3"/>
    <w:rsid w:val="00CA0E3A"/>
    <w:rsid w:val="00CA0E44"/>
    <w:rsid w:val="00CA10BA"/>
    <w:rsid w:val="00CA1EAD"/>
    <w:rsid w:val="00CA1EBC"/>
    <w:rsid w:val="00CA3B43"/>
    <w:rsid w:val="00CA41BA"/>
    <w:rsid w:val="00CA4304"/>
    <w:rsid w:val="00CA4743"/>
    <w:rsid w:val="00CA4C53"/>
    <w:rsid w:val="00CA4FB0"/>
    <w:rsid w:val="00CA5BCA"/>
    <w:rsid w:val="00CA6017"/>
    <w:rsid w:val="00CA6560"/>
    <w:rsid w:val="00CA706E"/>
    <w:rsid w:val="00CA7688"/>
    <w:rsid w:val="00CA79C3"/>
    <w:rsid w:val="00CB0F43"/>
    <w:rsid w:val="00CB1FAF"/>
    <w:rsid w:val="00CB212D"/>
    <w:rsid w:val="00CB2583"/>
    <w:rsid w:val="00CB2660"/>
    <w:rsid w:val="00CB2E66"/>
    <w:rsid w:val="00CB3114"/>
    <w:rsid w:val="00CB3FD8"/>
    <w:rsid w:val="00CB49D3"/>
    <w:rsid w:val="00CB570E"/>
    <w:rsid w:val="00CB5E87"/>
    <w:rsid w:val="00CB5EAD"/>
    <w:rsid w:val="00CB671B"/>
    <w:rsid w:val="00CB6883"/>
    <w:rsid w:val="00CB6B0F"/>
    <w:rsid w:val="00CB6B14"/>
    <w:rsid w:val="00CB7B4D"/>
    <w:rsid w:val="00CB7D87"/>
    <w:rsid w:val="00CB7FE1"/>
    <w:rsid w:val="00CC0361"/>
    <w:rsid w:val="00CC065C"/>
    <w:rsid w:val="00CC07A3"/>
    <w:rsid w:val="00CC0A0F"/>
    <w:rsid w:val="00CC0AD1"/>
    <w:rsid w:val="00CC1E67"/>
    <w:rsid w:val="00CC3A85"/>
    <w:rsid w:val="00CC3BE5"/>
    <w:rsid w:val="00CC40CE"/>
    <w:rsid w:val="00CC4782"/>
    <w:rsid w:val="00CC47F0"/>
    <w:rsid w:val="00CC4F91"/>
    <w:rsid w:val="00CC5E90"/>
    <w:rsid w:val="00CC63CF"/>
    <w:rsid w:val="00CC6401"/>
    <w:rsid w:val="00CD01DE"/>
    <w:rsid w:val="00CD046C"/>
    <w:rsid w:val="00CD0DF7"/>
    <w:rsid w:val="00CD0FB4"/>
    <w:rsid w:val="00CD13A9"/>
    <w:rsid w:val="00CD1A69"/>
    <w:rsid w:val="00CD2402"/>
    <w:rsid w:val="00CD28F1"/>
    <w:rsid w:val="00CD3D72"/>
    <w:rsid w:val="00CD4012"/>
    <w:rsid w:val="00CD450C"/>
    <w:rsid w:val="00CD4546"/>
    <w:rsid w:val="00CD4901"/>
    <w:rsid w:val="00CD618F"/>
    <w:rsid w:val="00CD7303"/>
    <w:rsid w:val="00CD7500"/>
    <w:rsid w:val="00CE076C"/>
    <w:rsid w:val="00CE089E"/>
    <w:rsid w:val="00CE08D5"/>
    <w:rsid w:val="00CE1AB9"/>
    <w:rsid w:val="00CE1D5B"/>
    <w:rsid w:val="00CE4565"/>
    <w:rsid w:val="00CE4631"/>
    <w:rsid w:val="00CE5199"/>
    <w:rsid w:val="00CE66D5"/>
    <w:rsid w:val="00CF047C"/>
    <w:rsid w:val="00CF06AF"/>
    <w:rsid w:val="00CF0D1F"/>
    <w:rsid w:val="00CF2072"/>
    <w:rsid w:val="00CF2456"/>
    <w:rsid w:val="00CF33D8"/>
    <w:rsid w:val="00CF36FE"/>
    <w:rsid w:val="00CF4917"/>
    <w:rsid w:val="00CF4AA9"/>
    <w:rsid w:val="00CF4C1B"/>
    <w:rsid w:val="00CF5130"/>
    <w:rsid w:val="00CF529E"/>
    <w:rsid w:val="00CF6003"/>
    <w:rsid w:val="00CF637A"/>
    <w:rsid w:val="00CF74F0"/>
    <w:rsid w:val="00CF7F58"/>
    <w:rsid w:val="00D00666"/>
    <w:rsid w:val="00D00D10"/>
    <w:rsid w:val="00D01191"/>
    <w:rsid w:val="00D01292"/>
    <w:rsid w:val="00D01567"/>
    <w:rsid w:val="00D01AF5"/>
    <w:rsid w:val="00D02048"/>
    <w:rsid w:val="00D03F90"/>
    <w:rsid w:val="00D055B4"/>
    <w:rsid w:val="00D059DE"/>
    <w:rsid w:val="00D05AD3"/>
    <w:rsid w:val="00D06BCC"/>
    <w:rsid w:val="00D070D3"/>
    <w:rsid w:val="00D075AF"/>
    <w:rsid w:val="00D0793A"/>
    <w:rsid w:val="00D11DD9"/>
    <w:rsid w:val="00D12193"/>
    <w:rsid w:val="00D12D8A"/>
    <w:rsid w:val="00D12F1F"/>
    <w:rsid w:val="00D13124"/>
    <w:rsid w:val="00D135A9"/>
    <w:rsid w:val="00D13CF5"/>
    <w:rsid w:val="00D13FCE"/>
    <w:rsid w:val="00D15232"/>
    <w:rsid w:val="00D152EF"/>
    <w:rsid w:val="00D15558"/>
    <w:rsid w:val="00D15677"/>
    <w:rsid w:val="00D15837"/>
    <w:rsid w:val="00D159A4"/>
    <w:rsid w:val="00D16204"/>
    <w:rsid w:val="00D17C68"/>
    <w:rsid w:val="00D17D0E"/>
    <w:rsid w:val="00D20450"/>
    <w:rsid w:val="00D2099D"/>
    <w:rsid w:val="00D20F8E"/>
    <w:rsid w:val="00D21676"/>
    <w:rsid w:val="00D21809"/>
    <w:rsid w:val="00D22AE1"/>
    <w:rsid w:val="00D22B44"/>
    <w:rsid w:val="00D22C6C"/>
    <w:rsid w:val="00D22DA3"/>
    <w:rsid w:val="00D22FA8"/>
    <w:rsid w:val="00D23170"/>
    <w:rsid w:val="00D234C0"/>
    <w:rsid w:val="00D239CA"/>
    <w:rsid w:val="00D239E7"/>
    <w:rsid w:val="00D23D6A"/>
    <w:rsid w:val="00D241EA"/>
    <w:rsid w:val="00D25CA3"/>
    <w:rsid w:val="00D2620E"/>
    <w:rsid w:val="00D26823"/>
    <w:rsid w:val="00D27573"/>
    <w:rsid w:val="00D27C13"/>
    <w:rsid w:val="00D306D1"/>
    <w:rsid w:val="00D3101D"/>
    <w:rsid w:val="00D31245"/>
    <w:rsid w:val="00D31F26"/>
    <w:rsid w:val="00D31F98"/>
    <w:rsid w:val="00D32057"/>
    <w:rsid w:val="00D3216F"/>
    <w:rsid w:val="00D329B4"/>
    <w:rsid w:val="00D32A8C"/>
    <w:rsid w:val="00D32CCC"/>
    <w:rsid w:val="00D339C3"/>
    <w:rsid w:val="00D33A2D"/>
    <w:rsid w:val="00D34193"/>
    <w:rsid w:val="00D343AC"/>
    <w:rsid w:val="00D34786"/>
    <w:rsid w:val="00D3544A"/>
    <w:rsid w:val="00D368BD"/>
    <w:rsid w:val="00D36D6F"/>
    <w:rsid w:val="00D3749A"/>
    <w:rsid w:val="00D37848"/>
    <w:rsid w:val="00D37BFC"/>
    <w:rsid w:val="00D40DD9"/>
    <w:rsid w:val="00D40F7C"/>
    <w:rsid w:val="00D4154E"/>
    <w:rsid w:val="00D41590"/>
    <w:rsid w:val="00D4193C"/>
    <w:rsid w:val="00D4199A"/>
    <w:rsid w:val="00D41A63"/>
    <w:rsid w:val="00D41C15"/>
    <w:rsid w:val="00D42134"/>
    <w:rsid w:val="00D421D0"/>
    <w:rsid w:val="00D42BA0"/>
    <w:rsid w:val="00D42ED9"/>
    <w:rsid w:val="00D4345C"/>
    <w:rsid w:val="00D43BCC"/>
    <w:rsid w:val="00D43BF7"/>
    <w:rsid w:val="00D4615F"/>
    <w:rsid w:val="00D46D90"/>
    <w:rsid w:val="00D474C0"/>
    <w:rsid w:val="00D47A8E"/>
    <w:rsid w:val="00D47CB3"/>
    <w:rsid w:val="00D47D47"/>
    <w:rsid w:val="00D50037"/>
    <w:rsid w:val="00D5041A"/>
    <w:rsid w:val="00D509FB"/>
    <w:rsid w:val="00D51220"/>
    <w:rsid w:val="00D518DC"/>
    <w:rsid w:val="00D52011"/>
    <w:rsid w:val="00D5244C"/>
    <w:rsid w:val="00D52490"/>
    <w:rsid w:val="00D52997"/>
    <w:rsid w:val="00D52D14"/>
    <w:rsid w:val="00D53142"/>
    <w:rsid w:val="00D531E0"/>
    <w:rsid w:val="00D5328B"/>
    <w:rsid w:val="00D53438"/>
    <w:rsid w:val="00D53C46"/>
    <w:rsid w:val="00D53C6F"/>
    <w:rsid w:val="00D54BB5"/>
    <w:rsid w:val="00D5514D"/>
    <w:rsid w:val="00D558C0"/>
    <w:rsid w:val="00D55D58"/>
    <w:rsid w:val="00D56531"/>
    <w:rsid w:val="00D56D1B"/>
    <w:rsid w:val="00D57205"/>
    <w:rsid w:val="00D606F3"/>
    <w:rsid w:val="00D60ABE"/>
    <w:rsid w:val="00D61231"/>
    <w:rsid w:val="00D6203C"/>
    <w:rsid w:val="00D62531"/>
    <w:rsid w:val="00D635CA"/>
    <w:rsid w:val="00D63E0B"/>
    <w:rsid w:val="00D64F48"/>
    <w:rsid w:val="00D65184"/>
    <w:rsid w:val="00D657BD"/>
    <w:rsid w:val="00D6747C"/>
    <w:rsid w:val="00D67702"/>
    <w:rsid w:val="00D67B8A"/>
    <w:rsid w:val="00D712D3"/>
    <w:rsid w:val="00D71422"/>
    <w:rsid w:val="00D7281B"/>
    <w:rsid w:val="00D728BE"/>
    <w:rsid w:val="00D72D9A"/>
    <w:rsid w:val="00D72DC6"/>
    <w:rsid w:val="00D73004"/>
    <w:rsid w:val="00D7328C"/>
    <w:rsid w:val="00D73E49"/>
    <w:rsid w:val="00D74029"/>
    <w:rsid w:val="00D752E7"/>
    <w:rsid w:val="00D7558D"/>
    <w:rsid w:val="00D760A7"/>
    <w:rsid w:val="00D7616C"/>
    <w:rsid w:val="00D76EE7"/>
    <w:rsid w:val="00D76FF7"/>
    <w:rsid w:val="00D77499"/>
    <w:rsid w:val="00D77796"/>
    <w:rsid w:val="00D77D85"/>
    <w:rsid w:val="00D77E5C"/>
    <w:rsid w:val="00D808E2"/>
    <w:rsid w:val="00D8104F"/>
    <w:rsid w:val="00D8138A"/>
    <w:rsid w:val="00D817A9"/>
    <w:rsid w:val="00D81D92"/>
    <w:rsid w:val="00D82E20"/>
    <w:rsid w:val="00D83129"/>
    <w:rsid w:val="00D839F3"/>
    <w:rsid w:val="00D83D73"/>
    <w:rsid w:val="00D84388"/>
    <w:rsid w:val="00D84EF0"/>
    <w:rsid w:val="00D852D5"/>
    <w:rsid w:val="00D857C1"/>
    <w:rsid w:val="00D85AEB"/>
    <w:rsid w:val="00D85DE1"/>
    <w:rsid w:val="00D85E09"/>
    <w:rsid w:val="00D86FBA"/>
    <w:rsid w:val="00D874D0"/>
    <w:rsid w:val="00D87C0B"/>
    <w:rsid w:val="00D9008A"/>
    <w:rsid w:val="00D9082C"/>
    <w:rsid w:val="00D914DA"/>
    <w:rsid w:val="00D9154E"/>
    <w:rsid w:val="00D91A17"/>
    <w:rsid w:val="00D932ED"/>
    <w:rsid w:val="00D93F64"/>
    <w:rsid w:val="00D94AFC"/>
    <w:rsid w:val="00D95495"/>
    <w:rsid w:val="00D95589"/>
    <w:rsid w:val="00D95CCF"/>
    <w:rsid w:val="00D96E66"/>
    <w:rsid w:val="00D96FDA"/>
    <w:rsid w:val="00D9799E"/>
    <w:rsid w:val="00DA0EED"/>
    <w:rsid w:val="00DA184E"/>
    <w:rsid w:val="00DA188F"/>
    <w:rsid w:val="00DA1C1A"/>
    <w:rsid w:val="00DA253B"/>
    <w:rsid w:val="00DA2987"/>
    <w:rsid w:val="00DA331E"/>
    <w:rsid w:val="00DA3431"/>
    <w:rsid w:val="00DA3B69"/>
    <w:rsid w:val="00DA41E7"/>
    <w:rsid w:val="00DA4470"/>
    <w:rsid w:val="00DA461D"/>
    <w:rsid w:val="00DA46BA"/>
    <w:rsid w:val="00DA554E"/>
    <w:rsid w:val="00DA57F3"/>
    <w:rsid w:val="00DA593B"/>
    <w:rsid w:val="00DA598A"/>
    <w:rsid w:val="00DA5E31"/>
    <w:rsid w:val="00DA5E4B"/>
    <w:rsid w:val="00DA5FBC"/>
    <w:rsid w:val="00DA70BD"/>
    <w:rsid w:val="00DA70F6"/>
    <w:rsid w:val="00DA7153"/>
    <w:rsid w:val="00DA7307"/>
    <w:rsid w:val="00DA781C"/>
    <w:rsid w:val="00DA79C4"/>
    <w:rsid w:val="00DA7B5F"/>
    <w:rsid w:val="00DB00E6"/>
    <w:rsid w:val="00DB1C52"/>
    <w:rsid w:val="00DB1D82"/>
    <w:rsid w:val="00DB1DA0"/>
    <w:rsid w:val="00DB1DA8"/>
    <w:rsid w:val="00DB1F4D"/>
    <w:rsid w:val="00DB275C"/>
    <w:rsid w:val="00DB2B53"/>
    <w:rsid w:val="00DB3272"/>
    <w:rsid w:val="00DB45D9"/>
    <w:rsid w:val="00DB4DCB"/>
    <w:rsid w:val="00DB5118"/>
    <w:rsid w:val="00DB538B"/>
    <w:rsid w:val="00DB5B07"/>
    <w:rsid w:val="00DB7EC9"/>
    <w:rsid w:val="00DC0E72"/>
    <w:rsid w:val="00DC1162"/>
    <w:rsid w:val="00DC11E7"/>
    <w:rsid w:val="00DC13B0"/>
    <w:rsid w:val="00DC15C5"/>
    <w:rsid w:val="00DC1D6F"/>
    <w:rsid w:val="00DC35AF"/>
    <w:rsid w:val="00DC36C0"/>
    <w:rsid w:val="00DC3ED9"/>
    <w:rsid w:val="00DC4BB6"/>
    <w:rsid w:val="00DC4F9D"/>
    <w:rsid w:val="00DC4FC8"/>
    <w:rsid w:val="00DC574C"/>
    <w:rsid w:val="00DC5F32"/>
    <w:rsid w:val="00DC6028"/>
    <w:rsid w:val="00DC7023"/>
    <w:rsid w:val="00DC7063"/>
    <w:rsid w:val="00DC73E2"/>
    <w:rsid w:val="00DC769A"/>
    <w:rsid w:val="00DC7EFF"/>
    <w:rsid w:val="00DD0902"/>
    <w:rsid w:val="00DD225F"/>
    <w:rsid w:val="00DD281A"/>
    <w:rsid w:val="00DD2FAB"/>
    <w:rsid w:val="00DD3D86"/>
    <w:rsid w:val="00DD6BDE"/>
    <w:rsid w:val="00DD70F2"/>
    <w:rsid w:val="00DD7825"/>
    <w:rsid w:val="00DD7A47"/>
    <w:rsid w:val="00DD7B40"/>
    <w:rsid w:val="00DE0AD9"/>
    <w:rsid w:val="00DE28B6"/>
    <w:rsid w:val="00DE2F0A"/>
    <w:rsid w:val="00DE3243"/>
    <w:rsid w:val="00DE45F5"/>
    <w:rsid w:val="00DE50CF"/>
    <w:rsid w:val="00DE5648"/>
    <w:rsid w:val="00DE6304"/>
    <w:rsid w:val="00DF0064"/>
    <w:rsid w:val="00DF03CF"/>
    <w:rsid w:val="00DF0463"/>
    <w:rsid w:val="00DF0CEE"/>
    <w:rsid w:val="00DF1385"/>
    <w:rsid w:val="00DF1EC4"/>
    <w:rsid w:val="00DF3015"/>
    <w:rsid w:val="00DF3502"/>
    <w:rsid w:val="00DF4356"/>
    <w:rsid w:val="00DF48C2"/>
    <w:rsid w:val="00DF587F"/>
    <w:rsid w:val="00DF5A4B"/>
    <w:rsid w:val="00DF5AC8"/>
    <w:rsid w:val="00DF5C4C"/>
    <w:rsid w:val="00E00C91"/>
    <w:rsid w:val="00E011D1"/>
    <w:rsid w:val="00E01355"/>
    <w:rsid w:val="00E01589"/>
    <w:rsid w:val="00E021A4"/>
    <w:rsid w:val="00E02529"/>
    <w:rsid w:val="00E02974"/>
    <w:rsid w:val="00E03271"/>
    <w:rsid w:val="00E0340B"/>
    <w:rsid w:val="00E037B2"/>
    <w:rsid w:val="00E04183"/>
    <w:rsid w:val="00E04A90"/>
    <w:rsid w:val="00E0662A"/>
    <w:rsid w:val="00E0704D"/>
    <w:rsid w:val="00E071C8"/>
    <w:rsid w:val="00E0760C"/>
    <w:rsid w:val="00E077D6"/>
    <w:rsid w:val="00E079A5"/>
    <w:rsid w:val="00E1049D"/>
    <w:rsid w:val="00E1093D"/>
    <w:rsid w:val="00E11709"/>
    <w:rsid w:val="00E11A0C"/>
    <w:rsid w:val="00E11CC0"/>
    <w:rsid w:val="00E124E4"/>
    <w:rsid w:val="00E12B46"/>
    <w:rsid w:val="00E12C61"/>
    <w:rsid w:val="00E12FFF"/>
    <w:rsid w:val="00E1343A"/>
    <w:rsid w:val="00E142AF"/>
    <w:rsid w:val="00E15B70"/>
    <w:rsid w:val="00E1609A"/>
    <w:rsid w:val="00E16779"/>
    <w:rsid w:val="00E16D75"/>
    <w:rsid w:val="00E1723D"/>
    <w:rsid w:val="00E203AD"/>
    <w:rsid w:val="00E203C6"/>
    <w:rsid w:val="00E214EE"/>
    <w:rsid w:val="00E21597"/>
    <w:rsid w:val="00E219C7"/>
    <w:rsid w:val="00E21E7F"/>
    <w:rsid w:val="00E22E7F"/>
    <w:rsid w:val="00E23632"/>
    <w:rsid w:val="00E239E0"/>
    <w:rsid w:val="00E24709"/>
    <w:rsid w:val="00E25888"/>
    <w:rsid w:val="00E263B3"/>
    <w:rsid w:val="00E268AC"/>
    <w:rsid w:val="00E269DC"/>
    <w:rsid w:val="00E27182"/>
    <w:rsid w:val="00E275D6"/>
    <w:rsid w:val="00E27D8A"/>
    <w:rsid w:val="00E27E45"/>
    <w:rsid w:val="00E27E85"/>
    <w:rsid w:val="00E30405"/>
    <w:rsid w:val="00E312F2"/>
    <w:rsid w:val="00E3180D"/>
    <w:rsid w:val="00E327DF"/>
    <w:rsid w:val="00E32E10"/>
    <w:rsid w:val="00E33050"/>
    <w:rsid w:val="00E33679"/>
    <w:rsid w:val="00E336E2"/>
    <w:rsid w:val="00E341ED"/>
    <w:rsid w:val="00E34389"/>
    <w:rsid w:val="00E34DFE"/>
    <w:rsid w:val="00E3542A"/>
    <w:rsid w:val="00E36C8C"/>
    <w:rsid w:val="00E37DFD"/>
    <w:rsid w:val="00E40287"/>
    <w:rsid w:val="00E4111F"/>
    <w:rsid w:val="00E41A26"/>
    <w:rsid w:val="00E4310C"/>
    <w:rsid w:val="00E43157"/>
    <w:rsid w:val="00E43717"/>
    <w:rsid w:val="00E43CE4"/>
    <w:rsid w:val="00E459BE"/>
    <w:rsid w:val="00E45FD6"/>
    <w:rsid w:val="00E461CE"/>
    <w:rsid w:val="00E462C6"/>
    <w:rsid w:val="00E4764A"/>
    <w:rsid w:val="00E50189"/>
    <w:rsid w:val="00E50AF7"/>
    <w:rsid w:val="00E511E0"/>
    <w:rsid w:val="00E51FD1"/>
    <w:rsid w:val="00E524D8"/>
    <w:rsid w:val="00E53F10"/>
    <w:rsid w:val="00E54003"/>
    <w:rsid w:val="00E54050"/>
    <w:rsid w:val="00E543F3"/>
    <w:rsid w:val="00E55E77"/>
    <w:rsid w:val="00E56944"/>
    <w:rsid w:val="00E56BE0"/>
    <w:rsid w:val="00E56EBC"/>
    <w:rsid w:val="00E572FA"/>
    <w:rsid w:val="00E573A8"/>
    <w:rsid w:val="00E57608"/>
    <w:rsid w:val="00E611DA"/>
    <w:rsid w:val="00E613A8"/>
    <w:rsid w:val="00E613E9"/>
    <w:rsid w:val="00E61960"/>
    <w:rsid w:val="00E62377"/>
    <w:rsid w:val="00E624CE"/>
    <w:rsid w:val="00E6272A"/>
    <w:rsid w:val="00E6374D"/>
    <w:rsid w:val="00E63BB7"/>
    <w:rsid w:val="00E642F0"/>
    <w:rsid w:val="00E643FA"/>
    <w:rsid w:val="00E64A01"/>
    <w:rsid w:val="00E651F5"/>
    <w:rsid w:val="00E65DA0"/>
    <w:rsid w:val="00E66AC6"/>
    <w:rsid w:val="00E66CE5"/>
    <w:rsid w:val="00E67C4C"/>
    <w:rsid w:val="00E7071B"/>
    <w:rsid w:val="00E70786"/>
    <w:rsid w:val="00E70831"/>
    <w:rsid w:val="00E70D59"/>
    <w:rsid w:val="00E71937"/>
    <w:rsid w:val="00E71AC2"/>
    <w:rsid w:val="00E71B55"/>
    <w:rsid w:val="00E71E2A"/>
    <w:rsid w:val="00E720CA"/>
    <w:rsid w:val="00E725F5"/>
    <w:rsid w:val="00E727DA"/>
    <w:rsid w:val="00E72A20"/>
    <w:rsid w:val="00E72B3E"/>
    <w:rsid w:val="00E72D38"/>
    <w:rsid w:val="00E72DFA"/>
    <w:rsid w:val="00E72EAD"/>
    <w:rsid w:val="00E735B4"/>
    <w:rsid w:val="00E7377B"/>
    <w:rsid w:val="00E73BDA"/>
    <w:rsid w:val="00E74829"/>
    <w:rsid w:val="00E7574E"/>
    <w:rsid w:val="00E75834"/>
    <w:rsid w:val="00E75A6B"/>
    <w:rsid w:val="00E76327"/>
    <w:rsid w:val="00E76544"/>
    <w:rsid w:val="00E768DB"/>
    <w:rsid w:val="00E76E58"/>
    <w:rsid w:val="00E76EFE"/>
    <w:rsid w:val="00E77D32"/>
    <w:rsid w:val="00E803CB"/>
    <w:rsid w:val="00E8095B"/>
    <w:rsid w:val="00E80EA8"/>
    <w:rsid w:val="00E810C3"/>
    <w:rsid w:val="00E8114D"/>
    <w:rsid w:val="00E8123F"/>
    <w:rsid w:val="00E81481"/>
    <w:rsid w:val="00E815F4"/>
    <w:rsid w:val="00E81B0A"/>
    <w:rsid w:val="00E81E58"/>
    <w:rsid w:val="00E83FAD"/>
    <w:rsid w:val="00E84A46"/>
    <w:rsid w:val="00E84DDF"/>
    <w:rsid w:val="00E84EB5"/>
    <w:rsid w:val="00E85516"/>
    <w:rsid w:val="00E85662"/>
    <w:rsid w:val="00E8670D"/>
    <w:rsid w:val="00E867BA"/>
    <w:rsid w:val="00E87644"/>
    <w:rsid w:val="00E876F0"/>
    <w:rsid w:val="00E8789F"/>
    <w:rsid w:val="00E87F5F"/>
    <w:rsid w:val="00E87FE6"/>
    <w:rsid w:val="00E909AA"/>
    <w:rsid w:val="00E91457"/>
    <w:rsid w:val="00E91C21"/>
    <w:rsid w:val="00E93C16"/>
    <w:rsid w:val="00E93ED3"/>
    <w:rsid w:val="00E942AA"/>
    <w:rsid w:val="00E9485C"/>
    <w:rsid w:val="00E96B16"/>
    <w:rsid w:val="00E96C24"/>
    <w:rsid w:val="00E96D50"/>
    <w:rsid w:val="00E97773"/>
    <w:rsid w:val="00E97B71"/>
    <w:rsid w:val="00E97CCF"/>
    <w:rsid w:val="00E97DEC"/>
    <w:rsid w:val="00EA0796"/>
    <w:rsid w:val="00EA21A3"/>
    <w:rsid w:val="00EA3346"/>
    <w:rsid w:val="00EA36D8"/>
    <w:rsid w:val="00EA374D"/>
    <w:rsid w:val="00EA3918"/>
    <w:rsid w:val="00EA3D34"/>
    <w:rsid w:val="00EA4039"/>
    <w:rsid w:val="00EA4400"/>
    <w:rsid w:val="00EA4510"/>
    <w:rsid w:val="00EA61FB"/>
    <w:rsid w:val="00EA65CA"/>
    <w:rsid w:val="00EA68AD"/>
    <w:rsid w:val="00EA7098"/>
    <w:rsid w:val="00EA7A92"/>
    <w:rsid w:val="00EB044D"/>
    <w:rsid w:val="00EB04AD"/>
    <w:rsid w:val="00EB0524"/>
    <w:rsid w:val="00EB1822"/>
    <w:rsid w:val="00EB1BCB"/>
    <w:rsid w:val="00EB23BC"/>
    <w:rsid w:val="00EB2413"/>
    <w:rsid w:val="00EB340C"/>
    <w:rsid w:val="00EB3438"/>
    <w:rsid w:val="00EB3684"/>
    <w:rsid w:val="00EB3A48"/>
    <w:rsid w:val="00EB454D"/>
    <w:rsid w:val="00EB49FE"/>
    <w:rsid w:val="00EB4CAD"/>
    <w:rsid w:val="00EB50FE"/>
    <w:rsid w:val="00EB599C"/>
    <w:rsid w:val="00EB6169"/>
    <w:rsid w:val="00EB6426"/>
    <w:rsid w:val="00EB66B4"/>
    <w:rsid w:val="00EB7F0B"/>
    <w:rsid w:val="00EC0084"/>
    <w:rsid w:val="00EC05BD"/>
    <w:rsid w:val="00EC0D5B"/>
    <w:rsid w:val="00EC1FEE"/>
    <w:rsid w:val="00EC267C"/>
    <w:rsid w:val="00EC41EC"/>
    <w:rsid w:val="00EC51DA"/>
    <w:rsid w:val="00EC5652"/>
    <w:rsid w:val="00EC67D2"/>
    <w:rsid w:val="00EC6900"/>
    <w:rsid w:val="00EC6DB4"/>
    <w:rsid w:val="00EC7BC5"/>
    <w:rsid w:val="00EC7C5C"/>
    <w:rsid w:val="00ED05A6"/>
    <w:rsid w:val="00ED09C9"/>
    <w:rsid w:val="00ED1A86"/>
    <w:rsid w:val="00ED244A"/>
    <w:rsid w:val="00ED258A"/>
    <w:rsid w:val="00ED3785"/>
    <w:rsid w:val="00ED5548"/>
    <w:rsid w:val="00ED67CC"/>
    <w:rsid w:val="00ED6B09"/>
    <w:rsid w:val="00ED76BE"/>
    <w:rsid w:val="00ED78E4"/>
    <w:rsid w:val="00ED7A40"/>
    <w:rsid w:val="00ED7D1F"/>
    <w:rsid w:val="00EE04A0"/>
    <w:rsid w:val="00EE07B0"/>
    <w:rsid w:val="00EE0CBD"/>
    <w:rsid w:val="00EE208C"/>
    <w:rsid w:val="00EE2940"/>
    <w:rsid w:val="00EE2953"/>
    <w:rsid w:val="00EE2E80"/>
    <w:rsid w:val="00EE3117"/>
    <w:rsid w:val="00EE36B0"/>
    <w:rsid w:val="00EE37F6"/>
    <w:rsid w:val="00EE487C"/>
    <w:rsid w:val="00EE4A13"/>
    <w:rsid w:val="00EE4D66"/>
    <w:rsid w:val="00EE4F3D"/>
    <w:rsid w:val="00EE6853"/>
    <w:rsid w:val="00EE723E"/>
    <w:rsid w:val="00EE7614"/>
    <w:rsid w:val="00EE7DBE"/>
    <w:rsid w:val="00EE7F41"/>
    <w:rsid w:val="00EF0B71"/>
    <w:rsid w:val="00EF36A9"/>
    <w:rsid w:val="00EF37E3"/>
    <w:rsid w:val="00EF4315"/>
    <w:rsid w:val="00EF5BAF"/>
    <w:rsid w:val="00EF6036"/>
    <w:rsid w:val="00EF619B"/>
    <w:rsid w:val="00EF6782"/>
    <w:rsid w:val="00EF6E5B"/>
    <w:rsid w:val="00EF71B3"/>
    <w:rsid w:val="00EF7978"/>
    <w:rsid w:val="00F00A96"/>
    <w:rsid w:val="00F00B55"/>
    <w:rsid w:val="00F01E46"/>
    <w:rsid w:val="00F01E48"/>
    <w:rsid w:val="00F021B6"/>
    <w:rsid w:val="00F0237D"/>
    <w:rsid w:val="00F02647"/>
    <w:rsid w:val="00F0293F"/>
    <w:rsid w:val="00F02AD1"/>
    <w:rsid w:val="00F02F64"/>
    <w:rsid w:val="00F034D0"/>
    <w:rsid w:val="00F050CF"/>
    <w:rsid w:val="00F052AD"/>
    <w:rsid w:val="00F05995"/>
    <w:rsid w:val="00F06247"/>
    <w:rsid w:val="00F06410"/>
    <w:rsid w:val="00F06C4D"/>
    <w:rsid w:val="00F0706D"/>
    <w:rsid w:val="00F07CC5"/>
    <w:rsid w:val="00F107E9"/>
    <w:rsid w:val="00F10AB3"/>
    <w:rsid w:val="00F114CF"/>
    <w:rsid w:val="00F1164A"/>
    <w:rsid w:val="00F11D40"/>
    <w:rsid w:val="00F122A6"/>
    <w:rsid w:val="00F126C6"/>
    <w:rsid w:val="00F1290D"/>
    <w:rsid w:val="00F13FC9"/>
    <w:rsid w:val="00F14A52"/>
    <w:rsid w:val="00F154A9"/>
    <w:rsid w:val="00F16603"/>
    <w:rsid w:val="00F2168F"/>
    <w:rsid w:val="00F21F55"/>
    <w:rsid w:val="00F222CF"/>
    <w:rsid w:val="00F23137"/>
    <w:rsid w:val="00F241A6"/>
    <w:rsid w:val="00F2473D"/>
    <w:rsid w:val="00F253CC"/>
    <w:rsid w:val="00F2581F"/>
    <w:rsid w:val="00F269D3"/>
    <w:rsid w:val="00F300E3"/>
    <w:rsid w:val="00F304A8"/>
    <w:rsid w:val="00F32173"/>
    <w:rsid w:val="00F3217D"/>
    <w:rsid w:val="00F323EF"/>
    <w:rsid w:val="00F32F8C"/>
    <w:rsid w:val="00F347CA"/>
    <w:rsid w:val="00F3481C"/>
    <w:rsid w:val="00F352D9"/>
    <w:rsid w:val="00F353AD"/>
    <w:rsid w:val="00F3558D"/>
    <w:rsid w:val="00F3658A"/>
    <w:rsid w:val="00F37106"/>
    <w:rsid w:val="00F37660"/>
    <w:rsid w:val="00F37DE8"/>
    <w:rsid w:val="00F404A7"/>
    <w:rsid w:val="00F407BD"/>
    <w:rsid w:val="00F40A85"/>
    <w:rsid w:val="00F40AE1"/>
    <w:rsid w:val="00F40DE1"/>
    <w:rsid w:val="00F41D88"/>
    <w:rsid w:val="00F41E95"/>
    <w:rsid w:val="00F42842"/>
    <w:rsid w:val="00F440BA"/>
    <w:rsid w:val="00F453EB"/>
    <w:rsid w:val="00F45BC9"/>
    <w:rsid w:val="00F45C0B"/>
    <w:rsid w:val="00F473D9"/>
    <w:rsid w:val="00F47EE5"/>
    <w:rsid w:val="00F500DF"/>
    <w:rsid w:val="00F519CF"/>
    <w:rsid w:val="00F53766"/>
    <w:rsid w:val="00F541B0"/>
    <w:rsid w:val="00F549ED"/>
    <w:rsid w:val="00F54CB0"/>
    <w:rsid w:val="00F54F48"/>
    <w:rsid w:val="00F554A0"/>
    <w:rsid w:val="00F566C4"/>
    <w:rsid w:val="00F56946"/>
    <w:rsid w:val="00F56BA5"/>
    <w:rsid w:val="00F60457"/>
    <w:rsid w:val="00F60545"/>
    <w:rsid w:val="00F6081F"/>
    <w:rsid w:val="00F60E22"/>
    <w:rsid w:val="00F60F0D"/>
    <w:rsid w:val="00F61B62"/>
    <w:rsid w:val="00F61D56"/>
    <w:rsid w:val="00F62586"/>
    <w:rsid w:val="00F631B7"/>
    <w:rsid w:val="00F642AD"/>
    <w:rsid w:val="00F6441F"/>
    <w:rsid w:val="00F64FC0"/>
    <w:rsid w:val="00F65455"/>
    <w:rsid w:val="00F655FA"/>
    <w:rsid w:val="00F65F1F"/>
    <w:rsid w:val="00F66977"/>
    <w:rsid w:val="00F66A45"/>
    <w:rsid w:val="00F66A99"/>
    <w:rsid w:val="00F70594"/>
    <w:rsid w:val="00F70856"/>
    <w:rsid w:val="00F70AFA"/>
    <w:rsid w:val="00F71FB2"/>
    <w:rsid w:val="00F73104"/>
    <w:rsid w:val="00F733BF"/>
    <w:rsid w:val="00F73553"/>
    <w:rsid w:val="00F73634"/>
    <w:rsid w:val="00F73D42"/>
    <w:rsid w:val="00F7419C"/>
    <w:rsid w:val="00F759D1"/>
    <w:rsid w:val="00F75BF7"/>
    <w:rsid w:val="00F76A2E"/>
    <w:rsid w:val="00F7722C"/>
    <w:rsid w:val="00F77400"/>
    <w:rsid w:val="00F778BB"/>
    <w:rsid w:val="00F805FB"/>
    <w:rsid w:val="00F80E48"/>
    <w:rsid w:val="00F8119E"/>
    <w:rsid w:val="00F81395"/>
    <w:rsid w:val="00F825F4"/>
    <w:rsid w:val="00F827E8"/>
    <w:rsid w:val="00F82C64"/>
    <w:rsid w:val="00F82D2F"/>
    <w:rsid w:val="00F83EFD"/>
    <w:rsid w:val="00F8436C"/>
    <w:rsid w:val="00F85513"/>
    <w:rsid w:val="00F85F8F"/>
    <w:rsid w:val="00F87729"/>
    <w:rsid w:val="00F877B9"/>
    <w:rsid w:val="00F87DA9"/>
    <w:rsid w:val="00F902EB"/>
    <w:rsid w:val="00F90405"/>
    <w:rsid w:val="00F906F8"/>
    <w:rsid w:val="00F90759"/>
    <w:rsid w:val="00F90E4B"/>
    <w:rsid w:val="00F911BE"/>
    <w:rsid w:val="00F9139C"/>
    <w:rsid w:val="00F917D1"/>
    <w:rsid w:val="00F917D7"/>
    <w:rsid w:val="00F91D30"/>
    <w:rsid w:val="00F9245B"/>
    <w:rsid w:val="00F92B5C"/>
    <w:rsid w:val="00F92FCC"/>
    <w:rsid w:val="00F93C21"/>
    <w:rsid w:val="00F957D8"/>
    <w:rsid w:val="00F95BD0"/>
    <w:rsid w:val="00F96305"/>
    <w:rsid w:val="00F9653B"/>
    <w:rsid w:val="00F97BC3"/>
    <w:rsid w:val="00F97D48"/>
    <w:rsid w:val="00FA085E"/>
    <w:rsid w:val="00FA1D86"/>
    <w:rsid w:val="00FA39C7"/>
    <w:rsid w:val="00FA62AE"/>
    <w:rsid w:val="00FA671E"/>
    <w:rsid w:val="00FA68C6"/>
    <w:rsid w:val="00FA7BF4"/>
    <w:rsid w:val="00FA7EDB"/>
    <w:rsid w:val="00FB025F"/>
    <w:rsid w:val="00FB05C1"/>
    <w:rsid w:val="00FB16DF"/>
    <w:rsid w:val="00FB175B"/>
    <w:rsid w:val="00FB3732"/>
    <w:rsid w:val="00FB3832"/>
    <w:rsid w:val="00FB38D3"/>
    <w:rsid w:val="00FB3D19"/>
    <w:rsid w:val="00FB40F2"/>
    <w:rsid w:val="00FB443C"/>
    <w:rsid w:val="00FB4AD1"/>
    <w:rsid w:val="00FB4E0B"/>
    <w:rsid w:val="00FB4F8F"/>
    <w:rsid w:val="00FB596D"/>
    <w:rsid w:val="00FB5D56"/>
    <w:rsid w:val="00FB5F60"/>
    <w:rsid w:val="00FB62CF"/>
    <w:rsid w:val="00FB689A"/>
    <w:rsid w:val="00FB7FC6"/>
    <w:rsid w:val="00FC0795"/>
    <w:rsid w:val="00FC08D0"/>
    <w:rsid w:val="00FC1F88"/>
    <w:rsid w:val="00FC2B47"/>
    <w:rsid w:val="00FC2C81"/>
    <w:rsid w:val="00FC3538"/>
    <w:rsid w:val="00FC3A93"/>
    <w:rsid w:val="00FC3B0A"/>
    <w:rsid w:val="00FC40F2"/>
    <w:rsid w:val="00FC4710"/>
    <w:rsid w:val="00FC587D"/>
    <w:rsid w:val="00FC5F09"/>
    <w:rsid w:val="00FC64B0"/>
    <w:rsid w:val="00FC77D6"/>
    <w:rsid w:val="00FD0C6A"/>
    <w:rsid w:val="00FD0FB1"/>
    <w:rsid w:val="00FD160B"/>
    <w:rsid w:val="00FD1F65"/>
    <w:rsid w:val="00FD36CB"/>
    <w:rsid w:val="00FD3C3B"/>
    <w:rsid w:val="00FD47C4"/>
    <w:rsid w:val="00FD4D8B"/>
    <w:rsid w:val="00FD5A99"/>
    <w:rsid w:val="00FD65D7"/>
    <w:rsid w:val="00FD692D"/>
    <w:rsid w:val="00FD6942"/>
    <w:rsid w:val="00FD6AB2"/>
    <w:rsid w:val="00FD6BD7"/>
    <w:rsid w:val="00FD7378"/>
    <w:rsid w:val="00FD7C8D"/>
    <w:rsid w:val="00FD7FD0"/>
    <w:rsid w:val="00FE07DD"/>
    <w:rsid w:val="00FE11D7"/>
    <w:rsid w:val="00FE174C"/>
    <w:rsid w:val="00FE2FF1"/>
    <w:rsid w:val="00FE30BE"/>
    <w:rsid w:val="00FE321F"/>
    <w:rsid w:val="00FE3710"/>
    <w:rsid w:val="00FE41CE"/>
    <w:rsid w:val="00FE466A"/>
    <w:rsid w:val="00FE4D91"/>
    <w:rsid w:val="00FE5085"/>
    <w:rsid w:val="00FE6512"/>
    <w:rsid w:val="00FE6B45"/>
    <w:rsid w:val="00FE6F90"/>
    <w:rsid w:val="00FE7730"/>
    <w:rsid w:val="00FE792A"/>
    <w:rsid w:val="00FE7B5A"/>
    <w:rsid w:val="00FF0748"/>
    <w:rsid w:val="00FF11A6"/>
    <w:rsid w:val="00FF328F"/>
    <w:rsid w:val="00FF3A05"/>
    <w:rsid w:val="00FF3ADA"/>
    <w:rsid w:val="00FF3F58"/>
    <w:rsid w:val="00FF4078"/>
    <w:rsid w:val="00FF4AEE"/>
    <w:rsid w:val="00FF51AC"/>
    <w:rsid w:val="00FF55F3"/>
    <w:rsid w:val="00FF5851"/>
    <w:rsid w:val="00FF6283"/>
    <w:rsid w:val="00FF633A"/>
    <w:rsid w:val="00FF6971"/>
    <w:rsid w:val="00FF7197"/>
    <w:rsid w:val="00FF71AD"/>
    <w:rsid w:val="00FF754F"/>
    <w:rsid w:val="00FF7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D2"/>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D81D92"/>
    <w:pPr>
      <w:keepNext/>
      <w:keepLines/>
      <w:numPr>
        <w:numId w:val="65"/>
      </w:numPr>
      <w:spacing w:before="480"/>
      <w:outlineLvl w:val="0"/>
    </w:pPr>
    <w:rPr>
      <w:rFonts w:ascii="Cambria" w:eastAsia="Times New Roman" w:hAnsi="Cambria"/>
      <w:b/>
      <w:bCs/>
      <w:color w:val="365F91"/>
      <w:sz w:val="28"/>
      <w:szCs w:val="28"/>
    </w:rPr>
  </w:style>
  <w:style w:type="paragraph" w:styleId="Heading2">
    <w:name w:val="heading 2"/>
    <w:basedOn w:val="Heading3"/>
    <w:next w:val="Normal"/>
    <w:link w:val="Heading2Char"/>
    <w:qFormat/>
    <w:rsid w:val="009F1C8F"/>
    <w:pPr>
      <w:numPr>
        <w:ilvl w:val="0"/>
        <w:numId w:val="57"/>
      </w:numPr>
      <w:ind w:left="360"/>
      <w:outlineLvl w:val="1"/>
    </w:pPr>
  </w:style>
  <w:style w:type="paragraph" w:styleId="Heading3">
    <w:name w:val="heading 3"/>
    <w:basedOn w:val="Normal"/>
    <w:next w:val="Normal"/>
    <w:link w:val="Heading3Char"/>
    <w:qFormat/>
    <w:rsid w:val="009F1C8F"/>
    <w:pPr>
      <w:numPr>
        <w:ilvl w:val="2"/>
        <w:numId w:val="65"/>
      </w:numPr>
      <w:ind w:left="360" w:hanging="360"/>
      <w:outlineLvl w:val="2"/>
    </w:pPr>
    <w:rPr>
      <w:rFonts w:ascii="Cambria" w:hAnsi="Cambria"/>
      <w:b/>
      <w:sz w:val="20"/>
      <w:szCs w:val="20"/>
      <w:lang w:val="pt-BR"/>
    </w:rPr>
  </w:style>
  <w:style w:type="paragraph" w:styleId="Heading4">
    <w:name w:val="heading 4"/>
    <w:basedOn w:val="Normal"/>
    <w:next w:val="Normal"/>
    <w:link w:val="Heading4Char"/>
    <w:uiPriority w:val="9"/>
    <w:unhideWhenUsed/>
    <w:qFormat/>
    <w:rsid w:val="00141F5F"/>
    <w:pPr>
      <w:keepNext/>
      <w:keepLines/>
      <w:numPr>
        <w:ilvl w:val="3"/>
        <w:numId w:val="6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F1C8F"/>
    <w:pPr>
      <w:keepNext/>
      <w:keepLines/>
      <w:numPr>
        <w:ilvl w:val="4"/>
        <w:numId w:val="6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1C8F"/>
    <w:pPr>
      <w:keepNext/>
      <w:keepLines/>
      <w:numPr>
        <w:ilvl w:val="5"/>
        <w:numId w:val="6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1C8F"/>
    <w:pPr>
      <w:keepNext/>
      <w:keepLines/>
      <w:numPr>
        <w:ilvl w:val="6"/>
        <w:numId w:val="6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1C8F"/>
    <w:pPr>
      <w:keepNext/>
      <w:keepLines/>
      <w:numPr>
        <w:ilvl w:val="7"/>
        <w:numId w:val="6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1C8F"/>
    <w:pPr>
      <w:keepNext/>
      <w:keepLines/>
      <w:numPr>
        <w:ilvl w:val="8"/>
        <w:numId w:val="6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GradeClara-nfase31">
    <w:name w:val="Grade Clara - Ênfase 31"/>
    <w:aliases w:val="Párrafo de lista1,List Paragraph1,Colorful List - Accent 11,List Paragraph11,List Paragraph2"/>
    <w:link w:val="GradeClara-nfase3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sid w:val="00B80CC2"/>
    <w:pPr>
      <w:pBdr>
        <w:top w:val="nil"/>
        <w:left w:val="nil"/>
        <w:bottom w:val="nil"/>
        <w:right w:val="nil"/>
        <w:between w:val="nil"/>
        <w:bar w:val="nil"/>
      </w:pBdr>
    </w:pPr>
    <w:rPr>
      <w:rFonts w:ascii="Cambria" w:eastAsia="Calibri" w:hAnsi="Cambria" w:cs="Calibri"/>
      <w:color w:val="000000"/>
      <w:sz w:val="16"/>
      <w:u w:color="000000"/>
      <w:bdr w:val="nil"/>
      <w:lang w:val="en-US"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rPr>
  </w:style>
  <w:style w:type="table" w:styleId="ColorfulList-Accent2">
    <w:name w:val="Colorful List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76455B"/>
    <w:pPr>
      <w:tabs>
        <w:tab w:val="left" w:pos="1260"/>
        <w:tab w:val="right" w:leader="dot" w:pos="9360"/>
      </w:tabs>
      <w:spacing w:before="240" w:after="120"/>
      <w:ind w:left="1166" w:hanging="446"/>
    </w:pPr>
    <w:rPr>
      <w:rFonts w:ascii="Cambria" w:hAnsi="Cambria"/>
      <w:noProof/>
      <w:sz w:val="20"/>
      <w:szCs w:val="20"/>
      <w:lang w:val="pt-BR"/>
    </w:rPr>
  </w:style>
  <w:style w:type="paragraph" w:styleId="TOC1">
    <w:name w:val="toc 1"/>
    <w:basedOn w:val="Normal"/>
    <w:next w:val="Normal"/>
    <w:autoRedefine/>
    <w:uiPriority w:val="39"/>
    <w:unhideWhenUsed/>
    <w:rsid w:val="0085461A"/>
    <w:pPr>
      <w:tabs>
        <w:tab w:val="left" w:pos="1440"/>
        <w:tab w:val="right" w:leader="dot" w:pos="9360"/>
      </w:tabs>
      <w:ind w:left="806" w:hanging="446"/>
      <w:jc w:val="both"/>
    </w:pPr>
    <w:rPr>
      <w:rFonts w:ascii="Cambria" w:hAnsi="Cambria"/>
      <w:noProof/>
      <w:sz w:val="20"/>
      <w:szCs w:val="20"/>
      <w:lang w:val="pt-BR"/>
    </w:rPr>
  </w:style>
  <w:style w:type="paragraph" w:styleId="TOC3">
    <w:name w:val="toc 3"/>
    <w:basedOn w:val="Normal"/>
    <w:next w:val="Normal"/>
    <w:autoRedefine/>
    <w:uiPriority w:val="39"/>
    <w:unhideWhenUsed/>
    <w:rsid w:val="00A13326"/>
    <w:pPr>
      <w:tabs>
        <w:tab w:val="left" w:pos="880"/>
        <w:tab w:val="left" w:pos="1260"/>
        <w:tab w:val="right" w:leader="dot" w:pos="9360"/>
      </w:tabs>
      <w:spacing w:after="100"/>
      <w:ind w:left="1260" w:hanging="450"/>
      <w:jc w:val="both"/>
    </w:pPr>
    <w:rPr>
      <w:rFonts w:ascii="Cambria" w:hAnsi="Cambria"/>
      <w:noProof/>
      <w:sz w:val="20"/>
      <w:szCs w:val="20"/>
      <w:lang w:val="pt-BR"/>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B80CC2"/>
    <w:rPr>
      <w:rFonts w:ascii="Cambria" w:eastAsia="Calibri" w:hAnsi="Cambria" w:cs="Calibri"/>
      <w:color w:val="000000"/>
      <w:sz w:val="16"/>
      <w:u w:color="000000"/>
      <w:bdr w:val="nil"/>
      <w:lang w:eastAsia="es-ES"/>
    </w:rPr>
  </w:style>
  <w:style w:type="character" w:customStyle="1" w:styleId="Heading2Char">
    <w:name w:val="Heading 2 Char"/>
    <w:link w:val="Heading2"/>
    <w:rsid w:val="009F1C8F"/>
    <w:rPr>
      <w:rFonts w:ascii="Cambria" w:hAnsi="Cambria"/>
      <w:b/>
      <w:bdr w:val="nil"/>
      <w:lang w:eastAsia="en-US"/>
    </w:rPr>
  </w:style>
  <w:style w:type="character" w:customStyle="1" w:styleId="Heading3Char">
    <w:name w:val="Heading 3 Char"/>
    <w:link w:val="Heading3"/>
    <w:rsid w:val="009F1C8F"/>
    <w:rPr>
      <w:rFonts w:ascii="Cambria" w:hAnsi="Cambria"/>
      <w:b/>
      <w:bdr w:val="nil"/>
      <w:lang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GradeClara-nfase3Char">
    <w:name w:val="Grade Clara - Ênfase 3 Char"/>
    <w:aliases w:val="Párrafo de lista1 Char,List Paragraph1 Char,Colorful List - Accent 11 Char,List Paragraph11 Char,List Paragraph2 Char,List Paragraph Char,Lista vistosa - Énfasis 11 Char,Footnote Char,Subtle Emphasis1 Char,Footnote1 Char"/>
    <w:link w:val="GradeClara-nfase31"/>
    <w:locked/>
    <w:rsid w:val="002E4AEA"/>
    <w:rPr>
      <w:rFonts w:ascii="Cambria" w:eastAsia="Cambria" w:hAnsi="Cambria" w:cs="Cambria"/>
      <w:color w:val="000000"/>
      <w:sz w:val="24"/>
      <w:szCs w:val="24"/>
      <w:u w:color="000000"/>
      <w:lang w:val="en-US"/>
    </w:rPr>
  </w:style>
  <w:style w:type="character" w:styleId="CommentReference">
    <w:name w:val="annotation reference"/>
    <w:uiPriority w:val="99"/>
    <w:semiHidden/>
    <w:unhideWhenUsed/>
    <w:rsid w:val="00A10252"/>
    <w:rPr>
      <w:sz w:val="18"/>
      <w:szCs w:val="18"/>
    </w:rPr>
  </w:style>
  <w:style w:type="paragraph" w:styleId="CommentText">
    <w:name w:val="annotation text"/>
    <w:basedOn w:val="Normal"/>
    <w:link w:val="CommentTextChar"/>
    <w:uiPriority w:val="99"/>
    <w:unhideWhenUsed/>
    <w:rsid w:val="00A10252"/>
  </w:style>
  <w:style w:type="character" w:customStyle="1" w:styleId="CommentTextChar">
    <w:name w:val="Comment Text Char"/>
    <w:link w:val="CommentText"/>
    <w:uiPriority w:val="99"/>
    <w:rsid w:val="00A10252"/>
    <w:rPr>
      <w:sz w:val="24"/>
      <w:szCs w:val="24"/>
      <w:bdr w:val="nil"/>
      <w:lang w:val="en-US"/>
    </w:rPr>
  </w:style>
  <w:style w:type="paragraph" w:styleId="CommentSubject">
    <w:name w:val="annotation subject"/>
    <w:basedOn w:val="CommentText"/>
    <w:next w:val="CommentText"/>
    <w:link w:val="CommentSubjectChar"/>
    <w:uiPriority w:val="99"/>
    <w:semiHidden/>
    <w:unhideWhenUsed/>
    <w:rsid w:val="00A10252"/>
    <w:rPr>
      <w:b/>
      <w:bCs/>
      <w:sz w:val="20"/>
      <w:szCs w:val="20"/>
    </w:rPr>
  </w:style>
  <w:style w:type="character" w:customStyle="1" w:styleId="CommentSubjectChar">
    <w:name w:val="Comment Subject Char"/>
    <w:link w:val="CommentSubject"/>
    <w:uiPriority w:val="99"/>
    <w:semiHidden/>
    <w:rsid w:val="00A10252"/>
    <w:rPr>
      <w:b/>
      <w:bCs/>
      <w:sz w:val="24"/>
      <w:szCs w:val="24"/>
      <w:bdr w:val="nil"/>
      <w:lang w:val="en-US"/>
    </w:rPr>
  </w:style>
  <w:style w:type="paragraph" w:customStyle="1" w:styleId="GradeMdia1-nfase21">
    <w:name w:val="Grade Média 1 - Ênfase 21"/>
    <w:basedOn w:val="Normal"/>
    <w:qFormat/>
    <w:rsid w:val="00840379"/>
    <w:pPr>
      <w:ind w:left="720"/>
    </w:pPr>
  </w:style>
  <w:style w:type="paragraph" w:customStyle="1" w:styleId="ListaColorida-nfase11">
    <w:name w:val="Lista Colorida - Ênfase 11"/>
    <w:basedOn w:val="Normal"/>
    <w:uiPriority w:val="34"/>
    <w:qFormat/>
    <w:rsid w:val="00A94855"/>
    <w:pPr>
      <w:ind w:left="720"/>
    </w:pPr>
  </w:style>
  <w:style w:type="character" w:styleId="Strong">
    <w:name w:val="Strong"/>
    <w:uiPriority w:val="22"/>
    <w:qFormat/>
    <w:rsid w:val="002A6E57"/>
    <w:rPr>
      <w:b/>
      <w:bCs/>
    </w:rPr>
  </w:style>
  <w:style w:type="paragraph" w:customStyle="1" w:styleId="1">
    <w:name w:val="1"/>
    <w:basedOn w:val="Normal"/>
    <w:rsid w:val="000E345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ListParagraph">
    <w:name w:val="List Paragraph"/>
    <w:aliases w:val="Lista vistosa - Énfasis 11,Subtle Emphasis1,Footnote1"/>
    <w:basedOn w:val="Normal"/>
    <w:uiPriority w:val="34"/>
    <w:qFormat/>
    <w:rsid w:val="00703FDD"/>
    <w:pPr>
      <w:ind w:left="720"/>
    </w:pPr>
  </w:style>
  <w:style w:type="paragraph" w:styleId="TOCHeading">
    <w:name w:val="TOC Heading"/>
    <w:basedOn w:val="Heading1"/>
    <w:next w:val="Normal"/>
    <w:uiPriority w:val="39"/>
    <w:semiHidden/>
    <w:unhideWhenUsed/>
    <w:qFormat/>
    <w:rsid w:val="00493D5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eastAsia="MS Gothic"/>
      <w:bdr w:val="none" w:sz="0" w:space="0" w:color="auto"/>
      <w:lang w:eastAsia="ja-JP"/>
    </w:rPr>
  </w:style>
  <w:style w:type="character" w:customStyle="1" w:styleId="UnresolvedMention1">
    <w:name w:val="Unresolved Mention1"/>
    <w:basedOn w:val="DefaultParagraphFont"/>
    <w:uiPriority w:val="99"/>
    <w:semiHidden/>
    <w:unhideWhenUsed/>
    <w:rsid w:val="00366D37"/>
    <w:rPr>
      <w:color w:val="605E5C"/>
      <w:shd w:val="clear" w:color="auto" w:fill="E1DFDD"/>
    </w:rPr>
  </w:style>
  <w:style w:type="character" w:styleId="FollowedHyperlink">
    <w:name w:val="FollowedHyperlink"/>
    <w:basedOn w:val="DefaultParagraphFont"/>
    <w:uiPriority w:val="99"/>
    <w:semiHidden/>
    <w:unhideWhenUsed/>
    <w:rsid w:val="00FA7EDB"/>
    <w:rPr>
      <w:color w:val="954F72" w:themeColor="followedHyperlink"/>
      <w:u w:val="single"/>
    </w:rPr>
  </w:style>
  <w:style w:type="character" w:customStyle="1" w:styleId="Heading4Char">
    <w:name w:val="Heading 4 Char"/>
    <w:basedOn w:val="DefaultParagraphFont"/>
    <w:link w:val="Heading4"/>
    <w:uiPriority w:val="9"/>
    <w:rsid w:val="00141F5F"/>
    <w:rPr>
      <w:rFonts w:asciiTheme="majorHAnsi" w:eastAsiaTheme="majorEastAsia" w:hAnsiTheme="majorHAnsi" w:cstheme="majorBidi"/>
      <w:i/>
      <w:iCs/>
      <w:color w:val="2F5496" w:themeColor="accent1" w:themeShade="BF"/>
      <w:sz w:val="24"/>
      <w:szCs w:val="24"/>
      <w:bdr w:val="nil"/>
      <w:lang w:val="en-US" w:eastAsia="en-US"/>
    </w:rPr>
  </w:style>
  <w:style w:type="paragraph" w:styleId="NormalWeb">
    <w:name w:val="Normal (Web)"/>
    <w:aliases w:val="Normal (Web) Char1,Normal (Web) Char Char,Normal (Web) Char1 Char,Normal (Web) Char Char Char"/>
    <w:basedOn w:val="Normal"/>
    <w:uiPriority w:val="99"/>
    <w:unhideWhenUsed/>
    <w:rsid w:val="00E76EFE"/>
  </w:style>
  <w:style w:type="paragraph" w:styleId="BodyText2">
    <w:name w:val="Body Text 2"/>
    <w:basedOn w:val="Normal"/>
    <w:link w:val="BodyText2Char"/>
    <w:uiPriority w:val="99"/>
    <w:semiHidden/>
    <w:unhideWhenUsed/>
    <w:rsid w:val="00D42134"/>
    <w:pPr>
      <w:spacing w:after="120" w:line="480" w:lineRule="auto"/>
    </w:pPr>
  </w:style>
  <w:style w:type="character" w:customStyle="1" w:styleId="BodyText2Char">
    <w:name w:val="Body Text 2 Char"/>
    <w:basedOn w:val="DefaultParagraphFont"/>
    <w:link w:val="BodyText2"/>
    <w:uiPriority w:val="99"/>
    <w:semiHidden/>
    <w:rsid w:val="00D42134"/>
    <w:rPr>
      <w:sz w:val="24"/>
      <w:szCs w:val="24"/>
      <w:bdr w:val="nil"/>
      <w:lang w:val="en-US" w:eastAsia="en-US"/>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qFormat/>
    <w:rsid w:val="00A30AEE"/>
    <w:rPr>
      <w:rFonts w:ascii="Verdana" w:eastAsia="Batang" w:hAnsi="Verdana" w:cs="Times"/>
      <w:noProof/>
      <w:sz w:val="16"/>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30AE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sz w:val="22"/>
      <w:szCs w:val="20"/>
      <w:bdr w:val="none" w:sz="0" w:space="0" w:color="auto"/>
      <w:vertAlign w:val="superscript"/>
      <w:lang w:val="es-ES"/>
    </w:rPr>
  </w:style>
  <w:style w:type="paragraph" w:customStyle="1" w:styleId="xmsofootnotetext">
    <w:name w:val="x_msofootnotetext"/>
    <w:basedOn w:val="Normal"/>
    <w:rsid w:val="00DA0E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2">
    <w:name w:val="Unresolved Mention2"/>
    <w:basedOn w:val="DefaultParagraphFont"/>
    <w:uiPriority w:val="99"/>
    <w:semiHidden/>
    <w:unhideWhenUsed/>
    <w:rsid w:val="00D23D6A"/>
    <w:rPr>
      <w:color w:val="605E5C"/>
      <w:shd w:val="clear" w:color="auto" w:fill="E1DFDD"/>
    </w:rPr>
  </w:style>
  <w:style w:type="character" w:customStyle="1" w:styleId="MenoPendente1">
    <w:name w:val="Menção Pendente1"/>
    <w:basedOn w:val="DefaultParagraphFont"/>
    <w:uiPriority w:val="99"/>
    <w:semiHidden/>
    <w:unhideWhenUsed/>
    <w:rsid w:val="008E1B27"/>
    <w:rPr>
      <w:color w:val="605E5C"/>
      <w:shd w:val="clear" w:color="auto" w:fill="E1DFDD"/>
    </w:rPr>
  </w:style>
  <w:style w:type="character" w:customStyle="1" w:styleId="BodyTextIndentChar">
    <w:name w:val="Body Text Indent Char"/>
    <w:basedOn w:val="DefaultParagraphFont"/>
    <w:link w:val="BodyTextIndent"/>
    <w:rsid w:val="002F1065"/>
    <w:rPr>
      <w:rFonts w:eastAsia="Times New Roman"/>
      <w:color w:val="000000"/>
      <w:sz w:val="24"/>
      <w:szCs w:val="24"/>
      <w:u w:color="000000"/>
      <w:bdr w:val="nil"/>
      <w:lang w:val="es-ES_tradnl" w:eastAsia="es-ES"/>
    </w:rPr>
  </w:style>
  <w:style w:type="character" w:styleId="EndnoteReference">
    <w:name w:val="endnote reference"/>
    <w:basedOn w:val="DefaultParagraphFont"/>
    <w:uiPriority w:val="99"/>
    <w:semiHidden/>
    <w:unhideWhenUsed/>
    <w:rsid w:val="00CA41BA"/>
    <w:rPr>
      <w:vertAlign w:val="superscript"/>
    </w:rPr>
  </w:style>
  <w:style w:type="paragraph" w:styleId="Revision">
    <w:name w:val="Revision"/>
    <w:hidden/>
    <w:uiPriority w:val="99"/>
    <w:semiHidden/>
    <w:rsid w:val="00527096"/>
    <w:rPr>
      <w:sz w:val="24"/>
      <w:szCs w:val="24"/>
      <w:bdr w:val="nil"/>
      <w:lang w:val="en-US" w:eastAsia="en-US"/>
    </w:rPr>
  </w:style>
  <w:style w:type="character" w:customStyle="1" w:styleId="Heading5Char">
    <w:name w:val="Heading 5 Char"/>
    <w:basedOn w:val="DefaultParagraphFont"/>
    <w:link w:val="Heading5"/>
    <w:uiPriority w:val="9"/>
    <w:semiHidden/>
    <w:rsid w:val="009F1C8F"/>
    <w:rPr>
      <w:rFonts w:asciiTheme="majorHAnsi" w:eastAsiaTheme="majorEastAsia" w:hAnsiTheme="majorHAnsi" w:cstheme="majorBidi"/>
      <w:color w:val="2F5496" w:themeColor="accent1" w:themeShade="BF"/>
      <w:sz w:val="24"/>
      <w:szCs w:val="24"/>
      <w:bdr w:val="nil"/>
      <w:lang w:val="en-US" w:eastAsia="en-US"/>
    </w:rPr>
  </w:style>
  <w:style w:type="character" w:customStyle="1" w:styleId="Heading6Char">
    <w:name w:val="Heading 6 Char"/>
    <w:basedOn w:val="DefaultParagraphFont"/>
    <w:link w:val="Heading6"/>
    <w:uiPriority w:val="9"/>
    <w:semiHidden/>
    <w:rsid w:val="009F1C8F"/>
    <w:rPr>
      <w:rFonts w:asciiTheme="majorHAnsi" w:eastAsiaTheme="majorEastAsia" w:hAnsiTheme="majorHAnsi" w:cstheme="majorBidi"/>
      <w:color w:val="1F3763" w:themeColor="accent1" w:themeShade="7F"/>
      <w:sz w:val="24"/>
      <w:szCs w:val="24"/>
      <w:bdr w:val="nil"/>
      <w:lang w:val="en-US" w:eastAsia="en-US"/>
    </w:rPr>
  </w:style>
  <w:style w:type="character" w:customStyle="1" w:styleId="Heading7Char">
    <w:name w:val="Heading 7 Char"/>
    <w:basedOn w:val="DefaultParagraphFont"/>
    <w:link w:val="Heading7"/>
    <w:uiPriority w:val="9"/>
    <w:semiHidden/>
    <w:rsid w:val="009F1C8F"/>
    <w:rPr>
      <w:rFonts w:asciiTheme="majorHAnsi" w:eastAsiaTheme="majorEastAsia" w:hAnsiTheme="majorHAnsi" w:cstheme="majorBidi"/>
      <w:i/>
      <w:iCs/>
      <w:color w:val="1F3763" w:themeColor="accent1" w:themeShade="7F"/>
      <w:sz w:val="24"/>
      <w:szCs w:val="24"/>
      <w:bdr w:val="nil"/>
      <w:lang w:val="en-US" w:eastAsia="en-US"/>
    </w:rPr>
  </w:style>
  <w:style w:type="character" w:customStyle="1" w:styleId="Heading8Char">
    <w:name w:val="Heading 8 Char"/>
    <w:basedOn w:val="DefaultParagraphFont"/>
    <w:link w:val="Heading8"/>
    <w:uiPriority w:val="9"/>
    <w:semiHidden/>
    <w:rsid w:val="009F1C8F"/>
    <w:rPr>
      <w:rFonts w:asciiTheme="majorHAnsi" w:eastAsiaTheme="majorEastAsia" w:hAnsiTheme="majorHAnsi" w:cstheme="majorBidi"/>
      <w:color w:val="272727" w:themeColor="text1" w:themeTint="D8"/>
      <w:sz w:val="21"/>
      <w:szCs w:val="21"/>
      <w:bdr w:val="nil"/>
      <w:lang w:val="en-US" w:eastAsia="en-US"/>
    </w:rPr>
  </w:style>
  <w:style w:type="character" w:customStyle="1" w:styleId="Heading9Char">
    <w:name w:val="Heading 9 Char"/>
    <w:basedOn w:val="DefaultParagraphFont"/>
    <w:link w:val="Heading9"/>
    <w:uiPriority w:val="9"/>
    <w:semiHidden/>
    <w:rsid w:val="009F1C8F"/>
    <w:rPr>
      <w:rFonts w:asciiTheme="majorHAnsi" w:eastAsiaTheme="majorEastAsia" w:hAnsiTheme="majorHAnsi" w:cstheme="majorBidi"/>
      <w:i/>
      <w:iCs/>
      <w:color w:val="272727" w:themeColor="text1" w:themeTint="D8"/>
      <w:sz w:val="21"/>
      <w:szCs w:val="21"/>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7584">
      <w:bodyDiv w:val="1"/>
      <w:marLeft w:val="120"/>
      <w:marRight w:val="120"/>
      <w:marTop w:val="0"/>
      <w:marBottom w:val="120"/>
      <w:divBdr>
        <w:top w:val="none" w:sz="0" w:space="0" w:color="auto"/>
        <w:left w:val="none" w:sz="0" w:space="0" w:color="auto"/>
        <w:bottom w:val="none" w:sz="0" w:space="0" w:color="auto"/>
        <w:right w:val="none" w:sz="0" w:space="0" w:color="auto"/>
      </w:divBdr>
      <w:divsChild>
        <w:div w:id="1395735590">
          <w:marLeft w:val="0"/>
          <w:marRight w:val="0"/>
          <w:marTop w:val="0"/>
          <w:marBottom w:val="0"/>
          <w:divBdr>
            <w:top w:val="none" w:sz="0" w:space="0" w:color="auto"/>
            <w:left w:val="none" w:sz="0" w:space="0" w:color="auto"/>
            <w:bottom w:val="none" w:sz="0" w:space="0" w:color="auto"/>
            <w:right w:val="none" w:sz="0" w:space="0" w:color="auto"/>
          </w:divBdr>
          <w:divsChild>
            <w:div w:id="2105299389">
              <w:marLeft w:val="0"/>
              <w:marRight w:val="0"/>
              <w:marTop w:val="0"/>
              <w:marBottom w:val="0"/>
              <w:divBdr>
                <w:top w:val="none" w:sz="0" w:space="0" w:color="auto"/>
                <w:left w:val="none" w:sz="0" w:space="0" w:color="auto"/>
                <w:bottom w:val="none" w:sz="0" w:space="0" w:color="auto"/>
                <w:right w:val="none" w:sz="0" w:space="0" w:color="auto"/>
              </w:divBdr>
              <w:divsChild>
                <w:div w:id="847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9444">
      <w:bodyDiv w:val="1"/>
      <w:marLeft w:val="0"/>
      <w:marRight w:val="0"/>
      <w:marTop w:val="0"/>
      <w:marBottom w:val="0"/>
      <w:divBdr>
        <w:top w:val="none" w:sz="0" w:space="0" w:color="auto"/>
        <w:left w:val="none" w:sz="0" w:space="0" w:color="auto"/>
        <w:bottom w:val="none" w:sz="0" w:space="0" w:color="auto"/>
        <w:right w:val="none" w:sz="0" w:space="0" w:color="auto"/>
      </w:divBdr>
    </w:div>
    <w:div w:id="330064175">
      <w:bodyDiv w:val="1"/>
      <w:marLeft w:val="0"/>
      <w:marRight w:val="0"/>
      <w:marTop w:val="0"/>
      <w:marBottom w:val="0"/>
      <w:divBdr>
        <w:top w:val="none" w:sz="0" w:space="0" w:color="auto"/>
        <w:left w:val="none" w:sz="0" w:space="0" w:color="auto"/>
        <w:bottom w:val="none" w:sz="0" w:space="0" w:color="auto"/>
        <w:right w:val="none" w:sz="0" w:space="0" w:color="auto"/>
      </w:divBdr>
    </w:div>
    <w:div w:id="430711260">
      <w:bodyDiv w:val="1"/>
      <w:marLeft w:val="0"/>
      <w:marRight w:val="0"/>
      <w:marTop w:val="0"/>
      <w:marBottom w:val="0"/>
      <w:divBdr>
        <w:top w:val="none" w:sz="0" w:space="0" w:color="auto"/>
        <w:left w:val="none" w:sz="0" w:space="0" w:color="auto"/>
        <w:bottom w:val="none" w:sz="0" w:space="0" w:color="auto"/>
        <w:right w:val="none" w:sz="0" w:space="0" w:color="auto"/>
      </w:divBdr>
      <w:divsChild>
        <w:div w:id="164176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119078">
      <w:bodyDiv w:val="1"/>
      <w:marLeft w:val="0"/>
      <w:marRight w:val="0"/>
      <w:marTop w:val="0"/>
      <w:marBottom w:val="0"/>
      <w:divBdr>
        <w:top w:val="none" w:sz="0" w:space="0" w:color="auto"/>
        <w:left w:val="none" w:sz="0" w:space="0" w:color="auto"/>
        <w:bottom w:val="none" w:sz="0" w:space="0" w:color="auto"/>
        <w:right w:val="none" w:sz="0" w:space="0" w:color="auto"/>
      </w:divBdr>
    </w:div>
    <w:div w:id="700788857">
      <w:bodyDiv w:val="1"/>
      <w:marLeft w:val="0"/>
      <w:marRight w:val="0"/>
      <w:marTop w:val="0"/>
      <w:marBottom w:val="0"/>
      <w:divBdr>
        <w:top w:val="none" w:sz="0" w:space="0" w:color="auto"/>
        <w:left w:val="none" w:sz="0" w:space="0" w:color="auto"/>
        <w:bottom w:val="none" w:sz="0" w:space="0" w:color="auto"/>
        <w:right w:val="none" w:sz="0" w:space="0" w:color="auto"/>
      </w:divBdr>
    </w:div>
    <w:div w:id="1018848494">
      <w:bodyDiv w:val="1"/>
      <w:marLeft w:val="0"/>
      <w:marRight w:val="0"/>
      <w:marTop w:val="0"/>
      <w:marBottom w:val="0"/>
      <w:divBdr>
        <w:top w:val="none" w:sz="0" w:space="0" w:color="auto"/>
        <w:left w:val="none" w:sz="0" w:space="0" w:color="auto"/>
        <w:bottom w:val="none" w:sz="0" w:space="0" w:color="auto"/>
        <w:right w:val="none" w:sz="0" w:space="0" w:color="auto"/>
      </w:divBdr>
    </w:div>
    <w:div w:id="1032606788">
      <w:bodyDiv w:val="1"/>
      <w:marLeft w:val="0"/>
      <w:marRight w:val="0"/>
      <w:marTop w:val="0"/>
      <w:marBottom w:val="0"/>
      <w:divBdr>
        <w:top w:val="none" w:sz="0" w:space="0" w:color="auto"/>
        <w:left w:val="none" w:sz="0" w:space="0" w:color="auto"/>
        <w:bottom w:val="none" w:sz="0" w:space="0" w:color="auto"/>
        <w:right w:val="none" w:sz="0" w:space="0" w:color="auto"/>
      </w:divBdr>
    </w:div>
    <w:div w:id="1103109530">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30270469">
      <w:bodyDiv w:val="1"/>
      <w:marLeft w:val="0"/>
      <w:marRight w:val="0"/>
      <w:marTop w:val="0"/>
      <w:marBottom w:val="0"/>
      <w:divBdr>
        <w:top w:val="none" w:sz="0" w:space="0" w:color="auto"/>
        <w:left w:val="none" w:sz="0" w:space="0" w:color="auto"/>
        <w:bottom w:val="none" w:sz="0" w:space="0" w:color="auto"/>
        <w:right w:val="none" w:sz="0" w:space="0" w:color="auto"/>
      </w:divBdr>
    </w:div>
    <w:div w:id="1293367533">
      <w:bodyDiv w:val="1"/>
      <w:marLeft w:val="0"/>
      <w:marRight w:val="0"/>
      <w:marTop w:val="0"/>
      <w:marBottom w:val="0"/>
      <w:divBdr>
        <w:top w:val="none" w:sz="0" w:space="0" w:color="auto"/>
        <w:left w:val="none" w:sz="0" w:space="0" w:color="auto"/>
        <w:bottom w:val="none" w:sz="0" w:space="0" w:color="auto"/>
        <w:right w:val="none" w:sz="0" w:space="0" w:color="auto"/>
      </w:divBdr>
    </w:div>
    <w:div w:id="1359545204">
      <w:bodyDiv w:val="1"/>
      <w:marLeft w:val="0"/>
      <w:marRight w:val="0"/>
      <w:marTop w:val="0"/>
      <w:marBottom w:val="0"/>
      <w:divBdr>
        <w:top w:val="none" w:sz="0" w:space="0" w:color="auto"/>
        <w:left w:val="none" w:sz="0" w:space="0" w:color="auto"/>
        <w:bottom w:val="none" w:sz="0" w:space="0" w:color="auto"/>
        <w:right w:val="none" w:sz="0" w:space="0" w:color="auto"/>
      </w:divBdr>
    </w:div>
    <w:div w:id="1360083632">
      <w:bodyDiv w:val="1"/>
      <w:marLeft w:val="0"/>
      <w:marRight w:val="0"/>
      <w:marTop w:val="0"/>
      <w:marBottom w:val="0"/>
      <w:divBdr>
        <w:top w:val="none" w:sz="0" w:space="0" w:color="auto"/>
        <w:left w:val="none" w:sz="0" w:space="0" w:color="auto"/>
        <w:bottom w:val="none" w:sz="0" w:space="0" w:color="auto"/>
        <w:right w:val="none" w:sz="0" w:space="0" w:color="auto"/>
      </w:divBdr>
    </w:div>
    <w:div w:id="1408654572">
      <w:bodyDiv w:val="1"/>
      <w:marLeft w:val="0"/>
      <w:marRight w:val="0"/>
      <w:marTop w:val="0"/>
      <w:marBottom w:val="0"/>
      <w:divBdr>
        <w:top w:val="none" w:sz="0" w:space="0" w:color="auto"/>
        <w:left w:val="none" w:sz="0" w:space="0" w:color="auto"/>
        <w:bottom w:val="none" w:sz="0" w:space="0" w:color="auto"/>
        <w:right w:val="none" w:sz="0" w:space="0" w:color="auto"/>
      </w:divBdr>
    </w:div>
    <w:div w:id="1424106694">
      <w:bodyDiv w:val="1"/>
      <w:marLeft w:val="0"/>
      <w:marRight w:val="0"/>
      <w:marTop w:val="0"/>
      <w:marBottom w:val="0"/>
      <w:divBdr>
        <w:top w:val="none" w:sz="0" w:space="0" w:color="auto"/>
        <w:left w:val="none" w:sz="0" w:space="0" w:color="auto"/>
        <w:bottom w:val="none" w:sz="0" w:space="0" w:color="auto"/>
        <w:right w:val="none" w:sz="0" w:space="0" w:color="auto"/>
      </w:divBdr>
    </w:div>
    <w:div w:id="1552307857">
      <w:bodyDiv w:val="1"/>
      <w:marLeft w:val="0"/>
      <w:marRight w:val="0"/>
      <w:marTop w:val="0"/>
      <w:marBottom w:val="0"/>
      <w:divBdr>
        <w:top w:val="none" w:sz="0" w:space="0" w:color="auto"/>
        <w:left w:val="none" w:sz="0" w:space="0" w:color="auto"/>
        <w:bottom w:val="none" w:sz="0" w:space="0" w:color="auto"/>
        <w:right w:val="none" w:sz="0" w:space="0" w:color="auto"/>
      </w:divBdr>
    </w:div>
    <w:div w:id="1654023144">
      <w:bodyDiv w:val="1"/>
      <w:marLeft w:val="0"/>
      <w:marRight w:val="0"/>
      <w:marTop w:val="0"/>
      <w:marBottom w:val="0"/>
      <w:divBdr>
        <w:top w:val="none" w:sz="0" w:space="0" w:color="auto"/>
        <w:left w:val="none" w:sz="0" w:space="0" w:color="auto"/>
        <w:bottom w:val="none" w:sz="0" w:space="0" w:color="auto"/>
        <w:right w:val="none" w:sz="0" w:space="0" w:color="auto"/>
      </w:divBdr>
    </w:div>
    <w:div w:id="1657607043">
      <w:bodyDiv w:val="1"/>
      <w:marLeft w:val="0"/>
      <w:marRight w:val="0"/>
      <w:marTop w:val="0"/>
      <w:marBottom w:val="0"/>
      <w:divBdr>
        <w:top w:val="none" w:sz="0" w:space="0" w:color="auto"/>
        <w:left w:val="none" w:sz="0" w:space="0" w:color="auto"/>
        <w:bottom w:val="none" w:sz="0" w:space="0" w:color="auto"/>
        <w:right w:val="none" w:sz="0" w:space="0" w:color="auto"/>
      </w:divBdr>
    </w:div>
    <w:div w:id="1659723525">
      <w:bodyDiv w:val="1"/>
      <w:marLeft w:val="0"/>
      <w:marRight w:val="0"/>
      <w:marTop w:val="0"/>
      <w:marBottom w:val="0"/>
      <w:divBdr>
        <w:top w:val="none" w:sz="0" w:space="0" w:color="auto"/>
        <w:left w:val="none" w:sz="0" w:space="0" w:color="auto"/>
        <w:bottom w:val="none" w:sz="0" w:space="0" w:color="auto"/>
        <w:right w:val="none" w:sz="0" w:space="0" w:color="auto"/>
      </w:divBdr>
    </w:div>
    <w:div w:id="1676760208">
      <w:bodyDiv w:val="1"/>
      <w:marLeft w:val="0"/>
      <w:marRight w:val="0"/>
      <w:marTop w:val="0"/>
      <w:marBottom w:val="0"/>
      <w:divBdr>
        <w:top w:val="none" w:sz="0" w:space="0" w:color="auto"/>
        <w:left w:val="none" w:sz="0" w:space="0" w:color="auto"/>
        <w:bottom w:val="none" w:sz="0" w:space="0" w:color="auto"/>
        <w:right w:val="none" w:sz="0" w:space="0" w:color="auto"/>
      </w:divBdr>
    </w:div>
    <w:div w:id="1765030135">
      <w:bodyDiv w:val="1"/>
      <w:marLeft w:val="0"/>
      <w:marRight w:val="0"/>
      <w:marTop w:val="0"/>
      <w:marBottom w:val="0"/>
      <w:divBdr>
        <w:top w:val="none" w:sz="0" w:space="0" w:color="auto"/>
        <w:left w:val="none" w:sz="0" w:space="0" w:color="auto"/>
        <w:bottom w:val="none" w:sz="0" w:space="0" w:color="auto"/>
        <w:right w:val="none" w:sz="0" w:space="0" w:color="auto"/>
      </w:divBdr>
      <w:divsChild>
        <w:div w:id="173365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45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8804061">
      <w:bodyDiv w:val="1"/>
      <w:marLeft w:val="0"/>
      <w:marRight w:val="0"/>
      <w:marTop w:val="0"/>
      <w:marBottom w:val="0"/>
      <w:divBdr>
        <w:top w:val="none" w:sz="0" w:space="0" w:color="auto"/>
        <w:left w:val="none" w:sz="0" w:space="0" w:color="auto"/>
        <w:bottom w:val="none" w:sz="0" w:space="0" w:color="auto"/>
        <w:right w:val="none" w:sz="0" w:space="0" w:color="auto"/>
      </w:divBdr>
    </w:div>
    <w:div w:id="1919557812">
      <w:bodyDiv w:val="1"/>
      <w:marLeft w:val="0"/>
      <w:marRight w:val="0"/>
      <w:marTop w:val="0"/>
      <w:marBottom w:val="0"/>
      <w:divBdr>
        <w:top w:val="none" w:sz="0" w:space="0" w:color="auto"/>
        <w:left w:val="none" w:sz="0" w:space="0" w:color="auto"/>
        <w:bottom w:val="none" w:sz="0" w:space="0" w:color="auto"/>
        <w:right w:val="none" w:sz="0" w:space="0" w:color="auto"/>
      </w:divBdr>
    </w:div>
    <w:div w:id="2005620082">
      <w:bodyDiv w:val="1"/>
      <w:marLeft w:val="0"/>
      <w:marRight w:val="0"/>
      <w:marTop w:val="0"/>
      <w:marBottom w:val="0"/>
      <w:divBdr>
        <w:top w:val="none" w:sz="0" w:space="0" w:color="auto"/>
        <w:left w:val="none" w:sz="0" w:space="0" w:color="auto"/>
        <w:bottom w:val="none" w:sz="0" w:space="0" w:color="auto"/>
        <w:right w:val="none" w:sz="0" w:space="0" w:color="auto"/>
      </w:divBdr>
    </w:div>
    <w:div w:id="2009744883">
      <w:bodyDiv w:val="1"/>
      <w:marLeft w:val="0"/>
      <w:marRight w:val="0"/>
      <w:marTop w:val="0"/>
      <w:marBottom w:val="0"/>
      <w:divBdr>
        <w:top w:val="none" w:sz="0" w:space="0" w:color="auto"/>
        <w:left w:val="none" w:sz="0" w:space="0" w:color="auto"/>
        <w:bottom w:val="none" w:sz="0" w:space="0" w:color="auto"/>
        <w:right w:val="none" w:sz="0" w:space="0" w:color="auto"/>
      </w:divBdr>
    </w:div>
    <w:div w:id="2096123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jurisprudencia-oc-2/38-jurisprudencia/728-corte-idh-caso-baldeon-garcia-vs-peru-fondo-reparaciones-y-costas-sentencia-de-6-de-abril-de-2006-serie-c-no-147" TargetMode="External"/><Relationship Id="rId3" Type="http://schemas.openxmlformats.org/officeDocument/2006/relationships/hyperlink" Target="http://joomla.corteidh.or.cr:8080/joomla/es/casos-contenciosos/38-jurisprudencia/192-corte-idh-caso-velasquez-rodriguez-vs-honduras-fondo-sentencia-de-29-de-julio-de-1988-serie-c-no-4" TargetMode="External"/><Relationship Id="rId7" Type="http://schemas.openxmlformats.org/officeDocument/2006/relationships/hyperlink" Target="http://joomla.corteidh.or.cr:8080/joomla/es/jurisprudencia-oc-2/38-jurisprudencia/731-corte-idh-caso-de-las-masacres-de-ituango-vs-colombia-sentencia-de-1-de-julio-de-2006-serie-c-no-148"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 Type="http://schemas.openxmlformats.org/officeDocument/2006/relationships/hyperlink" Target="http://joomla.corteidh.or.cr:8080/joomla/es/jurisprudencia-oc-2/38-jurisprudencia/728-corte-idh-caso-baldeon-garcia-vs-peru-fondo-reparaciones-y-costas-sentencia-de-6-de-abril-de-2006-serie-c-no-147" TargetMode="External"/><Relationship Id="rId6" Type="http://schemas.openxmlformats.org/officeDocument/2006/relationships/hyperlink" Target="http://joomla.corteidh.or.cr:8080/joomla/es/jurisprudencia-oc-2/38-jurisprudencia/741-corte-idh-caso-vargas-areco-vs-paraguay-sentencia-de-26-de-septiembre-de-2006-serie-c-no-155" TargetMode="External"/><Relationship Id="rId5" Type="http://schemas.openxmlformats.org/officeDocument/2006/relationships/hyperlink" Target="http://joomla.corteidh.or.cr:8080/joomla/es/casos-contenciosos/38-jurisprudencia/192-corte-idh-caso-velasquez-rodriguez-vs-honduras-fondo-sentencia-de-29-de-julio-de-1988-serie-c-no-4" TargetMode="External"/><Relationship Id="rId4" Type="http://schemas.openxmlformats.org/officeDocument/2006/relationships/hyperlink" Target="http://joomla.corteidh.or.cr:8080/joomla/es/casos-contenciosos/38-jurisprudencia/192-corte-idh-caso-velasquez-rodriguez-vs-honduras-fondo-sentencia-de-29-de-julio-de-1988-serie-c-no-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2E35-49C1-454F-AD64-AD919342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8127</Words>
  <Characters>46327</Characters>
  <Application>Microsoft Office Word</Application>
  <DocSecurity>0</DocSecurity>
  <Lines>386</Lines>
  <Paragraphs>108</Paragraphs>
  <ScaleCrop>false</ScaleCrop>
  <Company/>
  <LinksUpToDate>false</LinksUpToDate>
  <CharactersWithSpaces>54346</CharactersWithSpaces>
  <SharedDoc>false</SharedDoc>
  <HLinks>
    <vt:vector size="180" baseType="variant">
      <vt:variant>
        <vt:i4>2031671</vt:i4>
      </vt:variant>
      <vt:variant>
        <vt:i4>148</vt:i4>
      </vt:variant>
      <vt:variant>
        <vt:i4>0</vt:i4>
      </vt:variant>
      <vt:variant>
        <vt:i4>5</vt:i4>
      </vt:variant>
      <vt:variant>
        <vt:lpwstr/>
      </vt:variant>
      <vt:variant>
        <vt:lpwstr>_Toc520804268</vt:lpwstr>
      </vt:variant>
      <vt:variant>
        <vt:i4>2031671</vt:i4>
      </vt:variant>
      <vt:variant>
        <vt:i4>142</vt:i4>
      </vt:variant>
      <vt:variant>
        <vt:i4>0</vt:i4>
      </vt:variant>
      <vt:variant>
        <vt:i4>5</vt:i4>
      </vt:variant>
      <vt:variant>
        <vt:lpwstr/>
      </vt:variant>
      <vt:variant>
        <vt:lpwstr>_Toc520804267</vt:lpwstr>
      </vt:variant>
      <vt:variant>
        <vt:i4>2031671</vt:i4>
      </vt:variant>
      <vt:variant>
        <vt:i4>136</vt:i4>
      </vt:variant>
      <vt:variant>
        <vt:i4>0</vt:i4>
      </vt:variant>
      <vt:variant>
        <vt:i4>5</vt:i4>
      </vt:variant>
      <vt:variant>
        <vt:lpwstr/>
      </vt:variant>
      <vt:variant>
        <vt:lpwstr>_Toc520804266</vt:lpwstr>
      </vt:variant>
      <vt:variant>
        <vt:i4>2031671</vt:i4>
      </vt:variant>
      <vt:variant>
        <vt:i4>130</vt:i4>
      </vt:variant>
      <vt:variant>
        <vt:i4>0</vt:i4>
      </vt:variant>
      <vt:variant>
        <vt:i4>5</vt:i4>
      </vt:variant>
      <vt:variant>
        <vt:lpwstr/>
      </vt:variant>
      <vt:variant>
        <vt:lpwstr>_Toc520804265</vt:lpwstr>
      </vt:variant>
      <vt:variant>
        <vt:i4>2031671</vt:i4>
      </vt:variant>
      <vt:variant>
        <vt:i4>124</vt:i4>
      </vt:variant>
      <vt:variant>
        <vt:i4>0</vt:i4>
      </vt:variant>
      <vt:variant>
        <vt:i4>5</vt:i4>
      </vt:variant>
      <vt:variant>
        <vt:lpwstr/>
      </vt:variant>
      <vt:variant>
        <vt:lpwstr>_Toc520804264</vt:lpwstr>
      </vt:variant>
      <vt:variant>
        <vt:i4>2031671</vt:i4>
      </vt:variant>
      <vt:variant>
        <vt:i4>118</vt:i4>
      </vt:variant>
      <vt:variant>
        <vt:i4>0</vt:i4>
      </vt:variant>
      <vt:variant>
        <vt:i4>5</vt:i4>
      </vt:variant>
      <vt:variant>
        <vt:lpwstr/>
      </vt:variant>
      <vt:variant>
        <vt:lpwstr>_Toc520804263</vt:lpwstr>
      </vt:variant>
      <vt:variant>
        <vt:i4>2031671</vt:i4>
      </vt:variant>
      <vt:variant>
        <vt:i4>112</vt:i4>
      </vt:variant>
      <vt:variant>
        <vt:i4>0</vt:i4>
      </vt:variant>
      <vt:variant>
        <vt:i4>5</vt:i4>
      </vt:variant>
      <vt:variant>
        <vt:lpwstr/>
      </vt:variant>
      <vt:variant>
        <vt:lpwstr>_Toc520804262</vt:lpwstr>
      </vt:variant>
      <vt:variant>
        <vt:i4>2031671</vt:i4>
      </vt:variant>
      <vt:variant>
        <vt:i4>106</vt:i4>
      </vt:variant>
      <vt:variant>
        <vt:i4>0</vt:i4>
      </vt:variant>
      <vt:variant>
        <vt:i4>5</vt:i4>
      </vt:variant>
      <vt:variant>
        <vt:lpwstr/>
      </vt:variant>
      <vt:variant>
        <vt:lpwstr>_Toc520804261</vt:lpwstr>
      </vt:variant>
      <vt:variant>
        <vt:i4>2031671</vt:i4>
      </vt:variant>
      <vt:variant>
        <vt:i4>100</vt:i4>
      </vt:variant>
      <vt:variant>
        <vt:i4>0</vt:i4>
      </vt:variant>
      <vt:variant>
        <vt:i4>5</vt:i4>
      </vt:variant>
      <vt:variant>
        <vt:lpwstr/>
      </vt:variant>
      <vt:variant>
        <vt:lpwstr>_Toc520804260</vt:lpwstr>
      </vt:variant>
      <vt:variant>
        <vt:i4>1835063</vt:i4>
      </vt:variant>
      <vt:variant>
        <vt:i4>94</vt:i4>
      </vt:variant>
      <vt:variant>
        <vt:i4>0</vt:i4>
      </vt:variant>
      <vt:variant>
        <vt:i4>5</vt:i4>
      </vt:variant>
      <vt:variant>
        <vt:lpwstr/>
      </vt:variant>
      <vt:variant>
        <vt:lpwstr>_Toc520804259</vt:lpwstr>
      </vt:variant>
      <vt:variant>
        <vt:i4>1835063</vt:i4>
      </vt:variant>
      <vt:variant>
        <vt:i4>88</vt:i4>
      </vt:variant>
      <vt:variant>
        <vt:i4>0</vt:i4>
      </vt:variant>
      <vt:variant>
        <vt:i4>5</vt:i4>
      </vt:variant>
      <vt:variant>
        <vt:lpwstr/>
      </vt:variant>
      <vt:variant>
        <vt:lpwstr>_Toc520804258</vt:lpwstr>
      </vt:variant>
      <vt:variant>
        <vt:i4>1835063</vt:i4>
      </vt:variant>
      <vt:variant>
        <vt:i4>82</vt:i4>
      </vt:variant>
      <vt:variant>
        <vt:i4>0</vt:i4>
      </vt:variant>
      <vt:variant>
        <vt:i4>5</vt:i4>
      </vt:variant>
      <vt:variant>
        <vt:lpwstr/>
      </vt:variant>
      <vt:variant>
        <vt:lpwstr>_Toc520804257</vt:lpwstr>
      </vt:variant>
      <vt:variant>
        <vt:i4>1835063</vt:i4>
      </vt:variant>
      <vt:variant>
        <vt:i4>76</vt:i4>
      </vt:variant>
      <vt:variant>
        <vt:i4>0</vt:i4>
      </vt:variant>
      <vt:variant>
        <vt:i4>5</vt:i4>
      </vt:variant>
      <vt:variant>
        <vt:lpwstr/>
      </vt:variant>
      <vt:variant>
        <vt:lpwstr>_Toc520804256</vt:lpwstr>
      </vt:variant>
      <vt:variant>
        <vt:i4>1835063</vt:i4>
      </vt:variant>
      <vt:variant>
        <vt:i4>70</vt:i4>
      </vt:variant>
      <vt:variant>
        <vt:i4>0</vt:i4>
      </vt:variant>
      <vt:variant>
        <vt:i4>5</vt:i4>
      </vt:variant>
      <vt:variant>
        <vt:lpwstr/>
      </vt:variant>
      <vt:variant>
        <vt:lpwstr>_Toc520804255</vt:lpwstr>
      </vt:variant>
      <vt:variant>
        <vt:i4>1835063</vt:i4>
      </vt:variant>
      <vt:variant>
        <vt:i4>64</vt:i4>
      </vt:variant>
      <vt:variant>
        <vt:i4>0</vt:i4>
      </vt:variant>
      <vt:variant>
        <vt:i4>5</vt:i4>
      </vt:variant>
      <vt:variant>
        <vt:lpwstr/>
      </vt:variant>
      <vt:variant>
        <vt:lpwstr>_Toc520804254</vt:lpwstr>
      </vt:variant>
      <vt:variant>
        <vt:i4>1835063</vt:i4>
      </vt:variant>
      <vt:variant>
        <vt:i4>58</vt:i4>
      </vt:variant>
      <vt:variant>
        <vt:i4>0</vt:i4>
      </vt:variant>
      <vt:variant>
        <vt:i4>5</vt:i4>
      </vt:variant>
      <vt:variant>
        <vt:lpwstr/>
      </vt:variant>
      <vt:variant>
        <vt:lpwstr>_Toc520804253</vt:lpwstr>
      </vt:variant>
      <vt:variant>
        <vt:i4>1835063</vt:i4>
      </vt:variant>
      <vt:variant>
        <vt:i4>52</vt:i4>
      </vt:variant>
      <vt:variant>
        <vt:i4>0</vt:i4>
      </vt:variant>
      <vt:variant>
        <vt:i4>5</vt:i4>
      </vt:variant>
      <vt:variant>
        <vt:lpwstr/>
      </vt:variant>
      <vt:variant>
        <vt:lpwstr>_Toc520804252</vt:lpwstr>
      </vt:variant>
      <vt:variant>
        <vt:i4>1835063</vt:i4>
      </vt:variant>
      <vt:variant>
        <vt:i4>46</vt:i4>
      </vt:variant>
      <vt:variant>
        <vt:i4>0</vt:i4>
      </vt:variant>
      <vt:variant>
        <vt:i4>5</vt:i4>
      </vt:variant>
      <vt:variant>
        <vt:lpwstr/>
      </vt:variant>
      <vt:variant>
        <vt:lpwstr>_Toc520804251</vt:lpwstr>
      </vt:variant>
      <vt:variant>
        <vt:i4>1835063</vt:i4>
      </vt:variant>
      <vt:variant>
        <vt:i4>40</vt:i4>
      </vt:variant>
      <vt:variant>
        <vt:i4>0</vt:i4>
      </vt:variant>
      <vt:variant>
        <vt:i4>5</vt:i4>
      </vt:variant>
      <vt:variant>
        <vt:lpwstr/>
      </vt:variant>
      <vt:variant>
        <vt:lpwstr>_Toc520804250</vt:lpwstr>
      </vt:variant>
      <vt:variant>
        <vt:i4>1900599</vt:i4>
      </vt:variant>
      <vt:variant>
        <vt:i4>34</vt:i4>
      </vt:variant>
      <vt:variant>
        <vt:i4>0</vt:i4>
      </vt:variant>
      <vt:variant>
        <vt:i4>5</vt:i4>
      </vt:variant>
      <vt:variant>
        <vt:lpwstr/>
      </vt:variant>
      <vt:variant>
        <vt:lpwstr>_Toc520804249</vt:lpwstr>
      </vt:variant>
      <vt:variant>
        <vt:i4>1900599</vt:i4>
      </vt:variant>
      <vt:variant>
        <vt:i4>28</vt:i4>
      </vt:variant>
      <vt:variant>
        <vt:i4>0</vt:i4>
      </vt:variant>
      <vt:variant>
        <vt:i4>5</vt:i4>
      </vt:variant>
      <vt:variant>
        <vt:lpwstr/>
      </vt:variant>
      <vt:variant>
        <vt:lpwstr>_Toc520804248</vt:lpwstr>
      </vt:variant>
      <vt:variant>
        <vt:i4>1900599</vt:i4>
      </vt:variant>
      <vt:variant>
        <vt:i4>22</vt:i4>
      </vt:variant>
      <vt:variant>
        <vt:i4>0</vt:i4>
      </vt:variant>
      <vt:variant>
        <vt:i4>5</vt:i4>
      </vt:variant>
      <vt:variant>
        <vt:lpwstr/>
      </vt:variant>
      <vt:variant>
        <vt:lpwstr>_Toc520804247</vt:lpwstr>
      </vt:variant>
      <vt:variant>
        <vt:i4>1900599</vt:i4>
      </vt:variant>
      <vt:variant>
        <vt:i4>16</vt:i4>
      </vt:variant>
      <vt:variant>
        <vt:i4>0</vt:i4>
      </vt:variant>
      <vt:variant>
        <vt:i4>5</vt:i4>
      </vt:variant>
      <vt:variant>
        <vt:lpwstr/>
      </vt:variant>
      <vt:variant>
        <vt:lpwstr>_Toc520804246</vt:lpwstr>
      </vt:variant>
      <vt:variant>
        <vt:i4>1900599</vt:i4>
      </vt:variant>
      <vt:variant>
        <vt:i4>10</vt:i4>
      </vt:variant>
      <vt:variant>
        <vt:i4>0</vt:i4>
      </vt:variant>
      <vt:variant>
        <vt:i4>5</vt:i4>
      </vt:variant>
      <vt:variant>
        <vt:lpwstr/>
      </vt:variant>
      <vt:variant>
        <vt:lpwstr>_Toc520804245</vt:lpwstr>
      </vt:variant>
      <vt:variant>
        <vt:i4>1900599</vt:i4>
      </vt:variant>
      <vt:variant>
        <vt:i4>4</vt:i4>
      </vt:variant>
      <vt:variant>
        <vt:i4>0</vt:i4>
      </vt:variant>
      <vt:variant>
        <vt:i4>5</vt:i4>
      </vt:variant>
      <vt:variant>
        <vt:lpwstr/>
      </vt:variant>
      <vt:variant>
        <vt:lpwstr>_Toc520804244</vt:lpwstr>
      </vt:variant>
      <vt:variant>
        <vt:i4>6357033</vt:i4>
      </vt:variant>
      <vt:variant>
        <vt:i4>12</vt:i4>
      </vt:variant>
      <vt:variant>
        <vt:i4>0</vt:i4>
      </vt:variant>
      <vt:variant>
        <vt:i4>5</vt:i4>
      </vt:variant>
      <vt:variant>
        <vt:lpwstr>http://joomla.corteidh.or.cr:8080/joomla/es/jurisprudencia-oc-2/38-jurisprudencia/728-corte-idh-caso-baldeon-garcia-vs-peru-fondo-reparaciones-y-costas-sentencia-de-6-de-abril-de-2006-serie-c-no-147</vt:lpwstr>
      </vt:variant>
      <vt:variant>
        <vt:lpwstr/>
      </vt:variant>
      <vt:variant>
        <vt:i4>2228256</vt:i4>
      </vt:variant>
      <vt:variant>
        <vt:i4>9</vt:i4>
      </vt:variant>
      <vt:variant>
        <vt:i4>0</vt:i4>
      </vt:variant>
      <vt:variant>
        <vt:i4>5</vt:i4>
      </vt:variant>
      <vt:variant>
        <vt:lpwstr>http://joomla.corteidh.or.cr:8080/joomla/es/jurisprudencia-oc-2/38-jurisprudencia/731-corte-idh-caso-de-las-masacres-de-ituango-vs-colombia-sentencia-de-1-de-julio-de-2006-serie-c-no-148</vt:lpwstr>
      </vt:variant>
      <vt:variant>
        <vt:lpwstr/>
      </vt:variant>
      <vt:variant>
        <vt:i4>2752554</vt:i4>
      </vt:variant>
      <vt:variant>
        <vt:i4>6</vt:i4>
      </vt:variant>
      <vt:variant>
        <vt:i4>0</vt:i4>
      </vt:variant>
      <vt:variant>
        <vt:i4>5</vt:i4>
      </vt:variant>
      <vt:variant>
        <vt:lpwstr>http://joomla.corteidh.or.cr:8080/joomla/es/jurisprudencia-oc-2/38-jurisprudencia/741-corte-idh-caso-vargas-areco-vs-paraguay-sentencia-de-26-de-septiembre-de-2006-serie-c-no-155</vt:lpwstr>
      </vt:variant>
      <vt:variant>
        <vt:lpwstr/>
      </vt:variant>
      <vt:variant>
        <vt:i4>3539036</vt:i4>
      </vt:variant>
      <vt:variant>
        <vt:i4>3</vt:i4>
      </vt:variant>
      <vt:variant>
        <vt:i4>0</vt:i4>
      </vt:variant>
      <vt:variant>
        <vt:i4>5</vt:i4>
      </vt:variant>
      <vt:variant>
        <vt:lpwstr>https://elpais.com/diario/2006/10/28/internacional/1161986412_850215.html</vt:lpwstr>
      </vt:variant>
      <vt:variant>
        <vt:lpwstr/>
      </vt:variant>
      <vt:variant>
        <vt:i4>5898365</vt:i4>
      </vt:variant>
      <vt:variant>
        <vt:i4>0</vt:i4>
      </vt:variant>
      <vt:variant>
        <vt:i4>0</vt:i4>
      </vt:variant>
      <vt:variant>
        <vt:i4>5</vt:i4>
      </vt:variant>
      <vt:variant>
        <vt:lpwstr>http://www.cndh.org.mx/sites/all/doc/Informes/Especiales/2003_loxicha.pdf,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2022-04-01T21:13:00Z</dcterms:created>
  <dcterms:modified xsi:type="dcterms:W3CDTF">2022-04-01T21:13:00Z</dcterms:modified>
</cp:coreProperties>
</file>